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73F42E6">
      <w:pPr>
        <w:autoSpaceDE w:val="0"/>
        <w:autoSpaceDN w:val="0"/>
        <w:adjustRightInd w:val="0"/>
        <w:spacing w:line="360" w:lineRule="auto"/>
        <w:rPr>
          <w:rFonts w:ascii="华文楷体" w:hAnsi="华文楷体" w:eastAsia="华文楷体" w:cs="宋体"/>
          <w:b/>
          <w:bCs/>
          <w:kern w:val="0"/>
          <w:sz w:val="84"/>
          <w:szCs w:val="84"/>
          <w:lang w:val="zh-CN"/>
        </w:rPr>
      </w:pPr>
    </w:p>
    <w:p w14:paraId="35F7B6E1">
      <w:pPr>
        <w:autoSpaceDE w:val="0"/>
        <w:autoSpaceDN w:val="0"/>
        <w:adjustRightInd w:val="0"/>
        <w:spacing w:line="360" w:lineRule="auto"/>
        <w:jc w:val="center"/>
        <w:rPr>
          <w:rFonts w:ascii="华文楷体" w:hAnsi="华文楷体" w:eastAsia="华文楷体" w:cs="宋体"/>
          <w:b/>
          <w:bCs/>
          <w:kern w:val="0"/>
          <w:sz w:val="84"/>
          <w:szCs w:val="84"/>
        </w:rPr>
      </w:pPr>
      <w:r>
        <w:rPr>
          <w:rFonts w:hint="eastAsia" w:ascii="华文楷体" w:hAnsi="华文楷体" w:eastAsia="华文楷体" w:cs="宋体"/>
          <w:b/>
          <w:bCs/>
          <w:kern w:val="0"/>
          <w:sz w:val="84"/>
          <w:szCs w:val="84"/>
          <w:lang w:val="zh-CN"/>
        </w:rPr>
        <w:t>公开招标文件</w:t>
      </w:r>
    </w:p>
    <w:p w14:paraId="31F928BE">
      <w:pPr>
        <w:pStyle w:val="11"/>
        <w:ind w:firstLine="0"/>
        <w:rPr>
          <w:rFonts w:ascii="华文楷体" w:hAnsi="华文楷体" w:eastAsia="华文楷体" w:cs="宋体"/>
          <w:kern w:val="0"/>
          <w:sz w:val="36"/>
          <w:szCs w:val="36"/>
          <w:u w:val="dotDash"/>
        </w:rPr>
      </w:pPr>
    </w:p>
    <w:p w14:paraId="3C5F5149">
      <w:pPr>
        <w:pStyle w:val="11"/>
        <w:rPr>
          <w:rFonts w:ascii="华文楷体" w:hAnsi="华文楷体" w:eastAsia="华文楷体" w:cs="宋体"/>
          <w:kern w:val="0"/>
          <w:sz w:val="36"/>
          <w:szCs w:val="36"/>
          <w:u w:val="dotDash"/>
        </w:rPr>
      </w:pPr>
    </w:p>
    <w:p w14:paraId="0C02DD31">
      <w:pPr>
        <w:autoSpaceDE w:val="0"/>
        <w:autoSpaceDN w:val="0"/>
        <w:adjustRightInd w:val="0"/>
        <w:spacing w:line="360" w:lineRule="auto"/>
        <w:jc w:val="left"/>
        <w:rPr>
          <w:rFonts w:ascii="华文楷体" w:hAnsi="华文楷体" w:eastAsia="华文楷体" w:cs="宋体"/>
          <w:kern w:val="0"/>
          <w:sz w:val="36"/>
          <w:szCs w:val="36"/>
          <w:u w:val="dotDash"/>
        </w:rPr>
      </w:pPr>
    </w:p>
    <w:p w14:paraId="67BCB2C0">
      <w:pPr>
        <w:autoSpaceDE w:val="0"/>
        <w:autoSpaceDN w:val="0"/>
        <w:adjustRightInd w:val="0"/>
        <w:spacing w:line="480" w:lineRule="auto"/>
        <w:jc w:val="left"/>
        <w:rPr>
          <w:rFonts w:hint="eastAsia" w:ascii="华文楷体" w:hAnsi="华文楷体" w:eastAsia="华文楷体" w:cs="宋体"/>
          <w:b/>
          <w:bCs/>
          <w:kern w:val="0"/>
          <w:sz w:val="36"/>
          <w:szCs w:val="36"/>
          <w:lang w:val="en-US" w:eastAsia="zh-CN"/>
        </w:rPr>
      </w:pPr>
      <w:r>
        <w:rPr>
          <w:rFonts w:hint="eastAsia" w:ascii="华文楷体" w:hAnsi="华文楷体" w:eastAsia="华文楷体" w:cs="宋体"/>
          <w:b/>
          <w:bCs/>
          <w:kern w:val="0"/>
          <w:sz w:val="36"/>
          <w:szCs w:val="36"/>
          <w:lang w:val="zh-CN"/>
        </w:rPr>
        <w:t>采购项目编号：青海锦茂公招（货物）2024-035号</w:t>
      </w:r>
      <w:r>
        <w:rPr>
          <w:rFonts w:hint="eastAsia" w:ascii="华文楷体" w:hAnsi="华文楷体" w:eastAsia="华文楷体" w:cs="宋体"/>
          <w:b/>
          <w:bCs/>
          <w:kern w:val="0"/>
          <w:sz w:val="36"/>
          <w:szCs w:val="36"/>
        </w:rPr>
        <w:t>-0</w:t>
      </w:r>
      <w:r>
        <w:rPr>
          <w:rFonts w:hint="eastAsia" w:ascii="华文楷体" w:hAnsi="华文楷体" w:eastAsia="华文楷体" w:cs="宋体"/>
          <w:b/>
          <w:bCs/>
          <w:kern w:val="0"/>
          <w:sz w:val="36"/>
          <w:szCs w:val="36"/>
          <w:lang w:val="en-US" w:eastAsia="zh-CN"/>
        </w:rPr>
        <w:t>3</w:t>
      </w:r>
    </w:p>
    <w:p w14:paraId="22A00602">
      <w:pPr>
        <w:autoSpaceDE w:val="0"/>
        <w:autoSpaceDN w:val="0"/>
        <w:adjustRightInd w:val="0"/>
        <w:spacing w:line="480" w:lineRule="auto"/>
        <w:ind w:left="2523" w:hanging="2530" w:hangingChars="700"/>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36"/>
          <w:szCs w:val="36"/>
          <w:lang w:val="zh-CN"/>
        </w:rPr>
        <w:t>采购项目名称：格尔木市消防救援支队2024年度灭火救援装备采购项目（</w:t>
      </w:r>
      <w:r>
        <w:rPr>
          <w:rFonts w:hint="eastAsia" w:ascii="华文楷体" w:hAnsi="华文楷体" w:eastAsia="华文楷体" w:cs="宋体"/>
          <w:b/>
          <w:bCs/>
          <w:kern w:val="0"/>
          <w:sz w:val="36"/>
          <w:szCs w:val="36"/>
        </w:rPr>
        <w:t>第</w:t>
      </w:r>
      <w:r>
        <w:rPr>
          <w:rFonts w:hint="eastAsia" w:ascii="华文楷体" w:hAnsi="华文楷体" w:eastAsia="华文楷体" w:cs="宋体"/>
          <w:b/>
          <w:bCs/>
          <w:kern w:val="0"/>
          <w:sz w:val="36"/>
          <w:szCs w:val="36"/>
          <w:lang w:val="en-US" w:eastAsia="zh-CN"/>
        </w:rPr>
        <w:t>三</w:t>
      </w:r>
      <w:r>
        <w:rPr>
          <w:rFonts w:hint="eastAsia" w:ascii="华文楷体" w:hAnsi="华文楷体" w:eastAsia="华文楷体" w:cs="宋体"/>
          <w:b/>
          <w:bCs/>
          <w:kern w:val="0"/>
          <w:sz w:val="36"/>
          <w:szCs w:val="36"/>
        </w:rPr>
        <w:t>次</w:t>
      </w:r>
      <w:r>
        <w:rPr>
          <w:rFonts w:hint="eastAsia" w:ascii="华文楷体" w:hAnsi="华文楷体" w:eastAsia="华文楷体" w:cs="宋体"/>
          <w:b/>
          <w:bCs/>
          <w:kern w:val="0"/>
          <w:sz w:val="36"/>
          <w:szCs w:val="36"/>
          <w:lang w:val="zh-CN"/>
        </w:rPr>
        <w:t>）</w:t>
      </w:r>
    </w:p>
    <w:p w14:paraId="3BB52D2D">
      <w:pPr>
        <w:autoSpaceDE w:val="0"/>
        <w:autoSpaceDN w:val="0"/>
        <w:adjustRightInd w:val="0"/>
        <w:spacing w:line="480" w:lineRule="auto"/>
        <w:jc w:val="left"/>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采   购  人：格尔木市消防救援支队</w:t>
      </w:r>
    </w:p>
    <w:p w14:paraId="1989C366">
      <w:pPr>
        <w:autoSpaceDE w:val="0"/>
        <w:autoSpaceDN w:val="0"/>
        <w:adjustRightInd w:val="0"/>
        <w:spacing w:line="480" w:lineRule="auto"/>
        <w:rPr>
          <w:rFonts w:ascii="华文楷体" w:hAnsi="华文楷体" w:eastAsia="华文楷体" w:cs="宋体"/>
          <w:b/>
          <w:bCs/>
          <w:kern w:val="0"/>
          <w:sz w:val="28"/>
          <w:szCs w:val="28"/>
          <w:u w:val="single"/>
          <w:lang w:val="zh-CN"/>
        </w:rPr>
      </w:pPr>
      <w:r>
        <w:rPr>
          <w:rFonts w:hint="eastAsia" w:ascii="华文楷体" w:hAnsi="华文楷体" w:eastAsia="华文楷体" w:cs="宋体"/>
          <w:b/>
          <w:bCs/>
          <w:kern w:val="0"/>
          <w:sz w:val="36"/>
          <w:szCs w:val="36"/>
          <w:lang w:val="zh-CN"/>
        </w:rPr>
        <w:t>采购代理机构：青海锦茂工程项目管理有限责任公司</w:t>
      </w:r>
    </w:p>
    <w:p w14:paraId="4C382F69">
      <w:pPr>
        <w:autoSpaceDE w:val="0"/>
        <w:autoSpaceDN w:val="0"/>
        <w:adjustRightInd w:val="0"/>
        <w:spacing w:line="48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36"/>
          <w:szCs w:val="36"/>
          <w:lang w:val="zh-CN"/>
        </w:rPr>
        <w:t>202</w:t>
      </w:r>
      <w:r>
        <w:rPr>
          <w:rFonts w:hint="eastAsia" w:ascii="华文楷体" w:hAnsi="华文楷体" w:eastAsia="华文楷体" w:cs="宋体"/>
          <w:b/>
          <w:bCs/>
          <w:kern w:val="0"/>
          <w:sz w:val="36"/>
          <w:szCs w:val="36"/>
        </w:rPr>
        <w:t>5</w:t>
      </w:r>
      <w:r>
        <w:rPr>
          <w:rFonts w:hint="eastAsia" w:ascii="华文楷体" w:hAnsi="华文楷体" w:eastAsia="华文楷体" w:cs="宋体"/>
          <w:b/>
          <w:bCs/>
          <w:kern w:val="0"/>
          <w:sz w:val="36"/>
          <w:szCs w:val="36"/>
          <w:lang w:val="zh-CN"/>
        </w:rPr>
        <w:t>年</w:t>
      </w:r>
      <w:r>
        <w:rPr>
          <w:rFonts w:hint="eastAsia" w:ascii="华文楷体" w:hAnsi="华文楷体" w:eastAsia="华文楷体" w:cs="宋体"/>
          <w:b/>
          <w:bCs/>
          <w:kern w:val="0"/>
          <w:sz w:val="36"/>
          <w:szCs w:val="36"/>
        </w:rPr>
        <w:t>0</w:t>
      </w:r>
      <w:r>
        <w:rPr>
          <w:rFonts w:hint="eastAsia" w:ascii="华文楷体" w:hAnsi="华文楷体" w:eastAsia="华文楷体" w:cs="宋体"/>
          <w:b/>
          <w:bCs/>
          <w:kern w:val="0"/>
          <w:sz w:val="36"/>
          <w:szCs w:val="36"/>
          <w:lang w:val="en-US" w:eastAsia="zh-CN"/>
        </w:rPr>
        <w:t>4</w:t>
      </w:r>
      <w:r>
        <w:rPr>
          <w:rFonts w:hint="eastAsia" w:ascii="华文楷体" w:hAnsi="华文楷体" w:eastAsia="华文楷体" w:cs="宋体"/>
          <w:b/>
          <w:bCs/>
          <w:kern w:val="0"/>
          <w:sz w:val="36"/>
          <w:szCs w:val="36"/>
          <w:lang w:val="zh-CN"/>
        </w:rPr>
        <w:t>月</w:t>
      </w:r>
      <w:bookmarkStart w:id="0" w:name="_Toc27193"/>
      <w:bookmarkStart w:id="1" w:name="_Toc7380"/>
      <w:bookmarkStart w:id="2" w:name="_Toc14544"/>
    </w:p>
    <w:p w14:paraId="54B0F6C2">
      <w:pP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36"/>
          <w:szCs w:val="36"/>
          <w:lang w:val="zh-CN"/>
        </w:rPr>
        <w:br w:type="page"/>
      </w:r>
    </w:p>
    <w:p w14:paraId="0A0177C2">
      <w:pPr>
        <w:autoSpaceDE w:val="0"/>
        <w:autoSpaceDN w:val="0"/>
        <w:adjustRightInd w:val="0"/>
        <w:spacing w:line="480" w:lineRule="auto"/>
        <w:jc w:val="center"/>
        <w:rPr>
          <w:rFonts w:ascii="华文楷体" w:hAnsi="华文楷体" w:eastAsia="华文楷体"/>
          <w:b/>
          <w:bCs/>
          <w:sz w:val="36"/>
        </w:rPr>
      </w:pPr>
      <w:r>
        <w:rPr>
          <w:rFonts w:hint="eastAsia" w:ascii="华文楷体" w:hAnsi="华文楷体" w:eastAsia="华文楷体"/>
          <w:b/>
          <w:bCs/>
          <w:sz w:val="36"/>
        </w:rPr>
        <w:t>目  录</w:t>
      </w:r>
    </w:p>
    <w:p w14:paraId="3BB917DA">
      <w:pPr>
        <w:pStyle w:val="21"/>
        <w:tabs>
          <w:tab w:val="right" w:leader="dot" w:pos="8233"/>
        </w:tabs>
        <w:ind w:firstLine="480"/>
        <w:rPr>
          <w:rFonts w:asciiTheme="minorHAnsi" w:hAnsiTheme="minorHAnsi" w:eastAsiaTheme="minorEastAsia" w:cstheme="minorBidi"/>
          <w:b w:val="0"/>
          <w:bCs w:val="0"/>
          <w:caps w:val="0"/>
          <w:sz w:val="21"/>
          <w:szCs w:val="22"/>
        </w:rPr>
      </w:pPr>
      <w:r>
        <w:rPr>
          <w:rFonts w:ascii="华文楷体" w:hAnsi="华文楷体" w:eastAsia="华文楷体"/>
        </w:rPr>
        <w:fldChar w:fldCharType="begin"/>
      </w:r>
      <w:r>
        <w:rPr>
          <w:rFonts w:ascii="华文楷体" w:hAnsi="华文楷体" w:eastAsia="华文楷体"/>
        </w:rPr>
        <w:instrText xml:space="preserve">TOC \o "1-2" \h \u </w:instrText>
      </w:r>
      <w:r>
        <w:rPr>
          <w:rFonts w:ascii="华文楷体" w:hAnsi="华文楷体" w:eastAsia="华文楷体"/>
        </w:rPr>
        <w:fldChar w:fldCharType="separate"/>
      </w:r>
      <w:r>
        <w:fldChar w:fldCharType="begin"/>
      </w:r>
      <w:r>
        <w:instrText xml:space="preserve"> HYPERLINK \l "_Toc184345887" </w:instrText>
      </w:r>
      <w:r>
        <w:fldChar w:fldCharType="separate"/>
      </w:r>
      <w:r>
        <w:rPr>
          <w:rStyle w:val="37"/>
          <w:rFonts w:hint="eastAsia" w:ascii="华文楷体" w:hAnsi="华文楷体" w:eastAsia="华文楷体" w:cs="宋体"/>
          <w:color w:val="auto"/>
        </w:rPr>
        <w:t>第一部分</w:t>
      </w:r>
      <w:r>
        <w:rPr>
          <w:rStyle w:val="37"/>
          <w:rFonts w:ascii="华文楷体" w:hAnsi="华文楷体" w:eastAsia="华文楷体" w:cs="宋体"/>
          <w:color w:val="auto"/>
          <w:lang w:val="zh-CN"/>
        </w:rPr>
        <w:t xml:space="preserve"> </w:t>
      </w:r>
      <w:r>
        <w:rPr>
          <w:rStyle w:val="37"/>
          <w:rFonts w:hint="eastAsia" w:ascii="华文楷体" w:hAnsi="华文楷体" w:eastAsia="华文楷体" w:cs="宋体"/>
          <w:color w:val="auto"/>
          <w:lang w:val="zh-CN"/>
        </w:rPr>
        <w:t>投标邀请</w:t>
      </w:r>
      <w:r>
        <w:tab/>
      </w:r>
      <w:r>
        <w:fldChar w:fldCharType="begin"/>
      </w:r>
      <w:r>
        <w:instrText xml:space="preserve"> PAGEREF _Toc184345887 \h </w:instrText>
      </w:r>
      <w:r>
        <w:fldChar w:fldCharType="separate"/>
      </w:r>
      <w:r>
        <w:t>5</w:t>
      </w:r>
      <w:r>
        <w:fldChar w:fldCharType="end"/>
      </w:r>
      <w:r>
        <w:fldChar w:fldCharType="end"/>
      </w:r>
    </w:p>
    <w:p w14:paraId="6884B01A">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"_Toc184345888" </w:instrText>
      </w:r>
      <w:r>
        <w:fldChar w:fldCharType="separate"/>
      </w:r>
      <w:r>
        <w:rPr>
          <w:rStyle w:val="37"/>
          <w:rFonts w:hint="eastAsia" w:ascii="华文楷体" w:hAnsi="华文楷体" w:eastAsia="华文楷体" w:cs="宋体"/>
          <w:color w:val="auto"/>
          <w:lang w:val="zh-CN"/>
        </w:rPr>
        <w:t>一、说明</w:t>
      </w:r>
      <w:r>
        <w:tab/>
      </w:r>
      <w:r>
        <w:fldChar w:fldCharType="begin"/>
      </w:r>
      <w:r>
        <w:instrText xml:space="preserve"> PAGEREF _Toc184345888 \h </w:instrText>
      </w:r>
      <w:r>
        <w:fldChar w:fldCharType="separate"/>
      </w:r>
      <w:r>
        <w:t>10</w:t>
      </w:r>
      <w:r>
        <w:fldChar w:fldCharType="end"/>
      </w:r>
      <w:r>
        <w:fldChar w:fldCharType="end"/>
      </w:r>
    </w:p>
    <w:p w14:paraId="31E1EAD1">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"_Toc184345889" </w:instrText>
      </w:r>
      <w:r>
        <w:fldChar w:fldCharType="separate"/>
      </w:r>
      <w:r>
        <w:rPr>
          <w:rStyle w:val="37"/>
          <w:rFonts w:ascii="华文楷体" w:hAnsi="华文楷体" w:eastAsia="华文楷体" w:cs="宋体"/>
          <w:color w:val="auto"/>
          <w:lang w:val="zh-CN"/>
        </w:rPr>
        <w:t>1.</w:t>
      </w:r>
      <w:r>
        <w:rPr>
          <w:rStyle w:val="37"/>
          <w:rFonts w:hint="eastAsia" w:ascii="华文楷体" w:hAnsi="华文楷体" w:eastAsia="华文楷体" w:cs="宋体"/>
          <w:color w:val="auto"/>
          <w:lang w:val="zh-CN"/>
        </w:rPr>
        <w:t>适用范围</w:t>
      </w:r>
      <w:r>
        <w:tab/>
      </w:r>
      <w:r>
        <w:fldChar w:fldCharType="begin"/>
      </w:r>
      <w:r>
        <w:instrText xml:space="preserve"> PAGEREF _Toc184345889 \h </w:instrText>
      </w:r>
      <w:r>
        <w:fldChar w:fldCharType="separate"/>
      </w:r>
      <w:r>
        <w:t>10</w:t>
      </w:r>
      <w:r>
        <w:fldChar w:fldCharType="end"/>
      </w:r>
      <w:r>
        <w:fldChar w:fldCharType="end"/>
      </w:r>
    </w:p>
    <w:p w14:paraId="4E8D4629">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"_Toc184345890" </w:instrText>
      </w:r>
      <w:r>
        <w:fldChar w:fldCharType="separate"/>
      </w:r>
      <w:r>
        <w:rPr>
          <w:rStyle w:val="37"/>
          <w:rFonts w:ascii="华文楷体" w:hAnsi="华文楷体" w:eastAsia="华文楷体" w:cs="宋体"/>
          <w:color w:val="auto"/>
          <w:lang w:val="zh-CN"/>
        </w:rPr>
        <w:t>2.</w:t>
      </w:r>
      <w:r>
        <w:rPr>
          <w:rStyle w:val="37"/>
          <w:rFonts w:hint="eastAsia" w:ascii="华文楷体" w:hAnsi="华文楷体" w:eastAsia="华文楷体" w:cs="宋体"/>
          <w:color w:val="auto"/>
          <w:lang w:val="zh-CN"/>
        </w:rPr>
        <w:t>采购方式、合格的投标人</w:t>
      </w:r>
      <w:r>
        <w:tab/>
      </w:r>
      <w:r>
        <w:fldChar w:fldCharType="begin"/>
      </w:r>
      <w:r>
        <w:instrText xml:space="preserve"> PAGEREF _Toc184345890 \h </w:instrText>
      </w:r>
      <w:r>
        <w:fldChar w:fldCharType="separate"/>
      </w:r>
      <w:r>
        <w:t>10</w:t>
      </w:r>
      <w:r>
        <w:fldChar w:fldCharType="end"/>
      </w:r>
      <w:r>
        <w:fldChar w:fldCharType="end"/>
      </w:r>
    </w:p>
    <w:p w14:paraId="569E83A4">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"_Toc184345891" </w:instrText>
      </w:r>
      <w:r>
        <w:fldChar w:fldCharType="separate"/>
      </w:r>
      <w:r>
        <w:rPr>
          <w:rStyle w:val="37"/>
          <w:rFonts w:ascii="华文楷体" w:hAnsi="华文楷体" w:eastAsia="华文楷体" w:cs="宋体"/>
          <w:color w:val="auto"/>
          <w:lang w:val="zh-CN"/>
        </w:rPr>
        <w:t>3.</w:t>
      </w:r>
      <w:r>
        <w:rPr>
          <w:rStyle w:val="37"/>
          <w:rFonts w:hint="eastAsia" w:ascii="华文楷体" w:hAnsi="华文楷体" w:eastAsia="华文楷体" w:cs="宋体"/>
          <w:color w:val="auto"/>
          <w:lang w:val="zh-CN"/>
        </w:rPr>
        <w:t>投标费用</w:t>
      </w:r>
      <w:r>
        <w:tab/>
      </w:r>
      <w:r>
        <w:fldChar w:fldCharType="begin"/>
      </w:r>
      <w:r>
        <w:instrText xml:space="preserve"> PAGEREF _Toc184345891 \h </w:instrText>
      </w:r>
      <w:r>
        <w:fldChar w:fldCharType="separate"/>
      </w:r>
      <w:r>
        <w:t>10</w:t>
      </w:r>
      <w:r>
        <w:fldChar w:fldCharType="end"/>
      </w:r>
      <w:r>
        <w:fldChar w:fldCharType="end"/>
      </w:r>
    </w:p>
    <w:p w14:paraId="172D5240">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"_Toc184345892" </w:instrText>
      </w:r>
      <w:r>
        <w:fldChar w:fldCharType="separate"/>
      </w:r>
      <w:r>
        <w:rPr>
          <w:rStyle w:val="37"/>
          <w:rFonts w:hint="eastAsia" w:ascii="华文楷体" w:hAnsi="华文楷体" w:eastAsia="华文楷体" w:cs="宋体"/>
          <w:color w:val="auto"/>
          <w:lang w:val="zh-CN"/>
        </w:rPr>
        <w:t>二、招标文件说明</w:t>
      </w:r>
      <w:r>
        <w:tab/>
      </w:r>
      <w:r>
        <w:fldChar w:fldCharType="begin"/>
      </w:r>
      <w:r>
        <w:instrText xml:space="preserve"> PAGEREF _Toc184345892 \h </w:instrText>
      </w:r>
      <w:r>
        <w:fldChar w:fldCharType="separate"/>
      </w:r>
      <w:r>
        <w:t>10</w:t>
      </w:r>
      <w:r>
        <w:fldChar w:fldCharType="end"/>
      </w:r>
      <w:r>
        <w:fldChar w:fldCharType="end"/>
      </w:r>
    </w:p>
    <w:p w14:paraId="2721A680">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"_Toc184345893" </w:instrText>
      </w:r>
      <w:r>
        <w:fldChar w:fldCharType="separate"/>
      </w:r>
      <w:r>
        <w:rPr>
          <w:rStyle w:val="37"/>
          <w:rFonts w:ascii="华文楷体" w:hAnsi="华文楷体" w:eastAsia="华文楷体" w:cs="宋体"/>
          <w:color w:val="auto"/>
          <w:lang w:val="zh-CN"/>
        </w:rPr>
        <w:t>4.</w:t>
      </w:r>
      <w:r>
        <w:rPr>
          <w:rStyle w:val="37"/>
          <w:rFonts w:hint="eastAsia" w:ascii="华文楷体" w:hAnsi="华文楷体" w:eastAsia="华文楷体" w:cs="宋体"/>
          <w:color w:val="auto"/>
          <w:lang w:val="zh-CN"/>
        </w:rPr>
        <w:t>招标文件的构成</w:t>
      </w:r>
      <w:r>
        <w:tab/>
      </w:r>
      <w:r>
        <w:fldChar w:fldCharType="begin"/>
      </w:r>
      <w:r>
        <w:instrText xml:space="preserve"> PAGEREF _Toc184345893 \h </w:instrText>
      </w:r>
      <w:r>
        <w:fldChar w:fldCharType="separate"/>
      </w:r>
      <w:r>
        <w:t>10</w:t>
      </w:r>
      <w:r>
        <w:fldChar w:fldCharType="end"/>
      </w:r>
      <w:r>
        <w:fldChar w:fldCharType="end"/>
      </w:r>
    </w:p>
    <w:p w14:paraId="59C58787">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"_Toc184345894" </w:instrText>
      </w:r>
      <w:r>
        <w:fldChar w:fldCharType="separate"/>
      </w:r>
      <w:r>
        <w:rPr>
          <w:rStyle w:val="37"/>
          <w:rFonts w:ascii="华文楷体" w:hAnsi="华文楷体" w:eastAsia="华文楷体" w:cs="宋体"/>
          <w:color w:val="auto"/>
          <w:lang w:val="zh-CN"/>
        </w:rPr>
        <w:t>5.</w:t>
      </w:r>
      <w:r>
        <w:rPr>
          <w:rStyle w:val="37"/>
          <w:rFonts w:hint="eastAsia" w:ascii="华文楷体" w:hAnsi="华文楷体" w:eastAsia="华文楷体" w:cs="宋体"/>
          <w:color w:val="auto"/>
          <w:lang w:val="zh-CN"/>
        </w:rPr>
        <w:t>招标文件、采购活动和中标结果的质疑</w:t>
      </w:r>
      <w:r>
        <w:tab/>
      </w:r>
      <w:r>
        <w:fldChar w:fldCharType="begin"/>
      </w:r>
      <w:r>
        <w:instrText xml:space="preserve"> PAGEREF _Toc184345894 \h </w:instrText>
      </w:r>
      <w:r>
        <w:fldChar w:fldCharType="separate"/>
      </w:r>
      <w:r>
        <w:t>10</w:t>
      </w:r>
      <w:r>
        <w:fldChar w:fldCharType="end"/>
      </w:r>
      <w:r>
        <w:fldChar w:fldCharType="end"/>
      </w:r>
    </w:p>
    <w:p w14:paraId="02F27A5C">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"_Toc184345895" </w:instrText>
      </w:r>
      <w:r>
        <w:fldChar w:fldCharType="separate"/>
      </w:r>
      <w:r>
        <w:rPr>
          <w:rStyle w:val="37"/>
          <w:rFonts w:ascii="华文楷体" w:hAnsi="华文楷体" w:eastAsia="华文楷体" w:cs="宋体"/>
          <w:color w:val="auto"/>
          <w:lang w:val="zh-CN"/>
        </w:rPr>
        <w:t>6.</w:t>
      </w:r>
      <w:r>
        <w:rPr>
          <w:rStyle w:val="37"/>
          <w:rFonts w:hint="eastAsia" w:ascii="华文楷体" w:hAnsi="华文楷体" w:eastAsia="华文楷体" w:cs="宋体"/>
          <w:color w:val="auto"/>
          <w:lang w:val="zh-CN"/>
        </w:rPr>
        <w:t>招标文件的澄清或修改</w:t>
      </w:r>
      <w:r>
        <w:tab/>
      </w:r>
      <w:r>
        <w:fldChar w:fldCharType="begin"/>
      </w:r>
      <w:r>
        <w:instrText xml:space="preserve"> PAGEREF _Toc184345895 \h </w:instrText>
      </w:r>
      <w:r>
        <w:fldChar w:fldCharType="separate"/>
      </w:r>
      <w:r>
        <w:t>11</w:t>
      </w:r>
      <w:r>
        <w:fldChar w:fldCharType="end"/>
      </w:r>
      <w:r>
        <w:fldChar w:fldCharType="end"/>
      </w:r>
    </w:p>
    <w:p w14:paraId="02CB13DB">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"_Toc184345896" </w:instrText>
      </w:r>
      <w:r>
        <w:fldChar w:fldCharType="separate"/>
      </w:r>
      <w:r>
        <w:rPr>
          <w:rStyle w:val="37"/>
          <w:rFonts w:hint="eastAsia" w:ascii="华文楷体" w:hAnsi="华文楷体" w:eastAsia="华文楷体" w:cs="宋体"/>
          <w:color w:val="auto"/>
          <w:lang w:val="zh-CN"/>
        </w:rPr>
        <w:t>三、投标文件的编制</w:t>
      </w:r>
      <w:r>
        <w:tab/>
      </w:r>
      <w:r>
        <w:fldChar w:fldCharType="begin"/>
      </w:r>
      <w:r>
        <w:instrText xml:space="preserve"> PAGEREF _Toc184345896 \h </w:instrText>
      </w:r>
      <w:r>
        <w:fldChar w:fldCharType="separate"/>
      </w:r>
      <w:r>
        <w:t>11</w:t>
      </w:r>
      <w:r>
        <w:fldChar w:fldCharType="end"/>
      </w:r>
      <w:r>
        <w:fldChar w:fldCharType="end"/>
      </w:r>
    </w:p>
    <w:p w14:paraId="224E8F2B">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"_Toc184345897" </w:instrText>
      </w:r>
      <w:r>
        <w:fldChar w:fldCharType="separate"/>
      </w:r>
      <w:r>
        <w:rPr>
          <w:rStyle w:val="37"/>
          <w:rFonts w:ascii="华文楷体" w:hAnsi="华文楷体" w:eastAsia="华文楷体" w:cs="宋体"/>
          <w:color w:val="auto"/>
          <w:lang w:val="zh-CN"/>
        </w:rPr>
        <w:t>7.</w:t>
      </w:r>
      <w:r>
        <w:rPr>
          <w:rStyle w:val="37"/>
          <w:rFonts w:hint="eastAsia" w:ascii="华文楷体" w:hAnsi="华文楷体" w:eastAsia="华文楷体" w:cs="宋体"/>
          <w:color w:val="auto"/>
          <w:lang w:val="zh-CN"/>
        </w:rPr>
        <w:t>投标文件的语言及度量衡单位</w:t>
      </w:r>
      <w:r>
        <w:tab/>
      </w:r>
      <w:r>
        <w:fldChar w:fldCharType="begin"/>
      </w:r>
      <w:r>
        <w:instrText xml:space="preserve"> PAGEREF _Toc184345897 \h </w:instrText>
      </w:r>
      <w:r>
        <w:fldChar w:fldCharType="separate"/>
      </w:r>
      <w:r>
        <w:t>11</w:t>
      </w:r>
      <w:r>
        <w:fldChar w:fldCharType="end"/>
      </w:r>
      <w:r>
        <w:fldChar w:fldCharType="end"/>
      </w:r>
    </w:p>
    <w:p w14:paraId="06EE9E8B">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"_Toc184345898" </w:instrText>
      </w:r>
      <w:r>
        <w:fldChar w:fldCharType="separate"/>
      </w:r>
      <w:r>
        <w:rPr>
          <w:rStyle w:val="37"/>
          <w:rFonts w:ascii="华文楷体" w:hAnsi="华文楷体" w:eastAsia="华文楷体" w:cs="宋体"/>
          <w:color w:val="auto"/>
          <w:lang w:val="zh-CN"/>
        </w:rPr>
        <w:t>8.</w:t>
      </w:r>
      <w:r>
        <w:rPr>
          <w:rStyle w:val="37"/>
          <w:rFonts w:hint="eastAsia" w:ascii="华文楷体" w:hAnsi="华文楷体" w:eastAsia="华文楷体" w:cs="宋体"/>
          <w:color w:val="auto"/>
          <w:lang w:val="zh-CN"/>
        </w:rPr>
        <w:t>投标报价及币种</w:t>
      </w:r>
      <w:r>
        <w:tab/>
      </w:r>
      <w:r>
        <w:fldChar w:fldCharType="begin"/>
      </w:r>
      <w:r>
        <w:instrText xml:space="preserve"> PAGEREF _Toc184345898 \h </w:instrText>
      </w:r>
      <w:r>
        <w:fldChar w:fldCharType="separate"/>
      </w:r>
      <w:r>
        <w:t>12</w:t>
      </w:r>
      <w:r>
        <w:fldChar w:fldCharType="end"/>
      </w:r>
      <w:r>
        <w:fldChar w:fldCharType="end"/>
      </w:r>
    </w:p>
    <w:p w14:paraId="4734BE8D">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"_Toc184345899" </w:instrText>
      </w:r>
      <w:r>
        <w:fldChar w:fldCharType="separate"/>
      </w:r>
      <w:r>
        <w:rPr>
          <w:rStyle w:val="37"/>
          <w:rFonts w:ascii="华文楷体" w:hAnsi="华文楷体" w:eastAsia="华文楷体" w:cs="宋体"/>
          <w:color w:val="auto"/>
          <w:lang w:val="zh-CN"/>
        </w:rPr>
        <w:t>9.</w:t>
      </w:r>
      <w:r>
        <w:rPr>
          <w:rStyle w:val="37"/>
          <w:rFonts w:hint="eastAsia" w:ascii="华文楷体" w:hAnsi="华文楷体" w:eastAsia="华文楷体" w:cs="宋体"/>
          <w:color w:val="auto"/>
          <w:lang w:val="zh-CN"/>
        </w:rPr>
        <w:t>投标保证金</w:t>
      </w:r>
      <w:r>
        <w:tab/>
      </w:r>
      <w:r>
        <w:fldChar w:fldCharType="begin"/>
      </w:r>
      <w:r>
        <w:instrText xml:space="preserve"> PAGEREF _Toc184345899 \h </w:instrText>
      </w:r>
      <w:r>
        <w:fldChar w:fldCharType="separate"/>
      </w:r>
      <w:r>
        <w:t>12</w:t>
      </w:r>
      <w:r>
        <w:fldChar w:fldCharType="end"/>
      </w:r>
      <w:r>
        <w:fldChar w:fldCharType="end"/>
      </w:r>
    </w:p>
    <w:p w14:paraId="32B35A7B">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"_Toc184345900" </w:instrText>
      </w:r>
      <w:r>
        <w:fldChar w:fldCharType="separate"/>
      </w:r>
      <w:r>
        <w:rPr>
          <w:rStyle w:val="37"/>
          <w:rFonts w:ascii="华文楷体" w:hAnsi="华文楷体" w:eastAsia="华文楷体" w:cs="宋体"/>
          <w:color w:val="auto"/>
          <w:lang w:val="zh-CN"/>
        </w:rPr>
        <w:t>10.</w:t>
      </w:r>
      <w:r>
        <w:rPr>
          <w:rStyle w:val="37"/>
          <w:rFonts w:hint="eastAsia" w:ascii="华文楷体" w:hAnsi="华文楷体" w:eastAsia="华文楷体" w:cs="宋体"/>
          <w:color w:val="auto"/>
          <w:lang w:val="zh-CN"/>
        </w:rPr>
        <w:t>投标有效期</w:t>
      </w:r>
      <w:r>
        <w:tab/>
      </w:r>
      <w:r>
        <w:fldChar w:fldCharType="begin"/>
      </w:r>
      <w:r>
        <w:instrText xml:space="preserve"> PAGEREF _Toc184345900 \h </w:instrText>
      </w:r>
      <w:r>
        <w:fldChar w:fldCharType="separate"/>
      </w:r>
      <w:r>
        <w:t>13</w:t>
      </w:r>
      <w:r>
        <w:fldChar w:fldCharType="end"/>
      </w:r>
      <w:r>
        <w:fldChar w:fldCharType="end"/>
      </w:r>
    </w:p>
    <w:p w14:paraId="4D26A900">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"_Toc184345901" </w:instrText>
      </w:r>
      <w:r>
        <w:fldChar w:fldCharType="separate"/>
      </w:r>
      <w:r>
        <w:rPr>
          <w:rStyle w:val="37"/>
          <w:rFonts w:ascii="华文楷体" w:hAnsi="华文楷体" w:eastAsia="华文楷体" w:cs="宋体"/>
          <w:color w:val="auto"/>
          <w:lang w:val="zh-CN"/>
        </w:rPr>
        <w:t>11.</w:t>
      </w:r>
      <w:r>
        <w:rPr>
          <w:rStyle w:val="37"/>
          <w:rFonts w:hint="eastAsia" w:ascii="华文楷体" w:hAnsi="华文楷体" w:eastAsia="华文楷体" w:cs="宋体"/>
          <w:color w:val="auto"/>
          <w:lang w:val="zh-CN"/>
        </w:rPr>
        <w:t>投标文件构成</w:t>
      </w:r>
      <w:r>
        <w:tab/>
      </w:r>
      <w:r>
        <w:fldChar w:fldCharType="begin"/>
      </w:r>
      <w:r>
        <w:instrText xml:space="preserve"> PAGEREF _Toc184345901 \h </w:instrText>
      </w:r>
      <w:r>
        <w:fldChar w:fldCharType="separate"/>
      </w:r>
      <w:r>
        <w:t>13</w:t>
      </w:r>
      <w:r>
        <w:fldChar w:fldCharType="end"/>
      </w:r>
      <w:r>
        <w:fldChar w:fldCharType="end"/>
      </w:r>
    </w:p>
    <w:p w14:paraId="7C2AC62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"_Toc184345902" </w:instrText>
      </w:r>
      <w:r>
        <w:fldChar w:fldCharType="separate"/>
      </w:r>
      <w:r>
        <w:rPr>
          <w:rStyle w:val="37"/>
          <w:rFonts w:ascii="华文楷体" w:hAnsi="华文楷体" w:eastAsia="华文楷体" w:cs="宋体"/>
          <w:color w:val="auto"/>
          <w:lang w:val="zh-CN"/>
        </w:rPr>
        <w:t>12.</w:t>
      </w:r>
      <w:r>
        <w:rPr>
          <w:rStyle w:val="37"/>
          <w:rFonts w:hint="eastAsia" w:ascii="华文楷体" w:hAnsi="华文楷体" w:eastAsia="华文楷体" w:cs="宋体"/>
          <w:color w:val="auto"/>
          <w:lang w:val="zh-CN"/>
        </w:rPr>
        <w:t>投标文件的编制要求</w:t>
      </w:r>
      <w:r>
        <w:tab/>
      </w:r>
      <w:r>
        <w:fldChar w:fldCharType="begin"/>
      </w:r>
      <w:r>
        <w:instrText xml:space="preserve"> PAGEREF _Toc184345902 \h </w:instrText>
      </w:r>
      <w:r>
        <w:fldChar w:fldCharType="separate"/>
      </w:r>
      <w:r>
        <w:t>15</w:t>
      </w:r>
      <w:r>
        <w:fldChar w:fldCharType="end"/>
      </w:r>
      <w:r>
        <w:fldChar w:fldCharType="end"/>
      </w:r>
    </w:p>
    <w:p w14:paraId="41385C6D">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"_Toc184345903" </w:instrText>
      </w:r>
      <w:r>
        <w:fldChar w:fldCharType="separate"/>
      </w:r>
      <w:r>
        <w:rPr>
          <w:rStyle w:val="37"/>
          <w:rFonts w:hint="eastAsia" w:ascii="华文楷体" w:hAnsi="华文楷体" w:eastAsia="华文楷体" w:cs="宋体"/>
          <w:color w:val="auto"/>
          <w:lang w:val="zh-CN"/>
        </w:rPr>
        <w:t>四、投标文件的提交</w:t>
      </w:r>
      <w:r>
        <w:tab/>
      </w:r>
      <w:r>
        <w:fldChar w:fldCharType="begin"/>
      </w:r>
      <w:r>
        <w:instrText xml:space="preserve"> PAGEREF _Toc184345903 \h </w:instrText>
      </w:r>
      <w:r>
        <w:fldChar w:fldCharType="separate"/>
      </w:r>
      <w:r>
        <w:t>15</w:t>
      </w:r>
      <w:r>
        <w:fldChar w:fldCharType="end"/>
      </w:r>
      <w:r>
        <w:fldChar w:fldCharType="end"/>
      </w:r>
    </w:p>
    <w:p w14:paraId="5459CDEB">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"_Toc184345904" </w:instrText>
      </w:r>
      <w:r>
        <w:fldChar w:fldCharType="separate"/>
      </w:r>
      <w:r>
        <w:rPr>
          <w:rStyle w:val="37"/>
          <w:rFonts w:ascii="华文楷体" w:hAnsi="华文楷体" w:eastAsia="华文楷体" w:cs="宋体"/>
          <w:color w:val="auto"/>
          <w:lang w:val="zh-CN"/>
        </w:rPr>
        <w:t>13.</w:t>
      </w:r>
      <w:r>
        <w:rPr>
          <w:rStyle w:val="37"/>
          <w:rFonts w:hint="eastAsia" w:ascii="华文楷体" w:hAnsi="华文楷体" w:eastAsia="华文楷体" w:cs="宋体"/>
          <w:color w:val="auto"/>
          <w:lang w:val="zh-CN"/>
        </w:rPr>
        <w:t>投标文件的</w:t>
      </w:r>
      <w:r>
        <w:rPr>
          <w:rStyle w:val="37"/>
          <w:rFonts w:hint="eastAsia" w:ascii="华文楷体" w:hAnsi="华文楷体" w:eastAsia="华文楷体" w:cs="宋体"/>
          <w:color w:val="auto"/>
        </w:rPr>
        <w:t>递交</w:t>
      </w:r>
      <w:r>
        <w:tab/>
      </w:r>
      <w:r>
        <w:fldChar w:fldCharType="begin"/>
      </w:r>
      <w:r>
        <w:instrText xml:space="preserve"> PAGEREF _Toc184345904 \h </w:instrText>
      </w:r>
      <w:r>
        <w:fldChar w:fldCharType="separate"/>
      </w:r>
      <w:r>
        <w:t>15</w:t>
      </w:r>
      <w:r>
        <w:fldChar w:fldCharType="end"/>
      </w:r>
      <w:r>
        <w:fldChar w:fldCharType="end"/>
      </w:r>
    </w:p>
    <w:p w14:paraId="3382FC10">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"_Toc184345905" </w:instrText>
      </w:r>
      <w:r>
        <w:fldChar w:fldCharType="separate"/>
      </w:r>
      <w:r>
        <w:rPr>
          <w:rStyle w:val="37"/>
          <w:rFonts w:ascii="华文楷体" w:hAnsi="华文楷体" w:eastAsia="华文楷体" w:cs="宋体"/>
          <w:color w:val="auto"/>
          <w:lang w:val="zh-CN"/>
        </w:rPr>
        <w:t>14.</w:t>
      </w:r>
      <w:r>
        <w:rPr>
          <w:rStyle w:val="37"/>
          <w:rFonts w:hint="eastAsia" w:ascii="华文楷体" w:hAnsi="华文楷体" w:eastAsia="华文楷体" w:cs="宋体"/>
          <w:color w:val="auto"/>
          <w:lang w:val="zh-CN"/>
        </w:rPr>
        <w:t>提交投标文件的方式</w:t>
      </w:r>
      <w:r>
        <w:tab/>
      </w:r>
      <w:r>
        <w:fldChar w:fldCharType="begin"/>
      </w:r>
      <w:r>
        <w:instrText xml:space="preserve"> PAGEREF _Toc184345905 \h </w:instrText>
      </w:r>
      <w:r>
        <w:fldChar w:fldCharType="separate"/>
      </w:r>
      <w:r>
        <w:t>15</w:t>
      </w:r>
      <w:r>
        <w:fldChar w:fldCharType="end"/>
      </w:r>
      <w:r>
        <w:fldChar w:fldCharType="end"/>
      </w:r>
    </w:p>
    <w:p w14:paraId="48BC5B81">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"_Toc184345906" </w:instrText>
      </w:r>
      <w:r>
        <w:fldChar w:fldCharType="separate"/>
      </w:r>
      <w:r>
        <w:rPr>
          <w:rStyle w:val="37"/>
          <w:rFonts w:ascii="华文楷体" w:hAnsi="华文楷体" w:eastAsia="华文楷体" w:cs="宋体"/>
          <w:color w:val="auto"/>
          <w:lang w:val="zh-CN"/>
        </w:rPr>
        <w:t>15.</w:t>
      </w:r>
      <w:r>
        <w:rPr>
          <w:rStyle w:val="37"/>
          <w:rFonts w:hint="eastAsia" w:ascii="华文楷体" w:hAnsi="华文楷体" w:eastAsia="华文楷体" w:cs="宋体"/>
          <w:color w:val="auto"/>
          <w:lang w:val="zh-CN"/>
        </w:rPr>
        <w:t>投标文件的补充、修改或者撤回</w:t>
      </w:r>
      <w:r>
        <w:tab/>
      </w:r>
      <w:r>
        <w:fldChar w:fldCharType="begin"/>
      </w:r>
      <w:r>
        <w:instrText xml:space="preserve"> PAGEREF _Toc184345906 \h </w:instrText>
      </w:r>
      <w:r>
        <w:fldChar w:fldCharType="separate"/>
      </w:r>
      <w:r>
        <w:t>15</w:t>
      </w:r>
      <w:r>
        <w:fldChar w:fldCharType="end"/>
      </w:r>
      <w:r>
        <w:fldChar w:fldCharType="end"/>
      </w:r>
    </w:p>
    <w:p w14:paraId="53EAD567">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"_Toc184345907" </w:instrText>
      </w:r>
      <w:r>
        <w:fldChar w:fldCharType="separate"/>
      </w:r>
      <w:r>
        <w:rPr>
          <w:rStyle w:val="37"/>
          <w:rFonts w:hint="eastAsia" w:ascii="华文楷体" w:hAnsi="华文楷体" w:eastAsia="华文楷体" w:cs="宋体"/>
          <w:color w:val="auto"/>
          <w:lang w:val="zh-CN"/>
        </w:rPr>
        <w:t>五、开标</w:t>
      </w:r>
      <w:r>
        <w:tab/>
      </w:r>
      <w:r>
        <w:fldChar w:fldCharType="begin"/>
      </w:r>
      <w:r>
        <w:instrText xml:space="preserve"> PAGEREF _Toc184345907 \h </w:instrText>
      </w:r>
      <w:r>
        <w:fldChar w:fldCharType="separate"/>
      </w:r>
      <w:r>
        <w:t>16</w:t>
      </w:r>
      <w:r>
        <w:fldChar w:fldCharType="end"/>
      </w:r>
      <w:r>
        <w:fldChar w:fldCharType="end"/>
      </w:r>
    </w:p>
    <w:p w14:paraId="470E454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"_Toc184345908" </w:instrText>
      </w:r>
      <w:r>
        <w:fldChar w:fldCharType="separate"/>
      </w:r>
      <w:r>
        <w:rPr>
          <w:rStyle w:val="37"/>
          <w:rFonts w:ascii="华文楷体" w:hAnsi="华文楷体" w:eastAsia="华文楷体" w:cs="宋体"/>
          <w:color w:val="auto"/>
          <w:lang w:val="zh-CN"/>
        </w:rPr>
        <w:t>16.</w:t>
      </w:r>
      <w:r>
        <w:rPr>
          <w:rStyle w:val="37"/>
          <w:rFonts w:hint="eastAsia" w:ascii="华文楷体" w:hAnsi="华文楷体" w:eastAsia="华文楷体" w:cs="宋体"/>
          <w:color w:val="auto"/>
          <w:lang w:val="zh-CN"/>
        </w:rPr>
        <w:t>开标</w:t>
      </w:r>
      <w:r>
        <w:tab/>
      </w:r>
      <w:r>
        <w:fldChar w:fldCharType="begin"/>
      </w:r>
      <w:r>
        <w:instrText xml:space="preserve"> PAGEREF _Toc184345908 \h </w:instrText>
      </w:r>
      <w:r>
        <w:fldChar w:fldCharType="separate"/>
      </w:r>
      <w:r>
        <w:t>16</w:t>
      </w:r>
      <w:r>
        <w:fldChar w:fldCharType="end"/>
      </w:r>
      <w:r>
        <w:fldChar w:fldCharType="end"/>
      </w:r>
    </w:p>
    <w:p w14:paraId="603E2CC1">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"_Toc184345909" </w:instrText>
      </w:r>
      <w:r>
        <w:fldChar w:fldCharType="separate"/>
      </w:r>
      <w:r>
        <w:rPr>
          <w:rStyle w:val="37"/>
          <w:rFonts w:hint="eastAsia" w:ascii="华文楷体" w:hAnsi="华文楷体" w:eastAsia="华文楷体" w:cs="宋体"/>
          <w:color w:val="auto"/>
          <w:kern w:val="0"/>
        </w:rPr>
        <w:t>六、资格</w:t>
      </w:r>
      <w:r>
        <w:rPr>
          <w:rStyle w:val="37"/>
          <w:rFonts w:hint="eastAsia" w:ascii="华文楷体" w:hAnsi="华文楷体" w:eastAsia="华文楷体" w:cs="宋体"/>
          <w:color w:val="auto"/>
          <w:lang w:val="zh-CN"/>
        </w:rPr>
        <w:t>审查</w:t>
      </w:r>
      <w:r>
        <w:rPr>
          <w:rStyle w:val="37"/>
          <w:rFonts w:hint="eastAsia" w:ascii="华文楷体" w:hAnsi="华文楷体" w:eastAsia="华文楷体" w:cs="宋体"/>
          <w:color w:val="auto"/>
          <w:kern w:val="0"/>
        </w:rPr>
        <w:t>程序</w:t>
      </w:r>
      <w:r>
        <w:tab/>
      </w:r>
      <w:r>
        <w:fldChar w:fldCharType="begin"/>
      </w:r>
      <w:r>
        <w:instrText xml:space="preserve"> PAGEREF _Toc184345909 \h </w:instrText>
      </w:r>
      <w:r>
        <w:fldChar w:fldCharType="separate"/>
      </w:r>
      <w:r>
        <w:t>16</w:t>
      </w:r>
      <w:r>
        <w:fldChar w:fldCharType="end"/>
      </w:r>
      <w:r>
        <w:fldChar w:fldCharType="end"/>
      </w:r>
    </w:p>
    <w:p w14:paraId="51646F2C">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"_Toc184345910" </w:instrText>
      </w:r>
      <w:r>
        <w:fldChar w:fldCharType="separate"/>
      </w:r>
      <w:r>
        <w:rPr>
          <w:rStyle w:val="37"/>
          <w:rFonts w:ascii="华文楷体" w:hAnsi="华文楷体" w:eastAsia="华文楷体" w:cs="宋体"/>
          <w:color w:val="auto"/>
        </w:rPr>
        <w:t>17.</w:t>
      </w:r>
      <w:r>
        <w:rPr>
          <w:rStyle w:val="37"/>
          <w:rFonts w:hint="eastAsia" w:ascii="华文楷体" w:hAnsi="华文楷体" w:eastAsia="华文楷体" w:cs="宋体"/>
          <w:color w:val="auto"/>
        </w:rPr>
        <w:t>资格审查</w:t>
      </w:r>
      <w:r>
        <w:tab/>
      </w:r>
      <w:r>
        <w:fldChar w:fldCharType="begin"/>
      </w:r>
      <w:r>
        <w:instrText xml:space="preserve"> PAGEREF _Toc184345910 \h </w:instrText>
      </w:r>
      <w:r>
        <w:fldChar w:fldCharType="separate"/>
      </w:r>
      <w:r>
        <w:t>16</w:t>
      </w:r>
      <w:r>
        <w:fldChar w:fldCharType="end"/>
      </w:r>
      <w:r>
        <w:fldChar w:fldCharType="end"/>
      </w:r>
    </w:p>
    <w:p w14:paraId="284BFC67">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"_Toc184345911" </w:instrText>
      </w:r>
      <w:r>
        <w:fldChar w:fldCharType="separate"/>
      </w:r>
      <w:r>
        <w:rPr>
          <w:rStyle w:val="37"/>
          <w:rFonts w:hint="eastAsia" w:ascii="华文楷体" w:hAnsi="华文楷体" w:eastAsia="华文楷体" w:cs="宋体"/>
          <w:color w:val="auto"/>
          <w:lang w:val="zh-CN"/>
        </w:rPr>
        <w:t>七、评审程序及方法</w:t>
      </w:r>
      <w:r>
        <w:tab/>
      </w:r>
      <w:r>
        <w:fldChar w:fldCharType="begin"/>
      </w:r>
      <w:r>
        <w:instrText xml:space="preserve"> PAGEREF _Toc184345911 \h </w:instrText>
      </w:r>
      <w:r>
        <w:fldChar w:fldCharType="separate"/>
      </w:r>
      <w:r>
        <w:t>17</w:t>
      </w:r>
      <w:r>
        <w:fldChar w:fldCharType="end"/>
      </w:r>
      <w:r>
        <w:fldChar w:fldCharType="end"/>
      </w:r>
    </w:p>
    <w:p w14:paraId="2564431C">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"_Toc184345912" </w:instrText>
      </w:r>
      <w:r>
        <w:fldChar w:fldCharType="separate"/>
      </w:r>
      <w:r>
        <w:rPr>
          <w:rStyle w:val="37"/>
          <w:rFonts w:ascii="华文楷体" w:hAnsi="华文楷体" w:eastAsia="华文楷体" w:cs="宋体"/>
          <w:color w:val="auto"/>
          <w:lang w:val="zh-CN"/>
        </w:rPr>
        <w:t>1</w:t>
      </w:r>
      <w:r>
        <w:rPr>
          <w:rStyle w:val="37"/>
          <w:rFonts w:ascii="华文楷体" w:hAnsi="华文楷体" w:eastAsia="华文楷体" w:cs="宋体"/>
          <w:color w:val="auto"/>
        </w:rPr>
        <w:t>8</w:t>
      </w:r>
      <w:r>
        <w:rPr>
          <w:rStyle w:val="37"/>
          <w:rFonts w:ascii="华文楷体" w:hAnsi="华文楷体" w:eastAsia="华文楷体" w:cs="宋体"/>
          <w:color w:val="auto"/>
          <w:lang w:val="zh-CN"/>
        </w:rPr>
        <w:t>.</w:t>
      </w:r>
      <w:r>
        <w:rPr>
          <w:rStyle w:val="37"/>
          <w:rFonts w:hint="eastAsia" w:ascii="华文楷体" w:hAnsi="华文楷体" w:eastAsia="华文楷体" w:cs="宋体"/>
          <w:color w:val="auto"/>
          <w:lang w:val="zh-CN"/>
        </w:rPr>
        <w:t>评标委员会</w:t>
      </w:r>
      <w:r>
        <w:tab/>
      </w:r>
      <w:r>
        <w:fldChar w:fldCharType="begin"/>
      </w:r>
      <w:r>
        <w:instrText xml:space="preserve"> PAGEREF _Toc184345912 \h </w:instrText>
      </w:r>
      <w:r>
        <w:fldChar w:fldCharType="separate"/>
      </w:r>
      <w:r>
        <w:t>17</w:t>
      </w:r>
      <w:r>
        <w:fldChar w:fldCharType="end"/>
      </w:r>
      <w:r>
        <w:fldChar w:fldCharType="end"/>
      </w:r>
    </w:p>
    <w:p w14:paraId="40117B9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"_Toc184345913" </w:instrText>
      </w:r>
      <w:r>
        <w:fldChar w:fldCharType="separate"/>
      </w:r>
      <w:r>
        <w:rPr>
          <w:rStyle w:val="37"/>
          <w:rFonts w:ascii="华文楷体" w:hAnsi="华文楷体" w:eastAsia="华文楷体" w:cs="宋体"/>
          <w:color w:val="auto"/>
        </w:rPr>
        <w:t>19</w:t>
      </w:r>
      <w:r>
        <w:rPr>
          <w:rStyle w:val="37"/>
          <w:rFonts w:ascii="华文楷体" w:hAnsi="华文楷体" w:eastAsia="华文楷体" w:cs="宋体"/>
          <w:color w:val="auto"/>
          <w:lang w:val="zh-CN"/>
        </w:rPr>
        <w:t>.</w:t>
      </w:r>
      <w:r>
        <w:rPr>
          <w:rStyle w:val="37"/>
          <w:rFonts w:hint="eastAsia" w:ascii="华文楷体" w:hAnsi="华文楷体" w:eastAsia="华文楷体" w:cs="宋体"/>
          <w:color w:val="auto"/>
          <w:lang w:val="zh-CN"/>
        </w:rPr>
        <w:t>评审工作程序</w:t>
      </w:r>
      <w:r>
        <w:tab/>
      </w:r>
      <w:r>
        <w:fldChar w:fldCharType="begin"/>
      </w:r>
      <w:r>
        <w:instrText xml:space="preserve"> PAGEREF _Toc184345913 \h </w:instrText>
      </w:r>
      <w:r>
        <w:fldChar w:fldCharType="separate"/>
      </w:r>
      <w:r>
        <w:t>19</w:t>
      </w:r>
      <w:r>
        <w:fldChar w:fldCharType="end"/>
      </w:r>
      <w:r>
        <w:fldChar w:fldCharType="end"/>
      </w:r>
    </w:p>
    <w:p w14:paraId="72176B12">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"_Toc184345914" </w:instrText>
      </w:r>
      <w:r>
        <w:fldChar w:fldCharType="separate"/>
      </w:r>
      <w:r>
        <w:rPr>
          <w:rStyle w:val="37"/>
          <w:rFonts w:ascii="华文楷体" w:hAnsi="华文楷体" w:eastAsia="华文楷体" w:cs="宋体"/>
          <w:color w:val="auto"/>
        </w:rPr>
        <w:t>20</w:t>
      </w:r>
      <w:r>
        <w:rPr>
          <w:rStyle w:val="37"/>
          <w:rFonts w:ascii="华文楷体" w:hAnsi="华文楷体" w:eastAsia="华文楷体" w:cs="宋体"/>
          <w:color w:val="auto"/>
          <w:lang w:val="zh-CN"/>
        </w:rPr>
        <w:t>.</w:t>
      </w:r>
      <w:r>
        <w:rPr>
          <w:rStyle w:val="37"/>
          <w:rFonts w:hint="eastAsia" w:ascii="华文楷体" w:hAnsi="华文楷体" w:eastAsia="华文楷体" w:cs="宋体"/>
          <w:color w:val="auto"/>
          <w:lang w:val="zh-CN"/>
        </w:rPr>
        <w:t>评审方法和标准</w:t>
      </w:r>
      <w:r>
        <w:tab/>
      </w:r>
      <w:r>
        <w:fldChar w:fldCharType="begin"/>
      </w:r>
      <w:r>
        <w:instrText xml:space="preserve"> PAGEREF _Toc184345914 \h </w:instrText>
      </w:r>
      <w:r>
        <w:fldChar w:fldCharType="separate"/>
      </w:r>
      <w:r>
        <w:t>22</w:t>
      </w:r>
      <w:r>
        <w:fldChar w:fldCharType="end"/>
      </w:r>
      <w:r>
        <w:fldChar w:fldCharType="end"/>
      </w:r>
    </w:p>
    <w:p w14:paraId="4C0F5103">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"_Toc184345915" </w:instrText>
      </w:r>
      <w:r>
        <w:fldChar w:fldCharType="separate"/>
      </w:r>
      <w:r>
        <w:rPr>
          <w:rStyle w:val="37"/>
          <w:rFonts w:hint="eastAsia" w:ascii="华文楷体" w:hAnsi="华文楷体" w:eastAsia="华文楷体" w:cs="宋体"/>
          <w:color w:val="auto"/>
          <w:lang w:val="zh-CN"/>
        </w:rPr>
        <w:t>八、中标</w:t>
      </w:r>
      <w:r>
        <w:tab/>
      </w:r>
      <w:r>
        <w:fldChar w:fldCharType="begin"/>
      </w:r>
      <w:r>
        <w:instrText xml:space="preserve"> PAGEREF _Toc184345915 \h </w:instrText>
      </w:r>
      <w:r>
        <w:fldChar w:fldCharType="separate"/>
      </w:r>
      <w:r>
        <w:t>35</w:t>
      </w:r>
      <w:r>
        <w:fldChar w:fldCharType="end"/>
      </w:r>
      <w:r>
        <w:fldChar w:fldCharType="end"/>
      </w:r>
    </w:p>
    <w:p w14:paraId="3AEC70C3">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"_Toc184345916" </w:instrText>
      </w:r>
      <w:r>
        <w:fldChar w:fldCharType="separate"/>
      </w:r>
      <w:r>
        <w:rPr>
          <w:rStyle w:val="37"/>
          <w:rFonts w:ascii="华文楷体" w:hAnsi="华文楷体" w:eastAsia="华文楷体" w:cs="宋体"/>
          <w:color w:val="auto"/>
          <w:lang w:val="zh-CN"/>
        </w:rPr>
        <w:t>2</w:t>
      </w:r>
      <w:r>
        <w:rPr>
          <w:rStyle w:val="37"/>
          <w:rFonts w:ascii="华文楷体" w:hAnsi="华文楷体" w:eastAsia="华文楷体" w:cs="宋体"/>
          <w:color w:val="auto"/>
        </w:rPr>
        <w:t>1</w:t>
      </w:r>
      <w:r>
        <w:rPr>
          <w:rStyle w:val="37"/>
          <w:rFonts w:ascii="华文楷体" w:hAnsi="华文楷体" w:eastAsia="华文楷体" w:cs="宋体"/>
          <w:color w:val="auto"/>
          <w:lang w:val="zh-CN"/>
        </w:rPr>
        <w:t>.</w:t>
      </w:r>
      <w:r>
        <w:rPr>
          <w:rStyle w:val="37"/>
          <w:rFonts w:hint="eastAsia" w:ascii="华文楷体" w:hAnsi="华文楷体" w:eastAsia="华文楷体" w:cs="宋体"/>
          <w:color w:val="auto"/>
          <w:lang w:val="zh-CN"/>
        </w:rPr>
        <w:t>推荐并确定中标人</w:t>
      </w:r>
      <w:r>
        <w:tab/>
      </w:r>
      <w:r>
        <w:fldChar w:fldCharType="begin"/>
      </w:r>
      <w:r>
        <w:instrText xml:space="preserve"> PAGEREF _Toc184345916 \h </w:instrText>
      </w:r>
      <w:r>
        <w:fldChar w:fldCharType="separate"/>
      </w:r>
      <w:r>
        <w:t>35</w:t>
      </w:r>
      <w:r>
        <w:fldChar w:fldCharType="end"/>
      </w:r>
      <w:r>
        <w:fldChar w:fldCharType="end"/>
      </w:r>
    </w:p>
    <w:p w14:paraId="7C61BC63">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"_Toc184345917" </w:instrText>
      </w:r>
      <w:r>
        <w:fldChar w:fldCharType="separate"/>
      </w:r>
      <w:r>
        <w:rPr>
          <w:rStyle w:val="37"/>
          <w:rFonts w:ascii="华文楷体" w:hAnsi="华文楷体" w:eastAsia="华文楷体" w:cs="宋体"/>
          <w:color w:val="auto"/>
          <w:lang w:val="zh-CN"/>
        </w:rPr>
        <w:t>2</w:t>
      </w:r>
      <w:r>
        <w:rPr>
          <w:rStyle w:val="37"/>
          <w:rFonts w:ascii="华文楷体" w:hAnsi="华文楷体" w:eastAsia="华文楷体" w:cs="宋体"/>
          <w:color w:val="auto"/>
        </w:rPr>
        <w:t>2</w:t>
      </w:r>
      <w:r>
        <w:rPr>
          <w:rStyle w:val="37"/>
          <w:rFonts w:ascii="华文楷体" w:hAnsi="华文楷体" w:eastAsia="华文楷体" w:cs="宋体"/>
          <w:color w:val="auto"/>
          <w:lang w:val="zh-CN"/>
        </w:rPr>
        <w:t>.</w:t>
      </w:r>
      <w:r>
        <w:rPr>
          <w:rStyle w:val="37"/>
          <w:rFonts w:hint="eastAsia" w:ascii="华文楷体" w:hAnsi="华文楷体" w:eastAsia="华文楷体" w:cs="宋体"/>
          <w:color w:val="auto"/>
          <w:lang w:val="zh-CN"/>
        </w:rPr>
        <w:t>中标通知</w:t>
      </w:r>
      <w:r>
        <w:tab/>
      </w:r>
      <w:r>
        <w:fldChar w:fldCharType="begin"/>
      </w:r>
      <w:r>
        <w:instrText xml:space="preserve"> PAGEREF _Toc184345917 \h </w:instrText>
      </w:r>
      <w:r>
        <w:fldChar w:fldCharType="separate"/>
      </w:r>
      <w:r>
        <w:t>35</w:t>
      </w:r>
      <w:r>
        <w:fldChar w:fldCharType="end"/>
      </w:r>
      <w:r>
        <w:fldChar w:fldCharType="end"/>
      </w:r>
    </w:p>
    <w:p w14:paraId="5BD80D81">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"_Toc184345918" </w:instrText>
      </w:r>
      <w:r>
        <w:fldChar w:fldCharType="separate"/>
      </w:r>
      <w:r>
        <w:rPr>
          <w:rStyle w:val="37"/>
          <w:rFonts w:hint="eastAsia" w:ascii="华文楷体" w:hAnsi="华文楷体" w:eastAsia="华文楷体" w:cs="宋体"/>
          <w:color w:val="auto"/>
          <w:lang w:val="zh-CN"/>
        </w:rPr>
        <w:t>九、授予合同</w:t>
      </w:r>
      <w:r>
        <w:tab/>
      </w:r>
      <w:r>
        <w:fldChar w:fldCharType="begin"/>
      </w:r>
      <w:r>
        <w:instrText xml:space="preserve"> PAGEREF _Toc184345918 \h </w:instrText>
      </w:r>
      <w:r>
        <w:fldChar w:fldCharType="separate"/>
      </w:r>
      <w:r>
        <w:t>36</w:t>
      </w:r>
      <w:r>
        <w:fldChar w:fldCharType="end"/>
      </w:r>
      <w:r>
        <w:fldChar w:fldCharType="end"/>
      </w:r>
    </w:p>
    <w:p w14:paraId="4CC7380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"_Toc184345919" </w:instrText>
      </w:r>
      <w:r>
        <w:fldChar w:fldCharType="separate"/>
      </w:r>
      <w:r>
        <w:rPr>
          <w:rStyle w:val="37"/>
          <w:rFonts w:ascii="华文楷体" w:hAnsi="华文楷体" w:eastAsia="华文楷体" w:cs="宋体"/>
          <w:color w:val="auto"/>
          <w:lang w:val="zh-CN"/>
        </w:rPr>
        <w:t>2</w:t>
      </w:r>
      <w:r>
        <w:rPr>
          <w:rStyle w:val="37"/>
          <w:rFonts w:ascii="华文楷体" w:hAnsi="华文楷体" w:eastAsia="华文楷体" w:cs="宋体"/>
          <w:color w:val="auto"/>
        </w:rPr>
        <w:t>3</w:t>
      </w:r>
      <w:r>
        <w:rPr>
          <w:rStyle w:val="37"/>
          <w:rFonts w:ascii="华文楷体" w:hAnsi="华文楷体" w:eastAsia="华文楷体" w:cs="宋体"/>
          <w:color w:val="auto"/>
          <w:lang w:val="zh-CN"/>
        </w:rPr>
        <w:t>.</w:t>
      </w:r>
      <w:r>
        <w:rPr>
          <w:rStyle w:val="37"/>
          <w:rFonts w:hint="eastAsia" w:ascii="华文楷体" w:hAnsi="华文楷体" w:eastAsia="华文楷体" w:cs="宋体"/>
          <w:color w:val="auto"/>
          <w:lang w:val="zh-CN"/>
        </w:rPr>
        <w:t>签订合同</w:t>
      </w:r>
      <w:r>
        <w:tab/>
      </w:r>
      <w:r>
        <w:fldChar w:fldCharType="begin"/>
      </w:r>
      <w:r>
        <w:instrText xml:space="preserve"> PAGEREF _Toc184345919 \h </w:instrText>
      </w:r>
      <w:r>
        <w:fldChar w:fldCharType="separate"/>
      </w:r>
      <w:r>
        <w:t>36</w:t>
      </w:r>
      <w:r>
        <w:fldChar w:fldCharType="end"/>
      </w:r>
      <w:r>
        <w:fldChar w:fldCharType="end"/>
      </w:r>
    </w:p>
    <w:p w14:paraId="4BCDAF2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"_Toc184345920" </w:instrText>
      </w:r>
      <w:r>
        <w:fldChar w:fldCharType="separate"/>
      </w:r>
      <w:r>
        <w:rPr>
          <w:rStyle w:val="37"/>
          <w:rFonts w:hint="eastAsia" w:ascii="华文楷体" w:hAnsi="华文楷体" w:eastAsia="华文楷体" w:cs="宋体"/>
          <w:color w:val="auto"/>
          <w:lang w:val="zh-CN"/>
        </w:rPr>
        <w:t>十、其他</w:t>
      </w:r>
      <w:r>
        <w:tab/>
      </w:r>
      <w:r>
        <w:fldChar w:fldCharType="begin"/>
      </w:r>
      <w:r>
        <w:instrText xml:space="preserve"> PAGEREF _Toc184345920 \h </w:instrText>
      </w:r>
      <w:r>
        <w:fldChar w:fldCharType="separate"/>
      </w:r>
      <w:r>
        <w:t>37</w:t>
      </w:r>
      <w:r>
        <w:fldChar w:fldCharType="end"/>
      </w:r>
      <w:r>
        <w:fldChar w:fldCharType="end"/>
      </w:r>
    </w:p>
    <w:p w14:paraId="703B64D9">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"_Toc184345921" </w:instrText>
      </w:r>
      <w:r>
        <w:fldChar w:fldCharType="separate"/>
      </w:r>
      <w:r>
        <w:rPr>
          <w:rStyle w:val="37"/>
          <w:rFonts w:ascii="华文楷体" w:hAnsi="华文楷体" w:eastAsia="华文楷体" w:cs="宋体"/>
          <w:color w:val="auto"/>
        </w:rPr>
        <w:t xml:space="preserve">24. </w:t>
      </w:r>
      <w:r>
        <w:rPr>
          <w:rStyle w:val="37"/>
          <w:rFonts w:hint="eastAsia" w:ascii="华文楷体" w:hAnsi="华文楷体" w:eastAsia="华文楷体" w:cs="宋体"/>
          <w:color w:val="auto"/>
        </w:rPr>
        <w:t>串通投标的情形</w:t>
      </w:r>
      <w:r>
        <w:tab/>
      </w:r>
      <w:r>
        <w:fldChar w:fldCharType="begin"/>
      </w:r>
      <w:r>
        <w:instrText xml:space="preserve"> PAGEREF _Toc184345921 \h </w:instrText>
      </w:r>
      <w:r>
        <w:fldChar w:fldCharType="separate"/>
      </w:r>
      <w:r>
        <w:t>37</w:t>
      </w:r>
      <w:r>
        <w:fldChar w:fldCharType="end"/>
      </w:r>
      <w:r>
        <w:fldChar w:fldCharType="end"/>
      </w:r>
    </w:p>
    <w:p w14:paraId="1D82EA51">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"_Toc184345922" </w:instrText>
      </w:r>
      <w:r>
        <w:fldChar w:fldCharType="separate"/>
      </w:r>
      <w:r>
        <w:rPr>
          <w:rStyle w:val="37"/>
          <w:rFonts w:ascii="华文楷体" w:hAnsi="华文楷体" w:eastAsia="华文楷体" w:cs="宋体"/>
          <w:color w:val="auto"/>
        </w:rPr>
        <w:t xml:space="preserve">25. </w:t>
      </w:r>
      <w:r>
        <w:rPr>
          <w:rStyle w:val="37"/>
          <w:rFonts w:hint="eastAsia" w:ascii="华文楷体" w:hAnsi="华文楷体" w:eastAsia="华文楷体" w:cs="宋体"/>
          <w:color w:val="auto"/>
        </w:rPr>
        <w:t>废标</w:t>
      </w:r>
      <w:r>
        <w:tab/>
      </w:r>
      <w:r>
        <w:fldChar w:fldCharType="begin"/>
      </w:r>
      <w:r>
        <w:instrText xml:space="preserve"> PAGEREF _Toc184345922 \h </w:instrText>
      </w:r>
      <w:r>
        <w:fldChar w:fldCharType="separate"/>
      </w:r>
      <w:r>
        <w:t>37</w:t>
      </w:r>
      <w:r>
        <w:fldChar w:fldCharType="end"/>
      </w:r>
      <w:r>
        <w:fldChar w:fldCharType="end"/>
      </w:r>
    </w:p>
    <w:p w14:paraId="3D557004">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"_Toc184345923" </w:instrText>
      </w:r>
      <w:r>
        <w:fldChar w:fldCharType="separate"/>
      </w:r>
      <w:r>
        <w:rPr>
          <w:rStyle w:val="37"/>
          <w:rFonts w:ascii="华文楷体" w:hAnsi="华文楷体" w:eastAsia="华文楷体" w:cs="宋体"/>
          <w:color w:val="auto"/>
        </w:rPr>
        <w:t xml:space="preserve">26. </w:t>
      </w:r>
      <w:r>
        <w:rPr>
          <w:rStyle w:val="37"/>
          <w:rFonts w:hint="eastAsia" w:ascii="华文楷体" w:hAnsi="华文楷体" w:eastAsia="华文楷体" w:cs="宋体"/>
          <w:color w:val="auto"/>
        </w:rPr>
        <w:t>中标服务费</w:t>
      </w:r>
      <w:r>
        <w:tab/>
      </w:r>
      <w:r>
        <w:fldChar w:fldCharType="begin"/>
      </w:r>
      <w:r>
        <w:instrText xml:space="preserve"> PAGEREF _Toc184345923 \h </w:instrText>
      </w:r>
      <w:r>
        <w:fldChar w:fldCharType="separate"/>
      </w:r>
      <w:r>
        <w:t>38</w:t>
      </w:r>
      <w:r>
        <w:fldChar w:fldCharType="end"/>
      </w:r>
      <w:r>
        <w:fldChar w:fldCharType="end"/>
      </w:r>
    </w:p>
    <w:p w14:paraId="7FE4FF2D">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"_Toc184345924" </w:instrText>
      </w:r>
      <w:r>
        <w:fldChar w:fldCharType="separate"/>
      </w:r>
      <w:r>
        <w:rPr>
          <w:rStyle w:val="37"/>
          <w:rFonts w:hint="eastAsia" w:ascii="华文楷体" w:hAnsi="华文楷体" w:eastAsia="华文楷体" w:cs="宋体"/>
          <w:color w:val="auto"/>
          <w:lang w:val="zh-CN"/>
        </w:rPr>
        <w:t>第四部分</w:t>
      </w:r>
      <w:r>
        <w:rPr>
          <w:rStyle w:val="37"/>
          <w:rFonts w:ascii="华文楷体" w:hAnsi="华文楷体" w:eastAsia="华文楷体" w:cs="宋体"/>
          <w:color w:val="auto"/>
          <w:lang w:val="zh-CN"/>
        </w:rPr>
        <w:t xml:space="preserve">  </w:t>
      </w:r>
      <w:r>
        <w:rPr>
          <w:rStyle w:val="37"/>
          <w:rFonts w:hint="eastAsia" w:ascii="华文楷体" w:hAnsi="华文楷体" w:eastAsia="华文楷体" w:cs="宋体"/>
          <w:color w:val="auto"/>
          <w:lang w:val="zh-CN"/>
        </w:rPr>
        <w:t>投标文件格式</w:t>
      </w:r>
      <w:r>
        <w:tab/>
      </w:r>
      <w:r>
        <w:fldChar w:fldCharType="begin"/>
      </w:r>
      <w:r>
        <w:instrText xml:space="preserve"> PAGEREF _Toc184345924 \h </w:instrText>
      </w:r>
      <w:r>
        <w:fldChar w:fldCharType="separate"/>
      </w:r>
      <w:r>
        <w:t>54</w:t>
      </w:r>
      <w:r>
        <w:fldChar w:fldCharType="end"/>
      </w:r>
      <w:r>
        <w:fldChar w:fldCharType="end"/>
      </w:r>
    </w:p>
    <w:p w14:paraId="708627B2">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"_Toc184345925" </w:instrText>
      </w:r>
      <w:r>
        <w:fldChar w:fldCharType="separate"/>
      </w:r>
      <w:r>
        <w:rPr>
          <w:rStyle w:val="37"/>
          <w:rFonts w:hint="eastAsia" w:ascii="华文楷体" w:hAnsi="华文楷体" w:eastAsia="华文楷体" w:cs="宋体"/>
          <w:color w:val="auto"/>
          <w:lang w:val="zh-CN"/>
        </w:rPr>
        <w:t>封面（上册）</w:t>
      </w:r>
      <w:r>
        <w:tab/>
      </w:r>
      <w:r>
        <w:fldChar w:fldCharType="begin"/>
      </w:r>
      <w:r>
        <w:instrText xml:space="preserve"> PAGEREF _Toc184345925 \h </w:instrText>
      </w:r>
      <w:r>
        <w:fldChar w:fldCharType="separate"/>
      </w:r>
      <w:r>
        <w:t>54</w:t>
      </w:r>
      <w:r>
        <w:fldChar w:fldCharType="end"/>
      </w:r>
      <w:r>
        <w:fldChar w:fldCharType="end"/>
      </w:r>
    </w:p>
    <w:p w14:paraId="26CADBBF">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"_Toc184345926" </w:instrText>
      </w:r>
      <w:r>
        <w:fldChar w:fldCharType="separate"/>
      </w:r>
      <w:r>
        <w:rPr>
          <w:rStyle w:val="37"/>
          <w:rFonts w:hint="eastAsia" w:ascii="华文楷体" w:hAnsi="华文楷体" w:eastAsia="华文楷体" w:cs="宋体"/>
          <w:color w:val="auto"/>
          <w:lang w:val="zh-CN"/>
        </w:rPr>
        <w:t>目录（上册）</w:t>
      </w:r>
      <w:r>
        <w:tab/>
      </w:r>
      <w:r>
        <w:fldChar w:fldCharType="begin"/>
      </w:r>
      <w:r>
        <w:instrText xml:space="preserve"> PAGEREF _Toc184345926 \h </w:instrText>
      </w:r>
      <w:r>
        <w:fldChar w:fldCharType="separate"/>
      </w:r>
      <w:r>
        <w:t>55</w:t>
      </w:r>
      <w:r>
        <w:fldChar w:fldCharType="end"/>
      </w:r>
      <w:r>
        <w:fldChar w:fldCharType="end"/>
      </w:r>
    </w:p>
    <w:p w14:paraId="4674113C">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"_Toc184345927"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1</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投标函</w:t>
      </w:r>
      <w:r>
        <w:tab/>
      </w:r>
      <w:r>
        <w:fldChar w:fldCharType="begin"/>
      </w:r>
      <w:r>
        <w:instrText xml:space="preserve"> PAGEREF _Toc184345927 \h </w:instrText>
      </w:r>
      <w:r>
        <w:fldChar w:fldCharType="separate"/>
      </w:r>
      <w:r>
        <w:t>56</w:t>
      </w:r>
      <w:r>
        <w:fldChar w:fldCharType="end"/>
      </w:r>
      <w:r>
        <w:fldChar w:fldCharType="end"/>
      </w:r>
    </w:p>
    <w:p w14:paraId="794F650A">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"_Toc184345928" </w:instrText>
      </w:r>
      <w:r>
        <w:fldChar w:fldCharType="separate"/>
      </w:r>
      <w:r>
        <w:rPr>
          <w:rStyle w:val="37"/>
          <w:rFonts w:hint="eastAsia" w:ascii="华文楷体" w:hAnsi="华文楷体" w:eastAsia="华文楷体" w:cs="宋体"/>
          <w:color w:val="auto"/>
          <w:kern w:val="0"/>
          <w:lang w:val="zh-CN"/>
        </w:rPr>
        <w:t>（</w:t>
      </w:r>
      <w:r>
        <w:rPr>
          <w:rStyle w:val="37"/>
          <w:rFonts w:ascii="华文楷体" w:hAnsi="华文楷体" w:eastAsia="华文楷体" w:cs="宋体"/>
          <w:color w:val="auto"/>
          <w:kern w:val="0"/>
        </w:rPr>
        <w:t>2</w:t>
      </w:r>
      <w:r>
        <w:rPr>
          <w:rStyle w:val="37"/>
          <w:rFonts w:hint="eastAsia" w:ascii="华文楷体" w:hAnsi="华文楷体" w:eastAsia="华文楷体" w:cs="宋体"/>
          <w:color w:val="auto"/>
          <w:kern w:val="0"/>
          <w:lang w:val="zh-CN"/>
        </w:rPr>
        <w:t>）</w:t>
      </w:r>
      <w:r>
        <w:rPr>
          <w:rStyle w:val="37"/>
          <w:rFonts w:hint="eastAsia" w:ascii="华文楷体" w:hAnsi="华文楷体" w:eastAsia="华文楷体" w:cs="宋体"/>
          <w:color w:val="auto"/>
        </w:rPr>
        <w:t>法定代表人证明书</w:t>
      </w:r>
      <w:r>
        <w:tab/>
      </w:r>
      <w:r>
        <w:fldChar w:fldCharType="begin"/>
      </w:r>
      <w:r>
        <w:instrText xml:space="preserve"> PAGEREF _Toc184345928 \h </w:instrText>
      </w:r>
      <w:r>
        <w:fldChar w:fldCharType="separate"/>
      </w:r>
      <w:r>
        <w:t>57</w:t>
      </w:r>
      <w:r>
        <w:fldChar w:fldCharType="end"/>
      </w:r>
      <w:r>
        <w:fldChar w:fldCharType="end"/>
      </w:r>
    </w:p>
    <w:p w14:paraId="71864FA5">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"_Toc184345929"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3</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法定代表人授权书</w:t>
      </w:r>
      <w:r>
        <w:tab/>
      </w:r>
      <w:r>
        <w:fldChar w:fldCharType="begin"/>
      </w:r>
      <w:r>
        <w:instrText xml:space="preserve"> PAGEREF _Toc184345929 \h </w:instrText>
      </w:r>
      <w:r>
        <w:fldChar w:fldCharType="separate"/>
      </w:r>
      <w:r>
        <w:t>58</w:t>
      </w:r>
      <w:r>
        <w:fldChar w:fldCharType="end"/>
      </w:r>
      <w:r>
        <w:fldChar w:fldCharType="end"/>
      </w:r>
    </w:p>
    <w:p w14:paraId="37758300">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"_Toc184345930"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4</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投标人承诺函</w:t>
      </w:r>
      <w:r>
        <w:tab/>
      </w:r>
      <w:r>
        <w:fldChar w:fldCharType="begin"/>
      </w:r>
      <w:r>
        <w:instrText xml:space="preserve"> PAGEREF _Toc184345930 \h </w:instrText>
      </w:r>
      <w:r>
        <w:fldChar w:fldCharType="separate"/>
      </w:r>
      <w:r>
        <w:t>59</w:t>
      </w:r>
      <w:r>
        <w:fldChar w:fldCharType="end"/>
      </w:r>
      <w:r>
        <w:fldChar w:fldCharType="end"/>
      </w:r>
    </w:p>
    <w:p w14:paraId="00613C01">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"_Toc184345931"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5</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投标人诚信承诺书</w:t>
      </w:r>
      <w:r>
        <w:tab/>
      </w:r>
      <w:r>
        <w:fldChar w:fldCharType="begin"/>
      </w:r>
      <w:r>
        <w:instrText xml:space="preserve"> PAGEREF _Toc184345931 \h </w:instrText>
      </w:r>
      <w:r>
        <w:fldChar w:fldCharType="separate"/>
      </w:r>
      <w:r>
        <w:t>60</w:t>
      </w:r>
      <w:r>
        <w:fldChar w:fldCharType="end"/>
      </w:r>
      <w:r>
        <w:fldChar w:fldCharType="end"/>
      </w:r>
    </w:p>
    <w:p w14:paraId="57E166E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"_Toc184345932"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6</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资格证明材料</w:t>
      </w:r>
      <w:r>
        <w:tab/>
      </w:r>
      <w:r>
        <w:fldChar w:fldCharType="begin"/>
      </w:r>
      <w:r>
        <w:instrText xml:space="preserve"> PAGEREF _Toc184345932 \h </w:instrText>
      </w:r>
      <w:r>
        <w:fldChar w:fldCharType="separate"/>
      </w:r>
      <w:r>
        <w:t>61</w:t>
      </w:r>
      <w:r>
        <w:fldChar w:fldCharType="end"/>
      </w:r>
      <w:r>
        <w:fldChar w:fldCharType="end"/>
      </w:r>
    </w:p>
    <w:p w14:paraId="39B628B4">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"_Toc184345933"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7</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财务状况报告，依法缴纳税收和社会保障资金的相关材料</w:t>
      </w:r>
      <w:r>
        <w:tab/>
      </w:r>
      <w:r>
        <w:fldChar w:fldCharType="begin"/>
      </w:r>
      <w:r>
        <w:instrText xml:space="preserve"> PAGEREF _Toc184345933 \h </w:instrText>
      </w:r>
      <w:r>
        <w:fldChar w:fldCharType="separate"/>
      </w:r>
      <w:r>
        <w:t>62</w:t>
      </w:r>
      <w:r>
        <w:fldChar w:fldCharType="end"/>
      </w:r>
      <w:r>
        <w:fldChar w:fldCharType="end"/>
      </w:r>
    </w:p>
    <w:p w14:paraId="328858CA">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"_Toc184345934"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8</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具备履行合同所必需的设备和专业技术能力的证明材料</w:t>
      </w:r>
      <w:r>
        <w:tab/>
      </w:r>
      <w:r>
        <w:fldChar w:fldCharType="begin"/>
      </w:r>
      <w:r>
        <w:instrText xml:space="preserve"> PAGEREF _Toc184345934 \h </w:instrText>
      </w:r>
      <w:r>
        <w:fldChar w:fldCharType="separate"/>
      </w:r>
      <w:r>
        <w:t>63</w:t>
      </w:r>
      <w:r>
        <w:fldChar w:fldCharType="end"/>
      </w:r>
      <w:r>
        <w:fldChar w:fldCharType="end"/>
      </w:r>
    </w:p>
    <w:p w14:paraId="16F0D4B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"_Toc184345935"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9</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无重大违法记录声明</w:t>
      </w:r>
      <w:r>
        <w:tab/>
      </w:r>
      <w:r>
        <w:fldChar w:fldCharType="begin"/>
      </w:r>
      <w:r>
        <w:instrText xml:space="preserve"> PAGEREF _Toc184345935 \h </w:instrText>
      </w:r>
      <w:r>
        <w:fldChar w:fldCharType="separate"/>
      </w:r>
      <w:r>
        <w:t>64</w:t>
      </w:r>
      <w:r>
        <w:fldChar w:fldCharType="end"/>
      </w:r>
      <w:r>
        <w:fldChar w:fldCharType="end"/>
      </w:r>
    </w:p>
    <w:p w14:paraId="159C02E2">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"_Toc184345936"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10</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投标保证金证明</w:t>
      </w:r>
      <w:r>
        <w:tab/>
      </w:r>
      <w:r>
        <w:fldChar w:fldCharType="begin"/>
      </w:r>
      <w:r>
        <w:instrText xml:space="preserve"> PAGEREF _Toc184345936 \h </w:instrText>
      </w:r>
      <w:r>
        <w:fldChar w:fldCharType="separate"/>
      </w:r>
      <w:r>
        <w:t>65</w:t>
      </w:r>
      <w:r>
        <w:fldChar w:fldCharType="end"/>
      </w:r>
      <w:r>
        <w:fldChar w:fldCharType="end"/>
      </w:r>
    </w:p>
    <w:p w14:paraId="3D067FC0">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"_Toc184345937" </w:instrText>
      </w:r>
      <w:r>
        <w:fldChar w:fldCharType="separate"/>
      </w:r>
      <w:r>
        <w:rPr>
          <w:rStyle w:val="37"/>
          <w:rFonts w:hint="eastAsia" w:ascii="华文楷体" w:hAnsi="华文楷体" w:eastAsia="华文楷体" w:cs="宋体"/>
          <w:color w:val="auto"/>
          <w:lang w:val="zh-CN"/>
        </w:rPr>
        <w:t>（</w:t>
      </w:r>
      <w:r>
        <w:rPr>
          <w:rStyle w:val="37"/>
          <w:rFonts w:ascii="华文楷体" w:hAnsi="华文楷体" w:eastAsia="华文楷体" w:cs="宋体"/>
          <w:color w:val="auto"/>
          <w:lang w:val="zh-CN"/>
        </w:rPr>
        <w:t>1</w:t>
      </w:r>
      <w:r>
        <w:rPr>
          <w:rStyle w:val="37"/>
          <w:rFonts w:ascii="华文楷体" w:hAnsi="华文楷体" w:eastAsia="华文楷体" w:cs="宋体"/>
          <w:color w:val="auto"/>
        </w:rPr>
        <w:t>1</w:t>
      </w:r>
      <w:r>
        <w:rPr>
          <w:rStyle w:val="37"/>
          <w:rFonts w:hint="eastAsia" w:ascii="华文楷体" w:hAnsi="华文楷体" w:eastAsia="华文楷体" w:cs="宋体"/>
          <w:color w:val="auto"/>
          <w:lang w:val="zh-CN"/>
        </w:rPr>
        <w:t>）中小企业声明函（货物）</w:t>
      </w:r>
      <w:r>
        <w:tab/>
      </w:r>
      <w:r>
        <w:fldChar w:fldCharType="begin"/>
      </w:r>
      <w:r>
        <w:instrText xml:space="preserve"> PAGEREF _Toc184345937 \h </w:instrText>
      </w:r>
      <w:r>
        <w:fldChar w:fldCharType="separate"/>
      </w:r>
      <w:r>
        <w:t>66</w:t>
      </w:r>
      <w:r>
        <w:fldChar w:fldCharType="end"/>
      </w:r>
      <w:r>
        <w:fldChar w:fldCharType="end"/>
      </w:r>
    </w:p>
    <w:p w14:paraId="2CCD215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"_Toc184345938" </w:instrText>
      </w:r>
      <w:r>
        <w:fldChar w:fldCharType="separate"/>
      </w:r>
      <w:r>
        <w:rPr>
          <w:rStyle w:val="37"/>
          <w:rFonts w:hint="eastAsia" w:ascii="华文楷体" w:hAnsi="华文楷体" w:eastAsia="华文楷体" w:cs="宋体"/>
          <w:color w:val="auto"/>
          <w:lang w:val="zh-CN"/>
        </w:rPr>
        <w:t>（</w:t>
      </w:r>
      <w:r>
        <w:rPr>
          <w:rStyle w:val="37"/>
          <w:rFonts w:ascii="华文楷体" w:hAnsi="华文楷体" w:eastAsia="华文楷体" w:cs="宋体"/>
          <w:color w:val="auto"/>
        </w:rPr>
        <w:t>12</w:t>
      </w:r>
      <w:r>
        <w:rPr>
          <w:rStyle w:val="37"/>
          <w:rFonts w:hint="eastAsia" w:ascii="华文楷体" w:hAnsi="华文楷体" w:eastAsia="华文楷体" w:cs="宋体"/>
          <w:color w:val="auto"/>
          <w:lang w:val="zh-CN"/>
        </w:rPr>
        <w:t>）残疾人</w:t>
      </w:r>
      <w:r>
        <w:rPr>
          <w:rStyle w:val="37"/>
          <w:rFonts w:hint="eastAsia" w:ascii="华文楷体" w:hAnsi="华文楷体" w:eastAsia="华文楷体" w:cs="宋体"/>
          <w:color w:val="auto"/>
        </w:rPr>
        <w:t>福利性单位声明函</w:t>
      </w:r>
      <w:r>
        <w:tab/>
      </w:r>
      <w:r>
        <w:fldChar w:fldCharType="begin"/>
      </w:r>
      <w:r>
        <w:instrText xml:space="preserve"> PAGEREF _Toc184345938 \h </w:instrText>
      </w:r>
      <w:r>
        <w:fldChar w:fldCharType="separate"/>
      </w:r>
      <w:r>
        <w:t>67</w:t>
      </w:r>
      <w:r>
        <w:fldChar w:fldCharType="end"/>
      </w:r>
      <w:r>
        <w:fldChar w:fldCharType="end"/>
      </w:r>
    </w:p>
    <w:p w14:paraId="453F3742">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"_Toc184345939" </w:instrText>
      </w:r>
      <w:r>
        <w:fldChar w:fldCharType="separate"/>
      </w:r>
      <w:r>
        <w:rPr>
          <w:rStyle w:val="37"/>
          <w:rFonts w:hint="eastAsia" w:ascii="华文楷体" w:hAnsi="华文楷体" w:eastAsia="华文楷体" w:cs="宋体"/>
          <w:color w:val="auto"/>
          <w:lang w:val="zh-CN"/>
        </w:rPr>
        <w:t>（</w:t>
      </w:r>
      <w:r>
        <w:rPr>
          <w:rStyle w:val="37"/>
          <w:rFonts w:ascii="华文楷体" w:hAnsi="华文楷体" w:eastAsia="华文楷体" w:cs="宋体"/>
          <w:color w:val="auto"/>
        </w:rPr>
        <w:t>13</w:t>
      </w:r>
      <w:r>
        <w:rPr>
          <w:rStyle w:val="37"/>
          <w:rFonts w:hint="eastAsia" w:ascii="华文楷体" w:hAnsi="华文楷体" w:eastAsia="华文楷体" w:cs="宋体"/>
          <w:color w:val="auto"/>
          <w:lang w:val="zh-CN"/>
        </w:rPr>
        <w:t>）监狱企业证明资料</w:t>
      </w:r>
      <w:r>
        <w:tab/>
      </w:r>
      <w:r>
        <w:fldChar w:fldCharType="begin"/>
      </w:r>
      <w:r>
        <w:instrText xml:space="preserve"> PAGEREF _Toc184345939 \h </w:instrText>
      </w:r>
      <w:r>
        <w:fldChar w:fldCharType="separate"/>
      </w:r>
      <w:r>
        <w:t>68</w:t>
      </w:r>
      <w:r>
        <w:fldChar w:fldCharType="end"/>
      </w:r>
      <w:r>
        <w:fldChar w:fldCharType="end"/>
      </w:r>
    </w:p>
    <w:p w14:paraId="09D849B1">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"_Toc184345940" </w:instrText>
      </w:r>
      <w:r>
        <w:fldChar w:fldCharType="separate"/>
      </w:r>
      <w:r>
        <w:rPr>
          <w:rStyle w:val="37"/>
          <w:rFonts w:hint="eastAsia" w:ascii="华文楷体" w:hAnsi="华文楷体" w:eastAsia="华文楷体" w:cs="宋体"/>
          <w:color w:val="auto"/>
          <w:lang w:val="zh-CN"/>
        </w:rPr>
        <w:t>目录（下册）</w:t>
      </w:r>
      <w:r>
        <w:tab/>
      </w:r>
      <w:r>
        <w:fldChar w:fldCharType="begin"/>
      </w:r>
      <w:r>
        <w:instrText xml:space="preserve"> PAGEREF _Toc184345940 \h </w:instrText>
      </w:r>
      <w:r>
        <w:fldChar w:fldCharType="separate"/>
      </w:r>
      <w:r>
        <w:t>70</w:t>
      </w:r>
      <w:r>
        <w:fldChar w:fldCharType="end"/>
      </w:r>
      <w:r>
        <w:fldChar w:fldCharType="end"/>
      </w:r>
    </w:p>
    <w:p w14:paraId="302C9B7D">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"_Toc184345941"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14</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评分对照表</w:t>
      </w:r>
      <w:r>
        <w:tab/>
      </w:r>
      <w:r>
        <w:fldChar w:fldCharType="begin"/>
      </w:r>
      <w:r>
        <w:instrText xml:space="preserve"> PAGEREF _Toc184345941 \h </w:instrText>
      </w:r>
      <w:r>
        <w:fldChar w:fldCharType="separate"/>
      </w:r>
      <w:r>
        <w:t>71</w:t>
      </w:r>
      <w:r>
        <w:fldChar w:fldCharType="end"/>
      </w:r>
      <w:r>
        <w:fldChar w:fldCharType="end"/>
      </w:r>
    </w:p>
    <w:p w14:paraId="6427ECFB">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"_Toc184345942"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15</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开标一览表（报价表）</w:t>
      </w:r>
      <w:r>
        <w:tab/>
      </w:r>
      <w:r>
        <w:fldChar w:fldCharType="begin"/>
      </w:r>
      <w:r>
        <w:instrText xml:space="preserve"> PAGEREF _Toc184345942 \h </w:instrText>
      </w:r>
      <w:r>
        <w:fldChar w:fldCharType="separate"/>
      </w:r>
      <w:r>
        <w:t>72</w:t>
      </w:r>
      <w:r>
        <w:fldChar w:fldCharType="end"/>
      </w:r>
      <w:r>
        <w:fldChar w:fldCharType="end"/>
      </w:r>
    </w:p>
    <w:p w14:paraId="05F963E6">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"_Toc184345943"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16</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分项报价表</w:t>
      </w:r>
      <w:r>
        <w:tab/>
      </w:r>
      <w:r>
        <w:fldChar w:fldCharType="begin"/>
      </w:r>
      <w:r>
        <w:instrText xml:space="preserve"> PAGEREF _Toc184345943 \h </w:instrText>
      </w:r>
      <w:r>
        <w:fldChar w:fldCharType="separate"/>
      </w:r>
      <w:r>
        <w:t>73</w:t>
      </w:r>
      <w:r>
        <w:fldChar w:fldCharType="end"/>
      </w:r>
      <w:r>
        <w:fldChar w:fldCharType="end"/>
      </w:r>
    </w:p>
    <w:p w14:paraId="578056DF">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"_Toc184345944"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17</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技术响应偏离表</w:t>
      </w:r>
      <w:r>
        <w:tab/>
      </w:r>
      <w:r>
        <w:fldChar w:fldCharType="begin"/>
      </w:r>
      <w:r>
        <w:instrText xml:space="preserve"> PAGEREF _Toc184345944 \h </w:instrText>
      </w:r>
      <w:r>
        <w:fldChar w:fldCharType="separate"/>
      </w:r>
      <w:r>
        <w:t>74</w:t>
      </w:r>
      <w:r>
        <w:fldChar w:fldCharType="end"/>
      </w:r>
      <w:r>
        <w:fldChar w:fldCharType="end"/>
      </w:r>
    </w:p>
    <w:p w14:paraId="5327403D">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"_Toc184345945" </w:instrText>
      </w:r>
      <w:r>
        <w:fldChar w:fldCharType="separate"/>
      </w:r>
      <w:r>
        <w:rPr>
          <w:rStyle w:val="37"/>
          <w:rFonts w:hint="eastAsia" w:ascii="华文楷体" w:hAnsi="华文楷体" w:eastAsia="华文楷体" w:cs="宋体"/>
          <w:color w:val="auto"/>
          <w:lang w:val="zh-CN"/>
        </w:rPr>
        <w:t>（</w:t>
      </w:r>
      <w:r>
        <w:rPr>
          <w:rStyle w:val="37"/>
          <w:rFonts w:ascii="华文楷体" w:hAnsi="华文楷体" w:eastAsia="华文楷体" w:cs="宋体"/>
          <w:color w:val="auto"/>
          <w:lang w:val="zh-CN"/>
        </w:rPr>
        <w:t>1</w:t>
      </w:r>
      <w:r>
        <w:rPr>
          <w:rStyle w:val="37"/>
          <w:rFonts w:ascii="华文楷体" w:hAnsi="华文楷体" w:eastAsia="华文楷体" w:cs="宋体"/>
          <w:color w:val="auto"/>
        </w:rPr>
        <w:t>8</w:t>
      </w:r>
      <w:r>
        <w:rPr>
          <w:rStyle w:val="37"/>
          <w:rFonts w:hint="eastAsia" w:ascii="华文楷体" w:hAnsi="华文楷体" w:eastAsia="华文楷体" w:cs="宋体"/>
          <w:color w:val="auto"/>
          <w:lang w:val="zh-CN"/>
        </w:rPr>
        <w:t>）投标产品相关资料</w:t>
      </w:r>
      <w:r>
        <w:tab/>
      </w:r>
      <w:r>
        <w:fldChar w:fldCharType="begin"/>
      </w:r>
      <w:r>
        <w:instrText xml:space="preserve"> PAGEREF _Toc184345945 \h </w:instrText>
      </w:r>
      <w:r>
        <w:fldChar w:fldCharType="separate"/>
      </w:r>
      <w:r>
        <w:t>75</w:t>
      </w:r>
      <w:r>
        <w:fldChar w:fldCharType="end"/>
      </w:r>
      <w:r>
        <w:fldChar w:fldCharType="end"/>
      </w:r>
    </w:p>
    <w:p w14:paraId="10CBF93E">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"_Toc184345946" </w:instrText>
      </w:r>
      <w:r>
        <w:fldChar w:fldCharType="separate"/>
      </w:r>
      <w:r>
        <w:rPr>
          <w:rStyle w:val="37"/>
          <w:rFonts w:hint="eastAsia" w:ascii="华文楷体" w:hAnsi="华文楷体" w:eastAsia="华文楷体" w:cs="宋体"/>
          <w:color w:val="auto"/>
          <w:lang w:val="zh-CN"/>
        </w:rPr>
        <w:t>（</w:t>
      </w:r>
      <w:r>
        <w:rPr>
          <w:rStyle w:val="37"/>
          <w:rFonts w:ascii="华文楷体" w:hAnsi="华文楷体" w:eastAsia="华文楷体" w:cs="宋体"/>
          <w:color w:val="auto"/>
          <w:lang w:val="zh-CN"/>
        </w:rPr>
        <w:t>1</w:t>
      </w:r>
      <w:r>
        <w:rPr>
          <w:rStyle w:val="37"/>
          <w:rFonts w:ascii="华文楷体" w:hAnsi="华文楷体" w:eastAsia="华文楷体" w:cs="宋体"/>
          <w:color w:val="auto"/>
        </w:rPr>
        <w:t>9</w:t>
      </w:r>
      <w:r>
        <w:rPr>
          <w:rStyle w:val="37"/>
          <w:rFonts w:hint="eastAsia" w:ascii="华文楷体" w:hAnsi="华文楷体" w:eastAsia="华文楷体" w:cs="宋体"/>
          <w:color w:val="auto"/>
          <w:lang w:val="zh-CN"/>
        </w:rPr>
        <w:t>）技术方案</w:t>
      </w:r>
      <w:r>
        <w:tab/>
      </w:r>
      <w:r>
        <w:fldChar w:fldCharType="begin"/>
      </w:r>
      <w:r>
        <w:instrText xml:space="preserve"> PAGEREF _Toc184345946 \h </w:instrText>
      </w:r>
      <w:r>
        <w:fldChar w:fldCharType="separate"/>
      </w:r>
      <w:r>
        <w:t>76</w:t>
      </w:r>
      <w:r>
        <w:fldChar w:fldCharType="end"/>
      </w:r>
      <w:r>
        <w:fldChar w:fldCharType="end"/>
      </w:r>
    </w:p>
    <w:p w14:paraId="3C4BE985">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"_Toc184345947" </w:instrText>
      </w:r>
      <w:r>
        <w:fldChar w:fldCharType="separate"/>
      </w:r>
      <w:r>
        <w:rPr>
          <w:rStyle w:val="37"/>
          <w:rFonts w:hint="eastAsia" w:ascii="华文楷体" w:hAnsi="华文楷体" w:eastAsia="华文楷体" w:cs="宋体"/>
          <w:color w:val="auto"/>
          <w:lang w:val="zh-CN"/>
        </w:rPr>
        <w:t>（</w:t>
      </w:r>
      <w:r>
        <w:rPr>
          <w:rStyle w:val="37"/>
          <w:rFonts w:ascii="华文楷体" w:hAnsi="华文楷体" w:eastAsia="华文楷体" w:cs="宋体"/>
          <w:color w:val="auto"/>
          <w:lang w:val="zh-CN"/>
        </w:rPr>
        <w:t>20</w:t>
      </w:r>
      <w:r>
        <w:rPr>
          <w:rStyle w:val="37"/>
          <w:rFonts w:hint="eastAsia" w:ascii="华文楷体" w:hAnsi="华文楷体" w:eastAsia="华文楷体" w:cs="宋体"/>
          <w:color w:val="auto"/>
          <w:lang w:val="zh-CN"/>
        </w:rPr>
        <w:t>）中小企业声明函（货物）</w:t>
      </w:r>
      <w:r>
        <w:tab/>
      </w:r>
      <w:r>
        <w:fldChar w:fldCharType="begin"/>
      </w:r>
      <w:r>
        <w:instrText xml:space="preserve"> PAGEREF _Toc184345947 \h </w:instrText>
      </w:r>
      <w:r>
        <w:fldChar w:fldCharType="separate"/>
      </w:r>
      <w:r>
        <w:t>77</w:t>
      </w:r>
      <w:r>
        <w:fldChar w:fldCharType="end"/>
      </w:r>
      <w:r>
        <w:fldChar w:fldCharType="end"/>
      </w:r>
    </w:p>
    <w:p w14:paraId="38E4B1D9">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"_Toc184345948" </w:instrText>
      </w:r>
      <w:r>
        <w:fldChar w:fldCharType="separate"/>
      </w:r>
      <w:r>
        <w:rPr>
          <w:rStyle w:val="37"/>
          <w:rFonts w:hint="eastAsia" w:ascii="华文楷体" w:hAnsi="华文楷体" w:eastAsia="华文楷体" w:cs="宋体"/>
          <w:color w:val="auto"/>
          <w:lang w:val="zh-CN"/>
        </w:rPr>
        <w:t>（</w:t>
      </w:r>
      <w:r>
        <w:rPr>
          <w:rStyle w:val="37"/>
          <w:rFonts w:ascii="华文楷体" w:hAnsi="华文楷体" w:eastAsia="华文楷体" w:cs="宋体"/>
          <w:color w:val="auto"/>
        </w:rPr>
        <w:t>21</w:t>
      </w:r>
      <w:r>
        <w:rPr>
          <w:rStyle w:val="37"/>
          <w:rFonts w:hint="eastAsia" w:ascii="华文楷体" w:hAnsi="华文楷体" w:eastAsia="华文楷体" w:cs="宋体"/>
          <w:color w:val="auto"/>
          <w:lang w:val="zh-CN"/>
        </w:rPr>
        <w:t>）残疾人</w:t>
      </w:r>
      <w:r>
        <w:rPr>
          <w:rStyle w:val="37"/>
          <w:rFonts w:hint="eastAsia" w:ascii="华文楷体" w:hAnsi="华文楷体" w:eastAsia="华文楷体" w:cs="宋体"/>
          <w:color w:val="auto"/>
        </w:rPr>
        <w:t>福利性单位声明函</w:t>
      </w:r>
      <w:r>
        <w:tab/>
      </w:r>
      <w:r>
        <w:fldChar w:fldCharType="begin"/>
      </w:r>
      <w:r>
        <w:instrText xml:space="preserve"> PAGEREF _Toc184345948 \h </w:instrText>
      </w:r>
      <w:r>
        <w:fldChar w:fldCharType="separate"/>
      </w:r>
      <w:r>
        <w:t>78</w:t>
      </w:r>
      <w:r>
        <w:fldChar w:fldCharType="end"/>
      </w:r>
      <w:r>
        <w:fldChar w:fldCharType="end"/>
      </w:r>
    </w:p>
    <w:p w14:paraId="1CACB250">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"_Toc184345949" </w:instrText>
      </w:r>
      <w:r>
        <w:fldChar w:fldCharType="separate"/>
      </w:r>
      <w:r>
        <w:rPr>
          <w:rStyle w:val="37"/>
          <w:rFonts w:hint="eastAsia" w:ascii="华文楷体" w:hAnsi="华文楷体" w:eastAsia="华文楷体" w:cs="宋体"/>
          <w:color w:val="auto"/>
          <w:lang w:val="zh-CN"/>
        </w:rPr>
        <w:t>（</w:t>
      </w:r>
      <w:r>
        <w:rPr>
          <w:rStyle w:val="37"/>
          <w:rFonts w:ascii="华文楷体" w:hAnsi="华文楷体" w:eastAsia="华文楷体" w:cs="宋体"/>
          <w:color w:val="auto"/>
        </w:rPr>
        <w:t>22</w:t>
      </w:r>
      <w:r>
        <w:rPr>
          <w:rStyle w:val="37"/>
          <w:rFonts w:hint="eastAsia" w:ascii="华文楷体" w:hAnsi="华文楷体" w:eastAsia="华文楷体" w:cs="宋体"/>
          <w:color w:val="auto"/>
          <w:lang w:val="zh-CN"/>
        </w:rPr>
        <w:t>）监狱企业证明资料</w:t>
      </w:r>
      <w:r>
        <w:tab/>
      </w:r>
      <w:r>
        <w:fldChar w:fldCharType="begin"/>
      </w:r>
      <w:r>
        <w:instrText xml:space="preserve"> PAGEREF _Toc184345949 \h </w:instrText>
      </w:r>
      <w:r>
        <w:fldChar w:fldCharType="separate"/>
      </w:r>
      <w:r>
        <w:t>79</w:t>
      </w:r>
      <w:r>
        <w:fldChar w:fldCharType="end"/>
      </w:r>
      <w:r>
        <w:fldChar w:fldCharType="end"/>
      </w:r>
    </w:p>
    <w:p w14:paraId="17AB256E">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"_Toc184345950"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23</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投标人的类似业绩证明材料</w:t>
      </w:r>
      <w:r>
        <w:tab/>
      </w:r>
      <w:r>
        <w:fldChar w:fldCharType="begin"/>
      </w:r>
      <w:r>
        <w:instrText xml:space="preserve"> PAGEREF _Toc184345950 \h </w:instrText>
      </w:r>
      <w:r>
        <w:fldChar w:fldCharType="separate"/>
      </w:r>
      <w:r>
        <w:t>80</w:t>
      </w:r>
      <w:r>
        <w:fldChar w:fldCharType="end"/>
      </w:r>
      <w:r>
        <w:fldChar w:fldCharType="end"/>
      </w:r>
    </w:p>
    <w:p w14:paraId="337AC94C">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"_Toc184345951" </w:instrText>
      </w:r>
      <w:r>
        <w:fldChar w:fldCharType="separate"/>
      </w:r>
      <w:r>
        <w:rPr>
          <w:rStyle w:val="37"/>
          <w:rFonts w:hint="eastAsia" w:ascii="华文楷体" w:hAnsi="华文楷体" w:eastAsia="华文楷体" w:cs="宋体"/>
          <w:color w:val="auto"/>
        </w:rPr>
        <w:t>（</w:t>
      </w:r>
      <w:r>
        <w:rPr>
          <w:rStyle w:val="37"/>
          <w:rFonts w:ascii="华文楷体" w:hAnsi="华文楷体" w:eastAsia="华文楷体" w:cs="宋体"/>
          <w:color w:val="auto"/>
        </w:rPr>
        <w:t>24</w:t>
      </w:r>
      <w:r>
        <w:rPr>
          <w:rStyle w:val="37"/>
          <w:rFonts w:hint="eastAsia" w:ascii="华文楷体" w:hAnsi="华文楷体" w:eastAsia="华文楷体" w:cs="宋体"/>
          <w:color w:val="auto"/>
        </w:rPr>
        <w:t>）</w:t>
      </w:r>
      <w:r>
        <w:rPr>
          <w:rStyle w:val="37"/>
          <w:rFonts w:hint="eastAsia" w:ascii="华文楷体" w:hAnsi="华文楷体" w:eastAsia="华文楷体" w:cs="宋体"/>
          <w:color w:val="auto"/>
          <w:lang w:val="zh-CN"/>
        </w:rPr>
        <w:t>投标人认为在其他方面有必要说明的事项</w:t>
      </w:r>
      <w:r>
        <w:tab/>
      </w:r>
      <w:r>
        <w:fldChar w:fldCharType="begin"/>
      </w:r>
      <w:r>
        <w:instrText xml:space="preserve"> PAGEREF _Toc184345951 \h </w:instrText>
      </w:r>
      <w:r>
        <w:fldChar w:fldCharType="separate"/>
      </w:r>
      <w:r>
        <w:t>81</w:t>
      </w:r>
      <w:r>
        <w:fldChar w:fldCharType="end"/>
      </w:r>
      <w:r>
        <w:fldChar w:fldCharType="end"/>
      </w:r>
    </w:p>
    <w:p w14:paraId="411BF1C9">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"_Toc184345952" </w:instrText>
      </w:r>
      <w:r>
        <w:fldChar w:fldCharType="separate"/>
      </w:r>
      <w:r>
        <w:rPr>
          <w:rStyle w:val="37"/>
          <w:rFonts w:hint="eastAsia" w:ascii="华文楷体" w:hAnsi="华文楷体" w:eastAsia="华文楷体" w:cs="宋体"/>
          <w:color w:val="auto"/>
          <w:lang w:val="zh-CN"/>
        </w:rPr>
        <w:t>第五部分</w:t>
      </w:r>
      <w:r>
        <w:rPr>
          <w:rStyle w:val="37"/>
          <w:rFonts w:ascii="华文楷体" w:hAnsi="华文楷体" w:eastAsia="华文楷体" w:cs="宋体"/>
          <w:color w:val="auto"/>
          <w:lang w:val="zh-CN"/>
        </w:rPr>
        <w:t xml:space="preserve">  </w:t>
      </w:r>
      <w:r>
        <w:rPr>
          <w:rStyle w:val="37"/>
          <w:rFonts w:hint="eastAsia" w:ascii="华文楷体" w:hAnsi="华文楷体" w:eastAsia="华文楷体" w:cs="宋体"/>
          <w:color w:val="auto"/>
          <w:lang w:val="zh-CN"/>
        </w:rPr>
        <w:t>采购项目要求及技术参数</w:t>
      </w:r>
      <w:r>
        <w:tab/>
      </w:r>
      <w:r>
        <w:fldChar w:fldCharType="begin"/>
      </w:r>
      <w:r>
        <w:instrText xml:space="preserve"> PAGEREF _Toc184345952 \h </w:instrText>
      </w:r>
      <w:r>
        <w:fldChar w:fldCharType="separate"/>
      </w:r>
      <w:r>
        <w:t>82</w:t>
      </w:r>
      <w:r>
        <w:fldChar w:fldCharType="end"/>
      </w:r>
      <w:r>
        <w:fldChar w:fldCharType="end"/>
      </w:r>
    </w:p>
    <w:p w14:paraId="6C2281B0">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"_Toc184345953" </w:instrText>
      </w:r>
      <w:r>
        <w:fldChar w:fldCharType="separate"/>
      </w:r>
      <w:r>
        <w:rPr>
          <w:rStyle w:val="37"/>
          <w:rFonts w:hint="eastAsia" w:ascii="华文楷体" w:hAnsi="华文楷体" w:eastAsia="华文楷体"/>
          <w:color w:val="auto"/>
        </w:rPr>
        <w:t>（一）</w:t>
      </w:r>
      <w:r>
        <w:rPr>
          <w:rStyle w:val="37"/>
          <w:rFonts w:hint="eastAsia" w:ascii="华文楷体" w:hAnsi="华文楷体" w:eastAsia="华文楷体"/>
          <w:color w:val="auto"/>
          <w:lang w:val="zh-CN"/>
        </w:rPr>
        <w:t>投标要求</w:t>
      </w:r>
      <w:r>
        <w:tab/>
      </w:r>
      <w:r>
        <w:fldChar w:fldCharType="begin"/>
      </w:r>
      <w:r>
        <w:instrText xml:space="preserve"> PAGEREF _Toc184345953 \h </w:instrText>
      </w:r>
      <w:r>
        <w:fldChar w:fldCharType="separate"/>
      </w:r>
      <w:r>
        <w:t>82</w:t>
      </w:r>
      <w:r>
        <w:fldChar w:fldCharType="end"/>
      </w:r>
      <w:r>
        <w:fldChar w:fldCharType="end"/>
      </w:r>
    </w:p>
    <w:p w14:paraId="06E30C57">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"_Toc184345954" </w:instrText>
      </w:r>
      <w:r>
        <w:fldChar w:fldCharType="separate"/>
      </w:r>
      <w:r>
        <w:rPr>
          <w:rStyle w:val="37"/>
          <w:rFonts w:ascii="华文楷体" w:hAnsi="华文楷体" w:eastAsia="华文楷体" w:cs="宋体"/>
          <w:color w:val="auto"/>
          <w:lang w:val="zh-CN"/>
        </w:rPr>
        <w:t>1.</w:t>
      </w:r>
      <w:r>
        <w:rPr>
          <w:rStyle w:val="37"/>
          <w:rFonts w:hint="eastAsia" w:ascii="华文楷体" w:hAnsi="华文楷体" w:eastAsia="华文楷体" w:cs="宋体"/>
          <w:color w:val="auto"/>
          <w:lang w:val="zh-CN"/>
        </w:rPr>
        <w:t>投标说明</w:t>
      </w:r>
      <w:r>
        <w:tab/>
      </w:r>
      <w:r>
        <w:fldChar w:fldCharType="begin"/>
      </w:r>
      <w:r>
        <w:instrText xml:space="preserve"> PAGEREF _Toc184345954 \h </w:instrText>
      </w:r>
      <w:r>
        <w:fldChar w:fldCharType="separate"/>
      </w:r>
      <w:r>
        <w:t>82</w:t>
      </w:r>
      <w:r>
        <w:fldChar w:fldCharType="end"/>
      </w:r>
      <w:r>
        <w:fldChar w:fldCharType="end"/>
      </w:r>
    </w:p>
    <w:p w14:paraId="42C8819E">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"_Toc184345955" </w:instrText>
      </w:r>
      <w:r>
        <w:fldChar w:fldCharType="separate"/>
      </w:r>
      <w:r>
        <w:rPr>
          <w:rStyle w:val="37"/>
          <w:rFonts w:ascii="华文楷体" w:hAnsi="华文楷体" w:eastAsia="华文楷体" w:cs="宋体"/>
          <w:color w:val="auto"/>
        </w:rPr>
        <w:t>2.</w:t>
      </w:r>
      <w:r>
        <w:rPr>
          <w:rStyle w:val="37"/>
          <w:rFonts w:hint="eastAsia" w:ascii="华文楷体" w:hAnsi="华文楷体" w:eastAsia="华文楷体" w:cs="宋体"/>
          <w:color w:val="auto"/>
          <w:lang w:val="zh-CN"/>
        </w:rPr>
        <w:t>重要指标</w:t>
      </w:r>
      <w:r>
        <w:tab/>
      </w:r>
      <w:r>
        <w:fldChar w:fldCharType="begin"/>
      </w:r>
      <w:r>
        <w:instrText xml:space="preserve"> PAGEREF _Toc184345955 \h </w:instrText>
      </w:r>
      <w:r>
        <w:fldChar w:fldCharType="separate"/>
      </w:r>
      <w:r>
        <w:t>82</w:t>
      </w:r>
      <w:r>
        <w:fldChar w:fldCharType="end"/>
      </w:r>
      <w:r>
        <w:fldChar w:fldCharType="end"/>
      </w:r>
    </w:p>
    <w:p w14:paraId="2978BB6A">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"_Toc184345956" </w:instrText>
      </w:r>
      <w:r>
        <w:fldChar w:fldCharType="separate"/>
      </w:r>
      <w:r>
        <w:rPr>
          <w:rStyle w:val="37"/>
          <w:rFonts w:hint="eastAsia" w:ascii="华文楷体" w:hAnsi="华文楷体" w:eastAsia="华文楷体"/>
          <w:color w:val="auto"/>
        </w:rPr>
        <w:t>（二）采购一览表</w:t>
      </w:r>
      <w:r>
        <w:tab/>
      </w:r>
      <w:r>
        <w:fldChar w:fldCharType="begin"/>
      </w:r>
      <w:r>
        <w:instrText xml:space="preserve"> PAGEREF _Toc184345956 \h </w:instrText>
      </w:r>
      <w:r>
        <w:fldChar w:fldCharType="separate"/>
      </w:r>
      <w:r>
        <w:t>83</w:t>
      </w:r>
      <w:r>
        <w:fldChar w:fldCharType="end"/>
      </w:r>
      <w:r>
        <w:fldChar w:fldCharType="end"/>
      </w:r>
    </w:p>
    <w:p w14:paraId="23106C2D">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"_Toc184345957" </w:instrText>
      </w:r>
      <w:r>
        <w:fldChar w:fldCharType="separate"/>
      </w:r>
      <w:r>
        <w:rPr>
          <w:rStyle w:val="37"/>
          <w:rFonts w:hint="eastAsia" w:ascii="华文楷体" w:hAnsi="华文楷体" w:eastAsia="华文楷体"/>
          <w:color w:val="auto"/>
        </w:rPr>
        <w:t>（三）技术要求</w:t>
      </w:r>
      <w:r>
        <w:tab/>
      </w:r>
      <w:r>
        <w:fldChar w:fldCharType="begin"/>
      </w:r>
      <w:r>
        <w:instrText xml:space="preserve"> PAGEREF _Toc184345957 \h </w:instrText>
      </w:r>
      <w:r>
        <w:fldChar w:fldCharType="separate"/>
      </w:r>
      <w:r>
        <w:t>88</w:t>
      </w:r>
      <w:r>
        <w:fldChar w:fldCharType="end"/>
      </w:r>
      <w:r>
        <w:fldChar w:fldCharType="end"/>
      </w:r>
    </w:p>
    <w:p w14:paraId="12F1233B">
      <w:pPr>
        <w:pStyle w:val="21"/>
        <w:tabs>
          <w:tab w:val="right" w:leader="dot" w:pos="8233"/>
        </w:tabs>
        <w:ind w:firstLine="482"/>
        <w:rPr>
          <w:rFonts w:asciiTheme="minorHAnsi" w:hAnsiTheme="minorHAnsi" w:eastAsiaTheme="minorEastAsia" w:cstheme="minorBidi"/>
          <w:b w:val="0"/>
          <w:bCs w:val="0"/>
          <w:caps w:val="0"/>
          <w:sz w:val="21"/>
          <w:szCs w:val="22"/>
        </w:rPr>
      </w:pPr>
      <w:r>
        <w:fldChar w:fldCharType="begin"/>
      </w:r>
      <w:r>
        <w:instrText xml:space="preserve"> HYPERLINK \l "_Toc184345958" </w:instrText>
      </w:r>
      <w:r>
        <w:fldChar w:fldCharType="separate"/>
      </w:r>
      <w:r>
        <w:rPr>
          <w:rStyle w:val="37"/>
          <w:rFonts w:hint="eastAsia" w:ascii="华文楷体" w:hAnsi="华文楷体" w:eastAsia="华文楷体"/>
          <w:color w:val="auto"/>
        </w:rPr>
        <w:t>（四）</w:t>
      </w:r>
      <w:r>
        <w:rPr>
          <w:rStyle w:val="37"/>
          <w:rFonts w:ascii="华文楷体" w:hAnsi="华文楷体" w:eastAsia="华文楷体"/>
          <w:color w:val="auto"/>
        </w:rPr>
        <w:t xml:space="preserve"> </w:t>
      </w:r>
      <w:r>
        <w:rPr>
          <w:rStyle w:val="37"/>
          <w:rFonts w:hint="eastAsia" w:ascii="华文楷体" w:hAnsi="华文楷体" w:eastAsia="华文楷体"/>
          <w:color w:val="auto"/>
        </w:rPr>
        <w:t>商务要求</w:t>
      </w:r>
      <w:r>
        <w:tab/>
      </w:r>
      <w:r>
        <w:fldChar w:fldCharType="begin"/>
      </w:r>
      <w:r>
        <w:instrText xml:space="preserve"> PAGEREF _Toc184345958 \h </w:instrText>
      </w:r>
      <w:r>
        <w:fldChar w:fldCharType="separate"/>
      </w:r>
      <w:r>
        <w:t>114</w:t>
      </w:r>
      <w:r>
        <w:fldChar w:fldCharType="end"/>
      </w:r>
      <w:r>
        <w:fldChar w:fldCharType="end"/>
      </w:r>
    </w:p>
    <w:p w14:paraId="28A979A5">
      <w:pPr>
        <w:pStyle w:val="23"/>
        <w:tabs>
          <w:tab w:val="right" w:leader="dot" w:pos="8233"/>
        </w:tabs>
        <w:ind w:left="480"/>
        <w:rPr>
          <w:rFonts w:asciiTheme="minorHAnsi" w:hAnsiTheme="minorHAnsi" w:eastAsiaTheme="minorEastAsia" w:cstheme="minorBidi"/>
          <w:sz w:val="21"/>
          <w:szCs w:val="22"/>
        </w:rPr>
      </w:pPr>
      <w:r>
        <w:fldChar w:fldCharType="begin"/>
      </w:r>
      <w:r>
        <w:instrText xml:space="preserve"> HYPERLINK \l "_Toc184345959" </w:instrText>
      </w:r>
      <w:r>
        <w:fldChar w:fldCharType="separate"/>
      </w:r>
      <w:r>
        <w:rPr>
          <w:rStyle w:val="37"/>
          <w:rFonts w:hint="eastAsia" w:ascii="华文楷体" w:hAnsi="华文楷体" w:eastAsia="华文楷体"/>
          <w:b/>
          <w:bCs/>
          <w:color w:val="auto"/>
        </w:rPr>
        <w:t>（五）样品提交要求</w:t>
      </w:r>
      <w:r>
        <w:tab/>
      </w:r>
      <w:r>
        <w:fldChar w:fldCharType="begin"/>
      </w:r>
      <w:r>
        <w:instrText xml:space="preserve"> PAGEREF _Toc184345959 \h </w:instrText>
      </w:r>
      <w:r>
        <w:fldChar w:fldCharType="separate"/>
      </w:r>
      <w:r>
        <w:t>119</w:t>
      </w:r>
      <w:r>
        <w:fldChar w:fldCharType="end"/>
      </w:r>
      <w:r>
        <w:fldChar w:fldCharType="end"/>
      </w:r>
    </w:p>
    <w:p w14:paraId="608818FA">
      <w:pPr>
        <w:tabs>
          <w:tab w:val="right" w:leader="dot" w:pos="8243"/>
        </w:tabs>
        <w:rPr>
          <w:rFonts w:ascii="华文楷体" w:hAnsi="华文楷体" w:eastAsia="华文楷体"/>
        </w:rPr>
      </w:pPr>
      <w:r>
        <w:rPr>
          <w:rFonts w:ascii="华文楷体" w:hAnsi="华文楷体" w:eastAsia="华文楷体"/>
        </w:rPr>
        <w:fldChar w:fldCharType="end"/>
      </w:r>
    </w:p>
    <w:p w14:paraId="118AF52B">
      <w:pPr>
        <w:rPr>
          <w:rStyle w:val="70"/>
          <w:rFonts w:ascii="华文楷体" w:hAnsi="华文楷体" w:eastAsia="华文楷体" w:cs="宋体"/>
          <w:kern w:val="2"/>
          <w:sz w:val="32"/>
          <w:szCs w:val="32"/>
        </w:rPr>
      </w:pPr>
      <w:r>
        <w:rPr>
          <w:rStyle w:val="70"/>
          <w:rFonts w:hint="eastAsia" w:ascii="华文楷体" w:hAnsi="华文楷体" w:eastAsia="华文楷体" w:cs="宋体"/>
          <w:kern w:val="2"/>
          <w:sz w:val="32"/>
          <w:szCs w:val="32"/>
        </w:rPr>
        <w:br w:type="page"/>
      </w:r>
    </w:p>
    <w:p w14:paraId="72DF824F">
      <w:pPr>
        <w:pStyle w:val="5"/>
        <w:spacing w:line="400" w:lineRule="exact"/>
        <w:jc w:val="center"/>
        <w:rPr>
          <w:rFonts w:ascii="华文楷体" w:hAnsi="华文楷体" w:eastAsia="华文楷体" w:cs="宋体"/>
          <w:kern w:val="2"/>
          <w:sz w:val="32"/>
          <w:szCs w:val="32"/>
          <w:lang w:val="zh-CN"/>
        </w:rPr>
      </w:pPr>
      <w:bookmarkStart w:id="3" w:name="_Toc184345887"/>
      <w:r>
        <w:rPr>
          <w:rStyle w:val="70"/>
          <w:rFonts w:hint="eastAsia" w:ascii="华文楷体" w:hAnsi="华文楷体" w:eastAsia="华文楷体" w:cs="宋体"/>
          <w:b/>
          <w:bCs/>
          <w:kern w:val="2"/>
          <w:sz w:val="32"/>
          <w:szCs w:val="32"/>
        </w:rPr>
        <w:t>第一部分</w:t>
      </w:r>
      <w:r>
        <w:rPr>
          <w:rStyle w:val="70"/>
          <w:rFonts w:hint="eastAsia" w:ascii="华文楷体" w:hAnsi="华文楷体" w:eastAsia="华文楷体" w:cs="宋体"/>
          <w:b/>
          <w:bCs/>
          <w:kern w:val="2"/>
          <w:sz w:val="32"/>
          <w:szCs w:val="32"/>
          <w:lang w:val="zh-CN"/>
        </w:rPr>
        <w:t xml:space="preserve"> 投标邀请</w:t>
      </w:r>
      <w:bookmarkEnd w:id="0"/>
      <w:bookmarkEnd w:id="1"/>
      <w:bookmarkEnd w:id="2"/>
      <w:bookmarkEnd w:id="3"/>
    </w:p>
    <w:p w14:paraId="218F6267">
      <w:pPr>
        <w:jc w:val="center"/>
        <w:rPr>
          <w:rFonts w:ascii="华文楷体" w:hAnsi="华文楷体" w:eastAsia="华文楷体" w:cs="宋体"/>
          <w:b/>
          <w:bCs/>
          <w:kern w:val="0"/>
          <w:sz w:val="28"/>
          <w:szCs w:val="28"/>
          <w:lang w:val="zh-CN"/>
        </w:rPr>
      </w:pPr>
      <w:r>
        <w:rPr>
          <w:rFonts w:hint="eastAsia" w:ascii="华文楷体" w:hAnsi="华文楷体" w:eastAsia="华文楷体" w:cs="宋体"/>
          <w:b/>
          <w:bCs/>
          <w:kern w:val="0"/>
          <w:sz w:val="28"/>
          <w:szCs w:val="28"/>
          <w:lang w:val="zh-CN"/>
        </w:rPr>
        <w:t xml:space="preserve">格尔木市消防救援支队2024年度灭火救援装备采购项目 </w:t>
      </w:r>
    </w:p>
    <w:p w14:paraId="28B8CDB4">
      <w:pPr>
        <w:jc w:val="center"/>
        <w:rPr>
          <w:rFonts w:ascii="华文楷体" w:hAnsi="华文楷体" w:eastAsia="华文楷体" w:cs="宋体"/>
          <w:b/>
          <w:bCs/>
          <w:kern w:val="0"/>
          <w:sz w:val="28"/>
          <w:szCs w:val="28"/>
        </w:rPr>
      </w:pPr>
      <w:r>
        <w:rPr>
          <w:rFonts w:hint="eastAsia" w:ascii="华文楷体" w:hAnsi="华文楷体" w:eastAsia="华文楷体" w:cs="宋体"/>
          <w:b/>
          <w:bCs/>
          <w:kern w:val="0"/>
          <w:sz w:val="28"/>
          <w:szCs w:val="28"/>
          <w:lang w:val="zh-CN"/>
        </w:rPr>
        <w:t>公开招标公告</w:t>
      </w:r>
    </w:p>
    <w:p w14:paraId="705D8CEF">
      <w:pPr>
        <w:pBdr>
          <w:top w:val="single" w:color="auto" w:sz="4" w:space="1"/>
          <w:left w:val="single" w:color="auto" w:sz="4" w:space="4"/>
          <w:bottom w:val="single" w:color="auto" w:sz="4" w:space="1"/>
          <w:right w:val="single" w:color="auto" w:sz="4" w:space="4"/>
        </w:pBdr>
        <w:spacing w:line="360" w:lineRule="auto"/>
        <w:ind w:firstLine="480" w:firstLineChars="200"/>
        <w:rPr>
          <w:rFonts w:ascii="华文楷体" w:hAnsi="华文楷体" w:eastAsia="华文楷体" w:cs="宋体"/>
        </w:rPr>
      </w:pPr>
      <w:r>
        <w:rPr>
          <w:rFonts w:hint="eastAsia" w:ascii="华文楷体" w:hAnsi="华文楷体" w:eastAsia="华文楷体" w:cs="宋体"/>
        </w:rPr>
        <w:t>项目概况</w:t>
      </w:r>
    </w:p>
    <w:p w14:paraId="1E72B64B">
      <w:pPr>
        <w:pBdr>
          <w:top w:val="single" w:color="auto" w:sz="4" w:space="1"/>
          <w:left w:val="single" w:color="auto" w:sz="4" w:space="4"/>
          <w:bottom w:val="single" w:color="auto" w:sz="4" w:space="1"/>
          <w:right w:val="single" w:color="auto" w:sz="4" w:space="4"/>
        </w:pBdr>
        <w:spacing w:line="360" w:lineRule="auto"/>
        <w:ind w:firstLine="480" w:firstLineChars="200"/>
        <w:rPr>
          <w:rFonts w:ascii="华文楷体" w:hAnsi="华文楷体" w:eastAsia="华文楷体" w:cs="宋体"/>
          <w:highlight w:val="none"/>
        </w:rPr>
      </w:pPr>
      <w:r>
        <w:rPr>
          <w:rFonts w:hint="eastAsia" w:ascii="华文楷体" w:hAnsi="华文楷体" w:eastAsia="华文楷体" w:cs="宋体"/>
          <w:kern w:val="0"/>
          <w:u w:val="single"/>
          <w:lang w:val="zh-CN"/>
        </w:rPr>
        <w:t>格尔木市消防救援支队</w:t>
      </w:r>
      <w:r>
        <w:rPr>
          <w:rFonts w:hint="eastAsia" w:ascii="华文楷体" w:hAnsi="华文楷体" w:eastAsia="华文楷体" w:cs="宋体"/>
          <w:kern w:val="0"/>
          <w:u w:val="single"/>
        </w:rPr>
        <w:t>2024</w:t>
      </w:r>
      <w:r>
        <w:rPr>
          <w:rFonts w:hint="eastAsia" w:ascii="华文楷体" w:hAnsi="华文楷体" w:eastAsia="华文楷体" w:cs="宋体"/>
          <w:kern w:val="0"/>
          <w:u w:val="single"/>
          <w:lang w:val="zh-CN"/>
        </w:rPr>
        <w:t>年度灭火</w:t>
      </w:r>
      <w:r>
        <w:rPr>
          <w:rFonts w:hint="eastAsia" w:ascii="华文楷体" w:hAnsi="华文楷体" w:eastAsia="华文楷体" w:cs="宋体"/>
          <w:kern w:val="0"/>
          <w:highlight w:val="none"/>
          <w:u w:val="single"/>
          <w:lang w:val="zh-CN"/>
        </w:rPr>
        <w:t>救援装备采购项目</w:t>
      </w:r>
      <w:r>
        <w:rPr>
          <w:rFonts w:hint="eastAsia" w:ascii="华文楷体" w:hAnsi="华文楷体" w:eastAsia="华文楷体" w:cs="宋体"/>
          <w:highlight w:val="none"/>
        </w:rPr>
        <w:t>的潜在投标人应在线上通过政采云平台（</w:t>
      </w:r>
      <w:r>
        <w:rPr>
          <w:highlight w:val="none"/>
        </w:rPr>
        <w:fldChar w:fldCharType="begin"/>
      </w:r>
      <w:r>
        <w:rPr>
          <w:highlight w:val="none"/>
        </w:rPr>
        <w:instrText xml:space="preserve"> HYPERLINK "http://www.zcygov.cn）获取招标文件，并于2024年12月" </w:instrText>
      </w:r>
      <w:r>
        <w:rPr>
          <w:highlight w:val="none"/>
        </w:rPr>
        <w:fldChar w:fldCharType="separate"/>
      </w:r>
      <w:r>
        <w:rPr>
          <w:rStyle w:val="37"/>
          <w:rFonts w:hint="eastAsia" w:ascii="华文楷体" w:hAnsi="华文楷体" w:eastAsia="华文楷体" w:cs="宋体"/>
          <w:color w:val="auto"/>
          <w:highlight w:val="none"/>
        </w:rPr>
        <w:t>www.zcygov.cn）获取招标文件，并于2025年0</w:t>
      </w:r>
      <w:r>
        <w:rPr>
          <w:rStyle w:val="37"/>
          <w:rFonts w:hint="eastAsia" w:ascii="华文楷体" w:hAnsi="华文楷体" w:eastAsia="华文楷体" w:cs="宋体"/>
          <w:color w:val="auto"/>
          <w:highlight w:val="none"/>
          <w:lang w:val="en-US" w:eastAsia="zh-CN"/>
        </w:rPr>
        <w:t>4</w:t>
      </w:r>
      <w:r>
        <w:rPr>
          <w:rStyle w:val="37"/>
          <w:rFonts w:hint="eastAsia" w:ascii="华文楷体" w:hAnsi="华文楷体" w:eastAsia="华文楷体" w:cs="宋体"/>
          <w:color w:val="auto"/>
          <w:highlight w:val="none"/>
        </w:rPr>
        <w:t>月</w:t>
      </w:r>
      <w:r>
        <w:rPr>
          <w:rStyle w:val="37"/>
          <w:rFonts w:hint="eastAsia" w:ascii="华文楷体" w:hAnsi="华文楷体" w:eastAsia="华文楷体" w:cs="宋体"/>
          <w:color w:val="auto"/>
          <w:highlight w:val="none"/>
        </w:rPr>
        <w:fldChar w:fldCharType="end"/>
      </w:r>
      <w:r>
        <w:rPr>
          <w:rStyle w:val="37"/>
          <w:rFonts w:hint="eastAsia" w:ascii="华文楷体" w:hAnsi="华文楷体" w:eastAsia="华文楷体" w:cs="宋体"/>
          <w:color w:val="auto"/>
          <w:highlight w:val="none"/>
          <w:lang w:val="en-US" w:eastAsia="zh-CN"/>
        </w:rPr>
        <w:t>24</w:t>
      </w:r>
      <w:r>
        <w:rPr>
          <w:rStyle w:val="37"/>
          <w:rFonts w:hint="eastAsia" w:ascii="华文楷体" w:hAnsi="华文楷体" w:eastAsia="华文楷体" w:cs="宋体"/>
          <w:color w:val="auto"/>
          <w:highlight w:val="none"/>
        </w:rPr>
        <w:t>日</w:t>
      </w:r>
      <w:r>
        <w:rPr>
          <w:rStyle w:val="37"/>
          <w:rFonts w:hint="eastAsia" w:ascii="华文楷体" w:hAnsi="华文楷体" w:eastAsia="华文楷体" w:cs="宋体"/>
          <w:color w:val="auto"/>
          <w:highlight w:val="none"/>
          <w:lang w:val="en-US" w:eastAsia="zh-CN"/>
        </w:rPr>
        <w:t>09</w:t>
      </w:r>
      <w:r>
        <w:rPr>
          <w:rStyle w:val="37"/>
          <w:rFonts w:hint="eastAsia" w:ascii="华文楷体" w:hAnsi="华文楷体" w:eastAsia="华文楷体" w:cs="宋体"/>
          <w:color w:val="FF0000"/>
          <w:highlight w:val="none"/>
        </w:rPr>
        <w:t>点</w:t>
      </w:r>
      <w:r>
        <w:rPr>
          <w:rStyle w:val="37"/>
          <w:rFonts w:hint="eastAsia" w:ascii="华文楷体" w:hAnsi="华文楷体" w:eastAsia="华文楷体" w:cs="宋体"/>
          <w:color w:val="FF0000"/>
          <w:highlight w:val="none"/>
          <w:lang w:val="en-US" w:eastAsia="zh-CN"/>
        </w:rPr>
        <w:t>30</w:t>
      </w:r>
      <w:r>
        <w:rPr>
          <w:rStyle w:val="37"/>
          <w:rFonts w:hint="eastAsia" w:ascii="华文楷体" w:hAnsi="华文楷体" w:eastAsia="华文楷体" w:cs="宋体"/>
          <w:color w:val="FF0000"/>
          <w:highlight w:val="none"/>
        </w:rPr>
        <w:t>分</w:t>
      </w:r>
      <w:r>
        <w:rPr>
          <w:rFonts w:hint="eastAsia" w:ascii="华文楷体" w:hAnsi="华文楷体" w:eastAsia="华文楷体" w:cs="宋体"/>
          <w:highlight w:val="none"/>
        </w:rPr>
        <w:t>（北京时间）前递交投标文件。</w:t>
      </w:r>
    </w:p>
    <w:p w14:paraId="35FA4254">
      <w:pPr>
        <w:spacing w:line="400" w:lineRule="exact"/>
        <w:rPr>
          <w:rFonts w:ascii="华文楷体" w:hAnsi="华文楷体" w:eastAsia="华文楷体" w:cs="宋体"/>
          <w:b/>
          <w:bCs/>
          <w:color w:val="auto"/>
        </w:rPr>
      </w:pPr>
      <w:bookmarkStart w:id="4" w:name="_Toc28359002"/>
      <w:bookmarkStart w:id="5" w:name="_Toc35393621"/>
      <w:bookmarkStart w:id="6" w:name="_Toc35393790"/>
      <w:bookmarkStart w:id="7" w:name="_Toc28359079"/>
      <w:bookmarkStart w:id="8" w:name="_Hlk24379207"/>
      <w:r>
        <w:rPr>
          <w:rFonts w:hint="eastAsia" w:ascii="华文楷体" w:hAnsi="华文楷体" w:eastAsia="华文楷体" w:cs="宋体"/>
          <w:b/>
          <w:bCs/>
          <w:color w:val="auto"/>
        </w:rPr>
        <w:t>一、项目基本情况</w:t>
      </w:r>
      <w:bookmarkEnd w:id="4"/>
      <w:bookmarkEnd w:id="5"/>
      <w:bookmarkEnd w:id="6"/>
      <w:bookmarkEnd w:id="7"/>
    </w:p>
    <w:p w14:paraId="59883B68">
      <w:pPr>
        <w:spacing w:line="400" w:lineRule="exact"/>
        <w:ind w:firstLine="482" w:firstLineChars="200"/>
        <w:rPr>
          <w:rFonts w:hint="eastAsia" w:ascii="华文楷体" w:hAnsi="华文楷体" w:eastAsia="华文楷体" w:cs="宋体"/>
          <w:color w:val="auto"/>
          <w:lang w:val="en-US" w:eastAsia="zh-CN"/>
        </w:rPr>
      </w:pPr>
      <w:r>
        <w:rPr>
          <w:rFonts w:hint="eastAsia" w:ascii="华文楷体" w:hAnsi="华文楷体" w:eastAsia="华文楷体" w:cs="宋体"/>
          <w:b/>
          <w:bCs/>
          <w:color w:val="auto"/>
        </w:rPr>
        <w:t>项目编号：</w:t>
      </w:r>
      <w:r>
        <w:rPr>
          <w:rFonts w:hint="eastAsia" w:ascii="华文楷体" w:hAnsi="华文楷体" w:eastAsia="华文楷体" w:cs="宋体"/>
          <w:color w:val="auto"/>
          <w:lang w:val="zh-CN"/>
        </w:rPr>
        <w:t>青海锦茂公招（货物）2024-035号</w:t>
      </w:r>
      <w:r>
        <w:rPr>
          <w:rFonts w:hint="eastAsia" w:ascii="华文楷体" w:hAnsi="华文楷体" w:eastAsia="华文楷体" w:cs="宋体"/>
          <w:color w:val="auto"/>
        </w:rPr>
        <w:t>-0</w:t>
      </w:r>
      <w:r>
        <w:rPr>
          <w:rFonts w:hint="eastAsia" w:ascii="华文楷体" w:hAnsi="华文楷体" w:eastAsia="华文楷体" w:cs="宋体"/>
          <w:color w:val="auto"/>
          <w:lang w:val="en-US" w:eastAsia="zh-CN"/>
        </w:rPr>
        <w:t>3</w:t>
      </w:r>
    </w:p>
    <w:p w14:paraId="2CC290C7">
      <w:pPr>
        <w:spacing w:line="400" w:lineRule="exact"/>
        <w:ind w:firstLine="482" w:firstLineChars="200"/>
        <w:rPr>
          <w:rFonts w:ascii="华文楷体" w:hAnsi="华文楷体" w:eastAsia="华文楷体" w:cs="宋体"/>
          <w:color w:val="auto"/>
        </w:rPr>
      </w:pPr>
      <w:r>
        <w:rPr>
          <w:rFonts w:hint="eastAsia" w:ascii="华文楷体" w:hAnsi="华文楷体" w:eastAsia="华文楷体" w:cs="宋体"/>
          <w:b/>
          <w:bCs/>
          <w:color w:val="auto"/>
        </w:rPr>
        <w:t>项目名称：</w:t>
      </w:r>
      <w:r>
        <w:rPr>
          <w:rFonts w:hint="eastAsia" w:ascii="华文楷体" w:hAnsi="华文楷体" w:eastAsia="华文楷体" w:cs="宋体"/>
          <w:color w:val="auto"/>
          <w:kern w:val="0"/>
        </w:rPr>
        <w:t>格尔木市消防救援支队2024年度灭火救援装备采购项目（第</w:t>
      </w:r>
      <w:r>
        <w:rPr>
          <w:rFonts w:hint="eastAsia" w:ascii="华文楷体" w:hAnsi="华文楷体" w:eastAsia="华文楷体" w:cs="宋体"/>
          <w:color w:val="auto"/>
          <w:kern w:val="0"/>
          <w:lang w:val="en-US" w:eastAsia="zh-CN"/>
        </w:rPr>
        <w:t>三</w:t>
      </w:r>
      <w:r>
        <w:rPr>
          <w:rFonts w:hint="eastAsia" w:ascii="华文楷体" w:hAnsi="华文楷体" w:eastAsia="华文楷体" w:cs="宋体"/>
          <w:color w:val="auto"/>
          <w:kern w:val="0"/>
        </w:rPr>
        <w:t>次）</w:t>
      </w:r>
    </w:p>
    <w:bookmarkEnd w:id="8"/>
    <w:p w14:paraId="102CCEC7">
      <w:pPr>
        <w:spacing w:line="400" w:lineRule="exact"/>
        <w:ind w:firstLine="482" w:firstLineChars="200"/>
        <w:rPr>
          <w:rFonts w:ascii="华文楷体" w:hAnsi="华文楷体" w:eastAsia="华文楷体" w:cs="宋体"/>
          <w:color w:val="auto"/>
          <w:kern w:val="0"/>
        </w:rPr>
      </w:pPr>
      <w:r>
        <w:rPr>
          <w:rFonts w:hint="eastAsia" w:ascii="华文楷体" w:hAnsi="华文楷体" w:eastAsia="华文楷体" w:cs="宋体"/>
          <w:b/>
          <w:bCs/>
          <w:color w:val="auto"/>
        </w:rPr>
        <w:t>预算金额</w:t>
      </w:r>
      <w:r>
        <w:rPr>
          <w:rFonts w:hint="eastAsia" w:ascii="华文楷体" w:hAnsi="华文楷体" w:eastAsia="华文楷体" w:cs="宋体"/>
          <w:color w:val="auto"/>
          <w:kern w:val="0"/>
          <w:lang w:val="zh-CN"/>
        </w:rPr>
        <w:t>：</w:t>
      </w:r>
      <w:r>
        <w:rPr>
          <w:rFonts w:hint="eastAsia" w:ascii="华文楷体" w:hAnsi="华文楷体" w:eastAsia="华文楷体" w:cs="宋体"/>
          <w:color w:val="auto"/>
          <w:kern w:val="0"/>
        </w:rPr>
        <w:t>5083700.00元（其中包一：</w:t>
      </w:r>
      <w:r>
        <w:rPr>
          <w:rFonts w:ascii="华文楷体" w:hAnsi="华文楷体" w:eastAsia="华文楷体" w:cs="宋体"/>
          <w:color w:val="auto"/>
          <w:kern w:val="0"/>
        </w:rPr>
        <w:t>940900.00</w:t>
      </w:r>
      <w:r>
        <w:rPr>
          <w:rFonts w:ascii="华文楷体" w:hAnsi="华文楷体" w:eastAsia="华文楷体" w:cs="宋体"/>
          <w:color w:val="auto"/>
        </w:rPr>
        <w:t>、</w:t>
      </w:r>
      <w:r>
        <w:rPr>
          <w:rFonts w:hint="eastAsia" w:ascii="华文楷体" w:hAnsi="华文楷体" w:eastAsia="华文楷体" w:cs="宋体"/>
          <w:color w:val="auto"/>
        </w:rPr>
        <w:t>包三：</w:t>
      </w:r>
      <w:r>
        <w:rPr>
          <w:rFonts w:ascii="华文楷体" w:hAnsi="华文楷体" w:eastAsia="华文楷体" w:cs="宋体"/>
          <w:color w:val="auto"/>
        </w:rPr>
        <w:t>1777300.00</w:t>
      </w:r>
      <w:r>
        <w:rPr>
          <w:rFonts w:hint="eastAsia" w:ascii="华文楷体" w:hAnsi="华文楷体" w:eastAsia="华文楷体" w:cs="宋体"/>
          <w:color w:val="auto"/>
          <w:kern w:val="0"/>
        </w:rPr>
        <w:t>）</w:t>
      </w:r>
    </w:p>
    <w:p w14:paraId="3DA46D6D">
      <w:pPr>
        <w:spacing w:line="400" w:lineRule="exact"/>
        <w:ind w:firstLine="480" w:firstLineChars="200"/>
        <w:rPr>
          <w:rFonts w:ascii="华文楷体" w:hAnsi="华文楷体" w:eastAsia="华文楷体" w:cs="宋体"/>
          <w:color w:val="auto"/>
          <w:kern w:val="0"/>
        </w:rPr>
      </w:pPr>
      <w:r>
        <w:rPr>
          <w:rFonts w:hint="eastAsia" w:ascii="华文楷体" w:hAnsi="华文楷体" w:eastAsia="华文楷体" w:cs="宋体"/>
          <w:color w:val="auto"/>
          <w:kern w:val="0"/>
        </w:rPr>
        <w:t>采购需求：</w:t>
      </w:r>
    </w:p>
    <w:tbl>
      <w:tblPr>
        <w:tblStyle w:val="26"/>
        <w:tblW w:w="0" w:type="auto"/>
        <w:tblInd w:w="41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313"/>
        <w:gridCol w:w="2100"/>
        <w:gridCol w:w="2597"/>
      </w:tblGrid>
      <w:tr w14:paraId="0EDF7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exact"/>
        </w:trPr>
        <w:tc>
          <w:tcPr>
            <w:tcW w:w="3313" w:type="dxa"/>
            <w:vAlign w:val="center"/>
          </w:tcPr>
          <w:p w14:paraId="0E7EED09">
            <w:pPr>
              <w:pStyle w:val="24"/>
              <w:widowControl/>
              <w:spacing w:before="0" w:beforeAutospacing="0" w:after="0" w:afterAutospacing="0" w:line="400" w:lineRule="exact"/>
              <w:jc w:val="center"/>
              <w:rPr>
                <w:rFonts w:hint="eastAsia" w:ascii="华文楷体" w:hAnsi="华文楷体" w:eastAsia="华文楷体" w:cs="宋体"/>
                <w:color w:val="auto"/>
                <w:lang w:val="zh-CN"/>
              </w:rPr>
            </w:pPr>
            <w:r>
              <w:rPr>
                <w:rFonts w:hint="eastAsia" w:ascii="华文楷体" w:hAnsi="华文楷体" w:eastAsia="华文楷体" w:cs="宋体"/>
                <w:color w:val="auto"/>
                <w:lang w:val="zh-CN"/>
              </w:rPr>
              <w:t>标项名称</w:t>
            </w:r>
          </w:p>
        </w:tc>
        <w:tc>
          <w:tcPr>
            <w:tcW w:w="2100" w:type="dxa"/>
            <w:vAlign w:val="center"/>
          </w:tcPr>
          <w:p w14:paraId="4727D90A">
            <w:pPr>
              <w:pStyle w:val="24"/>
              <w:widowControl/>
              <w:spacing w:before="0" w:beforeAutospacing="0" w:after="0" w:afterAutospacing="0" w:line="400" w:lineRule="exact"/>
              <w:jc w:val="center"/>
              <w:rPr>
                <w:rFonts w:hint="eastAsia" w:ascii="华文楷体" w:hAnsi="华文楷体" w:eastAsia="华文楷体" w:cs="宋体"/>
                <w:color w:val="auto"/>
                <w:lang w:val="zh-CN"/>
              </w:rPr>
            </w:pPr>
            <w:r>
              <w:rPr>
                <w:rFonts w:hint="eastAsia" w:ascii="华文楷体" w:hAnsi="华文楷体" w:eastAsia="华文楷体" w:cs="宋体"/>
                <w:color w:val="auto"/>
                <w:lang w:val="zh-CN"/>
              </w:rPr>
              <w:t>预算金额（元）</w:t>
            </w:r>
          </w:p>
        </w:tc>
        <w:tc>
          <w:tcPr>
            <w:tcW w:w="2597" w:type="dxa"/>
            <w:vAlign w:val="center"/>
          </w:tcPr>
          <w:p w14:paraId="7BBC830D">
            <w:pPr>
              <w:pStyle w:val="24"/>
              <w:widowControl/>
              <w:spacing w:before="0" w:beforeAutospacing="0" w:after="0" w:afterAutospacing="0" w:line="400" w:lineRule="exact"/>
              <w:jc w:val="center"/>
              <w:rPr>
                <w:rFonts w:hint="eastAsia" w:ascii="华文楷体" w:hAnsi="华文楷体" w:eastAsia="华文楷体" w:cs="宋体"/>
                <w:color w:val="auto"/>
                <w:lang w:val="zh-CN"/>
              </w:rPr>
            </w:pPr>
            <w:r>
              <w:rPr>
                <w:rFonts w:hint="eastAsia" w:ascii="华文楷体" w:hAnsi="华文楷体" w:eastAsia="华文楷体" w:cs="宋体"/>
                <w:color w:val="auto"/>
                <w:lang w:val="zh-CN"/>
              </w:rPr>
              <w:t>简要规格描述</w:t>
            </w:r>
          </w:p>
        </w:tc>
      </w:tr>
      <w:tr w14:paraId="08B320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13" w:type="dxa"/>
            <w:vAlign w:val="center"/>
          </w:tcPr>
          <w:p w14:paraId="336191BF">
            <w:pPr>
              <w:pStyle w:val="24"/>
              <w:widowControl/>
              <w:spacing w:before="0" w:beforeAutospacing="0" w:after="0" w:afterAutospacing="0" w:line="400" w:lineRule="exact"/>
              <w:jc w:val="center"/>
              <w:rPr>
                <w:rFonts w:ascii="华文楷体" w:hAnsi="华文楷体" w:eastAsia="华文楷体" w:cs="宋体"/>
                <w:color w:val="auto"/>
              </w:rPr>
            </w:pPr>
            <w:r>
              <w:rPr>
                <w:rFonts w:hint="eastAsia" w:ascii="华文楷体" w:hAnsi="华文楷体" w:eastAsia="华文楷体" w:cs="宋体"/>
                <w:color w:val="auto"/>
              </w:rPr>
              <w:t>格尔木市消防救援支队2024年度灭火救援装备采购项目包一</w:t>
            </w:r>
          </w:p>
        </w:tc>
        <w:tc>
          <w:tcPr>
            <w:tcW w:w="2100" w:type="dxa"/>
            <w:vAlign w:val="center"/>
          </w:tcPr>
          <w:p w14:paraId="35E4EE4A">
            <w:pPr>
              <w:pStyle w:val="24"/>
              <w:widowControl/>
              <w:spacing w:before="0" w:beforeAutospacing="0" w:after="0" w:afterAutospacing="0" w:line="400" w:lineRule="exact"/>
              <w:jc w:val="center"/>
              <w:rPr>
                <w:rFonts w:ascii="华文楷体" w:hAnsi="华文楷体" w:eastAsia="华文楷体" w:cs="宋体"/>
                <w:color w:val="auto"/>
              </w:rPr>
            </w:pPr>
            <w:r>
              <w:rPr>
                <w:rFonts w:ascii="华文楷体" w:hAnsi="华文楷体" w:eastAsia="华文楷体" w:cs="宋体"/>
                <w:color w:val="auto"/>
              </w:rPr>
              <w:t>940900.00</w:t>
            </w:r>
          </w:p>
        </w:tc>
        <w:tc>
          <w:tcPr>
            <w:tcW w:w="2597" w:type="dxa"/>
            <w:vAlign w:val="center"/>
          </w:tcPr>
          <w:p w14:paraId="7B5AF26A">
            <w:pPr>
              <w:pStyle w:val="24"/>
              <w:widowControl/>
              <w:spacing w:before="0" w:beforeAutospacing="0" w:after="0" w:afterAutospacing="0" w:line="400" w:lineRule="exact"/>
              <w:jc w:val="center"/>
              <w:rPr>
                <w:rFonts w:ascii="华文楷体" w:hAnsi="华文楷体" w:eastAsia="华文楷体" w:cs="宋体"/>
                <w:color w:val="auto"/>
                <w:lang w:val="zh-CN"/>
              </w:rPr>
            </w:pPr>
            <w:r>
              <w:rPr>
                <w:rFonts w:hint="eastAsia" w:ascii="华文楷体" w:hAnsi="华文楷体" w:eastAsia="华文楷体" w:cs="宋体"/>
                <w:color w:val="auto"/>
                <w:lang w:val="zh-CN"/>
              </w:rPr>
              <w:t>详见《招标文件》</w:t>
            </w:r>
          </w:p>
          <w:p w14:paraId="7D0F65CC">
            <w:pPr>
              <w:pStyle w:val="24"/>
              <w:widowControl/>
              <w:spacing w:before="0" w:beforeAutospacing="0" w:after="0" w:afterAutospacing="0" w:line="400" w:lineRule="exact"/>
              <w:jc w:val="center"/>
              <w:rPr>
                <w:rFonts w:ascii="华文楷体" w:hAnsi="华文楷体" w:eastAsia="华文楷体" w:cs="宋体"/>
                <w:color w:val="auto"/>
                <w:lang w:val="zh-CN"/>
              </w:rPr>
            </w:pPr>
            <w:r>
              <w:rPr>
                <w:rFonts w:hint="eastAsia" w:ascii="华文楷体" w:hAnsi="华文楷体" w:eastAsia="华文楷体" w:cs="宋体"/>
                <w:color w:val="auto"/>
                <w:lang w:val="zh-CN"/>
              </w:rPr>
              <w:t>第五章采购项目要求及技术参数</w:t>
            </w:r>
          </w:p>
        </w:tc>
      </w:tr>
      <w:tr w14:paraId="35615C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313" w:type="dxa"/>
            <w:vAlign w:val="center"/>
          </w:tcPr>
          <w:p w14:paraId="04E05A69">
            <w:pPr>
              <w:pStyle w:val="24"/>
              <w:widowControl/>
              <w:spacing w:before="0" w:beforeAutospacing="0" w:after="0" w:afterAutospacing="0" w:line="400" w:lineRule="exact"/>
              <w:jc w:val="center"/>
              <w:rPr>
                <w:rFonts w:ascii="华文楷体" w:hAnsi="华文楷体" w:eastAsia="华文楷体" w:cs="宋体"/>
                <w:color w:val="auto"/>
              </w:rPr>
            </w:pPr>
            <w:r>
              <w:rPr>
                <w:rFonts w:hint="eastAsia" w:ascii="华文楷体" w:hAnsi="华文楷体" w:eastAsia="华文楷体" w:cs="宋体"/>
                <w:color w:val="auto"/>
              </w:rPr>
              <w:t>格尔木市消防救援支队2024年度灭火救援装备采购项目包三</w:t>
            </w:r>
          </w:p>
        </w:tc>
        <w:tc>
          <w:tcPr>
            <w:tcW w:w="2100" w:type="dxa"/>
            <w:vAlign w:val="center"/>
          </w:tcPr>
          <w:p w14:paraId="5BD4141E">
            <w:pPr>
              <w:pStyle w:val="24"/>
              <w:widowControl/>
              <w:spacing w:before="0" w:beforeAutospacing="0" w:after="0" w:afterAutospacing="0" w:line="400" w:lineRule="exact"/>
              <w:jc w:val="center"/>
              <w:rPr>
                <w:rFonts w:ascii="华文楷体" w:hAnsi="华文楷体" w:eastAsia="华文楷体" w:cs="宋体"/>
                <w:color w:val="auto"/>
              </w:rPr>
            </w:pPr>
            <w:r>
              <w:rPr>
                <w:rFonts w:ascii="华文楷体" w:hAnsi="华文楷体" w:eastAsia="华文楷体" w:cs="宋体"/>
                <w:color w:val="auto"/>
              </w:rPr>
              <w:t>1777300.00</w:t>
            </w:r>
          </w:p>
        </w:tc>
        <w:tc>
          <w:tcPr>
            <w:tcW w:w="2597" w:type="dxa"/>
            <w:vAlign w:val="center"/>
          </w:tcPr>
          <w:p w14:paraId="5AC2BB80">
            <w:pPr>
              <w:pStyle w:val="24"/>
              <w:widowControl/>
              <w:spacing w:before="0" w:beforeAutospacing="0" w:after="0" w:afterAutospacing="0" w:line="400" w:lineRule="exact"/>
              <w:jc w:val="center"/>
              <w:rPr>
                <w:rFonts w:ascii="华文楷体" w:hAnsi="华文楷体" w:eastAsia="华文楷体" w:cs="宋体"/>
                <w:color w:val="auto"/>
                <w:lang w:val="zh-CN"/>
              </w:rPr>
            </w:pPr>
            <w:r>
              <w:rPr>
                <w:rFonts w:hint="eastAsia" w:ascii="华文楷体" w:hAnsi="华文楷体" w:eastAsia="华文楷体" w:cs="宋体"/>
                <w:color w:val="auto"/>
                <w:lang w:val="zh-CN"/>
              </w:rPr>
              <w:t>详见《招标文件》</w:t>
            </w:r>
          </w:p>
          <w:p w14:paraId="7D880560">
            <w:pPr>
              <w:pStyle w:val="24"/>
              <w:widowControl/>
              <w:spacing w:before="0" w:beforeAutospacing="0" w:after="0" w:afterAutospacing="0" w:line="400" w:lineRule="exact"/>
              <w:jc w:val="center"/>
              <w:rPr>
                <w:rFonts w:ascii="华文楷体" w:hAnsi="华文楷体" w:eastAsia="华文楷体" w:cs="宋体"/>
                <w:color w:val="auto"/>
                <w:lang w:val="zh-CN"/>
              </w:rPr>
            </w:pPr>
            <w:r>
              <w:rPr>
                <w:rFonts w:hint="eastAsia" w:ascii="华文楷体" w:hAnsi="华文楷体" w:eastAsia="华文楷体" w:cs="宋体"/>
                <w:color w:val="auto"/>
                <w:lang w:val="zh-CN"/>
              </w:rPr>
              <w:t>第五章采购项目要求及技术参数</w:t>
            </w:r>
          </w:p>
        </w:tc>
      </w:tr>
    </w:tbl>
    <w:p w14:paraId="37134D79">
      <w:pPr>
        <w:keepNext w:val="0"/>
        <w:keepLines w:val="0"/>
        <w:pageBreakBefore w:val="0"/>
        <w:widowControl w:val="0"/>
        <w:kinsoku/>
        <w:wordWrap/>
        <w:overflowPunct/>
        <w:topLinePunct w:val="0"/>
        <w:autoSpaceDE/>
        <w:autoSpaceDN/>
        <w:bidi w:val="0"/>
        <w:adjustRightInd/>
        <w:snapToGrid/>
        <w:spacing w:line="440" w:lineRule="exact"/>
        <w:ind w:firstLine="361" w:firstLineChars="150"/>
        <w:textAlignment w:val="auto"/>
        <w:rPr>
          <w:rFonts w:ascii="华文楷体" w:hAnsi="华文楷体" w:eastAsia="华文楷体" w:cs="宋体"/>
          <w:b/>
          <w:bCs/>
        </w:rPr>
      </w:pPr>
      <w:r>
        <w:rPr>
          <w:rFonts w:hint="eastAsia" w:ascii="华文楷体" w:hAnsi="华文楷体" w:eastAsia="华文楷体" w:cs="宋体"/>
          <w:b/>
          <w:bCs/>
        </w:rPr>
        <w:t>合同履行期限：自合同签订之日起60日内供货至采购人指定地点</w:t>
      </w:r>
    </w:p>
    <w:p w14:paraId="34338D90">
      <w:pPr>
        <w:keepNext w:val="0"/>
        <w:keepLines w:val="0"/>
        <w:pageBreakBefore w:val="0"/>
        <w:widowControl w:val="0"/>
        <w:kinsoku/>
        <w:wordWrap/>
        <w:overflowPunct/>
        <w:topLinePunct w:val="0"/>
        <w:autoSpaceDE/>
        <w:autoSpaceDN/>
        <w:bidi w:val="0"/>
        <w:adjustRightInd/>
        <w:snapToGrid/>
        <w:spacing w:line="440" w:lineRule="exact"/>
        <w:ind w:firstLine="354" w:firstLineChars="147"/>
        <w:textAlignment w:val="auto"/>
        <w:rPr>
          <w:rFonts w:ascii="华文楷体" w:hAnsi="华文楷体" w:eastAsia="华文楷体" w:cs="宋体"/>
          <w:b/>
          <w:bCs/>
        </w:rPr>
      </w:pPr>
      <w:r>
        <w:rPr>
          <w:rFonts w:hint="eastAsia" w:ascii="华文楷体" w:hAnsi="华文楷体" w:eastAsia="华文楷体" w:cs="宋体"/>
          <w:b/>
          <w:bCs/>
        </w:rPr>
        <w:t>本项目（不）接受联合体投标。</w:t>
      </w:r>
    </w:p>
    <w:p w14:paraId="5A03185B">
      <w:pPr>
        <w:keepNext w:val="0"/>
        <w:keepLines w:val="0"/>
        <w:pageBreakBefore w:val="0"/>
        <w:widowControl w:val="0"/>
        <w:kinsoku/>
        <w:wordWrap/>
        <w:overflowPunct/>
        <w:topLinePunct w:val="0"/>
        <w:autoSpaceDE/>
        <w:autoSpaceDN/>
        <w:bidi w:val="0"/>
        <w:adjustRightInd/>
        <w:snapToGrid/>
        <w:spacing w:line="440" w:lineRule="exact"/>
        <w:textAlignment w:val="auto"/>
        <w:rPr>
          <w:rFonts w:ascii="华文楷体" w:hAnsi="华文楷体" w:eastAsia="华文楷体" w:cs="宋体"/>
          <w:b/>
          <w:bCs/>
        </w:rPr>
      </w:pPr>
      <w:bookmarkStart w:id="9" w:name="_Toc35393622"/>
      <w:bookmarkStart w:id="10" w:name="_Toc28359080"/>
      <w:bookmarkStart w:id="11" w:name="_Toc28359003"/>
      <w:bookmarkStart w:id="12" w:name="_Toc35393791"/>
      <w:r>
        <w:rPr>
          <w:rFonts w:hint="eastAsia" w:ascii="华文楷体" w:hAnsi="华文楷体" w:eastAsia="华文楷体" w:cs="宋体"/>
          <w:b/>
          <w:bCs/>
        </w:rPr>
        <w:t>二、申请人的资格要求：</w:t>
      </w:r>
      <w:bookmarkEnd w:id="9"/>
      <w:bookmarkEnd w:id="10"/>
      <w:bookmarkEnd w:id="11"/>
      <w:bookmarkEnd w:id="12"/>
    </w:p>
    <w:p w14:paraId="64555E5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1.满足《中华人民共和国政府采购法》第二十二条规定；</w:t>
      </w:r>
    </w:p>
    <w:p w14:paraId="3E7F639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（1）投标人的营业执照等证明文件，自然人的身份证明。</w:t>
      </w:r>
    </w:p>
    <w:p w14:paraId="19CA32E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（2）财务状况报告，依法缴纳税收和社会保障资金的相关材料。</w:t>
      </w:r>
    </w:p>
    <w:p w14:paraId="7DBDA6E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（3）具备履行合同所必需的设备和专业技术能力的证明材料。</w:t>
      </w:r>
    </w:p>
    <w:p w14:paraId="32B773B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（4）参加政府采购活动前3年内在经营活动中没有重大违法记录的书面声明。</w:t>
      </w:r>
    </w:p>
    <w:p w14:paraId="2BEA300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（5）具备法律、行政法规规定的其他条件的证明材料。</w:t>
      </w:r>
    </w:p>
    <w:p w14:paraId="4E170255">
      <w:pPr>
        <w:pStyle w:val="11"/>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bookmarkStart w:id="13" w:name="_Toc28359004"/>
      <w:bookmarkStart w:id="14" w:name="_Toc28359081"/>
      <w:r>
        <w:rPr>
          <w:rFonts w:hint="eastAsia" w:ascii="华文楷体" w:hAnsi="华文楷体" w:eastAsia="华文楷体" w:cs="宋体"/>
        </w:rPr>
        <w:t>2.落实政府采购政策需满足的资格要求：本项目包三专门面向小微企业采购（监狱企业、残疾人福利性单位视同小型、微型企业）。</w:t>
      </w:r>
    </w:p>
    <w:p w14:paraId="51761CD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lang w:val="zh-CN"/>
        </w:rPr>
      </w:pPr>
      <w:r>
        <w:rPr>
          <w:rFonts w:hint="eastAsia" w:ascii="华文楷体" w:hAnsi="华文楷体" w:eastAsia="华文楷体" w:cs="宋体"/>
        </w:rPr>
        <w:t>3.本项目的特定资格要求：</w:t>
      </w:r>
      <w:bookmarkStart w:id="15" w:name="_Toc35393792"/>
      <w:bookmarkStart w:id="16" w:name="_Toc35393623"/>
    </w:p>
    <w:p w14:paraId="672B85D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1）经信用中国（www.creditchina.gov.cn）、中国政府采购网（www.ccgp.gov.cn）等渠道查询后，列入失信被执行人、重大税收违法失信主体、政府采购严重违法失信行为记录名单的，取消投标资格。（依据《财政部关于在政府采购活动中查询及使用信用记录有关问题的通知》（财库〔2016〕125 号)“（二）信用记录查询渠道。本项目评标现场，采购人、采购代理机构将通过“信用中国”网站（www.creditchina.gov.cn）、中国政府采购网（www.ccgp.gov.cn）等渠道查询投标人主体信用记录，并采取必要方式做好信用信息查询记录和证据留存，信用信息查询记录及相关证据将与其他采购文件一并保存”，投标人主体信用记录以评标现场采购人、采购代理机构查询结果为准。）</w:t>
      </w:r>
    </w:p>
    <w:p w14:paraId="75F7B41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（2）投标人可就本项目进行投标，但不得就本项目内容拆分投标，所投内容必须完全响应招标文件所列内容。</w:t>
      </w:r>
    </w:p>
    <w:p w14:paraId="2EDEEB0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（3）单位负责人为同一人或者存在直接控股、管理关系的不同投标人，不得参加同一合同项下的政府采购活动。否则，皆取消投标资格；</w:t>
      </w:r>
    </w:p>
    <w:p w14:paraId="5943984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rPr>
      </w:pPr>
      <w:r>
        <w:rPr>
          <w:rFonts w:hint="eastAsia" w:ascii="华文楷体" w:hAnsi="华文楷体" w:eastAsia="华文楷体" w:cs="宋体"/>
        </w:rPr>
        <w:t>（4）为本项目提供整体设计、规范编制或者项目管理、监理、检测等服务的投标人，不得再参加本项目的其他采购活动。</w:t>
      </w:r>
    </w:p>
    <w:p w14:paraId="5F7B9776">
      <w:pPr>
        <w:keepNext w:val="0"/>
        <w:keepLines w:val="0"/>
        <w:pageBreakBefore w:val="0"/>
        <w:widowControl w:val="0"/>
        <w:kinsoku/>
        <w:wordWrap/>
        <w:overflowPunct/>
        <w:topLinePunct w:val="0"/>
        <w:autoSpaceDE/>
        <w:autoSpaceDN/>
        <w:bidi w:val="0"/>
        <w:adjustRightInd/>
        <w:snapToGrid/>
        <w:spacing w:line="440" w:lineRule="exact"/>
        <w:textAlignment w:val="auto"/>
        <w:rPr>
          <w:rFonts w:ascii="华文楷体" w:hAnsi="华文楷体" w:eastAsia="华文楷体" w:cs="宋体"/>
          <w:b/>
          <w:bCs/>
        </w:rPr>
      </w:pPr>
      <w:r>
        <w:rPr>
          <w:rFonts w:hint="eastAsia" w:ascii="华文楷体" w:hAnsi="华文楷体" w:eastAsia="华文楷体" w:cs="宋体"/>
          <w:b/>
          <w:bCs/>
        </w:rPr>
        <w:t>三、获取招标文件</w:t>
      </w:r>
      <w:bookmarkEnd w:id="13"/>
      <w:bookmarkEnd w:id="14"/>
      <w:bookmarkEnd w:id="15"/>
      <w:bookmarkEnd w:id="16"/>
    </w:p>
    <w:p w14:paraId="12C87D97">
      <w:pPr>
        <w:keepNext w:val="0"/>
        <w:keepLines w:val="0"/>
        <w:pageBreakBefore w:val="0"/>
        <w:widowControl w:val="0"/>
        <w:kinsoku/>
        <w:wordWrap/>
        <w:overflowPunct/>
        <w:topLinePunct w:val="0"/>
        <w:autoSpaceDE/>
        <w:autoSpaceDN/>
        <w:bidi w:val="0"/>
        <w:adjustRightInd/>
        <w:snapToGrid/>
        <w:spacing w:line="440" w:lineRule="exact"/>
        <w:ind w:firstLine="540"/>
        <w:textAlignment w:val="auto"/>
        <w:rPr>
          <w:rFonts w:ascii="华文楷体" w:hAnsi="华文楷体" w:eastAsia="华文楷体" w:cs="宋体"/>
          <w:b/>
          <w:bCs/>
        </w:rPr>
      </w:pPr>
      <w:r>
        <w:rPr>
          <w:rFonts w:hint="eastAsia" w:ascii="华文楷体" w:hAnsi="华文楷体" w:eastAsia="华文楷体" w:cs="宋体"/>
          <w:b/>
          <w:bCs/>
        </w:rPr>
        <w:t>时间：2025年0</w:t>
      </w:r>
      <w:r>
        <w:rPr>
          <w:rFonts w:hint="eastAsia" w:ascii="华文楷体" w:hAnsi="华文楷体" w:eastAsia="华文楷体" w:cs="宋体"/>
          <w:b/>
          <w:bCs/>
          <w:lang w:val="en-US" w:eastAsia="zh-CN"/>
        </w:rPr>
        <w:t>4</w:t>
      </w:r>
      <w:r>
        <w:rPr>
          <w:rFonts w:hint="eastAsia" w:ascii="华文楷体" w:hAnsi="华文楷体" w:eastAsia="华文楷体" w:cs="宋体"/>
          <w:b/>
          <w:bCs/>
        </w:rPr>
        <w:t>月</w:t>
      </w:r>
      <w:r>
        <w:rPr>
          <w:rFonts w:hint="eastAsia" w:ascii="华文楷体" w:hAnsi="华文楷体" w:eastAsia="华文楷体" w:cs="宋体"/>
          <w:b/>
          <w:bCs/>
          <w:lang w:val="en-US" w:eastAsia="zh-CN"/>
        </w:rPr>
        <w:t>02</w:t>
      </w:r>
      <w:r>
        <w:rPr>
          <w:rFonts w:hint="eastAsia" w:ascii="华文楷体" w:hAnsi="华文楷体" w:eastAsia="华文楷体" w:cs="宋体"/>
          <w:b/>
          <w:bCs/>
        </w:rPr>
        <w:t>日至2025年0</w:t>
      </w:r>
      <w:r>
        <w:rPr>
          <w:rFonts w:hint="eastAsia" w:ascii="华文楷体" w:hAnsi="华文楷体" w:eastAsia="华文楷体" w:cs="宋体"/>
          <w:b/>
          <w:bCs/>
          <w:lang w:val="en-US" w:eastAsia="zh-CN"/>
        </w:rPr>
        <w:t>4</w:t>
      </w:r>
      <w:r>
        <w:rPr>
          <w:rFonts w:hint="eastAsia" w:ascii="华文楷体" w:hAnsi="华文楷体" w:eastAsia="华文楷体" w:cs="宋体"/>
          <w:b/>
          <w:bCs/>
        </w:rPr>
        <w:t>月</w:t>
      </w:r>
      <w:r>
        <w:rPr>
          <w:rFonts w:hint="eastAsia" w:ascii="华文楷体" w:hAnsi="华文楷体" w:eastAsia="华文楷体" w:cs="宋体"/>
          <w:b/>
          <w:bCs/>
          <w:lang w:val="en-US" w:eastAsia="zh-CN"/>
        </w:rPr>
        <w:t>10</w:t>
      </w:r>
      <w:r>
        <w:rPr>
          <w:rFonts w:hint="eastAsia" w:ascii="华文楷体" w:hAnsi="华文楷体" w:eastAsia="华文楷体" w:cs="宋体"/>
          <w:b/>
          <w:bCs/>
        </w:rPr>
        <w:t>日，每天上午00:00至12:00，下午12:00至23:59（北京时间）</w:t>
      </w:r>
    </w:p>
    <w:p w14:paraId="7E120B4F">
      <w:pPr>
        <w:keepNext w:val="0"/>
        <w:keepLines w:val="0"/>
        <w:pageBreakBefore w:val="0"/>
        <w:widowControl w:val="0"/>
        <w:kinsoku/>
        <w:wordWrap/>
        <w:overflowPunct/>
        <w:topLinePunct w:val="0"/>
        <w:autoSpaceDE/>
        <w:autoSpaceDN/>
        <w:bidi w:val="0"/>
        <w:adjustRightInd/>
        <w:snapToGrid/>
        <w:spacing w:line="440" w:lineRule="exact"/>
        <w:ind w:firstLine="540"/>
        <w:textAlignment w:val="auto"/>
        <w:rPr>
          <w:rFonts w:ascii="华文楷体" w:hAnsi="华文楷体" w:eastAsia="华文楷体" w:cs="宋体"/>
          <w:b/>
          <w:bCs/>
          <w:u w:val="single"/>
        </w:rPr>
      </w:pPr>
      <w:r>
        <w:rPr>
          <w:rFonts w:hint="eastAsia" w:ascii="华文楷体" w:hAnsi="华文楷体" w:eastAsia="华文楷体" w:cs="宋体"/>
          <w:b/>
          <w:bCs/>
        </w:rPr>
        <w:t>地点：</w:t>
      </w:r>
      <w:r>
        <w:rPr>
          <w:rFonts w:hint="eastAsia" w:ascii="华文楷体" w:hAnsi="华文楷体" w:eastAsia="华文楷体" w:cs="宋体"/>
        </w:rPr>
        <w:t>线上获取，通过政采云平台（ www.zcygov.cn）获取</w:t>
      </w:r>
    </w:p>
    <w:p w14:paraId="6AF35D68">
      <w:pPr>
        <w:keepNext w:val="0"/>
        <w:keepLines w:val="0"/>
        <w:pageBreakBefore w:val="0"/>
        <w:widowControl w:val="0"/>
        <w:kinsoku/>
        <w:wordWrap/>
        <w:overflowPunct/>
        <w:topLinePunct w:val="0"/>
        <w:autoSpaceDE/>
        <w:autoSpaceDN/>
        <w:bidi w:val="0"/>
        <w:adjustRightInd/>
        <w:snapToGrid/>
        <w:spacing w:line="440" w:lineRule="exact"/>
        <w:ind w:firstLine="540"/>
        <w:textAlignment w:val="auto"/>
        <w:rPr>
          <w:rFonts w:ascii="华文楷体" w:hAnsi="华文楷体" w:eastAsia="华文楷体" w:cs="宋体"/>
        </w:rPr>
      </w:pPr>
      <w:bookmarkStart w:id="17" w:name="_Toc28359082"/>
      <w:bookmarkStart w:id="18" w:name="_Toc28359005"/>
      <w:bookmarkStart w:id="19" w:name="_Toc35393624"/>
      <w:bookmarkStart w:id="20" w:name="_Toc35393793"/>
      <w:r>
        <w:rPr>
          <w:rFonts w:hint="eastAsia" w:ascii="华文楷体" w:hAnsi="华文楷体" w:eastAsia="华文楷体" w:cs="宋体"/>
          <w:b/>
          <w:bCs/>
        </w:rPr>
        <w:t>方式：</w:t>
      </w:r>
      <w:r>
        <w:rPr>
          <w:rFonts w:hint="eastAsia" w:ascii="华文楷体" w:hAnsi="华文楷体" w:eastAsia="华文楷体" w:cs="宋体"/>
        </w:rPr>
        <w:t>投标人登录政采云平台https://www.zcygov.cn/在线申请获取招标文件（进入“项目采购”应用，在获取招标文件菜单中选择项目，申请获取招标文件），具体方式请咨询线上电子化交易系统：咨询电话：政采云95763。</w:t>
      </w:r>
    </w:p>
    <w:p w14:paraId="5CAE1B29">
      <w:pPr>
        <w:pStyle w:val="2"/>
        <w:keepNext w:val="0"/>
        <w:keepLines w:val="0"/>
        <w:pageBreakBefore w:val="0"/>
        <w:widowControl w:val="0"/>
        <w:kinsoku/>
        <w:wordWrap/>
        <w:overflowPunct/>
        <w:topLinePunct w:val="0"/>
        <w:autoSpaceDE/>
        <w:autoSpaceDN/>
        <w:bidi w:val="0"/>
        <w:adjustRightInd/>
        <w:snapToGrid/>
        <w:spacing w:after="0" w:line="440" w:lineRule="exact"/>
        <w:ind w:firstLine="482" w:firstLineChars="200"/>
        <w:textAlignment w:val="auto"/>
        <w:rPr>
          <w:rFonts w:ascii="华文楷体" w:hAnsi="华文楷体" w:eastAsia="华文楷体" w:cs="宋体"/>
          <w:b/>
          <w:bCs/>
        </w:rPr>
      </w:pPr>
      <w:r>
        <w:rPr>
          <w:rFonts w:hint="eastAsia" w:ascii="华文楷体" w:hAnsi="华文楷体" w:eastAsia="华文楷体" w:cs="宋体"/>
          <w:b/>
          <w:bCs/>
        </w:rPr>
        <w:t>售价：</w:t>
      </w:r>
      <w:r>
        <w:rPr>
          <w:rFonts w:hint="eastAsia" w:ascii="华文楷体" w:hAnsi="华文楷体" w:eastAsia="华文楷体" w:cs="宋体"/>
          <w:kern w:val="0"/>
          <w:lang w:val="zh-CN"/>
        </w:rPr>
        <w:t>0元/包（</w:t>
      </w:r>
      <w:r>
        <w:rPr>
          <w:rFonts w:hint="eastAsia" w:ascii="华文楷体" w:hAnsi="华文楷体" w:eastAsia="华文楷体" w:cs="宋体"/>
          <w:kern w:val="0"/>
        </w:rPr>
        <w:t>采购</w:t>
      </w:r>
      <w:r>
        <w:rPr>
          <w:rFonts w:hint="eastAsia" w:ascii="华文楷体" w:hAnsi="华文楷体" w:eastAsia="华文楷体" w:cs="宋体"/>
          <w:kern w:val="0"/>
          <w:lang w:val="zh-CN"/>
        </w:rPr>
        <w:t>文件售后不退,投标资格不能转让。）</w:t>
      </w:r>
    </w:p>
    <w:p w14:paraId="08FA3697">
      <w:pPr>
        <w:keepNext w:val="0"/>
        <w:keepLines w:val="0"/>
        <w:pageBreakBefore w:val="0"/>
        <w:widowControl w:val="0"/>
        <w:kinsoku/>
        <w:wordWrap/>
        <w:overflowPunct/>
        <w:topLinePunct w:val="0"/>
        <w:autoSpaceDE/>
        <w:autoSpaceDN/>
        <w:bidi w:val="0"/>
        <w:adjustRightInd/>
        <w:snapToGrid/>
        <w:spacing w:line="440" w:lineRule="exact"/>
        <w:textAlignment w:val="auto"/>
        <w:rPr>
          <w:rFonts w:ascii="华文楷体" w:hAnsi="华文楷体" w:eastAsia="华文楷体" w:cs="宋体"/>
          <w:b/>
          <w:bCs/>
          <w:kern w:val="0"/>
          <w:lang w:val="zh-CN"/>
        </w:rPr>
      </w:pPr>
      <w:r>
        <w:rPr>
          <w:rFonts w:hint="eastAsia" w:ascii="华文楷体" w:hAnsi="华文楷体" w:eastAsia="华文楷体" w:cs="宋体"/>
          <w:b/>
          <w:bCs/>
          <w:kern w:val="0"/>
          <w:lang w:val="zh-CN"/>
        </w:rPr>
        <w:t>四、投标</w:t>
      </w:r>
      <w:bookmarkEnd w:id="17"/>
      <w:bookmarkEnd w:id="18"/>
      <w:r>
        <w:rPr>
          <w:rFonts w:hint="eastAsia" w:ascii="华文楷体" w:hAnsi="华文楷体" w:eastAsia="华文楷体" w:cs="宋体"/>
          <w:b/>
          <w:bCs/>
          <w:kern w:val="0"/>
          <w:lang w:val="zh-CN"/>
        </w:rPr>
        <w:t>截止</w:t>
      </w:r>
      <w:r>
        <w:rPr>
          <w:rFonts w:hint="eastAsia" w:ascii="华文楷体" w:hAnsi="华文楷体" w:eastAsia="华文楷体" w:cs="宋体"/>
          <w:b/>
          <w:bCs/>
          <w:kern w:val="0"/>
        </w:rPr>
        <w:t>及开标</w:t>
      </w:r>
      <w:r>
        <w:rPr>
          <w:rFonts w:hint="eastAsia" w:ascii="华文楷体" w:hAnsi="华文楷体" w:eastAsia="华文楷体" w:cs="宋体"/>
          <w:b/>
          <w:bCs/>
          <w:kern w:val="0"/>
          <w:lang w:val="zh-CN"/>
        </w:rPr>
        <w:t>时间、地点</w:t>
      </w:r>
      <w:bookmarkEnd w:id="19"/>
      <w:bookmarkEnd w:id="20"/>
    </w:p>
    <w:p w14:paraId="6AF24037">
      <w:pPr>
        <w:keepNext w:val="0"/>
        <w:keepLines w:val="0"/>
        <w:pageBreakBefore w:val="0"/>
        <w:widowControl w:val="0"/>
        <w:kinsoku/>
        <w:wordWrap/>
        <w:overflowPunct/>
        <w:topLinePunct w:val="0"/>
        <w:autoSpaceDE/>
        <w:autoSpaceDN/>
        <w:bidi w:val="0"/>
        <w:adjustRightInd/>
        <w:snapToGrid/>
        <w:spacing w:line="440" w:lineRule="exact"/>
        <w:ind w:firstLine="540"/>
        <w:textAlignment w:val="auto"/>
        <w:rPr>
          <w:rFonts w:ascii="华文楷体" w:hAnsi="华文楷体" w:eastAsia="华文楷体" w:cs="宋体"/>
          <w:b/>
          <w:bCs/>
          <w:color w:val="auto"/>
        </w:rPr>
      </w:pPr>
      <w:bookmarkStart w:id="21" w:name="_Toc35393625"/>
      <w:bookmarkStart w:id="22" w:name="_Toc28359007"/>
      <w:bookmarkStart w:id="23" w:name="_Toc35393794"/>
      <w:bookmarkStart w:id="24" w:name="_Toc28359084"/>
      <w:r>
        <w:rPr>
          <w:rFonts w:hint="eastAsia" w:ascii="华文楷体" w:hAnsi="华文楷体" w:eastAsia="华文楷体" w:cs="宋体"/>
          <w:b/>
          <w:bCs/>
          <w:color w:val="auto"/>
          <w:kern w:val="0"/>
        </w:rPr>
        <w:t>提交投标文件截止时</w:t>
      </w:r>
      <w:r>
        <w:rPr>
          <w:rFonts w:hint="eastAsia" w:ascii="华文楷体" w:hAnsi="华文楷体" w:eastAsia="华文楷体" w:cs="宋体"/>
          <w:b/>
          <w:bCs/>
          <w:color w:val="auto"/>
          <w:u w:val="single"/>
        </w:rPr>
        <w:t>间：</w:t>
      </w:r>
      <w:r>
        <w:rPr>
          <w:rFonts w:hint="eastAsia" w:ascii="华文楷体" w:hAnsi="华文楷体" w:eastAsia="华文楷体" w:cs="宋体"/>
          <w:b/>
          <w:bCs/>
          <w:color w:val="auto"/>
          <w:u w:val="single"/>
          <w:lang w:eastAsia="zh-CN"/>
        </w:rPr>
        <w:t>2025年04月24日09点30分</w:t>
      </w:r>
      <w:r>
        <w:rPr>
          <w:rFonts w:hint="eastAsia" w:ascii="华文楷体" w:hAnsi="华文楷体" w:eastAsia="华文楷体" w:cs="宋体"/>
          <w:b/>
          <w:bCs/>
          <w:color w:val="auto"/>
          <w:u w:val="single"/>
        </w:rPr>
        <w:t>（北京时间）；</w:t>
      </w:r>
    </w:p>
    <w:p w14:paraId="46AD36B8">
      <w:pPr>
        <w:keepNext w:val="0"/>
        <w:keepLines w:val="0"/>
        <w:pageBreakBefore w:val="0"/>
        <w:widowControl w:val="0"/>
        <w:kinsoku/>
        <w:wordWrap/>
        <w:overflowPunct/>
        <w:topLinePunct w:val="0"/>
        <w:autoSpaceDE/>
        <w:autoSpaceDN/>
        <w:bidi w:val="0"/>
        <w:adjustRightInd/>
        <w:snapToGrid/>
        <w:spacing w:line="440" w:lineRule="exact"/>
        <w:ind w:firstLine="540"/>
        <w:textAlignment w:val="auto"/>
        <w:rPr>
          <w:rFonts w:ascii="华文楷体" w:hAnsi="华文楷体" w:eastAsia="华文楷体" w:cs="宋体"/>
          <w:b/>
          <w:bCs/>
          <w:color w:val="auto"/>
          <w:u w:val="single"/>
        </w:rPr>
      </w:pPr>
      <w:r>
        <w:rPr>
          <w:rFonts w:hint="eastAsia" w:ascii="华文楷体" w:hAnsi="华文楷体" w:eastAsia="华文楷体" w:cs="宋体"/>
          <w:b/>
          <w:bCs/>
          <w:color w:val="auto"/>
        </w:rPr>
        <w:t>投标文件递交地点：</w:t>
      </w:r>
      <w:r>
        <w:rPr>
          <w:rFonts w:hint="eastAsia" w:ascii="华文楷体" w:hAnsi="华文楷体" w:eastAsia="华文楷体" w:cs="宋体"/>
          <w:b/>
          <w:bCs/>
          <w:color w:val="auto"/>
          <w:u w:val="single"/>
          <w:lang w:val="zh-CN"/>
        </w:rPr>
        <w:t>政采云</w:t>
      </w:r>
      <w:r>
        <w:rPr>
          <w:rFonts w:hint="eastAsia" w:ascii="华文楷体" w:hAnsi="华文楷体" w:eastAsia="华文楷体" w:cs="宋体"/>
          <w:b/>
          <w:bCs/>
          <w:color w:val="auto"/>
          <w:u w:val="single"/>
        </w:rPr>
        <w:t>（https://www.zcygov.cn/）；</w:t>
      </w:r>
    </w:p>
    <w:p w14:paraId="1916946E">
      <w:pPr>
        <w:keepNext w:val="0"/>
        <w:keepLines w:val="0"/>
        <w:pageBreakBefore w:val="0"/>
        <w:widowControl w:val="0"/>
        <w:kinsoku/>
        <w:wordWrap/>
        <w:overflowPunct/>
        <w:topLinePunct w:val="0"/>
        <w:autoSpaceDE/>
        <w:autoSpaceDN/>
        <w:bidi w:val="0"/>
        <w:adjustRightInd/>
        <w:snapToGrid/>
        <w:spacing w:line="440" w:lineRule="exact"/>
        <w:ind w:firstLine="540"/>
        <w:textAlignment w:val="auto"/>
        <w:rPr>
          <w:rFonts w:ascii="华文楷体" w:hAnsi="华文楷体" w:eastAsia="华文楷体" w:cs="宋体"/>
          <w:b/>
          <w:bCs/>
          <w:color w:val="auto"/>
          <w:u w:val="single"/>
          <w:lang w:val="zh-CN"/>
        </w:rPr>
      </w:pPr>
      <w:r>
        <w:rPr>
          <w:rFonts w:hint="eastAsia" w:ascii="华文楷体" w:hAnsi="华文楷体" w:eastAsia="华文楷体" w:cs="宋体"/>
          <w:b/>
          <w:bCs/>
          <w:color w:val="auto"/>
          <w:kern w:val="0"/>
          <w:lang w:val="zh-CN"/>
        </w:rPr>
        <w:t>开标时间：</w:t>
      </w:r>
      <w:r>
        <w:rPr>
          <w:rFonts w:hint="eastAsia" w:ascii="华文楷体" w:hAnsi="华文楷体" w:eastAsia="华文楷体" w:cs="宋体"/>
          <w:b/>
          <w:bCs/>
          <w:color w:val="auto"/>
          <w:u w:val="single"/>
          <w:lang w:eastAsia="zh-CN"/>
        </w:rPr>
        <w:t>2025年04月24日09点30分</w:t>
      </w:r>
      <w:r>
        <w:rPr>
          <w:rFonts w:hint="eastAsia" w:ascii="华文楷体" w:hAnsi="华文楷体" w:eastAsia="华文楷体" w:cs="宋体"/>
          <w:b/>
          <w:bCs/>
          <w:color w:val="auto"/>
          <w:u w:val="single"/>
          <w:lang w:val="zh-CN"/>
        </w:rPr>
        <w:t>（北京时间）；</w:t>
      </w:r>
    </w:p>
    <w:p w14:paraId="7AD5186F">
      <w:pPr>
        <w:keepNext w:val="0"/>
        <w:keepLines w:val="0"/>
        <w:pageBreakBefore w:val="0"/>
        <w:widowControl w:val="0"/>
        <w:kinsoku/>
        <w:wordWrap/>
        <w:overflowPunct/>
        <w:topLinePunct w:val="0"/>
        <w:autoSpaceDE/>
        <w:autoSpaceDN/>
        <w:bidi w:val="0"/>
        <w:adjustRightInd/>
        <w:snapToGrid/>
        <w:spacing w:line="440" w:lineRule="exact"/>
        <w:ind w:firstLine="540"/>
        <w:textAlignment w:val="auto"/>
        <w:rPr>
          <w:rFonts w:ascii="华文楷体" w:hAnsi="华文楷体" w:eastAsia="华文楷体" w:cs="宋体"/>
          <w:b/>
          <w:bCs/>
          <w:color w:val="auto"/>
        </w:rPr>
      </w:pPr>
      <w:r>
        <w:rPr>
          <w:rFonts w:hint="eastAsia" w:ascii="华文楷体" w:hAnsi="华文楷体" w:eastAsia="华文楷体" w:cs="宋体"/>
          <w:b/>
          <w:bCs/>
          <w:color w:val="auto"/>
          <w:kern w:val="0"/>
          <w:lang w:val="zh-CN"/>
        </w:rPr>
        <w:t>开标地点</w:t>
      </w:r>
      <w:r>
        <w:rPr>
          <w:rFonts w:hint="eastAsia" w:ascii="华文楷体" w:hAnsi="华文楷体" w:eastAsia="华文楷体" w:cs="宋体"/>
          <w:b/>
          <w:bCs/>
          <w:color w:val="auto"/>
          <w:kern w:val="0"/>
        </w:rPr>
        <w:t>:西宁市公共资源交易中心1号开标室（地址：西宁市</w:t>
      </w:r>
      <w:r>
        <w:rPr>
          <w:rFonts w:hint="eastAsia" w:ascii="华文楷体" w:hAnsi="华文楷体" w:eastAsia="华文楷体" w:cs="宋体"/>
          <w:b/>
          <w:bCs/>
          <w:color w:val="auto"/>
          <w:kern w:val="0"/>
          <w:lang w:val="zh-CN"/>
        </w:rPr>
        <w:t>城中区南川西路沈家寨省团校对面西宁市市民中心四楼</w:t>
      </w:r>
      <w:r>
        <w:rPr>
          <w:rFonts w:hint="eastAsia" w:ascii="华文楷体" w:hAnsi="华文楷体" w:eastAsia="华文楷体" w:cs="宋体"/>
          <w:b/>
          <w:bCs/>
          <w:color w:val="auto"/>
          <w:kern w:val="0"/>
        </w:rPr>
        <w:t>）</w:t>
      </w:r>
    </w:p>
    <w:p w14:paraId="440CC73D">
      <w:pPr>
        <w:keepNext w:val="0"/>
        <w:keepLines w:val="0"/>
        <w:pageBreakBefore w:val="0"/>
        <w:widowControl w:val="0"/>
        <w:tabs>
          <w:tab w:val="left" w:pos="5779"/>
        </w:tabs>
        <w:kinsoku/>
        <w:wordWrap/>
        <w:overflowPunct/>
        <w:topLinePunct w:val="0"/>
        <w:autoSpaceDE/>
        <w:autoSpaceDN/>
        <w:bidi w:val="0"/>
        <w:adjustRightInd/>
        <w:snapToGrid/>
        <w:spacing w:line="440" w:lineRule="exact"/>
        <w:textAlignment w:val="auto"/>
        <w:rPr>
          <w:rFonts w:ascii="华文楷体" w:hAnsi="华文楷体" w:eastAsia="华文楷体" w:cs="宋体"/>
          <w:b/>
          <w:bCs/>
          <w:kern w:val="0"/>
        </w:rPr>
      </w:pPr>
      <w:r>
        <w:rPr>
          <w:rFonts w:hint="eastAsia" w:ascii="华文楷体" w:hAnsi="华文楷体" w:eastAsia="华文楷体" w:cs="宋体"/>
          <w:b/>
          <w:bCs/>
          <w:kern w:val="0"/>
        </w:rPr>
        <w:t>五、公告期限</w:t>
      </w:r>
      <w:bookmarkEnd w:id="21"/>
      <w:bookmarkEnd w:id="22"/>
      <w:bookmarkEnd w:id="23"/>
      <w:bookmarkEnd w:id="24"/>
      <w:r>
        <w:rPr>
          <w:rFonts w:hint="eastAsia" w:ascii="华文楷体" w:hAnsi="华文楷体" w:eastAsia="华文楷体" w:cs="宋体"/>
          <w:b/>
          <w:bCs/>
          <w:kern w:val="0"/>
        </w:rPr>
        <w:tab/>
      </w:r>
    </w:p>
    <w:p w14:paraId="1A83FD0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rPr>
      </w:pPr>
      <w:r>
        <w:rPr>
          <w:rFonts w:hint="eastAsia" w:ascii="华文楷体" w:hAnsi="华文楷体" w:eastAsia="华文楷体" w:cs="宋体"/>
          <w:kern w:val="0"/>
        </w:rPr>
        <w:t>自本公告发布之日起5个工作日。</w:t>
      </w:r>
    </w:p>
    <w:p w14:paraId="39E99EC5">
      <w:pPr>
        <w:keepNext w:val="0"/>
        <w:keepLines w:val="0"/>
        <w:pageBreakBefore w:val="0"/>
        <w:widowControl w:val="0"/>
        <w:kinsoku/>
        <w:wordWrap/>
        <w:overflowPunct/>
        <w:topLinePunct w:val="0"/>
        <w:autoSpaceDE/>
        <w:autoSpaceDN/>
        <w:bidi w:val="0"/>
        <w:adjustRightInd/>
        <w:snapToGrid/>
        <w:spacing w:line="440" w:lineRule="exact"/>
        <w:textAlignment w:val="auto"/>
        <w:rPr>
          <w:rFonts w:ascii="华文楷体" w:hAnsi="华文楷体" w:eastAsia="华文楷体" w:cs="宋体"/>
          <w:b/>
          <w:bCs/>
        </w:rPr>
      </w:pPr>
      <w:bookmarkStart w:id="25" w:name="_Toc35393626"/>
      <w:bookmarkStart w:id="26" w:name="_Toc35393795"/>
      <w:r>
        <w:rPr>
          <w:rFonts w:hint="eastAsia" w:ascii="华文楷体" w:hAnsi="华文楷体" w:eastAsia="华文楷体" w:cs="宋体"/>
          <w:b/>
          <w:bCs/>
          <w:kern w:val="0"/>
        </w:rPr>
        <w:t>六、其他补充</w:t>
      </w:r>
      <w:r>
        <w:rPr>
          <w:rFonts w:hint="eastAsia" w:ascii="华文楷体" w:hAnsi="华文楷体" w:eastAsia="华文楷体" w:cs="宋体"/>
          <w:b/>
          <w:bCs/>
        </w:rPr>
        <w:t>事宜</w:t>
      </w:r>
      <w:bookmarkEnd w:id="25"/>
      <w:bookmarkEnd w:id="26"/>
    </w:p>
    <w:p w14:paraId="489DF3BD">
      <w:pPr>
        <w:pStyle w:val="17"/>
        <w:keepNext w:val="0"/>
        <w:keepLines w:val="0"/>
        <w:pageBreakBefore w:val="0"/>
        <w:widowControl w:val="0"/>
        <w:kinsoku/>
        <w:wordWrap/>
        <w:overflowPunct/>
        <w:topLinePunct w:val="0"/>
        <w:autoSpaceDE/>
        <w:autoSpaceDN/>
        <w:bidi w:val="0"/>
        <w:adjustRightInd/>
        <w:snapToGrid/>
        <w:spacing w:after="0" w:line="440" w:lineRule="exact"/>
        <w:ind w:left="0" w:leftChars="0" w:firstLine="480" w:firstLineChars="200"/>
        <w:textAlignment w:val="auto"/>
        <w:rPr>
          <w:rFonts w:ascii="华文楷体" w:hAnsi="华文楷体" w:eastAsia="华文楷体" w:cs="宋体"/>
          <w:lang w:val="zh-CN"/>
        </w:rPr>
      </w:pPr>
      <w:bookmarkStart w:id="27" w:name="_Toc35393627"/>
      <w:bookmarkStart w:id="28" w:name="_Toc28359008"/>
      <w:bookmarkStart w:id="29" w:name="_Toc28359085"/>
      <w:bookmarkStart w:id="30" w:name="_Toc35393796"/>
      <w:r>
        <w:rPr>
          <w:rFonts w:hint="eastAsia" w:ascii="华文楷体" w:hAnsi="华文楷体" w:eastAsia="华文楷体" w:cs="宋体"/>
          <w:lang w:val="zh-CN"/>
        </w:rPr>
        <w:t>1、本项目采购公告同时在《中国政府采购网 http：//www.ccgp.gov.cn/》</w:t>
      </w:r>
    </w:p>
    <w:p w14:paraId="5B6AB403">
      <w:pPr>
        <w:pStyle w:val="17"/>
        <w:keepNext w:val="0"/>
        <w:keepLines w:val="0"/>
        <w:pageBreakBefore w:val="0"/>
        <w:widowControl w:val="0"/>
        <w:kinsoku/>
        <w:wordWrap/>
        <w:overflowPunct/>
        <w:topLinePunct w:val="0"/>
        <w:autoSpaceDE/>
        <w:autoSpaceDN/>
        <w:bidi w:val="0"/>
        <w:adjustRightInd/>
        <w:snapToGrid/>
        <w:spacing w:after="0" w:line="440" w:lineRule="exact"/>
        <w:ind w:left="0" w:leftChars="0"/>
        <w:textAlignment w:val="auto"/>
        <w:rPr>
          <w:rFonts w:ascii="华文楷体" w:hAnsi="华文楷体" w:eastAsia="华文楷体" w:cs="宋体"/>
          <w:b/>
          <w:bCs/>
          <w:kern w:val="0"/>
          <w:lang w:val="zh-CN"/>
        </w:rPr>
      </w:pPr>
      <w:r>
        <w:rPr>
          <w:rFonts w:hint="eastAsia" w:ascii="华文楷体" w:hAnsi="华文楷体" w:eastAsia="华文楷体" w:cs="宋体"/>
          <w:lang w:val="zh-CN"/>
        </w:rPr>
        <w:t xml:space="preserve">《青海省电子招标投标公共服务平台 </w:t>
      </w:r>
      <w:r>
        <w:rPr>
          <w:rFonts w:ascii="华文楷体" w:hAnsi="华文楷体" w:eastAsia="华文楷体" w:cs="宋体"/>
          <w:kern w:val="0"/>
        </w:rPr>
        <w:t>https://www.qhggzyjy.gov.cn/ggzy/</w:t>
      </w:r>
      <w:r>
        <w:rPr>
          <w:rFonts w:hint="eastAsia" w:ascii="华文楷体" w:hAnsi="华文楷体" w:eastAsia="华文楷体" w:cs="宋体"/>
          <w:lang w:val="zh-CN"/>
        </w:rPr>
        <w:t>》《青海政府采购网</w:t>
      </w:r>
      <w:r>
        <w:rPr>
          <w:rFonts w:ascii="华文楷体" w:hAnsi="华文楷体" w:eastAsia="华文楷体" w:cs="宋体"/>
          <w:lang w:val="zh-CN"/>
        </w:rPr>
        <w:t>http://www.ccgp-qinghai.gov.cn/</w:t>
      </w:r>
      <w:r>
        <w:rPr>
          <w:rFonts w:hint="eastAsia" w:ascii="华文楷体" w:hAnsi="华文楷体" w:eastAsia="华文楷体" w:cs="宋体"/>
          <w:lang w:val="zh-CN"/>
        </w:rPr>
        <w:t>》上发布。公告内容以《中国政府采购网》发布的为准。</w:t>
      </w:r>
    </w:p>
    <w:p w14:paraId="17EA302B">
      <w:pPr>
        <w:pStyle w:val="17"/>
        <w:keepNext w:val="0"/>
        <w:keepLines w:val="0"/>
        <w:pageBreakBefore w:val="0"/>
        <w:widowControl w:val="0"/>
        <w:numPr>
          <w:ilvl w:val="0"/>
          <w:numId w:val="2"/>
        </w:numPr>
        <w:kinsoku/>
        <w:wordWrap/>
        <w:overflowPunct/>
        <w:topLinePunct w:val="0"/>
        <w:autoSpaceDE/>
        <w:autoSpaceDN/>
        <w:bidi w:val="0"/>
        <w:adjustRightInd/>
        <w:snapToGrid/>
        <w:spacing w:after="0" w:line="440" w:lineRule="exact"/>
        <w:ind w:left="0" w:leftChars="0" w:firstLine="480"/>
        <w:textAlignment w:val="auto"/>
        <w:rPr>
          <w:rFonts w:ascii="华文楷体" w:hAnsi="华文楷体" w:eastAsia="华文楷体" w:cs="宋体"/>
          <w:kern w:val="0"/>
          <w:lang w:val="zh-CN"/>
        </w:rPr>
      </w:pPr>
      <w:r>
        <w:rPr>
          <w:rFonts w:hint="eastAsia" w:ascii="华文楷体" w:hAnsi="华文楷体" w:eastAsia="华文楷体" w:cs="宋体"/>
          <w:kern w:val="0"/>
          <w:lang w:val="zh-CN"/>
        </w:rPr>
        <w:t>本次项目招标采用线上进行，</w:t>
      </w:r>
      <w:r>
        <w:rPr>
          <w:rFonts w:hint="eastAsia" w:ascii="华文楷体" w:hAnsi="华文楷体" w:eastAsia="华文楷体" w:cs="宋体"/>
        </w:rPr>
        <w:t>投标人</w:t>
      </w:r>
      <w:r>
        <w:rPr>
          <w:rFonts w:hint="eastAsia" w:ascii="华文楷体" w:hAnsi="华文楷体" w:eastAsia="华文楷体" w:cs="宋体"/>
          <w:kern w:val="0"/>
          <w:lang w:val="zh-CN"/>
        </w:rPr>
        <w:t>无需到现场开标；如非系统原因造成无法解密的或非系统原因加密文件上传不成功的或没办理CA锁而造成加密文件无法解密、加密文件无法上传的视为无效投标，线上电子加密</w:t>
      </w:r>
      <w:r>
        <w:rPr>
          <w:rFonts w:hint="eastAsia" w:ascii="华文楷体" w:hAnsi="华文楷体" w:eastAsia="华文楷体" w:cs="宋体"/>
          <w:kern w:val="0"/>
        </w:rPr>
        <w:t>投标</w:t>
      </w:r>
      <w:r>
        <w:rPr>
          <w:rFonts w:hint="eastAsia" w:ascii="华文楷体" w:hAnsi="华文楷体" w:eastAsia="华文楷体" w:cs="宋体"/>
          <w:kern w:val="0"/>
          <w:lang w:val="zh-CN"/>
        </w:rPr>
        <w:t>文件必须在</w:t>
      </w:r>
      <w:r>
        <w:rPr>
          <w:rFonts w:hint="eastAsia" w:ascii="华文楷体" w:hAnsi="华文楷体" w:eastAsia="华文楷体" w:cs="宋体"/>
          <w:kern w:val="0"/>
        </w:rPr>
        <w:t>投标</w:t>
      </w:r>
      <w:r>
        <w:rPr>
          <w:rFonts w:hint="eastAsia" w:ascii="华文楷体" w:hAnsi="华文楷体" w:eastAsia="华文楷体" w:cs="宋体"/>
          <w:kern w:val="0"/>
          <w:lang w:val="zh-CN"/>
        </w:rPr>
        <w:t>文件递交截止时间前上传至</w:t>
      </w:r>
      <w:r>
        <w:rPr>
          <w:rFonts w:hint="eastAsia" w:ascii="华文楷体" w:hAnsi="华文楷体" w:eastAsia="华文楷体" w:cs="宋体"/>
        </w:rPr>
        <w:t>政采云</w:t>
      </w:r>
      <w:r>
        <w:rPr>
          <w:rFonts w:hint="eastAsia" w:ascii="华文楷体" w:hAnsi="华文楷体" w:eastAsia="华文楷体" w:cs="宋体"/>
          <w:kern w:val="0"/>
        </w:rPr>
        <w:t>平台</w:t>
      </w:r>
      <w:r>
        <w:rPr>
          <w:rFonts w:hint="eastAsia" w:ascii="华文楷体" w:hAnsi="华文楷体" w:eastAsia="华文楷体" w:cs="宋体"/>
          <w:kern w:val="0"/>
          <w:lang w:val="zh-CN"/>
        </w:rPr>
        <w:t>；</w:t>
      </w:r>
    </w:p>
    <w:p w14:paraId="3BCB51E5">
      <w:pPr>
        <w:pStyle w:val="17"/>
        <w:keepNext w:val="0"/>
        <w:keepLines w:val="0"/>
        <w:pageBreakBefore w:val="0"/>
        <w:widowControl w:val="0"/>
        <w:numPr>
          <w:ilvl w:val="0"/>
          <w:numId w:val="2"/>
        </w:numPr>
        <w:kinsoku/>
        <w:wordWrap/>
        <w:overflowPunct/>
        <w:topLinePunct w:val="0"/>
        <w:autoSpaceDE/>
        <w:autoSpaceDN/>
        <w:bidi w:val="0"/>
        <w:adjustRightInd/>
        <w:snapToGrid/>
        <w:spacing w:after="0" w:line="440" w:lineRule="exact"/>
        <w:ind w:left="0" w:leftChars="0" w:firstLine="480"/>
        <w:jc w:val="left"/>
        <w:textAlignment w:val="auto"/>
        <w:rPr>
          <w:rFonts w:ascii="华文楷体" w:hAnsi="华文楷体" w:eastAsia="华文楷体" w:cs="宋体"/>
          <w:kern w:val="0"/>
          <w:lang w:val="zh-CN"/>
        </w:rPr>
      </w:pPr>
      <w:r>
        <w:rPr>
          <w:rFonts w:hint="eastAsia" w:ascii="华文楷体" w:hAnsi="华文楷体" w:eastAsia="华文楷体" w:cs="宋体"/>
          <w:kern w:val="0"/>
          <w:lang w:val="zh-CN"/>
        </w:rPr>
        <w:t>若对项目采购电子交易系统操作有疑问，可登录政采云（https://www.zcygov.cn/），点击右侧咨询小采，获取采小蜜智能服务管家帮助，或拨打政采云服务热线95763获取热线服务帮助；</w:t>
      </w:r>
    </w:p>
    <w:p w14:paraId="411B7AAD">
      <w:pPr>
        <w:pStyle w:val="17"/>
        <w:keepNext w:val="0"/>
        <w:keepLines w:val="0"/>
        <w:pageBreakBefore w:val="0"/>
        <w:widowControl w:val="0"/>
        <w:numPr>
          <w:ilvl w:val="0"/>
          <w:numId w:val="2"/>
        </w:numPr>
        <w:kinsoku/>
        <w:wordWrap/>
        <w:overflowPunct/>
        <w:topLinePunct w:val="0"/>
        <w:autoSpaceDE/>
        <w:autoSpaceDN/>
        <w:bidi w:val="0"/>
        <w:adjustRightInd/>
        <w:snapToGrid/>
        <w:spacing w:after="0" w:line="440" w:lineRule="exact"/>
        <w:ind w:left="0" w:leftChars="0" w:firstLine="480"/>
        <w:jc w:val="left"/>
        <w:textAlignment w:val="auto"/>
        <w:rPr>
          <w:rFonts w:ascii="华文楷体" w:hAnsi="华文楷体" w:eastAsia="华文楷体" w:cs="宋体"/>
          <w:kern w:val="0"/>
          <w:lang w:val="zh-CN"/>
        </w:rPr>
      </w:pPr>
      <w:r>
        <w:rPr>
          <w:rFonts w:hint="eastAsia" w:ascii="华文楷体" w:hAnsi="华文楷体" w:eastAsia="华文楷体" w:cs="宋体"/>
          <w:kern w:val="0"/>
          <w:lang w:val="zh-CN"/>
        </w:rPr>
        <w:t>线上CA：咨询网址（可及时反馈问题截图，让客服快速定位问题）:http://tseal.cn/k.html，咨询电话：400-0878-198）。</w:t>
      </w:r>
    </w:p>
    <w:p w14:paraId="1893C10E">
      <w:pPr>
        <w:pStyle w:val="17"/>
        <w:keepNext w:val="0"/>
        <w:keepLines w:val="0"/>
        <w:pageBreakBefore w:val="0"/>
        <w:widowControl w:val="0"/>
        <w:kinsoku/>
        <w:wordWrap/>
        <w:overflowPunct/>
        <w:topLinePunct w:val="0"/>
        <w:autoSpaceDE/>
        <w:autoSpaceDN/>
        <w:bidi w:val="0"/>
        <w:adjustRightInd/>
        <w:snapToGrid/>
        <w:spacing w:after="0" w:line="440" w:lineRule="exact"/>
        <w:ind w:left="0" w:leftChars="0"/>
        <w:textAlignment w:val="auto"/>
        <w:rPr>
          <w:rFonts w:ascii="华文楷体" w:hAnsi="华文楷体" w:eastAsia="华文楷体" w:cs="宋体"/>
          <w:b/>
          <w:bCs/>
          <w:kern w:val="0"/>
          <w:lang w:val="zh-CN"/>
        </w:rPr>
      </w:pPr>
      <w:r>
        <w:rPr>
          <w:rFonts w:hint="eastAsia" w:ascii="华文楷体" w:hAnsi="华文楷体" w:eastAsia="华文楷体" w:cs="宋体"/>
          <w:b/>
          <w:bCs/>
          <w:kern w:val="0"/>
          <w:lang w:val="zh-CN"/>
        </w:rPr>
        <w:t>七、对本次招标提出询问，请按以下方式联系。</w:t>
      </w:r>
      <w:bookmarkEnd w:id="27"/>
      <w:bookmarkEnd w:id="28"/>
      <w:bookmarkEnd w:id="29"/>
      <w:bookmarkEnd w:id="30"/>
    </w:p>
    <w:p w14:paraId="604A6E2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lang w:val="zh-CN"/>
        </w:rPr>
      </w:pPr>
      <w:r>
        <w:rPr>
          <w:rFonts w:hint="eastAsia" w:ascii="华文楷体" w:hAnsi="华文楷体" w:eastAsia="华文楷体" w:cs="宋体"/>
          <w:kern w:val="0"/>
          <w:lang w:val="zh-CN"/>
        </w:rPr>
        <w:t>1.采购人信息</w:t>
      </w:r>
    </w:p>
    <w:p w14:paraId="10DC915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rPr>
      </w:pPr>
      <w:r>
        <w:rPr>
          <w:rFonts w:hint="eastAsia" w:ascii="华文楷体" w:hAnsi="华文楷体" w:eastAsia="华文楷体" w:cs="宋体"/>
          <w:kern w:val="0"/>
          <w:lang w:val="zh-CN"/>
        </w:rPr>
        <w:t>名 称：</w:t>
      </w:r>
      <w:r>
        <w:rPr>
          <w:rFonts w:hint="eastAsia" w:ascii="华文楷体" w:hAnsi="华文楷体" w:eastAsia="华文楷体" w:cs="宋体"/>
          <w:kern w:val="0"/>
        </w:rPr>
        <w:t>格尔木市消防救援支队</w:t>
      </w:r>
    </w:p>
    <w:p w14:paraId="63B45C8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rPr>
      </w:pPr>
      <w:r>
        <w:rPr>
          <w:rFonts w:hint="eastAsia" w:ascii="华文楷体" w:hAnsi="华文楷体" w:eastAsia="华文楷体" w:cs="宋体"/>
          <w:kern w:val="0"/>
          <w:lang w:val="zh-CN"/>
        </w:rPr>
        <w:t>地 址：</w:t>
      </w:r>
      <w:r>
        <w:rPr>
          <w:rFonts w:hint="eastAsia" w:ascii="华文楷体" w:hAnsi="华文楷体" w:eastAsia="华文楷体" w:cs="宋体"/>
          <w:lang w:val="zh-CN"/>
        </w:rPr>
        <w:t>格尔木市黄河中路15号</w:t>
      </w:r>
    </w:p>
    <w:p w14:paraId="4229B31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rPr>
      </w:pPr>
      <w:r>
        <w:rPr>
          <w:rFonts w:hint="eastAsia" w:ascii="华文楷体" w:hAnsi="华文楷体" w:eastAsia="华文楷体" w:cs="宋体"/>
          <w:kern w:val="0"/>
          <w:lang w:val="zh-CN"/>
        </w:rPr>
        <w:t>项目联系人：</w:t>
      </w:r>
      <w:r>
        <w:rPr>
          <w:rFonts w:hint="eastAsia" w:ascii="华文楷体" w:hAnsi="华文楷体" w:eastAsia="华文楷体" w:cs="宋体"/>
          <w:lang w:val="zh-CN"/>
        </w:rPr>
        <w:t>穆助理</w:t>
      </w:r>
    </w:p>
    <w:p w14:paraId="7DFA14DE">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rPr>
      </w:pPr>
      <w:r>
        <w:rPr>
          <w:rFonts w:hint="eastAsia" w:ascii="华文楷体" w:hAnsi="华文楷体" w:eastAsia="华文楷体" w:cs="宋体"/>
          <w:kern w:val="0"/>
          <w:lang w:val="zh-CN"/>
        </w:rPr>
        <w:t>项目联系方式</w:t>
      </w:r>
      <w:bookmarkStart w:id="31" w:name="_Toc28359086"/>
      <w:bookmarkStart w:id="32" w:name="_Toc28359009"/>
      <w:r>
        <w:rPr>
          <w:rFonts w:hint="eastAsia" w:ascii="华文楷体" w:hAnsi="华文楷体" w:eastAsia="华文楷体" w:cs="宋体"/>
          <w:kern w:val="0"/>
          <w:lang w:val="zh-CN"/>
        </w:rPr>
        <w:t>：</w:t>
      </w:r>
      <w:r>
        <w:rPr>
          <w:rFonts w:hint="eastAsia" w:ascii="华文楷体" w:hAnsi="华文楷体" w:eastAsia="华文楷体" w:cs="宋体"/>
          <w:lang w:val="zh-CN"/>
        </w:rPr>
        <w:t>0979-8428893</w:t>
      </w:r>
    </w:p>
    <w:p w14:paraId="683FDA7F">
      <w:pPr>
        <w:keepNext w:val="0"/>
        <w:keepLines w:val="0"/>
        <w:pageBreakBefore w:val="0"/>
        <w:widowControl w:val="0"/>
        <w:tabs>
          <w:tab w:val="left" w:pos="6102"/>
        </w:tabs>
        <w:kinsoku/>
        <w:wordWrap/>
        <w:overflowPunct/>
        <w:topLinePunct w:val="0"/>
        <w:autoSpaceDE/>
        <w:autoSpaceDN/>
        <w:bidi w:val="0"/>
        <w:adjustRightInd/>
        <w:snapToGrid/>
        <w:spacing w:line="440" w:lineRule="exact"/>
        <w:ind w:firstLine="480" w:firstLineChars="200"/>
        <w:jc w:val="left"/>
        <w:textAlignment w:val="auto"/>
        <w:rPr>
          <w:rFonts w:ascii="华文楷体" w:hAnsi="华文楷体" w:eastAsia="华文楷体" w:cs="宋体"/>
        </w:rPr>
      </w:pPr>
      <w:r>
        <w:rPr>
          <w:rFonts w:hint="eastAsia" w:ascii="华文楷体" w:hAnsi="华文楷体" w:eastAsia="华文楷体" w:cs="宋体"/>
        </w:rPr>
        <w:t>2.采购代理机构信息</w:t>
      </w:r>
      <w:bookmarkEnd w:id="31"/>
      <w:bookmarkEnd w:id="32"/>
    </w:p>
    <w:p w14:paraId="2CC4A47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rPr>
      </w:pPr>
      <w:r>
        <w:rPr>
          <w:rFonts w:hint="eastAsia" w:ascii="华文楷体" w:hAnsi="华文楷体" w:eastAsia="华文楷体" w:cs="宋体"/>
          <w:kern w:val="0"/>
          <w:lang w:val="zh-CN"/>
        </w:rPr>
        <w:t>名称：青海锦茂工程项目管理有限责任公司</w:t>
      </w:r>
    </w:p>
    <w:p w14:paraId="28814B3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lang w:val="zh-CN"/>
        </w:rPr>
      </w:pPr>
      <w:r>
        <w:rPr>
          <w:rFonts w:hint="eastAsia" w:ascii="华文楷体" w:hAnsi="华文楷体" w:eastAsia="华文楷体" w:cs="宋体"/>
          <w:kern w:val="0"/>
          <w:lang w:val="zh-CN"/>
        </w:rPr>
        <w:t>地址：青海省西宁市城西区五四西路71号安泰公寓B座14层</w:t>
      </w:r>
    </w:p>
    <w:p w14:paraId="7AE3141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lang w:val="zh-CN"/>
        </w:rPr>
      </w:pPr>
      <w:r>
        <w:rPr>
          <w:rFonts w:hint="eastAsia" w:ascii="华文楷体" w:hAnsi="华文楷体" w:eastAsia="华文楷体" w:cs="宋体"/>
          <w:kern w:val="0"/>
          <w:lang w:val="zh-CN"/>
        </w:rPr>
        <w:t>项目联系人：曹先生</w:t>
      </w:r>
    </w:p>
    <w:p w14:paraId="6C0D13E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华文楷体" w:hAnsi="华文楷体" w:eastAsia="华文楷体" w:cs="宋体"/>
          <w:kern w:val="0"/>
        </w:rPr>
      </w:pPr>
      <w:r>
        <w:rPr>
          <w:rFonts w:hint="eastAsia" w:ascii="华文楷体" w:hAnsi="华文楷体" w:eastAsia="华文楷体" w:cs="宋体"/>
          <w:kern w:val="0"/>
          <w:lang w:val="zh-CN"/>
        </w:rPr>
        <w:t>电话：0971-3626731</w:t>
      </w:r>
      <w:r>
        <w:rPr>
          <w:rFonts w:hint="eastAsia" w:ascii="华文楷体" w:hAnsi="华文楷体" w:eastAsia="华文楷体" w:cs="宋体"/>
          <w:kern w:val="0"/>
        </w:rPr>
        <w:t xml:space="preserve">                                        </w:t>
      </w:r>
    </w:p>
    <w:p w14:paraId="78B2C703">
      <w:pPr>
        <w:pStyle w:val="17"/>
        <w:ind w:left="480" w:firstLine="480"/>
        <w:jc w:val="right"/>
        <w:rPr>
          <w:rFonts w:ascii="华文楷体" w:hAnsi="华文楷体" w:eastAsia="华文楷体" w:cs="宋体"/>
          <w:color w:val="auto"/>
          <w:kern w:val="0"/>
        </w:rPr>
        <w:sectPr>
          <w:headerReference r:id="rId3" w:type="default"/>
          <w:footerReference r:id="rId4" w:type="default"/>
          <w:pgSz w:w="11849" w:h="16781"/>
          <w:pgMar w:top="1440" w:right="1803" w:bottom="1440" w:left="1803" w:header="851" w:footer="992" w:gutter="0"/>
          <w:pgNumType w:start="1"/>
          <w:cols w:space="720" w:num="1"/>
          <w:docGrid w:linePitch="397" w:charSpace="0"/>
        </w:sectPr>
      </w:pPr>
      <w:r>
        <w:rPr>
          <w:rFonts w:hint="eastAsia" w:ascii="华文楷体" w:hAnsi="华文楷体" w:eastAsia="华文楷体" w:cs="宋体"/>
          <w:color w:val="auto"/>
          <w:kern w:val="0"/>
        </w:rPr>
        <w:t>2025年0</w:t>
      </w:r>
      <w:r>
        <w:rPr>
          <w:rFonts w:hint="eastAsia" w:ascii="华文楷体" w:hAnsi="华文楷体" w:eastAsia="华文楷体" w:cs="宋体"/>
          <w:color w:val="auto"/>
          <w:kern w:val="0"/>
          <w:lang w:val="en-US" w:eastAsia="zh-CN"/>
        </w:rPr>
        <w:t>4</w:t>
      </w:r>
      <w:r>
        <w:rPr>
          <w:rFonts w:hint="eastAsia" w:ascii="华文楷体" w:hAnsi="华文楷体" w:eastAsia="华文楷体" w:cs="宋体"/>
          <w:color w:val="auto"/>
          <w:kern w:val="0"/>
        </w:rPr>
        <w:t>月</w:t>
      </w:r>
      <w:r>
        <w:rPr>
          <w:rFonts w:hint="eastAsia" w:ascii="华文楷体" w:hAnsi="华文楷体" w:eastAsia="华文楷体" w:cs="宋体"/>
          <w:color w:val="auto"/>
          <w:kern w:val="0"/>
          <w:lang w:val="en-US" w:eastAsia="zh-CN"/>
        </w:rPr>
        <w:t>02</w:t>
      </w:r>
      <w:r>
        <w:rPr>
          <w:rFonts w:hint="eastAsia" w:ascii="华文楷体" w:hAnsi="华文楷体" w:eastAsia="华文楷体" w:cs="宋体"/>
          <w:color w:val="auto"/>
          <w:kern w:val="0"/>
        </w:rPr>
        <w:t>日</w:t>
      </w:r>
    </w:p>
    <w:p w14:paraId="7EA8EB2E">
      <w:pPr>
        <w:pStyle w:val="17"/>
        <w:spacing w:after="0" w:line="480" w:lineRule="exact"/>
        <w:ind w:left="480" w:firstLine="1205" w:firstLineChars="300"/>
        <w:rPr>
          <w:rFonts w:ascii="华文楷体" w:hAnsi="华文楷体" w:eastAsia="华文楷体" w:cs="宋体"/>
          <w:b/>
          <w:bCs/>
          <w:sz w:val="40"/>
          <w:szCs w:val="52"/>
          <w:lang w:val="zh-CN"/>
        </w:rPr>
      </w:pPr>
      <w:bookmarkStart w:id="33" w:name="_Toc18372"/>
      <w:r>
        <w:rPr>
          <w:rFonts w:hint="eastAsia" w:ascii="华文楷体" w:hAnsi="华文楷体" w:eastAsia="华文楷体" w:cs="宋体"/>
          <w:b/>
          <w:bCs/>
          <w:sz w:val="40"/>
          <w:szCs w:val="52"/>
        </w:rPr>
        <w:t xml:space="preserve">第二部分  </w:t>
      </w:r>
      <w:r>
        <w:rPr>
          <w:rFonts w:hint="eastAsia" w:ascii="华文楷体" w:hAnsi="华文楷体" w:eastAsia="华文楷体" w:cs="宋体"/>
          <w:b/>
          <w:bCs/>
          <w:sz w:val="40"/>
          <w:szCs w:val="52"/>
          <w:lang w:val="zh-CN"/>
        </w:rPr>
        <w:t>投标人须知</w:t>
      </w:r>
      <w:bookmarkEnd w:id="33"/>
    </w:p>
    <w:p w14:paraId="52B7CAAE">
      <w:pPr>
        <w:spacing w:line="480" w:lineRule="exact"/>
        <w:jc w:val="center"/>
        <w:rPr>
          <w:rFonts w:ascii="华文楷体" w:hAnsi="华文楷体" w:eastAsia="华文楷体" w:cs="宋体"/>
          <w:b/>
          <w:bCs/>
          <w:sz w:val="32"/>
          <w:szCs w:val="32"/>
          <w:lang w:val="zh-CN"/>
        </w:rPr>
      </w:pPr>
      <w:r>
        <w:rPr>
          <w:rFonts w:hint="eastAsia" w:ascii="华文楷体" w:hAnsi="华文楷体" w:eastAsia="华文楷体" w:cs="宋体"/>
          <w:b/>
          <w:bCs/>
          <w:sz w:val="32"/>
          <w:szCs w:val="32"/>
          <w:lang w:val="zh-CN"/>
        </w:rPr>
        <w:t>投标须知前附表</w:t>
      </w:r>
    </w:p>
    <w:tbl>
      <w:tblPr>
        <w:tblStyle w:val="27"/>
        <w:tblW w:w="8781" w:type="dxa"/>
        <w:tblInd w:w="-21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44"/>
        <w:gridCol w:w="1991"/>
        <w:gridCol w:w="5546"/>
      </w:tblGrid>
      <w:tr w14:paraId="6DCBA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tcPr>
          <w:p w14:paraId="107516D9">
            <w:pPr>
              <w:rPr>
                <w:rFonts w:ascii="华文楷体" w:hAnsi="华文楷体" w:eastAsia="华文楷体" w:cs="宋体"/>
                <w:lang w:val="zh-CN"/>
              </w:rPr>
            </w:pPr>
            <w:r>
              <w:rPr>
                <w:rFonts w:hint="eastAsia" w:ascii="华文楷体" w:hAnsi="华文楷体" w:eastAsia="华文楷体" w:cs="宋体"/>
                <w:lang w:val="zh-CN"/>
              </w:rPr>
              <w:t>条款号</w:t>
            </w:r>
          </w:p>
        </w:tc>
        <w:tc>
          <w:tcPr>
            <w:tcW w:w="1991" w:type="dxa"/>
          </w:tcPr>
          <w:p w14:paraId="7381D6C9">
            <w:pPr>
              <w:rPr>
                <w:rFonts w:ascii="华文楷体" w:hAnsi="华文楷体" w:eastAsia="华文楷体" w:cs="宋体"/>
                <w:lang w:val="zh-CN"/>
              </w:rPr>
            </w:pPr>
            <w:r>
              <w:rPr>
                <w:rFonts w:hint="eastAsia" w:ascii="华文楷体" w:hAnsi="华文楷体" w:eastAsia="华文楷体" w:cs="宋体"/>
                <w:lang w:val="zh-CN"/>
              </w:rPr>
              <w:t>条款名称</w:t>
            </w:r>
          </w:p>
        </w:tc>
        <w:tc>
          <w:tcPr>
            <w:tcW w:w="5546" w:type="dxa"/>
          </w:tcPr>
          <w:p w14:paraId="70104124">
            <w:pPr>
              <w:rPr>
                <w:rFonts w:ascii="华文楷体" w:hAnsi="华文楷体" w:eastAsia="华文楷体" w:cs="宋体"/>
                <w:lang w:val="zh-CN"/>
              </w:rPr>
            </w:pPr>
            <w:r>
              <w:rPr>
                <w:rFonts w:hint="eastAsia" w:ascii="华文楷体" w:hAnsi="华文楷体" w:eastAsia="华文楷体" w:cs="宋体"/>
                <w:lang w:val="zh-CN"/>
              </w:rPr>
              <w:t>编列内容规定</w:t>
            </w:r>
          </w:p>
        </w:tc>
      </w:tr>
      <w:tr w14:paraId="36D35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1" w:type="dxa"/>
            <w:gridSpan w:val="3"/>
          </w:tcPr>
          <w:p w14:paraId="0DBAE95E">
            <w:pPr>
              <w:rPr>
                <w:rFonts w:ascii="华文楷体" w:hAnsi="华文楷体" w:eastAsia="华文楷体" w:cs="宋体"/>
                <w:lang w:val="zh-CN"/>
              </w:rPr>
            </w:pPr>
            <w:r>
              <w:rPr>
                <w:rFonts w:hint="eastAsia" w:ascii="华文楷体" w:hAnsi="华文楷体" w:eastAsia="华文楷体" w:cs="宋体"/>
                <w:lang w:val="zh-CN"/>
              </w:rPr>
              <w:t>一、说明</w:t>
            </w:r>
          </w:p>
        </w:tc>
      </w:tr>
      <w:tr w14:paraId="72B782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vAlign w:val="center"/>
          </w:tcPr>
          <w:p w14:paraId="28C3DE8A">
            <w:pPr>
              <w:jc w:val="center"/>
              <w:rPr>
                <w:rFonts w:ascii="华文楷体" w:hAnsi="华文楷体" w:eastAsia="华文楷体" w:cs="宋体"/>
                <w:lang w:val="zh-CN"/>
              </w:rPr>
            </w:pPr>
            <w:r>
              <w:rPr>
                <w:rFonts w:hint="eastAsia" w:ascii="华文楷体" w:hAnsi="华文楷体" w:eastAsia="华文楷体" w:cs="宋体"/>
                <w:lang w:val="zh-CN"/>
              </w:rPr>
              <w:t>第1.1款</w:t>
            </w:r>
          </w:p>
        </w:tc>
        <w:tc>
          <w:tcPr>
            <w:tcW w:w="1991" w:type="dxa"/>
            <w:vAlign w:val="center"/>
          </w:tcPr>
          <w:p w14:paraId="31133AA3">
            <w:pPr>
              <w:jc w:val="center"/>
              <w:rPr>
                <w:rFonts w:ascii="华文楷体" w:hAnsi="华文楷体" w:eastAsia="华文楷体" w:cs="宋体"/>
                <w:lang w:val="zh-CN"/>
              </w:rPr>
            </w:pPr>
            <w:r>
              <w:rPr>
                <w:rFonts w:hint="eastAsia" w:ascii="华文楷体" w:hAnsi="华文楷体" w:eastAsia="华文楷体" w:cs="宋体"/>
                <w:lang w:val="zh-CN"/>
              </w:rPr>
              <w:t>专门面向中小企业采购</w:t>
            </w:r>
          </w:p>
        </w:tc>
        <w:tc>
          <w:tcPr>
            <w:tcW w:w="5546" w:type="dxa"/>
          </w:tcPr>
          <w:p w14:paraId="4214D8E5">
            <w:pPr>
              <w:rPr>
                <w:rFonts w:ascii="华文楷体" w:hAnsi="华文楷体" w:eastAsia="华文楷体" w:cs="宋体"/>
              </w:rPr>
            </w:pPr>
            <w:r>
              <w:rPr>
                <w:rFonts w:hint="eastAsia" w:ascii="华文楷体" w:hAnsi="华文楷体" w:eastAsia="华文楷体" w:cs="宋体"/>
                <w:lang w:val="zh-CN"/>
              </w:rPr>
              <w:t>专门面向小</w:t>
            </w:r>
            <w:r>
              <w:rPr>
                <w:rFonts w:hint="eastAsia" w:ascii="华文楷体" w:hAnsi="华文楷体" w:eastAsia="华文楷体" w:cs="宋体"/>
              </w:rPr>
              <w:t>微</w:t>
            </w:r>
            <w:r>
              <w:rPr>
                <w:rFonts w:hint="eastAsia" w:ascii="华文楷体" w:hAnsi="华文楷体" w:eastAsia="华文楷体" w:cs="宋体"/>
                <w:lang w:val="zh-CN"/>
              </w:rPr>
              <w:t>企业采购：</w:t>
            </w:r>
            <w:r>
              <w:rPr>
                <w:rFonts w:hint="eastAsia" w:ascii="华文楷体" w:hAnsi="华文楷体" w:eastAsia="华文楷体" w:cs="宋体"/>
              </w:rPr>
              <w:t>包三</w:t>
            </w:r>
          </w:p>
          <w:p w14:paraId="20465FAE">
            <w:pPr>
              <w:rPr>
                <w:rFonts w:ascii="华文楷体" w:hAnsi="华文楷体" w:eastAsia="华文楷体" w:cs="宋体"/>
                <w:lang w:val="zh-CN"/>
              </w:rPr>
            </w:pPr>
            <w:r>
              <w:rPr>
                <w:rFonts w:hint="eastAsia" w:ascii="华文楷体" w:hAnsi="华文楷体" w:eastAsia="华文楷体" w:cs="宋体"/>
                <w:lang w:val="zh-CN"/>
              </w:rPr>
              <w:t>非专门面向中小企业采购：包一</w:t>
            </w:r>
          </w:p>
          <w:p w14:paraId="55299952">
            <w:pPr>
              <w:jc w:val="left"/>
              <w:rPr>
                <w:rFonts w:ascii="华文楷体" w:hAnsi="华文楷体" w:eastAsia="华文楷体" w:cs="宋体"/>
                <w:lang w:val="zh-CN"/>
              </w:rPr>
            </w:pPr>
            <w:r>
              <w:rPr>
                <w:rFonts w:hint="eastAsia" w:ascii="华文楷体" w:hAnsi="华文楷体" w:eastAsia="华文楷体" w:cs="宋体"/>
                <w:lang w:val="zh-CN"/>
              </w:rPr>
              <w:t>非专门面向的给 予 小 型 和 微 型 企 业 产 品 的 价 格 给 予10%-20%的扣除，用扣除后的价格参与评审，本项目具体扣除比例为10％。</w:t>
            </w:r>
          </w:p>
        </w:tc>
      </w:tr>
      <w:tr w14:paraId="77B35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3" w:hRule="atLeast"/>
        </w:trPr>
        <w:tc>
          <w:tcPr>
            <w:tcW w:w="1244" w:type="dxa"/>
            <w:vAlign w:val="center"/>
          </w:tcPr>
          <w:p w14:paraId="662A3291">
            <w:pPr>
              <w:jc w:val="center"/>
              <w:rPr>
                <w:rFonts w:ascii="华文楷体" w:hAnsi="华文楷体" w:eastAsia="华文楷体" w:cs="宋体"/>
                <w:lang w:val="zh-CN"/>
              </w:rPr>
            </w:pPr>
            <w:r>
              <w:rPr>
                <w:rFonts w:hint="eastAsia" w:ascii="华文楷体" w:hAnsi="华文楷体" w:eastAsia="华文楷体" w:cs="宋体"/>
                <w:lang w:val="zh-CN"/>
              </w:rPr>
              <w:t>第1.</w:t>
            </w:r>
            <w:r>
              <w:rPr>
                <w:rFonts w:hint="eastAsia" w:ascii="华文楷体" w:hAnsi="华文楷体" w:eastAsia="华文楷体" w:cs="宋体"/>
              </w:rPr>
              <w:t>2</w:t>
            </w:r>
            <w:r>
              <w:rPr>
                <w:rFonts w:hint="eastAsia" w:ascii="华文楷体" w:hAnsi="华文楷体" w:eastAsia="华文楷体" w:cs="宋体"/>
                <w:lang w:val="zh-CN"/>
              </w:rPr>
              <w:t>款</w:t>
            </w:r>
          </w:p>
        </w:tc>
        <w:tc>
          <w:tcPr>
            <w:tcW w:w="1991" w:type="dxa"/>
            <w:vAlign w:val="center"/>
          </w:tcPr>
          <w:p w14:paraId="175E09EF">
            <w:pPr>
              <w:jc w:val="center"/>
              <w:rPr>
                <w:rFonts w:ascii="华文楷体" w:hAnsi="华文楷体" w:eastAsia="华文楷体" w:cs="宋体"/>
                <w:lang w:val="zh-CN"/>
              </w:rPr>
            </w:pPr>
            <w:r>
              <w:rPr>
                <w:rFonts w:hint="eastAsia" w:ascii="华文楷体" w:hAnsi="华文楷体" w:eastAsia="华文楷体" w:cs="宋体"/>
                <w:lang w:val="zh-CN"/>
              </w:rPr>
              <w:t>采购进口产品</w:t>
            </w:r>
          </w:p>
        </w:tc>
        <w:tc>
          <w:tcPr>
            <w:tcW w:w="5546" w:type="dxa"/>
          </w:tcPr>
          <w:p w14:paraId="620409DA">
            <w:pPr>
              <w:rPr>
                <w:rFonts w:ascii="华文楷体" w:hAnsi="华文楷体" w:eastAsia="华文楷体" w:cs="宋体"/>
                <w:lang w:val="zh-CN"/>
              </w:rPr>
            </w:pPr>
            <w:r>
              <w:rPr>
                <w:rFonts w:hint="eastAsia" w:ascii="MS Gothic" w:hAnsi="MS Gothic" w:eastAsia="MS Gothic" w:cs="MS Gothic"/>
                <w:lang w:val="zh-CN"/>
              </w:rPr>
              <w:t>☑</w:t>
            </w:r>
            <w:r>
              <w:rPr>
                <w:rFonts w:hint="eastAsia" w:ascii="华文楷体" w:hAnsi="华文楷体" w:eastAsia="华文楷体" w:cs="华文楷体"/>
                <w:lang w:val="zh-CN"/>
              </w:rPr>
              <w:t>本采购项目拒绝海关进口产品参加投标</w:t>
            </w:r>
          </w:p>
          <w:p w14:paraId="5DE6CDBD">
            <w:pPr>
              <w:rPr>
                <w:rFonts w:ascii="华文楷体" w:hAnsi="华文楷体" w:eastAsia="华文楷体" w:cs="宋体"/>
                <w:lang w:val="zh-CN"/>
              </w:rPr>
            </w:pPr>
            <w:r>
              <w:rPr>
                <w:rFonts w:hint="eastAsia" w:ascii="华文楷体" w:hAnsi="华文楷体" w:eastAsia="华文楷体" w:cs="宋体"/>
                <w:lang w:val="zh-CN"/>
              </w:rPr>
              <w:t>□本采购项目已经财政部门审核同意购买进口产品</w:t>
            </w:r>
          </w:p>
        </w:tc>
      </w:tr>
      <w:tr w14:paraId="666F5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vAlign w:val="center"/>
          </w:tcPr>
          <w:p w14:paraId="186CB548">
            <w:pPr>
              <w:jc w:val="center"/>
              <w:rPr>
                <w:rFonts w:ascii="华文楷体" w:hAnsi="华文楷体" w:eastAsia="华文楷体" w:cs="宋体"/>
                <w:lang w:val="zh-CN"/>
              </w:rPr>
            </w:pPr>
            <w:r>
              <w:rPr>
                <w:rFonts w:hint="eastAsia" w:ascii="华文楷体" w:hAnsi="华文楷体" w:eastAsia="华文楷体" w:cs="宋体"/>
                <w:lang w:val="zh-CN"/>
              </w:rPr>
              <w:t>第1.</w:t>
            </w:r>
            <w:r>
              <w:rPr>
                <w:rFonts w:hint="eastAsia" w:ascii="华文楷体" w:hAnsi="华文楷体" w:eastAsia="华文楷体" w:cs="宋体"/>
              </w:rPr>
              <w:t>3</w:t>
            </w:r>
            <w:r>
              <w:rPr>
                <w:rFonts w:hint="eastAsia" w:ascii="华文楷体" w:hAnsi="华文楷体" w:eastAsia="华文楷体" w:cs="宋体"/>
                <w:lang w:val="zh-CN"/>
              </w:rPr>
              <w:t>款</w:t>
            </w:r>
          </w:p>
        </w:tc>
        <w:tc>
          <w:tcPr>
            <w:tcW w:w="1991" w:type="dxa"/>
            <w:vAlign w:val="center"/>
          </w:tcPr>
          <w:p w14:paraId="7E7FAA20">
            <w:pPr>
              <w:rPr>
                <w:rFonts w:ascii="华文楷体" w:hAnsi="华文楷体" w:eastAsia="华文楷体" w:cs="宋体"/>
                <w:lang w:val="zh-CN"/>
              </w:rPr>
            </w:pPr>
            <w:r>
              <w:rPr>
                <w:rFonts w:hint="eastAsia" w:ascii="华文楷体" w:hAnsi="华文楷体" w:eastAsia="华文楷体" w:cs="宋体"/>
                <w:lang w:val="zh-CN"/>
              </w:rPr>
              <w:t>组织现场考察或者召开答疑会</w:t>
            </w:r>
          </w:p>
        </w:tc>
        <w:tc>
          <w:tcPr>
            <w:tcW w:w="5546" w:type="dxa"/>
            <w:vAlign w:val="center"/>
          </w:tcPr>
          <w:p w14:paraId="37EE34F5">
            <w:pPr>
              <w:rPr>
                <w:rFonts w:ascii="华文楷体" w:hAnsi="华文楷体" w:eastAsia="华文楷体" w:cs="宋体"/>
                <w:lang w:val="zh-CN"/>
              </w:rPr>
            </w:pPr>
            <w:r>
              <w:rPr>
                <w:rFonts w:hint="eastAsia" w:ascii="华文楷体" w:hAnsi="华文楷体" w:eastAsia="华文楷体" w:cs="宋体"/>
                <w:lang w:val="zh-CN"/>
              </w:rPr>
              <w:t>不组织</w:t>
            </w:r>
          </w:p>
        </w:tc>
      </w:tr>
      <w:tr w14:paraId="5A49F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1244" w:type="dxa"/>
            <w:vAlign w:val="center"/>
          </w:tcPr>
          <w:p w14:paraId="77C24446">
            <w:pPr>
              <w:jc w:val="center"/>
              <w:rPr>
                <w:rFonts w:ascii="华文楷体" w:hAnsi="华文楷体" w:eastAsia="华文楷体" w:cs="宋体"/>
                <w:lang w:val="zh-CN"/>
              </w:rPr>
            </w:pPr>
            <w:r>
              <w:rPr>
                <w:rFonts w:hint="eastAsia" w:ascii="华文楷体" w:hAnsi="华文楷体" w:eastAsia="华文楷体" w:cs="宋体"/>
                <w:lang w:val="zh-CN"/>
              </w:rPr>
              <w:t>第1.</w:t>
            </w:r>
            <w:r>
              <w:rPr>
                <w:rFonts w:hint="eastAsia" w:ascii="华文楷体" w:hAnsi="华文楷体" w:eastAsia="华文楷体" w:cs="宋体"/>
              </w:rPr>
              <w:t>4</w:t>
            </w:r>
            <w:r>
              <w:rPr>
                <w:rFonts w:hint="eastAsia" w:ascii="华文楷体" w:hAnsi="华文楷体" w:eastAsia="华文楷体" w:cs="宋体"/>
                <w:lang w:val="zh-CN"/>
              </w:rPr>
              <w:t>款</w:t>
            </w:r>
          </w:p>
        </w:tc>
        <w:tc>
          <w:tcPr>
            <w:tcW w:w="1991" w:type="dxa"/>
            <w:vAlign w:val="center"/>
          </w:tcPr>
          <w:p w14:paraId="1F05CA43">
            <w:pPr>
              <w:rPr>
                <w:rFonts w:ascii="华文楷体" w:hAnsi="华文楷体" w:eastAsia="华文楷体" w:cs="宋体"/>
                <w:lang w:val="zh-CN"/>
              </w:rPr>
            </w:pPr>
            <w:r>
              <w:rPr>
                <w:rFonts w:hint="eastAsia" w:ascii="华文楷体" w:hAnsi="华文楷体" w:eastAsia="华文楷体" w:cs="宋体"/>
                <w:lang w:val="zh-CN"/>
              </w:rPr>
              <w:t>所属行业</w:t>
            </w:r>
          </w:p>
        </w:tc>
        <w:tc>
          <w:tcPr>
            <w:tcW w:w="5546" w:type="dxa"/>
            <w:vAlign w:val="center"/>
          </w:tcPr>
          <w:p w14:paraId="0D5A9E21">
            <w:pPr>
              <w:rPr>
                <w:rFonts w:ascii="华文楷体" w:hAnsi="华文楷体" w:eastAsia="华文楷体" w:cs="宋体"/>
                <w:lang w:val="zh-CN"/>
              </w:rPr>
            </w:pPr>
            <w:r>
              <w:rPr>
                <w:rFonts w:hint="eastAsia" w:ascii="华文楷体" w:hAnsi="华文楷体" w:eastAsia="华文楷体" w:cs="宋体"/>
                <w:lang w:val="zh-CN"/>
              </w:rPr>
              <w:t>工业</w:t>
            </w:r>
          </w:p>
        </w:tc>
      </w:tr>
      <w:tr w14:paraId="692FA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1" w:type="dxa"/>
            <w:gridSpan w:val="3"/>
          </w:tcPr>
          <w:p w14:paraId="718B2A3E">
            <w:pPr>
              <w:rPr>
                <w:rFonts w:ascii="华文楷体" w:hAnsi="华文楷体" w:eastAsia="华文楷体" w:cs="宋体"/>
                <w:lang w:val="zh-CN"/>
              </w:rPr>
            </w:pPr>
            <w:r>
              <w:rPr>
                <w:rFonts w:hint="eastAsia" w:ascii="华文楷体" w:hAnsi="华文楷体" w:eastAsia="华文楷体" w:cs="宋体"/>
              </w:rPr>
              <w:t>二</w:t>
            </w:r>
            <w:r>
              <w:rPr>
                <w:rFonts w:hint="eastAsia" w:ascii="华文楷体" w:hAnsi="华文楷体" w:eastAsia="华文楷体" w:cs="宋体"/>
                <w:lang w:val="zh-CN"/>
              </w:rPr>
              <w:t>、投标文件</w:t>
            </w:r>
          </w:p>
        </w:tc>
      </w:tr>
      <w:tr w14:paraId="13DCB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vAlign w:val="center"/>
          </w:tcPr>
          <w:p w14:paraId="7F8F0409">
            <w:pPr>
              <w:jc w:val="center"/>
              <w:rPr>
                <w:rFonts w:ascii="华文楷体" w:hAnsi="华文楷体" w:eastAsia="华文楷体" w:cs="宋体"/>
                <w:lang w:val="zh-CN"/>
              </w:rPr>
            </w:pPr>
            <w:r>
              <w:rPr>
                <w:rFonts w:hint="eastAsia" w:ascii="华文楷体" w:hAnsi="华文楷体" w:eastAsia="华文楷体" w:cs="宋体"/>
                <w:lang w:val="zh-CN"/>
              </w:rPr>
              <w:t>第</w:t>
            </w:r>
            <w:r>
              <w:rPr>
                <w:rFonts w:hint="eastAsia" w:ascii="华文楷体" w:hAnsi="华文楷体" w:eastAsia="华文楷体" w:cs="宋体"/>
              </w:rPr>
              <w:t>2.1</w:t>
            </w:r>
            <w:r>
              <w:rPr>
                <w:rFonts w:hint="eastAsia" w:ascii="华文楷体" w:hAnsi="华文楷体" w:eastAsia="华文楷体" w:cs="宋体"/>
                <w:lang w:val="zh-CN"/>
              </w:rPr>
              <w:t>款</w:t>
            </w:r>
          </w:p>
        </w:tc>
        <w:tc>
          <w:tcPr>
            <w:tcW w:w="1991" w:type="dxa"/>
            <w:vAlign w:val="center"/>
          </w:tcPr>
          <w:p w14:paraId="0E1E23D4">
            <w:pPr>
              <w:jc w:val="center"/>
              <w:rPr>
                <w:rFonts w:ascii="华文楷体" w:hAnsi="华文楷体" w:eastAsia="华文楷体" w:cs="宋体"/>
                <w:lang w:val="zh-CN"/>
              </w:rPr>
            </w:pPr>
            <w:r>
              <w:rPr>
                <w:rFonts w:hint="eastAsia" w:ascii="华文楷体" w:hAnsi="华文楷体" w:eastAsia="华文楷体" w:cs="宋体"/>
                <w:lang w:val="zh-CN"/>
              </w:rPr>
              <w:t>采购预算、最高限价</w:t>
            </w:r>
          </w:p>
        </w:tc>
        <w:tc>
          <w:tcPr>
            <w:tcW w:w="5546" w:type="dxa"/>
          </w:tcPr>
          <w:p w14:paraId="36E4B6A3">
            <w:pPr>
              <w:rPr>
                <w:rFonts w:ascii="华文楷体" w:hAnsi="华文楷体" w:eastAsia="华文楷体" w:cs="宋体"/>
                <w:lang w:val="zh-CN"/>
              </w:rPr>
            </w:pPr>
            <w:r>
              <w:rPr>
                <w:rFonts w:hint="eastAsia" w:ascii="华文楷体" w:hAnsi="华文楷体" w:eastAsia="华文楷体" w:cs="宋体"/>
                <w:lang w:val="zh-CN"/>
              </w:rPr>
              <w:t>本项目采购预算控制额度</w:t>
            </w:r>
            <w:r>
              <w:rPr>
                <w:rFonts w:hint="eastAsia" w:ascii="华文楷体" w:hAnsi="华文楷体" w:eastAsia="华文楷体" w:cs="宋体"/>
                <w:kern w:val="0"/>
              </w:rPr>
              <w:t>508.37万元</w:t>
            </w:r>
            <w:r>
              <w:rPr>
                <w:rFonts w:hint="eastAsia" w:ascii="华文楷体" w:hAnsi="华文楷体" w:eastAsia="华文楷体" w:cs="宋体"/>
                <w:lang w:val="zh-CN"/>
              </w:rPr>
              <w:t>，</w:t>
            </w:r>
            <w:r>
              <w:rPr>
                <w:rFonts w:hint="eastAsia" w:ascii="华文楷体" w:hAnsi="华文楷体" w:eastAsia="华文楷体" w:cs="宋体"/>
              </w:rPr>
              <w:t>其中：包一:94.09万元;包三：177.73万元</w:t>
            </w:r>
          </w:p>
          <w:p w14:paraId="39684C06">
            <w:pPr>
              <w:rPr>
                <w:rFonts w:ascii="华文楷体" w:hAnsi="华文楷体" w:eastAsia="华文楷体" w:cs="宋体"/>
                <w:lang w:val="zh-CN"/>
              </w:rPr>
            </w:pPr>
            <w:r>
              <w:rPr>
                <w:rFonts w:hint="eastAsia" w:ascii="华文楷体" w:hAnsi="华文楷体" w:eastAsia="华文楷体" w:cs="宋体"/>
                <w:lang w:val="zh-CN"/>
              </w:rPr>
              <w:t>1、投标人其投标报价应当明确完整，投标报价不完整存在缺漏项或投标报价超过该包最高限价的，其投标无效。</w:t>
            </w:r>
          </w:p>
          <w:p w14:paraId="3EAC2F0F">
            <w:pPr>
              <w:rPr>
                <w:rFonts w:ascii="华文楷体" w:hAnsi="华文楷体" w:eastAsia="华文楷体" w:cs="宋体"/>
                <w:lang w:val="zh-CN"/>
              </w:rPr>
            </w:pPr>
            <w:r>
              <w:rPr>
                <w:rFonts w:hint="eastAsia" w:ascii="华文楷体" w:hAnsi="华文楷体" w:eastAsia="华文楷体" w:cs="宋体"/>
                <w:lang w:val="zh-CN"/>
              </w:rPr>
              <w:t>2、</w:t>
            </w:r>
            <w:r>
              <w:rPr>
                <w:rFonts w:hint="eastAsia" w:ascii="华文楷体" w:hAnsi="华文楷体" w:eastAsia="华文楷体" w:cs="宋体"/>
              </w:rPr>
              <w:t>投标文件中，各包内</w:t>
            </w:r>
            <w:r>
              <w:rPr>
                <w:rFonts w:hint="eastAsia" w:ascii="华文楷体" w:hAnsi="华文楷体" w:eastAsia="华文楷体" w:cs="宋体"/>
                <w:lang w:val="zh-CN"/>
              </w:rPr>
              <w:t>每项</w:t>
            </w:r>
            <w:r>
              <w:rPr>
                <w:rFonts w:hint="eastAsia" w:ascii="华文楷体" w:hAnsi="华文楷体" w:eastAsia="华文楷体" w:cs="宋体"/>
              </w:rPr>
              <w:t>招标内容其单价都</w:t>
            </w:r>
            <w:r>
              <w:rPr>
                <w:rFonts w:hint="eastAsia" w:ascii="华文楷体" w:hAnsi="华文楷体" w:eastAsia="华文楷体" w:cs="宋体"/>
                <w:lang w:val="zh-CN"/>
              </w:rPr>
              <w:t>不得超过其对应的</w:t>
            </w:r>
            <w:r>
              <w:rPr>
                <w:rFonts w:hint="eastAsia" w:ascii="华文楷体" w:hAnsi="华文楷体" w:eastAsia="华文楷体" w:cs="宋体"/>
              </w:rPr>
              <w:t>预算</w:t>
            </w:r>
            <w:r>
              <w:rPr>
                <w:rFonts w:hint="eastAsia" w:ascii="华文楷体" w:hAnsi="华文楷体" w:eastAsia="华文楷体" w:cs="宋体"/>
                <w:lang w:val="zh-CN"/>
              </w:rPr>
              <w:t>单价限价，否则</w:t>
            </w:r>
            <w:r>
              <w:rPr>
                <w:rFonts w:hint="eastAsia" w:ascii="华文楷体" w:hAnsi="华文楷体" w:eastAsia="华文楷体" w:cs="宋体"/>
              </w:rPr>
              <w:t>其投标无效</w:t>
            </w:r>
            <w:r>
              <w:rPr>
                <w:rFonts w:hint="eastAsia" w:ascii="华文楷体" w:hAnsi="华文楷体" w:eastAsia="华文楷体" w:cs="宋体"/>
                <w:lang w:val="zh-CN"/>
              </w:rPr>
              <w:t>，单价限价详见招标文件第五部分。</w:t>
            </w:r>
          </w:p>
          <w:p w14:paraId="50E2557C">
            <w:pPr>
              <w:rPr>
                <w:rFonts w:ascii="华文楷体" w:hAnsi="华文楷体" w:eastAsia="华文楷体" w:cs="宋体"/>
                <w:lang w:val="zh-CN"/>
              </w:rPr>
            </w:pPr>
            <w:r>
              <w:rPr>
                <w:rFonts w:hint="eastAsia" w:ascii="华文楷体" w:hAnsi="华文楷体" w:eastAsia="华文楷体" w:cs="宋体"/>
              </w:rPr>
              <w:t>3、</w:t>
            </w:r>
            <w:r>
              <w:rPr>
                <w:rFonts w:hint="eastAsia" w:ascii="华文楷体" w:hAnsi="华文楷体" w:eastAsia="华文楷体" w:cs="宋体"/>
                <w:lang w:val="zh-CN"/>
              </w:rPr>
              <w:t>投标人可对本项目项下任意一包或全部包进行投标，但应对所投包内全部采购内容进行投标，不允许只对该包内部分内容进行投标。</w:t>
            </w:r>
          </w:p>
          <w:p w14:paraId="31B451DD">
            <w:pPr>
              <w:rPr>
                <w:rFonts w:ascii="华文楷体" w:hAnsi="华文楷体" w:eastAsia="华文楷体" w:cs="宋体"/>
                <w:lang w:val="zh-CN"/>
              </w:rPr>
            </w:pPr>
            <w:r>
              <w:rPr>
                <w:rFonts w:hint="eastAsia" w:ascii="华文楷体" w:hAnsi="华文楷体" w:eastAsia="华文楷体" w:cs="宋体"/>
              </w:rPr>
              <w:t>4、</w:t>
            </w:r>
            <w:r>
              <w:rPr>
                <w:rFonts w:hint="eastAsia" w:ascii="华文楷体" w:hAnsi="华文楷体" w:eastAsia="华文楷体" w:cs="宋体"/>
                <w:lang w:val="zh-CN"/>
              </w:rPr>
              <w:t>本项目共分为</w:t>
            </w:r>
            <w:r>
              <w:rPr>
                <w:rFonts w:hint="eastAsia" w:ascii="华文楷体" w:hAnsi="华文楷体" w:eastAsia="华文楷体" w:cs="宋体"/>
              </w:rPr>
              <w:t>3</w:t>
            </w:r>
            <w:r>
              <w:rPr>
                <w:rFonts w:hint="eastAsia" w:ascii="华文楷体" w:hAnsi="华文楷体" w:eastAsia="华文楷体" w:cs="宋体"/>
                <w:lang w:val="zh-CN"/>
              </w:rPr>
              <w:t>个包，允许兼投兼中。</w:t>
            </w:r>
          </w:p>
        </w:tc>
      </w:tr>
      <w:tr w14:paraId="7943B1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tcPr>
          <w:p w14:paraId="30A42279">
            <w:pPr>
              <w:rPr>
                <w:rFonts w:ascii="华文楷体" w:hAnsi="华文楷体" w:eastAsia="华文楷体" w:cs="宋体"/>
                <w:lang w:val="zh-CN"/>
              </w:rPr>
            </w:pPr>
            <w:r>
              <w:rPr>
                <w:rFonts w:hint="eastAsia" w:ascii="华文楷体" w:hAnsi="华文楷体" w:eastAsia="华文楷体" w:cs="宋体"/>
                <w:lang w:val="zh-CN"/>
              </w:rPr>
              <w:t>第</w:t>
            </w:r>
            <w:r>
              <w:rPr>
                <w:rFonts w:hint="eastAsia" w:ascii="华文楷体" w:hAnsi="华文楷体" w:eastAsia="华文楷体" w:cs="宋体"/>
              </w:rPr>
              <w:t>2.2</w:t>
            </w:r>
            <w:r>
              <w:rPr>
                <w:rFonts w:hint="eastAsia" w:ascii="华文楷体" w:hAnsi="华文楷体" w:eastAsia="华文楷体" w:cs="宋体"/>
                <w:lang w:val="zh-CN"/>
              </w:rPr>
              <w:t>款</w:t>
            </w:r>
          </w:p>
        </w:tc>
        <w:tc>
          <w:tcPr>
            <w:tcW w:w="1991" w:type="dxa"/>
            <w:vAlign w:val="center"/>
          </w:tcPr>
          <w:p w14:paraId="77B6A455">
            <w:pPr>
              <w:jc w:val="center"/>
              <w:rPr>
                <w:rFonts w:ascii="华文楷体" w:hAnsi="华文楷体" w:eastAsia="华文楷体" w:cs="宋体"/>
                <w:lang w:val="zh-CN"/>
              </w:rPr>
            </w:pPr>
            <w:r>
              <w:rPr>
                <w:rFonts w:hint="eastAsia" w:ascii="华文楷体" w:hAnsi="华文楷体" w:eastAsia="华文楷体" w:cs="宋体"/>
                <w:lang w:val="zh-CN"/>
              </w:rPr>
              <w:t>投标有效期</w:t>
            </w:r>
          </w:p>
        </w:tc>
        <w:tc>
          <w:tcPr>
            <w:tcW w:w="5546" w:type="dxa"/>
          </w:tcPr>
          <w:p w14:paraId="1479DDFE">
            <w:pPr>
              <w:rPr>
                <w:rFonts w:ascii="华文楷体" w:hAnsi="华文楷体" w:eastAsia="华文楷体" w:cs="宋体"/>
                <w:lang w:val="zh-CN"/>
              </w:rPr>
            </w:pPr>
            <w:r>
              <w:rPr>
                <w:rFonts w:hint="eastAsia" w:ascii="华文楷体" w:hAnsi="华文楷体" w:eastAsia="华文楷体" w:cs="宋体"/>
                <w:lang w:val="zh-CN"/>
              </w:rPr>
              <w:t>自投标文件递交截止之日起</w:t>
            </w:r>
            <w:r>
              <w:rPr>
                <w:rFonts w:hint="eastAsia" w:ascii="华文楷体" w:hAnsi="华文楷体" w:eastAsia="华文楷体" w:cs="宋体"/>
              </w:rPr>
              <w:t>90个</w:t>
            </w:r>
            <w:r>
              <w:rPr>
                <w:rFonts w:hint="eastAsia" w:ascii="华文楷体" w:hAnsi="华文楷体" w:eastAsia="华文楷体" w:cs="宋体"/>
                <w:lang w:val="zh-CN"/>
              </w:rPr>
              <w:t>日历日</w:t>
            </w:r>
          </w:p>
        </w:tc>
      </w:tr>
      <w:tr w14:paraId="17A21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tcPr>
          <w:p w14:paraId="738AC084">
            <w:pPr>
              <w:rPr>
                <w:rFonts w:ascii="华文楷体" w:hAnsi="华文楷体" w:eastAsia="华文楷体" w:cs="宋体"/>
                <w:lang w:val="zh-CN"/>
              </w:rPr>
            </w:pPr>
            <w:r>
              <w:rPr>
                <w:rFonts w:hint="eastAsia" w:ascii="华文楷体" w:hAnsi="华文楷体" w:eastAsia="华文楷体" w:cs="宋体"/>
                <w:lang w:val="zh-CN"/>
              </w:rPr>
              <w:t>第</w:t>
            </w:r>
            <w:r>
              <w:rPr>
                <w:rFonts w:hint="eastAsia" w:ascii="华文楷体" w:hAnsi="华文楷体" w:eastAsia="华文楷体" w:cs="宋体"/>
              </w:rPr>
              <w:t>2.3</w:t>
            </w:r>
            <w:r>
              <w:rPr>
                <w:rFonts w:hint="eastAsia" w:ascii="华文楷体" w:hAnsi="华文楷体" w:eastAsia="华文楷体" w:cs="宋体"/>
                <w:lang w:val="zh-CN"/>
              </w:rPr>
              <w:t>款</w:t>
            </w:r>
          </w:p>
        </w:tc>
        <w:tc>
          <w:tcPr>
            <w:tcW w:w="1991" w:type="dxa"/>
            <w:vAlign w:val="center"/>
          </w:tcPr>
          <w:p w14:paraId="65FE09EC">
            <w:pPr>
              <w:jc w:val="center"/>
              <w:rPr>
                <w:rFonts w:ascii="华文楷体" w:hAnsi="华文楷体" w:eastAsia="华文楷体" w:cs="宋体"/>
                <w:lang w:val="zh-CN"/>
              </w:rPr>
            </w:pPr>
            <w:r>
              <w:rPr>
                <w:rFonts w:hint="eastAsia" w:ascii="华文楷体" w:hAnsi="华文楷体" w:eastAsia="华文楷体" w:cs="宋体"/>
                <w:lang w:val="zh-CN"/>
              </w:rPr>
              <w:t>分包</w:t>
            </w:r>
          </w:p>
        </w:tc>
        <w:tc>
          <w:tcPr>
            <w:tcW w:w="5546" w:type="dxa"/>
          </w:tcPr>
          <w:p w14:paraId="4A65911D">
            <w:pPr>
              <w:rPr>
                <w:rFonts w:ascii="华文楷体" w:hAnsi="华文楷体" w:eastAsia="华文楷体" w:cs="宋体"/>
                <w:lang w:val="zh-CN"/>
              </w:rPr>
            </w:pPr>
            <w:r>
              <w:rPr>
                <w:rFonts w:hint="eastAsia" w:ascii="华文楷体" w:hAnsi="华文楷体" w:eastAsia="华文楷体" w:cs="宋体"/>
                <w:lang w:val="zh-CN"/>
              </w:rPr>
              <w:t>中标人不得在中标后将中标内容分包</w:t>
            </w:r>
          </w:p>
        </w:tc>
      </w:tr>
      <w:tr w14:paraId="064CC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81" w:type="dxa"/>
            <w:gridSpan w:val="3"/>
          </w:tcPr>
          <w:p w14:paraId="2ABDC994">
            <w:pPr>
              <w:rPr>
                <w:rFonts w:ascii="华文楷体" w:hAnsi="华文楷体" w:eastAsia="华文楷体" w:cs="宋体"/>
                <w:lang w:val="zh-CN"/>
              </w:rPr>
            </w:pPr>
            <w:r>
              <w:rPr>
                <w:rFonts w:hint="eastAsia" w:ascii="华文楷体" w:hAnsi="华文楷体" w:eastAsia="华文楷体" w:cs="宋体"/>
              </w:rPr>
              <w:t>三</w:t>
            </w:r>
            <w:r>
              <w:rPr>
                <w:rFonts w:hint="eastAsia" w:ascii="华文楷体" w:hAnsi="华文楷体" w:eastAsia="华文楷体" w:cs="宋体"/>
                <w:lang w:val="zh-CN"/>
              </w:rPr>
              <w:t>、中标信息公布</w:t>
            </w:r>
          </w:p>
        </w:tc>
      </w:tr>
      <w:tr w14:paraId="0BE34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vAlign w:val="center"/>
          </w:tcPr>
          <w:p w14:paraId="065390FB">
            <w:pPr>
              <w:jc w:val="center"/>
              <w:rPr>
                <w:rFonts w:ascii="华文楷体" w:hAnsi="华文楷体" w:eastAsia="华文楷体" w:cs="宋体"/>
                <w:lang w:val="zh-CN"/>
              </w:rPr>
            </w:pPr>
            <w:r>
              <w:rPr>
                <w:rFonts w:hint="eastAsia" w:ascii="华文楷体" w:hAnsi="华文楷体" w:eastAsia="华文楷体" w:cs="宋体"/>
                <w:lang w:val="zh-CN"/>
              </w:rPr>
              <w:t>第</w:t>
            </w:r>
            <w:r>
              <w:rPr>
                <w:rFonts w:hint="eastAsia" w:ascii="华文楷体" w:hAnsi="华文楷体" w:eastAsia="华文楷体" w:cs="宋体"/>
              </w:rPr>
              <w:t>3.1</w:t>
            </w:r>
            <w:r>
              <w:rPr>
                <w:rFonts w:hint="eastAsia" w:ascii="华文楷体" w:hAnsi="华文楷体" w:eastAsia="华文楷体" w:cs="宋体"/>
                <w:lang w:val="zh-CN"/>
              </w:rPr>
              <w:t>款</w:t>
            </w:r>
          </w:p>
        </w:tc>
        <w:tc>
          <w:tcPr>
            <w:tcW w:w="1991" w:type="dxa"/>
            <w:vAlign w:val="center"/>
          </w:tcPr>
          <w:p w14:paraId="1D4B58A0">
            <w:pPr>
              <w:jc w:val="center"/>
              <w:rPr>
                <w:rFonts w:ascii="华文楷体" w:hAnsi="华文楷体" w:eastAsia="华文楷体" w:cs="宋体"/>
                <w:lang w:val="zh-CN"/>
              </w:rPr>
            </w:pPr>
            <w:r>
              <w:rPr>
                <w:rFonts w:hint="eastAsia" w:ascii="华文楷体" w:hAnsi="华文楷体" w:eastAsia="华文楷体" w:cs="宋体"/>
                <w:lang w:val="zh-CN"/>
              </w:rPr>
              <w:t>中标候选人并列的确定中标人的方式</w:t>
            </w:r>
          </w:p>
        </w:tc>
        <w:tc>
          <w:tcPr>
            <w:tcW w:w="5546" w:type="dxa"/>
            <w:vAlign w:val="center"/>
          </w:tcPr>
          <w:p w14:paraId="0C909D1E">
            <w:pPr>
              <w:rPr>
                <w:rFonts w:ascii="华文楷体" w:hAnsi="华文楷体" w:eastAsia="华文楷体" w:cs="宋体"/>
                <w:lang w:val="zh-CN"/>
              </w:rPr>
            </w:pPr>
            <w:r>
              <w:rPr>
                <w:rFonts w:hint="eastAsia" w:ascii="华文楷体" w:hAnsi="华文楷体" w:eastAsia="华文楷体" w:cs="Arial"/>
                <w:lang w:val="zh-CN"/>
              </w:rPr>
              <w:t>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tc>
      </w:tr>
      <w:tr w14:paraId="05325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vAlign w:val="center"/>
          </w:tcPr>
          <w:p w14:paraId="79DF968F">
            <w:pPr>
              <w:jc w:val="center"/>
              <w:rPr>
                <w:rFonts w:ascii="华文楷体" w:hAnsi="华文楷体" w:eastAsia="华文楷体" w:cs="宋体"/>
                <w:lang w:val="zh-CN"/>
              </w:rPr>
            </w:pPr>
            <w:r>
              <w:rPr>
                <w:rFonts w:hint="eastAsia" w:ascii="华文楷体" w:hAnsi="华文楷体" w:eastAsia="华文楷体" w:cs="宋体"/>
                <w:lang w:val="zh-CN"/>
              </w:rPr>
              <w:t>第</w:t>
            </w:r>
            <w:r>
              <w:rPr>
                <w:rFonts w:hint="eastAsia" w:ascii="华文楷体" w:hAnsi="华文楷体" w:eastAsia="华文楷体" w:cs="宋体"/>
              </w:rPr>
              <w:t>3.2</w:t>
            </w:r>
            <w:r>
              <w:rPr>
                <w:rFonts w:hint="eastAsia" w:ascii="华文楷体" w:hAnsi="华文楷体" w:eastAsia="华文楷体" w:cs="宋体"/>
                <w:lang w:val="zh-CN"/>
              </w:rPr>
              <w:t>款</w:t>
            </w:r>
          </w:p>
        </w:tc>
        <w:tc>
          <w:tcPr>
            <w:tcW w:w="1991" w:type="dxa"/>
            <w:vAlign w:val="center"/>
          </w:tcPr>
          <w:p w14:paraId="704719DF">
            <w:pPr>
              <w:jc w:val="center"/>
              <w:rPr>
                <w:rFonts w:ascii="华文楷体" w:hAnsi="华文楷体" w:eastAsia="华文楷体" w:cs="宋体"/>
                <w:lang w:val="zh-CN"/>
              </w:rPr>
            </w:pPr>
            <w:r>
              <w:rPr>
                <w:rFonts w:hint="eastAsia" w:ascii="华文楷体" w:hAnsi="华文楷体" w:eastAsia="华文楷体" w:cs="宋体"/>
                <w:lang w:val="zh-CN"/>
              </w:rPr>
              <w:t>接收质疑函的联系部门、联系电话和通讯地址</w:t>
            </w:r>
          </w:p>
        </w:tc>
        <w:tc>
          <w:tcPr>
            <w:tcW w:w="5546" w:type="dxa"/>
          </w:tcPr>
          <w:p w14:paraId="7A2D24CE">
            <w:pPr>
              <w:rPr>
                <w:rFonts w:ascii="华文楷体" w:hAnsi="华文楷体" w:eastAsia="华文楷体" w:cs="宋体"/>
                <w:lang w:val="zh-CN"/>
              </w:rPr>
            </w:pPr>
            <w:r>
              <w:rPr>
                <w:rFonts w:hint="eastAsia" w:ascii="华文楷体" w:hAnsi="华文楷体" w:eastAsia="华文楷体" w:cs="宋体"/>
                <w:lang w:val="zh-CN"/>
              </w:rPr>
              <w:t>本采购项目接收质疑函方式、联系部门及联系电话、通讯地址：</w:t>
            </w:r>
          </w:p>
          <w:p w14:paraId="0D1669E3">
            <w:pPr>
              <w:rPr>
                <w:rFonts w:ascii="华文楷体" w:hAnsi="华文楷体" w:eastAsia="华文楷体" w:cs="宋体"/>
                <w:lang w:val="zh-CN"/>
              </w:rPr>
            </w:pPr>
            <w:r>
              <w:rPr>
                <w:rFonts w:hint="eastAsia" w:ascii="华文楷体" w:hAnsi="华文楷体" w:eastAsia="华文楷体" w:cs="宋体"/>
                <w:lang w:val="zh-CN"/>
              </w:rPr>
              <w:t>接收质疑函的方式：投标人应当按国家相关规定向采购人和采购代理机构一并提交书面质疑函及相关证明材料。</w:t>
            </w:r>
          </w:p>
          <w:p w14:paraId="77AB3813">
            <w:pPr>
              <w:rPr>
                <w:rFonts w:ascii="华文楷体" w:hAnsi="华文楷体" w:eastAsia="华文楷体" w:cs="宋体"/>
              </w:rPr>
            </w:pPr>
            <w:r>
              <w:rPr>
                <w:rFonts w:hint="eastAsia" w:ascii="华文楷体" w:hAnsi="华文楷体" w:eastAsia="华文楷体" w:cs="宋体"/>
                <w:lang w:val="zh-CN"/>
              </w:rPr>
              <w:t>采购人联系部门：格尔木市消防救援支队</w:t>
            </w:r>
          </w:p>
          <w:p w14:paraId="34F39487">
            <w:pPr>
              <w:rPr>
                <w:rFonts w:ascii="华文楷体" w:hAnsi="华文楷体" w:eastAsia="华文楷体" w:cs="宋体"/>
                <w:lang w:val="zh-CN"/>
              </w:rPr>
            </w:pPr>
            <w:r>
              <w:rPr>
                <w:rFonts w:hint="eastAsia" w:ascii="华文楷体" w:hAnsi="华文楷体" w:eastAsia="华文楷体" w:cs="宋体"/>
                <w:lang w:val="zh-CN"/>
              </w:rPr>
              <w:t>联系电话：0979-8428893</w:t>
            </w:r>
          </w:p>
          <w:p w14:paraId="0C762C46">
            <w:pPr>
              <w:rPr>
                <w:rFonts w:ascii="华文楷体" w:hAnsi="华文楷体" w:eastAsia="华文楷体" w:cs="宋体"/>
                <w:lang w:val="zh-CN"/>
              </w:rPr>
            </w:pPr>
            <w:r>
              <w:rPr>
                <w:rFonts w:hint="eastAsia" w:ascii="华文楷体" w:hAnsi="华文楷体" w:eastAsia="华文楷体" w:cs="宋体"/>
                <w:lang w:val="zh-CN"/>
              </w:rPr>
              <w:t>通讯地址：格尔木市黄河中路15号</w:t>
            </w:r>
          </w:p>
          <w:p w14:paraId="7326F7E3">
            <w:pPr>
              <w:rPr>
                <w:rFonts w:ascii="华文楷体" w:hAnsi="华文楷体" w:eastAsia="华文楷体" w:cs="宋体"/>
              </w:rPr>
            </w:pPr>
            <w:r>
              <w:rPr>
                <w:rFonts w:hint="eastAsia" w:ascii="华文楷体" w:hAnsi="华文楷体" w:eastAsia="华文楷体" w:cs="宋体"/>
                <w:lang w:val="zh-CN"/>
              </w:rPr>
              <w:t>采购代理机构联系部门：青海锦茂工程项目管理有限责任公司</w:t>
            </w:r>
          </w:p>
          <w:p w14:paraId="57FFE62C">
            <w:pPr>
              <w:rPr>
                <w:rFonts w:ascii="华文楷体" w:hAnsi="华文楷体" w:eastAsia="华文楷体" w:cs="宋体"/>
                <w:lang w:val="zh-CN"/>
              </w:rPr>
            </w:pPr>
            <w:r>
              <w:rPr>
                <w:rFonts w:hint="eastAsia" w:ascii="华文楷体" w:hAnsi="华文楷体" w:eastAsia="华文楷体" w:cs="宋体"/>
                <w:lang w:val="zh-CN"/>
              </w:rPr>
              <w:t>地址</w:t>
            </w:r>
            <w:r>
              <w:rPr>
                <w:rFonts w:hint="eastAsia" w:ascii="华文楷体" w:hAnsi="华文楷体" w:eastAsia="华文楷体" w:cs="宋体"/>
              </w:rPr>
              <w:t>：</w:t>
            </w:r>
            <w:r>
              <w:rPr>
                <w:rFonts w:hint="eastAsia" w:ascii="华文楷体" w:hAnsi="华文楷体" w:eastAsia="华文楷体" w:cs="宋体"/>
                <w:lang w:val="zh-CN"/>
              </w:rPr>
              <w:t>青海省西宁市城西区五四西路71号安泰公寓B座14层</w:t>
            </w:r>
          </w:p>
          <w:p w14:paraId="63935C27">
            <w:pPr>
              <w:rPr>
                <w:rFonts w:ascii="华文楷体" w:hAnsi="华文楷体" w:eastAsia="华文楷体" w:cs="宋体"/>
              </w:rPr>
            </w:pPr>
            <w:r>
              <w:rPr>
                <w:rFonts w:hint="eastAsia" w:ascii="华文楷体" w:hAnsi="华文楷体" w:eastAsia="华文楷体" w:cs="宋体"/>
                <w:lang w:val="zh-CN"/>
              </w:rPr>
              <w:t>电话</w:t>
            </w:r>
            <w:r>
              <w:rPr>
                <w:rFonts w:hint="eastAsia" w:ascii="华文楷体" w:hAnsi="华文楷体" w:eastAsia="华文楷体" w:cs="宋体"/>
              </w:rPr>
              <w:t>：0971-3626731</w:t>
            </w:r>
          </w:p>
          <w:p w14:paraId="732F9308">
            <w:pPr>
              <w:rPr>
                <w:rFonts w:ascii="华文楷体" w:hAnsi="华文楷体" w:eastAsia="华文楷体" w:cs="宋体"/>
                <w:lang w:val="zh-CN"/>
              </w:rPr>
            </w:pPr>
            <w:r>
              <w:rPr>
                <w:rFonts w:hint="eastAsia" w:ascii="华文楷体" w:hAnsi="华文楷体" w:eastAsia="华文楷体" w:cs="宋体"/>
              </w:rPr>
              <w:t>邮箱：</w:t>
            </w:r>
            <w:r>
              <w:rPr>
                <w:rFonts w:hint="eastAsia" w:ascii="华文楷体" w:hAnsi="华文楷体" w:eastAsia="华文楷体" w:cs="宋体"/>
                <w:lang w:val="zh-CN"/>
              </w:rPr>
              <w:t>qhjm2022@163.com</w:t>
            </w:r>
          </w:p>
          <w:p w14:paraId="08B6822B">
            <w:pPr>
              <w:rPr>
                <w:rFonts w:ascii="华文楷体" w:hAnsi="华文楷体" w:eastAsia="华文楷体" w:cs="宋体"/>
                <w:lang w:val="zh-CN"/>
              </w:rPr>
            </w:pPr>
            <w:r>
              <w:rPr>
                <w:rFonts w:hint="eastAsia" w:ascii="华文楷体" w:hAnsi="华文楷体" w:eastAsia="华文楷体" w:cs="宋体"/>
                <w:lang w:val="zh-CN"/>
              </w:rPr>
              <w:t>备注：投标人在法定质疑期内针对同一采购程序环节的质疑须一次性提出。</w:t>
            </w:r>
          </w:p>
        </w:tc>
      </w:tr>
      <w:tr w14:paraId="07E0B4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81" w:type="dxa"/>
            <w:gridSpan w:val="3"/>
            <w:vAlign w:val="center"/>
          </w:tcPr>
          <w:p w14:paraId="43E5B1BF">
            <w:pPr>
              <w:rPr>
                <w:rFonts w:ascii="华文楷体" w:hAnsi="华文楷体" w:eastAsia="华文楷体" w:cs="宋体"/>
              </w:rPr>
            </w:pPr>
            <w:r>
              <w:rPr>
                <w:rFonts w:hint="eastAsia" w:ascii="华文楷体" w:hAnsi="华文楷体" w:eastAsia="华文楷体" w:cs="宋体"/>
              </w:rPr>
              <w:t>四、</w:t>
            </w:r>
            <w:r>
              <w:rPr>
                <w:rFonts w:hint="eastAsia" w:ascii="华文楷体" w:hAnsi="华文楷体" w:eastAsia="华文楷体" w:cs="宋体"/>
                <w:lang w:val="zh-CN"/>
              </w:rPr>
              <w:t>合同签订</w:t>
            </w:r>
          </w:p>
        </w:tc>
      </w:tr>
      <w:tr w14:paraId="78E493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44" w:type="dxa"/>
            <w:vAlign w:val="center"/>
          </w:tcPr>
          <w:p w14:paraId="19848087">
            <w:pPr>
              <w:jc w:val="center"/>
              <w:rPr>
                <w:rFonts w:ascii="华文楷体" w:hAnsi="华文楷体" w:eastAsia="华文楷体" w:cs="宋体"/>
                <w:lang w:val="zh-CN"/>
              </w:rPr>
            </w:pPr>
            <w:r>
              <w:rPr>
                <w:rFonts w:hint="eastAsia" w:ascii="华文楷体" w:hAnsi="华文楷体" w:eastAsia="华文楷体" w:cs="宋体"/>
                <w:lang w:val="zh-CN"/>
              </w:rPr>
              <w:t>第</w:t>
            </w:r>
            <w:r>
              <w:rPr>
                <w:rFonts w:hint="eastAsia" w:ascii="华文楷体" w:hAnsi="华文楷体" w:eastAsia="华文楷体" w:cs="宋体"/>
              </w:rPr>
              <w:t>4.1</w:t>
            </w:r>
            <w:r>
              <w:rPr>
                <w:rFonts w:hint="eastAsia" w:ascii="华文楷体" w:hAnsi="华文楷体" w:eastAsia="华文楷体" w:cs="宋体"/>
                <w:lang w:val="zh-CN"/>
              </w:rPr>
              <w:t>款</w:t>
            </w:r>
          </w:p>
        </w:tc>
        <w:tc>
          <w:tcPr>
            <w:tcW w:w="1991" w:type="dxa"/>
            <w:vAlign w:val="center"/>
          </w:tcPr>
          <w:p w14:paraId="2800C573">
            <w:pPr>
              <w:jc w:val="center"/>
              <w:rPr>
                <w:rFonts w:ascii="华文楷体" w:hAnsi="华文楷体" w:eastAsia="华文楷体" w:cs="宋体"/>
                <w:lang w:val="zh-CN"/>
              </w:rPr>
            </w:pPr>
            <w:r>
              <w:rPr>
                <w:rFonts w:hint="eastAsia" w:ascii="华文楷体" w:hAnsi="华文楷体" w:eastAsia="华文楷体" w:cs="宋体"/>
                <w:lang w:val="zh-CN"/>
              </w:rPr>
              <w:t>履约担保及付款方式</w:t>
            </w:r>
          </w:p>
        </w:tc>
        <w:tc>
          <w:tcPr>
            <w:tcW w:w="5546" w:type="dxa"/>
          </w:tcPr>
          <w:p w14:paraId="1F9F525F">
            <w:pPr>
              <w:rPr>
                <w:rFonts w:ascii="华文楷体" w:hAnsi="华文楷体" w:eastAsia="华文楷体" w:cs="宋体"/>
                <w:lang w:val="zh-CN"/>
              </w:rPr>
            </w:pPr>
            <w:r>
              <w:rPr>
                <w:rFonts w:hint="eastAsia" w:ascii="华文楷体" w:hAnsi="华文楷体" w:eastAsia="华文楷体" w:cs="宋体"/>
                <w:lang w:val="zh-CN"/>
              </w:rPr>
              <w:t>付款方式：</w:t>
            </w:r>
          </w:p>
          <w:p w14:paraId="4F5F7D20">
            <w:pPr>
              <w:rPr>
                <w:rFonts w:ascii="华文楷体" w:hAnsi="华文楷体" w:eastAsia="华文楷体" w:cs="宋体"/>
                <w:lang w:val="zh-CN"/>
              </w:rPr>
            </w:pPr>
            <w:r>
              <w:rPr>
                <w:rFonts w:hint="eastAsia" w:ascii="华文楷体" w:hAnsi="华文楷体" w:eastAsia="华文楷体" w:cs="宋体"/>
                <w:lang w:val="zh-CN"/>
              </w:rPr>
              <w:t>1.履约担保：在签订合同后30个日历日内，中标人（乙方）应当以支票、汇票、本票或者金融机构、担保机构出具的保函等非现金形式向采购人（甲方）出具履约保函。履约保证金的数额为合同金额的10%，履约保证金的有效期为中标通知书收到之日起455个日历日。</w:t>
            </w:r>
          </w:p>
          <w:p w14:paraId="69EC25B9">
            <w:pPr>
              <w:rPr>
                <w:rFonts w:ascii="华文楷体" w:hAnsi="华文楷体" w:eastAsia="华文楷体" w:cs="宋体"/>
                <w:lang w:val="zh-CN"/>
              </w:rPr>
            </w:pPr>
            <w:r>
              <w:rPr>
                <w:rFonts w:hint="eastAsia" w:ascii="华文楷体" w:hAnsi="华文楷体" w:eastAsia="华文楷体" w:cs="宋体"/>
                <w:lang w:val="zh-CN"/>
              </w:rPr>
              <w:t>2.预付款：收到保函后，甲方向乙方支付不低于合同总金额的40%作为预付款。预付款支付后，如乙方未履行合同义务，则甲方有权收回预付款；如乙方依约履行了合同义务，则预付款抵作合同价款。</w:t>
            </w:r>
          </w:p>
          <w:p w14:paraId="7003CCFD">
            <w:pPr>
              <w:rPr>
                <w:rFonts w:ascii="华文楷体" w:hAnsi="华文楷体" w:eastAsia="华文楷体" w:cs="宋体"/>
                <w:lang w:val="zh-CN"/>
              </w:rPr>
            </w:pPr>
            <w:r>
              <w:rPr>
                <w:rFonts w:hint="eastAsia" w:ascii="华文楷体" w:hAnsi="华文楷体" w:eastAsia="华文楷体" w:cs="宋体"/>
                <w:lang w:val="zh-CN"/>
              </w:rPr>
              <w:t>3.交货款：乙方按合同规定的合同履行期限交货并经甲方对合同项下所有货物验收</w:t>
            </w:r>
            <w:r>
              <w:rPr>
                <w:rFonts w:hint="eastAsia" w:ascii="华文楷体" w:hAnsi="华文楷体" w:eastAsia="华文楷体" w:cs="宋体"/>
              </w:rPr>
              <w:t>合格后</w:t>
            </w:r>
            <w:r>
              <w:rPr>
                <w:rFonts w:hint="eastAsia" w:ascii="华文楷体" w:hAnsi="华文楷体" w:eastAsia="华文楷体" w:cs="宋体"/>
                <w:lang w:val="zh-CN"/>
              </w:rPr>
              <w:t>15个工作日内，凭乙方全额有效发票、拨款申请、及甲方签署的验收合格报告，经审计后甲方向乙方支付剩余款项。</w:t>
            </w:r>
          </w:p>
          <w:p w14:paraId="020E0465">
            <w:pPr>
              <w:rPr>
                <w:rFonts w:ascii="华文楷体" w:hAnsi="华文楷体" w:eastAsia="华文楷体" w:cs="宋体"/>
                <w:lang w:val="zh-CN"/>
              </w:rPr>
            </w:pPr>
            <w:r>
              <w:rPr>
                <w:rFonts w:hint="eastAsia" w:ascii="华文楷体" w:hAnsi="华文楷体" w:eastAsia="华文楷体" w:cs="宋体"/>
                <w:lang w:val="zh-CN"/>
              </w:rPr>
              <w:t>4.结清款：验收合格满1年且乙方履行合同义务，凭乙方合同总金额有效发票复印件、等额有效收据、拨款申请及甲方签署的意见，甲方向乙方退还履约保函，但是乙方需要继续履行质保义务。</w:t>
            </w:r>
          </w:p>
        </w:tc>
      </w:tr>
    </w:tbl>
    <w:p w14:paraId="34C378B2">
      <w:pPr>
        <w:pStyle w:val="11"/>
        <w:rPr>
          <w:rFonts w:ascii="华文楷体" w:hAnsi="华文楷体" w:eastAsia="华文楷体" w:cs="宋体"/>
          <w:lang w:val="zh-CN"/>
        </w:rPr>
        <w:sectPr>
          <w:pgSz w:w="11849" w:h="16781"/>
          <w:pgMar w:top="1440" w:right="1803" w:bottom="1440" w:left="1803" w:header="851" w:footer="992" w:gutter="0"/>
          <w:cols w:space="720" w:num="1"/>
          <w:docGrid w:linePitch="397" w:charSpace="0"/>
        </w:sectPr>
      </w:pPr>
    </w:p>
    <w:p w14:paraId="7D57B8F0">
      <w:pPr>
        <w:pStyle w:val="25"/>
        <w:spacing w:before="0" w:after="0" w:line="360" w:lineRule="auto"/>
        <w:rPr>
          <w:rFonts w:ascii="华文楷体" w:hAnsi="华文楷体" w:eastAsia="华文楷体" w:cs="宋体"/>
        </w:rPr>
      </w:pPr>
      <w:bookmarkStart w:id="34" w:name="_Toc19919"/>
      <w:bookmarkStart w:id="35" w:name="_Toc29010"/>
      <w:bookmarkStart w:id="36" w:name="_Toc184345888"/>
      <w:r>
        <w:rPr>
          <w:rFonts w:hint="eastAsia" w:ascii="华文楷体" w:hAnsi="华文楷体" w:eastAsia="华文楷体" w:cs="宋体"/>
          <w:lang w:val="zh-CN"/>
        </w:rPr>
        <w:t>一、说明</w:t>
      </w:r>
      <w:bookmarkEnd w:id="34"/>
      <w:bookmarkEnd w:id="35"/>
      <w:bookmarkEnd w:id="36"/>
    </w:p>
    <w:p w14:paraId="0385110C">
      <w:pPr>
        <w:pStyle w:val="25"/>
        <w:spacing w:before="0" w:after="0" w:line="360" w:lineRule="auto"/>
        <w:jc w:val="left"/>
        <w:rPr>
          <w:rFonts w:ascii="华文楷体" w:hAnsi="华文楷体" w:eastAsia="华文楷体" w:cs="宋体"/>
          <w:lang w:val="zh-CN"/>
        </w:rPr>
      </w:pPr>
      <w:bookmarkStart w:id="37" w:name="_Toc515908170"/>
      <w:bookmarkStart w:id="38" w:name="_Toc184345889"/>
      <w:bookmarkStart w:id="39" w:name="_Toc23144"/>
      <w:r>
        <w:rPr>
          <w:rFonts w:hint="eastAsia" w:ascii="华文楷体" w:hAnsi="华文楷体" w:eastAsia="华文楷体" w:cs="宋体"/>
          <w:sz w:val="28"/>
          <w:szCs w:val="28"/>
          <w:lang w:val="zh-CN"/>
        </w:rPr>
        <w:t>1.适用范围</w:t>
      </w:r>
      <w:bookmarkEnd w:id="37"/>
      <w:bookmarkEnd w:id="38"/>
      <w:bookmarkEnd w:id="39"/>
    </w:p>
    <w:p w14:paraId="2BFEDEA1">
      <w:pPr>
        <w:autoSpaceDE w:val="0"/>
        <w:autoSpaceDN w:val="0"/>
        <w:spacing w:line="360" w:lineRule="auto"/>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本次招标依据采购人的采购计划，仅适用于本招标文件中所叙述的项目。</w:t>
      </w:r>
    </w:p>
    <w:p w14:paraId="65DC9093">
      <w:pPr>
        <w:pStyle w:val="25"/>
        <w:spacing w:before="0" w:after="0" w:line="360" w:lineRule="auto"/>
        <w:jc w:val="left"/>
        <w:rPr>
          <w:rFonts w:ascii="华文楷体" w:hAnsi="华文楷体" w:eastAsia="华文楷体" w:cs="宋体"/>
          <w:lang w:val="zh-CN"/>
        </w:rPr>
      </w:pPr>
      <w:bookmarkStart w:id="40" w:name="_Toc515908171"/>
      <w:bookmarkStart w:id="41" w:name="_Toc184345890"/>
      <w:bookmarkStart w:id="42" w:name="_Toc29213"/>
      <w:r>
        <w:rPr>
          <w:rFonts w:hint="eastAsia" w:ascii="华文楷体" w:hAnsi="华文楷体" w:eastAsia="华文楷体" w:cs="宋体"/>
          <w:sz w:val="28"/>
          <w:szCs w:val="28"/>
          <w:lang w:val="zh-CN"/>
        </w:rPr>
        <w:t>2.采购方式、合格的投标人</w:t>
      </w:r>
      <w:bookmarkEnd w:id="40"/>
      <w:bookmarkEnd w:id="41"/>
      <w:bookmarkEnd w:id="42"/>
    </w:p>
    <w:p w14:paraId="46C741F2">
      <w:pPr>
        <w:autoSpaceDE w:val="0"/>
        <w:autoSpaceDN w:val="0"/>
        <w:spacing w:line="360" w:lineRule="auto"/>
        <w:ind w:firstLine="360" w:firstLineChars="150"/>
        <w:rPr>
          <w:rFonts w:ascii="华文楷体" w:hAnsi="华文楷体" w:eastAsia="华文楷体" w:cs="宋体"/>
          <w:b/>
          <w:bCs/>
          <w:kern w:val="0"/>
          <w:lang w:val="zh-CN"/>
        </w:rPr>
      </w:pPr>
      <w:r>
        <w:rPr>
          <w:rFonts w:hint="eastAsia" w:ascii="华文楷体" w:hAnsi="华文楷体" w:eastAsia="华文楷体" w:cs="宋体"/>
          <w:kern w:val="0"/>
          <w:lang w:val="zh-CN"/>
        </w:rPr>
        <w:t>2.1本次招标采取公开招标方式。</w:t>
      </w:r>
    </w:p>
    <w:p w14:paraId="0914DE11">
      <w:pPr>
        <w:autoSpaceDE w:val="0"/>
        <w:autoSpaceDN w:val="0"/>
        <w:spacing w:line="360" w:lineRule="auto"/>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2.2合格的投标人：详见第一部分</w:t>
      </w:r>
      <w:r>
        <w:rPr>
          <w:rFonts w:hint="eastAsia" w:ascii="华文楷体" w:hAnsi="华文楷体" w:eastAsia="华文楷体" w:cs="宋体"/>
          <w:kern w:val="0"/>
        </w:rPr>
        <w:t>“申请</w:t>
      </w:r>
      <w:r>
        <w:rPr>
          <w:rFonts w:hint="eastAsia" w:ascii="华文楷体" w:hAnsi="华文楷体" w:eastAsia="华文楷体" w:cs="宋体"/>
          <w:kern w:val="0"/>
          <w:lang w:val="zh-CN"/>
        </w:rPr>
        <w:t>人资格要求</w:t>
      </w:r>
      <w:r>
        <w:rPr>
          <w:rFonts w:hint="eastAsia" w:ascii="华文楷体" w:hAnsi="华文楷体" w:eastAsia="华文楷体" w:cs="宋体"/>
          <w:kern w:val="0"/>
        </w:rPr>
        <w:t>”。</w:t>
      </w:r>
    </w:p>
    <w:p w14:paraId="1C0F74FF">
      <w:pPr>
        <w:pStyle w:val="25"/>
        <w:spacing w:before="0" w:after="0" w:line="360" w:lineRule="auto"/>
        <w:jc w:val="left"/>
        <w:rPr>
          <w:rFonts w:ascii="华文楷体" w:hAnsi="华文楷体" w:eastAsia="华文楷体" w:cs="宋体"/>
          <w:lang w:val="zh-CN"/>
        </w:rPr>
      </w:pPr>
      <w:bookmarkStart w:id="43" w:name="_Toc25966"/>
      <w:bookmarkStart w:id="44" w:name="_Toc184345891"/>
      <w:bookmarkStart w:id="45" w:name="_Toc515908172"/>
      <w:r>
        <w:rPr>
          <w:rFonts w:hint="eastAsia" w:ascii="华文楷体" w:hAnsi="华文楷体" w:eastAsia="华文楷体" w:cs="宋体"/>
          <w:sz w:val="28"/>
          <w:szCs w:val="28"/>
          <w:lang w:val="zh-CN"/>
        </w:rPr>
        <w:t>3.投标费用</w:t>
      </w:r>
      <w:bookmarkEnd w:id="43"/>
      <w:bookmarkEnd w:id="44"/>
      <w:bookmarkEnd w:id="45"/>
    </w:p>
    <w:p w14:paraId="7C48D025">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投标人应自愿承担与参加本次投标有关的费用。采购代理机构对投标人发生的费用不承担任何责任。</w:t>
      </w:r>
    </w:p>
    <w:p w14:paraId="34EF75E7">
      <w:pPr>
        <w:pStyle w:val="25"/>
        <w:spacing w:before="0" w:after="0" w:line="360" w:lineRule="auto"/>
        <w:rPr>
          <w:rFonts w:ascii="华文楷体" w:hAnsi="华文楷体" w:eastAsia="华文楷体" w:cs="宋体"/>
        </w:rPr>
      </w:pPr>
      <w:bookmarkStart w:id="46" w:name="_Toc184345892"/>
      <w:bookmarkStart w:id="47" w:name="_Toc17242"/>
      <w:bookmarkStart w:id="48" w:name="_Toc15150"/>
      <w:r>
        <w:rPr>
          <w:rFonts w:hint="eastAsia" w:ascii="华文楷体" w:hAnsi="华文楷体" w:eastAsia="华文楷体" w:cs="宋体"/>
          <w:lang w:val="zh-CN"/>
        </w:rPr>
        <w:t>二、招标文件说明</w:t>
      </w:r>
      <w:bookmarkEnd w:id="46"/>
      <w:bookmarkEnd w:id="47"/>
      <w:bookmarkEnd w:id="48"/>
    </w:p>
    <w:p w14:paraId="40EC1677">
      <w:pPr>
        <w:pStyle w:val="25"/>
        <w:spacing w:before="0" w:after="0" w:line="360" w:lineRule="auto"/>
        <w:jc w:val="left"/>
        <w:rPr>
          <w:rFonts w:ascii="华文楷体" w:hAnsi="华文楷体" w:eastAsia="华文楷体" w:cs="宋体"/>
          <w:lang w:val="zh-CN"/>
        </w:rPr>
      </w:pPr>
      <w:bookmarkStart w:id="49" w:name="_Toc3175"/>
      <w:bookmarkStart w:id="50" w:name="_Toc184345893"/>
      <w:bookmarkStart w:id="51" w:name="_Toc515908174"/>
      <w:r>
        <w:rPr>
          <w:rFonts w:hint="eastAsia" w:ascii="华文楷体" w:hAnsi="华文楷体" w:eastAsia="华文楷体" w:cs="宋体"/>
          <w:sz w:val="28"/>
          <w:szCs w:val="28"/>
          <w:lang w:val="zh-CN"/>
        </w:rPr>
        <w:t>4.招标文件的构成</w:t>
      </w:r>
      <w:bookmarkEnd w:id="49"/>
      <w:bookmarkEnd w:id="50"/>
      <w:bookmarkEnd w:id="51"/>
    </w:p>
    <w:p w14:paraId="073B75E4">
      <w:pPr>
        <w:autoSpaceDE w:val="0"/>
        <w:autoSpaceDN w:val="0"/>
        <w:spacing w:line="360" w:lineRule="auto"/>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4.1招标文件包括：</w:t>
      </w:r>
    </w:p>
    <w:p w14:paraId="71282B4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（1）投标邀请</w:t>
      </w:r>
    </w:p>
    <w:p w14:paraId="4256D9B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2</w:t>
      </w:r>
      <w:r>
        <w:rPr>
          <w:rFonts w:hint="eastAsia" w:ascii="华文楷体" w:hAnsi="华文楷体" w:eastAsia="华文楷体" w:cs="宋体"/>
          <w:kern w:val="0"/>
          <w:lang w:val="zh-CN"/>
        </w:rPr>
        <w:t>）投标人须知</w:t>
      </w:r>
    </w:p>
    <w:p w14:paraId="37545818">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3</w:t>
      </w:r>
      <w:r>
        <w:rPr>
          <w:rFonts w:hint="eastAsia" w:ascii="华文楷体" w:hAnsi="华文楷体" w:eastAsia="华文楷体" w:cs="宋体"/>
          <w:kern w:val="0"/>
          <w:lang w:val="zh-CN"/>
        </w:rPr>
        <w:t>）青海省政府采购项目合同书范本</w:t>
      </w:r>
    </w:p>
    <w:p w14:paraId="0386A775">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4</w:t>
      </w:r>
      <w:r>
        <w:rPr>
          <w:rFonts w:hint="eastAsia" w:ascii="华文楷体" w:hAnsi="华文楷体" w:eastAsia="华文楷体" w:cs="宋体"/>
          <w:kern w:val="0"/>
          <w:lang w:val="zh-CN"/>
        </w:rPr>
        <w:t>）投标文件格式</w:t>
      </w:r>
    </w:p>
    <w:p w14:paraId="278F9D83">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5</w:t>
      </w:r>
      <w:r>
        <w:rPr>
          <w:rFonts w:hint="eastAsia" w:ascii="华文楷体" w:hAnsi="华文楷体" w:eastAsia="华文楷体" w:cs="宋体"/>
          <w:kern w:val="0"/>
          <w:lang w:val="zh-CN"/>
        </w:rPr>
        <w:t>）采购项目要求及技术参数</w:t>
      </w:r>
    </w:p>
    <w:p w14:paraId="1FB88268">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6</w:t>
      </w:r>
      <w:r>
        <w:rPr>
          <w:rFonts w:hint="eastAsia" w:ascii="华文楷体" w:hAnsi="华文楷体" w:eastAsia="华文楷体" w:cs="宋体"/>
          <w:kern w:val="0"/>
          <w:lang w:val="zh-CN"/>
        </w:rPr>
        <w:t>）采购过程中发生的澄清、变更和补充文件</w:t>
      </w:r>
    </w:p>
    <w:p w14:paraId="799574C1">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 xml:space="preserve">4.2 </w:t>
      </w:r>
      <w:r>
        <w:rPr>
          <w:rFonts w:hint="eastAsia" w:ascii="华文楷体" w:hAnsi="华文楷体" w:eastAsia="华文楷体" w:cs="宋体"/>
          <w:kern w:val="0"/>
        </w:rPr>
        <w:t>投标人应当按照招标文件的要求编制投标文件。投标文件应当对招标文件提出的要求和条件作出明确响应。</w:t>
      </w:r>
    </w:p>
    <w:p w14:paraId="79C266C3">
      <w:pPr>
        <w:pStyle w:val="25"/>
        <w:spacing w:before="0" w:after="0" w:line="360" w:lineRule="auto"/>
        <w:jc w:val="left"/>
        <w:rPr>
          <w:rFonts w:ascii="华文楷体" w:hAnsi="华文楷体" w:eastAsia="华文楷体" w:cs="宋体"/>
          <w:sz w:val="28"/>
          <w:szCs w:val="28"/>
          <w:lang w:val="zh-CN"/>
        </w:rPr>
      </w:pPr>
      <w:bookmarkStart w:id="52" w:name="_Toc515908175"/>
      <w:bookmarkStart w:id="53" w:name="_Toc10623"/>
      <w:bookmarkStart w:id="54" w:name="_Toc184345894"/>
      <w:r>
        <w:rPr>
          <w:rFonts w:hint="eastAsia" w:ascii="华文楷体" w:hAnsi="华文楷体" w:eastAsia="华文楷体" w:cs="宋体"/>
          <w:sz w:val="28"/>
          <w:szCs w:val="28"/>
          <w:lang w:val="zh-CN"/>
        </w:rPr>
        <w:t>5.招标文件、采购活动和中标结果的质疑</w:t>
      </w:r>
      <w:bookmarkEnd w:id="52"/>
      <w:bookmarkEnd w:id="53"/>
      <w:bookmarkEnd w:id="54"/>
    </w:p>
    <w:p w14:paraId="5428D55A">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投标人认为招标文件、采购过程和中标结果使自己的权益受到损害的，可以在知道或者应知其权益受到损害之日起7个工作日内以书面形式（如信件、传真等）向采购人或者采购代理机构提出质疑，不接受匿名质疑。</w:t>
      </w:r>
      <w:r>
        <w:rPr>
          <w:rFonts w:hint="eastAsia" w:ascii="华文楷体" w:hAnsi="华文楷体" w:eastAsia="华文楷体" w:cs="宋体"/>
        </w:rPr>
        <w:t>潜在投标人已依法获取其可质疑的采购文件的，可以对该文件提出质疑，对采购文件提出质疑的，应当在获取采购文件或者采购文件公告期限届满之日起7个工作日内提出</w:t>
      </w:r>
      <w:r>
        <w:rPr>
          <w:rFonts w:hint="eastAsia" w:ascii="华文楷体" w:hAnsi="华文楷体" w:eastAsia="华文楷体" w:cs="宋体"/>
          <w:kern w:val="0"/>
        </w:rPr>
        <w:t>。</w:t>
      </w:r>
      <w:r>
        <w:rPr>
          <w:rFonts w:hint="eastAsia" w:ascii="华文楷体" w:hAnsi="华文楷体" w:eastAsia="华文楷体" w:cs="宋体"/>
        </w:rPr>
        <w:t>投标人须在法定质疑期内一次性提出针对同一采购程序环节的质疑。</w:t>
      </w:r>
      <w:r>
        <w:rPr>
          <w:rFonts w:hint="eastAsia" w:ascii="华文楷体" w:hAnsi="华文楷体" w:eastAsia="华文楷体" w:cs="宋体"/>
          <w:kern w:val="0"/>
          <w:lang w:val="zh-CN"/>
        </w:rPr>
        <w:t>采购人或采购代理机构在收到书面</w:t>
      </w:r>
      <w:r>
        <w:rPr>
          <w:rFonts w:hint="eastAsia" w:ascii="华文楷体" w:hAnsi="华文楷体" w:eastAsia="华文楷体" w:cs="宋体"/>
        </w:rPr>
        <w:t>质疑函后7个工作日内作出答复</w:t>
      </w:r>
      <w:r>
        <w:rPr>
          <w:rFonts w:hint="eastAsia" w:ascii="华文楷体" w:hAnsi="华文楷体" w:eastAsia="华文楷体" w:cs="宋体"/>
          <w:kern w:val="0"/>
          <w:lang w:val="zh-CN"/>
        </w:rPr>
        <w:t>。</w:t>
      </w:r>
    </w:p>
    <w:p w14:paraId="383F861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参与采购活动的投标人对评审过程或者结果提出质疑的，采购人、采购代理机构可以组织原评审委员会协助答复质疑。质疑事项处理完成后，采购人或采购代理机构应按照规定填写《政府采购投标人质疑处理情况表》，并在15日内报同级政府采购监督管理部门备案。</w:t>
      </w:r>
    </w:p>
    <w:p w14:paraId="7275FB6A">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投标人应知其权益受到损害之日，是指：</w:t>
      </w:r>
    </w:p>
    <w:p w14:paraId="57A2E963">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（一）对可以质疑的招标文件提出质疑的，为收到招标文件之日或者招标文件公告期限届满之日；</w:t>
      </w:r>
    </w:p>
    <w:p w14:paraId="080B43B4">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（二）对采购过程提出质疑的，为各采购程序环节结束之日；</w:t>
      </w:r>
    </w:p>
    <w:p w14:paraId="54186A5D">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（三）对中标结果提出质疑的，为中标结果公告期限届满之日。</w:t>
      </w:r>
    </w:p>
    <w:p w14:paraId="33C0AF95">
      <w:pPr>
        <w:pStyle w:val="25"/>
        <w:spacing w:before="0" w:after="0" w:line="360" w:lineRule="auto"/>
        <w:jc w:val="left"/>
        <w:rPr>
          <w:rFonts w:ascii="华文楷体" w:hAnsi="华文楷体" w:eastAsia="华文楷体" w:cs="宋体"/>
          <w:lang w:val="zh-CN"/>
        </w:rPr>
      </w:pPr>
      <w:bookmarkStart w:id="55" w:name="_Toc515908176"/>
      <w:bookmarkStart w:id="56" w:name="_Toc18285"/>
      <w:bookmarkStart w:id="57" w:name="_Toc184345895"/>
      <w:r>
        <w:rPr>
          <w:rFonts w:hint="eastAsia" w:ascii="华文楷体" w:hAnsi="华文楷体" w:eastAsia="华文楷体" w:cs="宋体"/>
          <w:sz w:val="28"/>
          <w:szCs w:val="28"/>
          <w:lang w:val="zh-CN"/>
        </w:rPr>
        <w:t>6.招标文件的澄清或修改</w:t>
      </w:r>
      <w:bookmarkEnd w:id="55"/>
      <w:bookmarkEnd w:id="56"/>
      <w:bookmarkEnd w:id="57"/>
    </w:p>
    <w:p w14:paraId="7BDEC76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019F8FC8">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6.2 澄清或者修改的内容可能影响投标文件编制的，采购人或者采购代理机构应当在投标截止时间至少15日前，以书面形式通知所有获取招标文件的潜在投标人，并在发布本次招标公告的网站上发布变更公告；不足15日的，采购人或者采购代理机构应当顺延提交投标文件的截止时间。</w:t>
      </w:r>
    </w:p>
    <w:p w14:paraId="394E1D89">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特别</w:t>
      </w:r>
      <w:r>
        <w:rPr>
          <w:rFonts w:ascii="华文楷体" w:hAnsi="华文楷体" w:eastAsia="华文楷体" w:cs="宋体"/>
          <w:kern w:val="0"/>
          <w:lang w:val="zh-CN"/>
        </w:rPr>
        <w:t>提示：</w:t>
      </w:r>
      <w:r>
        <w:rPr>
          <w:rFonts w:hint="eastAsia" w:ascii="华文楷体" w:hAnsi="华文楷体" w:eastAsia="华文楷体" w:cs="宋体"/>
          <w:kern w:val="0"/>
          <w:lang w:val="zh-CN"/>
        </w:rPr>
        <w:t>因电子标系统设置</w:t>
      </w:r>
      <w:r>
        <w:rPr>
          <w:rFonts w:ascii="华文楷体" w:hAnsi="华文楷体" w:eastAsia="华文楷体" w:cs="宋体"/>
          <w:kern w:val="0"/>
          <w:lang w:val="zh-CN"/>
        </w:rPr>
        <w:t>无法主动联系获取了招标文件的</w:t>
      </w:r>
      <w:r>
        <w:rPr>
          <w:rFonts w:hint="eastAsia" w:ascii="华文楷体" w:hAnsi="华文楷体" w:eastAsia="华文楷体" w:cs="宋体"/>
          <w:kern w:val="0"/>
          <w:lang w:val="zh-CN"/>
        </w:rPr>
        <w:t>投标人，</w:t>
      </w:r>
      <w:r>
        <w:rPr>
          <w:rFonts w:ascii="华文楷体" w:hAnsi="华文楷体" w:eastAsia="华文楷体" w:cs="宋体"/>
          <w:kern w:val="0"/>
          <w:lang w:val="zh-CN"/>
        </w:rPr>
        <w:t>潜在投标人自确认参加</w:t>
      </w:r>
      <w:r>
        <w:rPr>
          <w:rFonts w:hint="eastAsia" w:ascii="华文楷体" w:hAnsi="华文楷体" w:eastAsia="华文楷体" w:cs="宋体"/>
          <w:kern w:val="0"/>
          <w:lang w:val="zh-CN"/>
        </w:rPr>
        <w:t>本项目</w:t>
      </w:r>
      <w:r>
        <w:rPr>
          <w:rFonts w:ascii="华文楷体" w:hAnsi="华文楷体" w:eastAsia="华文楷体" w:cs="宋体"/>
          <w:kern w:val="0"/>
          <w:lang w:val="zh-CN"/>
        </w:rPr>
        <w:t>起至投标文件递交截止时间前应随时关注《政采云》平台的消息提醒，及时在</w:t>
      </w:r>
      <w:r>
        <w:rPr>
          <w:rFonts w:hint="eastAsia" w:ascii="华文楷体" w:hAnsi="华文楷体" w:eastAsia="华文楷体" w:cs="宋体"/>
          <w:kern w:val="0"/>
          <w:lang w:val="zh-CN"/>
        </w:rPr>
        <w:t>《青海政府采购网》《中国政府采购网》</w:t>
      </w:r>
      <w:r>
        <w:rPr>
          <w:rFonts w:ascii="华文楷体" w:hAnsi="华文楷体" w:eastAsia="华文楷体" w:cs="宋体"/>
          <w:kern w:val="0"/>
          <w:lang w:val="zh-CN"/>
        </w:rPr>
        <w:t>查看该项目的采购人（代理机构）发出的变更、</w:t>
      </w:r>
      <w:r>
        <w:rPr>
          <w:rFonts w:hint="eastAsia" w:ascii="华文楷体" w:hAnsi="华文楷体" w:eastAsia="华文楷体" w:cs="宋体"/>
          <w:kern w:val="0"/>
          <w:lang w:val="zh-CN"/>
        </w:rPr>
        <w:t>澄清</w:t>
      </w:r>
      <w:r>
        <w:rPr>
          <w:rFonts w:ascii="华文楷体" w:hAnsi="华文楷体" w:eastAsia="华文楷体" w:cs="宋体"/>
          <w:kern w:val="0"/>
          <w:lang w:val="zh-CN"/>
        </w:rPr>
        <w:t>等内容。</w:t>
      </w:r>
    </w:p>
    <w:p w14:paraId="358856ED">
      <w:pPr>
        <w:pStyle w:val="25"/>
        <w:spacing w:before="0" w:after="0" w:line="360" w:lineRule="auto"/>
        <w:rPr>
          <w:rFonts w:ascii="华文楷体" w:hAnsi="华文楷体" w:eastAsia="华文楷体" w:cs="宋体"/>
        </w:rPr>
      </w:pPr>
      <w:bookmarkStart w:id="58" w:name="_Toc184345896"/>
      <w:bookmarkStart w:id="59" w:name="_Toc18232"/>
      <w:bookmarkStart w:id="60" w:name="_Toc13367"/>
      <w:r>
        <w:rPr>
          <w:rFonts w:hint="eastAsia" w:ascii="华文楷体" w:hAnsi="华文楷体" w:eastAsia="华文楷体" w:cs="宋体"/>
          <w:lang w:val="zh-CN"/>
        </w:rPr>
        <w:t>三、投标文件的编制</w:t>
      </w:r>
      <w:bookmarkEnd w:id="58"/>
      <w:bookmarkEnd w:id="59"/>
      <w:bookmarkEnd w:id="60"/>
    </w:p>
    <w:p w14:paraId="7C7F1A4D">
      <w:pPr>
        <w:pStyle w:val="25"/>
        <w:spacing w:before="0" w:after="0" w:line="360" w:lineRule="auto"/>
        <w:jc w:val="left"/>
        <w:rPr>
          <w:rFonts w:ascii="华文楷体" w:hAnsi="华文楷体" w:eastAsia="华文楷体" w:cs="宋体"/>
          <w:lang w:val="zh-CN"/>
        </w:rPr>
      </w:pPr>
      <w:bookmarkStart w:id="61" w:name="_Toc26506"/>
      <w:bookmarkStart w:id="62" w:name="_Toc515908178"/>
      <w:bookmarkStart w:id="63" w:name="_Toc184345897"/>
      <w:r>
        <w:rPr>
          <w:rFonts w:hint="eastAsia" w:ascii="华文楷体" w:hAnsi="华文楷体" w:eastAsia="华文楷体" w:cs="宋体"/>
          <w:sz w:val="28"/>
          <w:szCs w:val="28"/>
          <w:lang w:val="zh-CN"/>
        </w:rPr>
        <w:t>7.投标文件的语言及度量衡单位</w:t>
      </w:r>
      <w:bookmarkEnd w:id="61"/>
      <w:bookmarkEnd w:id="62"/>
      <w:bookmarkEnd w:id="63"/>
    </w:p>
    <w:p w14:paraId="4EC1A31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7.1投标人提交的投标文件以及投标人与采购代理机构就此投标发生的所有来往函电均应使用简体中文。</w:t>
      </w:r>
      <w:r>
        <w:rPr>
          <w:rFonts w:hint="eastAsia" w:ascii="华文楷体" w:hAnsi="华文楷体" w:eastAsia="华文楷体" w:cs="宋体"/>
        </w:rPr>
        <w:t>除签名、盖章、专用名称等特殊情形外，以中文汉语以外的文字表述的投标文件视同未提供。</w:t>
      </w:r>
    </w:p>
    <w:p w14:paraId="5360C4DC">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7.2 除招标文件中另有规定外，投标文件所使用的度量衡单位，均须采用国家法定计量单位。</w:t>
      </w:r>
    </w:p>
    <w:p w14:paraId="15132D9F">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7.3 附有外文资料的须翻译成中文，并加盖投标人公章，如果翻译的中文资料与外文资料出现差异与矛盾时，以中文为准，其准确性由投标人负责。</w:t>
      </w:r>
    </w:p>
    <w:p w14:paraId="4DF258CF">
      <w:pPr>
        <w:pStyle w:val="25"/>
        <w:spacing w:before="0" w:after="0" w:line="360" w:lineRule="auto"/>
        <w:jc w:val="left"/>
        <w:rPr>
          <w:rFonts w:ascii="华文楷体" w:hAnsi="华文楷体" w:eastAsia="华文楷体" w:cs="宋体"/>
          <w:lang w:val="zh-CN"/>
        </w:rPr>
      </w:pPr>
      <w:bookmarkStart w:id="64" w:name="_Toc14380"/>
      <w:bookmarkStart w:id="65" w:name="_Toc184345898"/>
      <w:bookmarkStart w:id="66" w:name="_Toc515908179"/>
      <w:r>
        <w:rPr>
          <w:rFonts w:hint="eastAsia" w:ascii="华文楷体" w:hAnsi="华文楷体" w:eastAsia="华文楷体" w:cs="宋体"/>
          <w:sz w:val="28"/>
          <w:szCs w:val="28"/>
          <w:lang w:val="zh-CN"/>
        </w:rPr>
        <w:t>8.投标报价及币种</w:t>
      </w:r>
      <w:bookmarkEnd w:id="64"/>
      <w:bookmarkEnd w:id="65"/>
      <w:bookmarkEnd w:id="66"/>
    </w:p>
    <w:p w14:paraId="5AEEF724">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8.1 投标报价为投标人完成本项目的全部费用，投标报价应包括设备价款、包装费、运输费、安装费、调试费、检测费、培训费、技术服务费、售后服务费、税</w:t>
      </w:r>
      <w:r>
        <w:rPr>
          <w:rFonts w:hint="eastAsia" w:ascii="华文楷体" w:hAnsi="华文楷体" w:eastAsia="华文楷体" w:cs="宋体"/>
          <w:kern w:val="0"/>
        </w:rPr>
        <w:t>金</w:t>
      </w:r>
      <w:r>
        <w:rPr>
          <w:rFonts w:hint="eastAsia" w:ascii="华文楷体" w:hAnsi="华文楷体" w:eastAsia="华文楷体" w:cs="宋体"/>
          <w:kern w:val="0"/>
          <w:lang w:val="zh-CN"/>
        </w:rPr>
        <w:t>、保险费等其他为完成本项目将发生的全部费用。投标人应根据项目需要，在分项报价表中详细列明投标报价的价格组成，投标报价不完整存在缺漏项或投标报价超过该包最高限价的，</w:t>
      </w:r>
      <w:r>
        <w:rPr>
          <w:rFonts w:hint="eastAsia" w:ascii="华文楷体" w:hAnsi="华文楷体" w:eastAsia="华文楷体" w:cs="宋体"/>
          <w:kern w:val="0"/>
        </w:rPr>
        <w:t>其</w:t>
      </w:r>
      <w:r>
        <w:rPr>
          <w:rFonts w:hint="eastAsia" w:ascii="华文楷体" w:hAnsi="华文楷体" w:eastAsia="华文楷体" w:cs="宋体"/>
          <w:kern w:val="0"/>
          <w:lang w:val="zh-CN"/>
        </w:rPr>
        <w:t>投标无效。</w:t>
      </w:r>
    </w:p>
    <w:p w14:paraId="6ECE1451">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8.2 投标报价有效期与投标有效期一致。</w:t>
      </w:r>
    </w:p>
    <w:p w14:paraId="2AEFE3F9">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8.3 投标报价为闭口价，即中标后在合同有效期内价格不变。</w:t>
      </w:r>
    </w:p>
    <w:p w14:paraId="53FB638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8.4 投标币种是人民币。</w:t>
      </w:r>
    </w:p>
    <w:p w14:paraId="548ED1FC">
      <w:pPr>
        <w:pStyle w:val="25"/>
        <w:spacing w:before="0" w:after="0" w:line="360" w:lineRule="auto"/>
        <w:jc w:val="left"/>
        <w:rPr>
          <w:rFonts w:ascii="华文楷体" w:hAnsi="华文楷体" w:eastAsia="华文楷体" w:cs="宋体"/>
          <w:lang w:val="zh-CN"/>
        </w:rPr>
      </w:pPr>
      <w:bookmarkStart w:id="67" w:name="_Toc184345899"/>
      <w:bookmarkStart w:id="68" w:name="_Toc16233"/>
      <w:bookmarkStart w:id="69" w:name="_Toc515908180"/>
      <w:r>
        <w:rPr>
          <w:rFonts w:hint="eastAsia" w:ascii="华文楷体" w:hAnsi="华文楷体" w:eastAsia="华文楷体" w:cs="宋体"/>
          <w:sz w:val="28"/>
          <w:szCs w:val="28"/>
          <w:lang w:val="zh-CN"/>
        </w:rPr>
        <w:t>9.投标保证金</w:t>
      </w:r>
      <w:bookmarkEnd w:id="67"/>
      <w:bookmarkEnd w:id="68"/>
      <w:bookmarkEnd w:id="69"/>
    </w:p>
    <w:p w14:paraId="6E697CF2">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9.1投标人须在投标截止期前按以下要求交纳投标保证金（说明：收取的投标保证金不得超过采购项目预算金额的2%）：</w:t>
      </w:r>
    </w:p>
    <w:p w14:paraId="7F8A530F">
      <w:pPr>
        <w:autoSpaceDE w:val="0"/>
        <w:autoSpaceDN w:val="0"/>
        <w:spacing w:line="360" w:lineRule="auto"/>
        <w:ind w:firstLine="472" w:firstLineChars="196"/>
        <w:rPr>
          <w:rFonts w:ascii="华文楷体" w:hAnsi="华文楷体" w:eastAsia="华文楷体" w:cs="宋体"/>
          <w:b/>
          <w:bCs/>
          <w:kern w:val="0"/>
        </w:rPr>
      </w:pPr>
      <w:r>
        <w:rPr>
          <w:rFonts w:hint="eastAsia" w:ascii="华文楷体" w:hAnsi="华文楷体" w:eastAsia="华文楷体" w:cs="宋体"/>
          <w:b/>
          <w:bCs/>
          <w:kern w:val="0"/>
          <w:lang w:val="zh-CN"/>
        </w:rPr>
        <w:t>投标保证金：</w:t>
      </w:r>
    </w:p>
    <w:p w14:paraId="1E119F37">
      <w:pPr>
        <w:autoSpaceDE w:val="0"/>
        <w:autoSpaceDN w:val="0"/>
        <w:spacing w:line="360" w:lineRule="auto"/>
        <w:ind w:firstLine="480" w:firstLineChars="200"/>
        <w:rPr>
          <w:rFonts w:hint="eastAsia" w:ascii="华文楷体" w:hAnsi="华文楷体" w:eastAsia="华文楷体" w:cs="宋体"/>
          <w:kern w:val="0"/>
          <w:lang w:val="zh-CN"/>
        </w:rPr>
      </w:pPr>
      <w:r>
        <w:rPr>
          <w:rFonts w:hint="eastAsia" w:ascii="华文楷体" w:hAnsi="华文楷体" w:eastAsia="华文楷体" w:cs="宋体"/>
          <w:kern w:val="0"/>
          <w:lang w:val="zh-CN"/>
        </w:rPr>
        <w:t xml:space="preserve">包一：18000.00元，大写：壹万捌仟元整  </w:t>
      </w:r>
    </w:p>
    <w:p w14:paraId="119B3E84">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包三：35000.00元</w:t>
      </w:r>
      <w:r>
        <w:rPr>
          <w:rFonts w:hint="eastAsia" w:ascii="华文楷体" w:hAnsi="华文楷体" w:eastAsia="华文楷体" w:cs="宋体"/>
          <w:kern w:val="0"/>
          <w:lang w:val="en-US" w:eastAsia="zh-CN"/>
        </w:rPr>
        <w:t xml:space="preserve">  </w:t>
      </w:r>
      <w:r>
        <w:rPr>
          <w:rFonts w:hint="eastAsia" w:ascii="华文楷体" w:hAnsi="华文楷体" w:eastAsia="华文楷体" w:cs="宋体"/>
          <w:kern w:val="0"/>
          <w:lang w:val="zh-CN"/>
        </w:rPr>
        <w:t xml:space="preserve">大写：叁万伍仟元整  </w:t>
      </w:r>
    </w:p>
    <w:p w14:paraId="0A7A514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收款单位：青海锦茂工程项目管理有限责任公司</w:t>
      </w:r>
    </w:p>
    <w:p w14:paraId="02C681D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开 户 行：青海银行股份有限公司麒麟湾支行</w:t>
      </w:r>
    </w:p>
    <w:p w14:paraId="6C4A8712">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银行账号：0707201000440620</w:t>
      </w:r>
    </w:p>
    <w:p w14:paraId="45143877">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交纳时间：投标截止时间前，以银行到账时间为准。</w:t>
      </w:r>
    </w:p>
    <w:p w14:paraId="22CFE8B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如采购项目变更开标时间，则保证金交纳时间相应顺延。</w:t>
      </w:r>
    </w:p>
    <w:p w14:paraId="4A60EA02">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注：</w:t>
      </w:r>
      <w:r>
        <w:rPr>
          <w:rFonts w:ascii="华文楷体" w:hAnsi="华文楷体" w:eastAsia="华文楷体" w:cs="宋体"/>
          <w:kern w:val="0"/>
          <w:lang w:val="zh-CN"/>
        </w:rPr>
        <w:t>递交投标保证金时请投标人注明项目编号及参与的包号（请投标人按照所投包号金额分别递交投标保证金，以便采购代理机构及时查询）。</w:t>
      </w:r>
    </w:p>
    <w:p w14:paraId="7DEA946A">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9.2</w:t>
      </w:r>
      <w:r>
        <w:rPr>
          <w:rFonts w:hint="eastAsia" w:ascii="华文楷体" w:hAnsi="华文楷体" w:eastAsia="华文楷体" w:cs="宋体"/>
          <w:kern w:val="0"/>
        </w:rPr>
        <w:t xml:space="preserve"> 缴费方式：</w:t>
      </w:r>
      <w:r>
        <w:rPr>
          <w:rFonts w:hint="eastAsia" w:ascii="华文楷体" w:hAnsi="华文楷体" w:eastAsia="华文楷体" w:cs="宋体"/>
          <w:bCs/>
          <w:lang w:val="zh-CN"/>
        </w:rPr>
        <w:t>电汇或转账、</w:t>
      </w:r>
      <w:r>
        <w:rPr>
          <w:rFonts w:hint="eastAsia" w:ascii="华文楷体" w:hAnsi="华文楷体" w:eastAsia="华文楷体" w:cs="宋体"/>
          <w:bCs/>
          <w:kern w:val="0"/>
        </w:rPr>
        <w:t>支票、汇票、本票或者金融机构、担保机构出具的保函等非现金形式提交</w:t>
      </w:r>
      <w:r>
        <w:rPr>
          <w:rFonts w:hint="eastAsia" w:ascii="华文楷体" w:hAnsi="华文楷体" w:eastAsia="华文楷体" w:cs="宋体"/>
          <w:kern w:val="0"/>
          <w:sz w:val="23"/>
          <w:szCs w:val="23"/>
        </w:rPr>
        <w:t>。</w:t>
      </w:r>
    </w:p>
    <w:p w14:paraId="5BA8ADD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9.3投标保证金退还：投标人在投标截止时间前撤回已提交的投标文件的，采购代理机构应当自收到投标人书面撤回通知之日起５个工作日内，退还已收取的投标保证金，但因投标人自身原因导致无法及时退还的除外。</w:t>
      </w:r>
    </w:p>
    <w:p w14:paraId="00F54541">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采购代理机构应当自中标通知书发出之日起5个工作日内退还未中标人的投标保证金，自采购合同签订之日起5个工作日内退还中标人的投标保证金。</w:t>
      </w:r>
    </w:p>
    <w:p w14:paraId="7FAC3E3A">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采购代理机构逾期退还投标保证金的，除应当退还投标保证金本金外，还应当按中国人民银行同期贷款基准利率上浮20％后的利率支付超期资金占用费，但因投标人自身原因导致无法及时退还的除外。</w:t>
      </w:r>
    </w:p>
    <w:p w14:paraId="06840F85">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 xml:space="preserve">9.4有下列情形之一，投标保证金将不予退还： </w:t>
      </w:r>
    </w:p>
    <w:p w14:paraId="22990D0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 xml:space="preserve">（1）投标人在提交投标文件截止时间后撤回投标文件的； </w:t>
      </w:r>
    </w:p>
    <w:p w14:paraId="321769E9">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 xml:space="preserve">（2）投标人在投标文件中提供虚假材料的； </w:t>
      </w:r>
    </w:p>
    <w:p w14:paraId="67B71584">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（3）除因不可抗力或招标文件认可的情形以外，中标人不与采购人签订合同的。</w:t>
      </w:r>
    </w:p>
    <w:p w14:paraId="0BE4D096">
      <w:pPr>
        <w:pStyle w:val="25"/>
        <w:spacing w:before="0" w:after="0" w:line="360" w:lineRule="auto"/>
        <w:jc w:val="left"/>
        <w:rPr>
          <w:rFonts w:ascii="华文楷体" w:hAnsi="华文楷体" w:eastAsia="华文楷体" w:cs="宋体"/>
          <w:lang w:val="zh-CN"/>
        </w:rPr>
      </w:pPr>
      <w:bookmarkStart w:id="70" w:name="_Toc515908181"/>
      <w:bookmarkStart w:id="71" w:name="_Toc21366"/>
      <w:bookmarkStart w:id="72" w:name="_Toc184345900"/>
      <w:r>
        <w:rPr>
          <w:rFonts w:hint="eastAsia" w:ascii="华文楷体" w:hAnsi="华文楷体" w:eastAsia="华文楷体" w:cs="宋体"/>
          <w:sz w:val="28"/>
          <w:szCs w:val="28"/>
          <w:lang w:val="zh-CN"/>
        </w:rPr>
        <w:t>10.投标有效期</w:t>
      </w:r>
      <w:bookmarkEnd w:id="70"/>
      <w:bookmarkEnd w:id="71"/>
      <w:bookmarkEnd w:id="72"/>
    </w:p>
    <w:p w14:paraId="6BF3C84D">
      <w:pPr>
        <w:autoSpaceDE w:val="0"/>
        <w:autoSpaceDN w:val="0"/>
        <w:spacing w:line="360" w:lineRule="auto"/>
        <w:ind w:firstLine="480" w:firstLineChars="200"/>
        <w:rPr>
          <w:rFonts w:ascii="华文楷体" w:hAnsi="华文楷体" w:eastAsia="华文楷体" w:cs="宋体"/>
          <w:kern w:val="0"/>
          <w:lang w:val="zh-CN"/>
        </w:rPr>
      </w:pPr>
      <w:bookmarkStart w:id="73" w:name="_Toc515908182"/>
      <w:r>
        <w:rPr>
          <w:rFonts w:hint="eastAsia" w:ascii="华文楷体" w:hAnsi="华文楷体" w:eastAsia="华文楷体" w:cs="宋体"/>
          <w:kern w:val="0"/>
          <w:lang w:val="zh-CN"/>
        </w:rPr>
        <w:t>10.1从提交投标文件的截止之日起90日历日。投标文件中承诺的投标有效期应当不少于招标文件中载明的投标有效期。投标有效期不满足招标文件要求的，其投标无效。</w:t>
      </w:r>
    </w:p>
    <w:p w14:paraId="01C0077D">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10.2投标有效期内投标人撤销投标文件的，投标人应承担招标文件和法律规定的责任。</w:t>
      </w:r>
    </w:p>
    <w:p w14:paraId="5A271C3A">
      <w:pPr>
        <w:pStyle w:val="25"/>
        <w:spacing w:before="0" w:after="0" w:line="360" w:lineRule="auto"/>
        <w:jc w:val="left"/>
        <w:rPr>
          <w:rFonts w:ascii="华文楷体" w:hAnsi="华文楷体" w:eastAsia="华文楷体" w:cs="宋体"/>
          <w:lang w:val="zh-CN"/>
        </w:rPr>
      </w:pPr>
      <w:bookmarkStart w:id="74" w:name="_Toc184345901"/>
      <w:bookmarkStart w:id="75" w:name="_Toc6768"/>
      <w:r>
        <w:rPr>
          <w:rFonts w:hint="eastAsia" w:ascii="华文楷体" w:hAnsi="华文楷体" w:eastAsia="华文楷体" w:cs="宋体"/>
          <w:sz w:val="28"/>
          <w:szCs w:val="28"/>
          <w:lang w:val="zh-CN"/>
        </w:rPr>
        <w:t>11.投标文件构成</w:t>
      </w:r>
      <w:bookmarkEnd w:id="73"/>
      <w:bookmarkEnd w:id="74"/>
      <w:bookmarkEnd w:id="75"/>
    </w:p>
    <w:p w14:paraId="037329EF">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投标人应提交相关证明材料，作为其参加投标和中标后有能力履行合同的证明。编写的投标文件须包括以下内容（格式见招标文件第四部分）：</w:t>
      </w:r>
    </w:p>
    <w:p w14:paraId="2B2BDF0A">
      <w:pPr>
        <w:autoSpaceDE w:val="0"/>
        <w:autoSpaceDN w:val="0"/>
        <w:spacing w:line="360" w:lineRule="auto"/>
        <w:ind w:firstLine="482" w:firstLineChars="200"/>
        <w:rPr>
          <w:rFonts w:ascii="华文楷体" w:hAnsi="华文楷体" w:eastAsia="华文楷体" w:cs="宋体"/>
        </w:rPr>
      </w:pPr>
      <w:r>
        <w:rPr>
          <w:rFonts w:hint="eastAsia" w:ascii="华文楷体" w:hAnsi="华文楷体" w:eastAsia="华文楷体" w:cs="宋体"/>
          <w:b/>
          <w:bCs/>
          <w:kern w:val="0"/>
        </w:rPr>
        <w:t>11.1</w:t>
      </w:r>
      <w:r>
        <w:rPr>
          <w:rFonts w:hint="eastAsia" w:ascii="华文楷体" w:hAnsi="华文楷体" w:eastAsia="华文楷体" w:cs="宋体"/>
          <w:b/>
          <w:bCs/>
          <w:kern w:val="0"/>
          <w:lang w:val="zh-CN"/>
        </w:rPr>
        <w:t>、投标文件（上册）（资格审查）</w:t>
      </w:r>
    </w:p>
    <w:p w14:paraId="77AB3548">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（1）投标函</w:t>
      </w:r>
    </w:p>
    <w:p w14:paraId="3C24CDAA">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（2）法定代表人证明书</w:t>
      </w:r>
    </w:p>
    <w:p w14:paraId="272BB97D">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（3）法定代表人授权书</w:t>
      </w:r>
    </w:p>
    <w:p w14:paraId="21ADF057">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（4）投标人承诺函</w:t>
      </w:r>
    </w:p>
    <w:p w14:paraId="5418B8DD">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（5）投标人诚信承诺书</w:t>
      </w:r>
    </w:p>
    <w:p w14:paraId="5271D65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（6）资格证明材料</w:t>
      </w:r>
    </w:p>
    <w:p w14:paraId="03A8255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（7）财务状况报告，依法缴纳税收和社会保障资金的相关材料</w:t>
      </w:r>
    </w:p>
    <w:p w14:paraId="3C3A1465">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（8）具备履行合同所必需的设备和专业技术能力的证明材料</w:t>
      </w:r>
    </w:p>
    <w:p w14:paraId="420078D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（9）无重大违法记录声明</w:t>
      </w:r>
    </w:p>
    <w:p w14:paraId="56522CB2">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（10）投标保证金证明</w:t>
      </w:r>
    </w:p>
    <w:p w14:paraId="424078D8">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（11）中小企业声明函（适用于包三）</w:t>
      </w:r>
    </w:p>
    <w:p w14:paraId="77A072A2">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（12）残疾人福利性单位声明函（适用于包三）</w:t>
      </w:r>
    </w:p>
    <w:p w14:paraId="33F39B4C">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（13）监狱企业证明资料（适用于包三）</w:t>
      </w:r>
    </w:p>
    <w:p w14:paraId="07379A8F">
      <w:pPr>
        <w:autoSpaceDE w:val="0"/>
        <w:autoSpaceDN w:val="0"/>
        <w:spacing w:line="360" w:lineRule="auto"/>
        <w:ind w:firstLine="482" w:firstLineChars="200"/>
        <w:rPr>
          <w:rFonts w:ascii="华文楷体" w:hAnsi="华文楷体" w:eastAsia="华文楷体" w:cs="宋体"/>
          <w:kern w:val="0"/>
          <w:lang w:val="zh-CN"/>
        </w:rPr>
      </w:pPr>
      <w:r>
        <w:rPr>
          <w:rFonts w:hint="eastAsia" w:ascii="华文楷体" w:hAnsi="华文楷体" w:eastAsia="华文楷体" w:cs="宋体"/>
          <w:b/>
          <w:bCs/>
          <w:kern w:val="0"/>
        </w:rPr>
        <w:t xml:space="preserve">11.2 </w:t>
      </w:r>
      <w:r>
        <w:rPr>
          <w:rFonts w:hint="eastAsia" w:ascii="华文楷体" w:hAnsi="华文楷体" w:eastAsia="华文楷体" w:cs="宋体"/>
          <w:b/>
          <w:bCs/>
          <w:kern w:val="0"/>
          <w:lang w:val="zh-CN"/>
        </w:rPr>
        <w:t>投标文件（下册）</w:t>
      </w:r>
    </w:p>
    <w:p w14:paraId="56DFA82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14</w:t>
      </w:r>
      <w:r>
        <w:rPr>
          <w:rFonts w:hint="eastAsia" w:ascii="华文楷体" w:hAnsi="华文楷体" w:eastAsia="华文楷体" w:cs="宋体"/>
          <w:kern w:val="0"/>
          <w:lang w:val="zh-CN"/>
        </w:rPr>
        <w:t>）评分对照表</w:t>
      </w:r>
    </w:p>
    <w:p w14:paraId="309A0CD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15</w:t>
      </w:r>
      <w:r>
        <w:rPr>
          <w:rFonts w:hint="eastAsia" w:ascii="华文楷体" w:hAnsi="华文楷体" w:eastAsia="华文楷体" w:cs="宋体"/>
          <w:kern w:val="0"/>
          <w:lang w:val="zh-CN"/>
        </w:rPr>
        <w:t>）开标一览表（报价表）</w:t>
      </w:r>
    </w:p>
    <w:p w14:paraId="5D207188">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w:t>
      </w:r>
      <w:r>
        <w:rPr>
          <w:rFonts w:hint="eastAsia" w:ascii="华文楷体" w:hAnsi="华文楷体" w:eastAsia="华文楷体" w:cs="宋体"/>
          <w:kern w:val="0"/>
        </w:rPr>
        <w:t>6</w:t>
      </w:r>
      <w:r>
        <w:rPr>
          <w:rFonts w:hint="eastAsia" w:ascii="华文楷体" w:hAnsi="华文楷体" w:eastAsia="华文楷体" w:cs="宋体"/>
          <w:kern w:val="0"/>
          <w:lang w:val="zh-CN"/>
        </w:rPr>
        <w:t>）分项报价表</w:t>
      </w:r>
    </w:p>
    <w:p w14:paraId="4756B269">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w:t>
      </w:r>
      <w:r>
        <w:rPr>
          <w:rFonts w:hint="eastAsia" w:ascii="华文楷体" w:hAnsi="华文楷体" w:eastAsia="华文楷体" w:cs="宋体"/>
          <w:kern w:val="0"/>
        </w:rPr>
        <w:t>7</w:t>
      </w:r>
      <w:r>
        <w:rPr>
          <w:rFonts w:hint="eastAsia" w:ascii="华文楷体" w:hAnsi="华文楷体" w:eastAsia="华文楷体" w:cs="宋体"/>
          <w:kern w:val="0"/>
          <w:lang w:val="zh-CN"/>
        </w:rPr>
        <w:t>）技术响应偏离表</w:t>
      </w:r>
    </w:p>
    <w:p w14:paraId="1B3942DC">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w:t>
      </w:r>
      <w:r>
        <w:rPr>
          <w:rFonts w:hint="eastAsia" w:ascii="华文楷体" w:hAnsi="华文楷体" w:eastAsia="华文楷体" w:cs="宋体"/>
          <w:kern w:val="0"/>
        </w:rPr>
        <w:t>8</w:t>
      </w:r>
      <w:r>
        <w:rPr>
          <w:rFonts w:hint="eastAsia" w:ascii="华文楷体" w:hAnsi="华文楷体" w:eastAsia="华文楷体" w:cs="宋体"/>
          <w:kern w:val="0"/>
          <w:lang w:val="zh-CN"/>
        </w:rPr>
        <w:t>）投标产品相关资料</w:t>
      </w:r>
    </w:p>
    <w:p w14:paraId="7ECEFFDF">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w:t>
      </w:r>
      <w:r>
        <w:rPr>
          <w:rFonts w:hint="eastAsia" w:ascii="华文楷体" w:hAnsi="华文楷体" w:eastAsia="华文楷体" w:cs="宋体"/>
          <w:kern w:val="0"/>
        </w:rPr>
        <w:t>9</w:t>
      </w:r>
      <w:r>
        <w:rPr>
          <w:rFonts w:hint="eastAsia" w:ascii="华文楷体" w:hAnsi="华文楷体" w:eastAsia="华文楷体" w:cs="宋体"/>
          <w:kern w:val="0"/>
          <w:lang w:val="zh-CN"/>
        </w:rPr>
        <w:t>）技术方案</w:t>
      </w:r>
    </w:p>
    <w:p w14:paraId="64AA8D06">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（20）中小企业声明函（适用于包一）</w:t>
      </w:r>
    </w:p>
    <w:p w14:paraId="1D97BB06">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（21）残疾人福利性单位声明函（适用于包一）</w:t>
      </w:r>
    </w:p>
    <w:p w14:paraId="2407D96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（22）监狱企业证明资料（适用于包一）</w:t>
      </w:r>
    </w:p>
    <w:p w14:paraId="6869C39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23</w:t>
      </w:r>
      <w:r>
        <w:rPr>
          <w:rFonts w:hint="eastAsia" w:ascii="华文楷体" w:hAnsi="华文楷体" w:eastAsia="华文楷体" w:cs="宋体"/>
          <w:kern w:val="0"/>
          <w:lang w:val="zh-CN"/>
        </w:rPr>
        <w:t>）投标人的类似业绩证明材料</w:t>
      </w:r>
    </w:p>
    <w:p w14:paraId="20E580B9">
      <w:pPr>
        <w:autoSpaceDE w:val="0"/>
        <w:autoSpaceDN w:val="0"/>
        <w:spacing w:line="360" w:lineRule="auto"/>
        <w:ind w:firstLine="480" w:firstLineChars="200"/>
        <w:rPr>
          <w:rFonts w:ascii="华文楷体" w:hAnsi="华文楷体" w:eastAsia="华文楷体" w:cs="宋体"/>
          <w:lang w:val="zh-CN"/>
        </w:rPr>
      </w:pPr>
      <w:r>
        <w:rPr>
          <w:rFonts w:hint="eastAsia" w:ascii="华文楷体" w:hAnsi="华文楷体" w:eastAsia="华文楷体" w:cs="宋体"/>
          <w:lang w:val="zh-CN"/>
        </w:rPr>
        <w:t>（</w:t>
      </w:r>
      <w:r>
        <w:rPr>
          <w:rFonts w:hint="eastAsia" w:ascii="华文楷体" w:hAnsi="华文楷体" w:eastAsia="华文楷体" w:cs="宋体"/>
        </w:rPr>
        <w:t>24</w:t>
      </w:r>
      <w:r>
        <w:rPr>
          <w:rFonts w:hint="eastAsia" w:ascii="华文楷体" w:hAnsi="华文楷体" w:eastAsia="华文楷体" w:cs="宋体"/>
          <w:lang w:val="zh-CN"/>
        </w:rPr>
        <w:t>）投标人认为在其他方面有必要说明的事项</w:t>
      </w:r>
    </w:p>
    <w:p w14:paraId="701333E9">
      <w:pPr>
        <w:autoSpaceDE w:val="0"/>
        <w:autoSpaceDN w:val="0"/>
        <w:spacing w:line="360" w:lineRule="auto"/>
        <w:ind w:firstLine="480" w:firstLineChars="200"/>
        <w:rPr>
          <w:rFonts w:ascii="华文楷体" w:hAnsi="华文楷体" w:eastAsia="华文楷体" w:cs="宋体"/>
          <w:lang w:val="zh-CN"/>
        </w:rPr>
      </w:pPr>
      <w:bookmarkStart w:id="76" w:name="_Toc515908183"/>
      <w:r>
        <w:rPr>
          <w:rFonts w:hint="eastAsia" w:ascii="华文楷体" w:hAnsi="华文楷体" w:eastAsia="华文楷体" w:cs="宋体"/>
        </w:rPr>
        <w:t>备</w:t>
      </w:r>
      <w:r>
        <w:rPr>
          <w:rFonts w:hint="eastAsia" w:ascii="华文楷体" w:hAnsi="华文楷体" w:eastAsia="华文楷体" w:cs="宋体"/>
          <w:lang w:val="zh-CN"/>
        </w:rPr>
        <w:t>注：</w:t>
      </w:r>
    </w:p>
    <w:p w14:paraId="36F6AA24">
      <w:pPr>
        <w:autoSpaceDE w:val="0"/>
        <w:autoSpaceDN w:val="0"/>
        <w:spacing w:line="360" w:lineRule="auto"/>
        <w:ind w:firstLine="480" w:firstLineChars="200"/>
        <w:rPr>
          <w:rFonts w:ascii="华文楷体" w:hAnsi="华文楷体" w:eastAsia="华文楷体" w:cs="宋体"/>
          <w:lang w:val="zh-CN"/>
        </w:rPr>
      </w:pPr>
      <w:r>
        <w:rPr>
          <w:rFonts w:hint="eastAsia" w:ascii="华文楷体" w:hAnsi="华文楷体" w:eastAsia="华文楷体" w:cs="宋体"/>
        </w:rPr>
        <w:t>①</w:t>
      </w:r>
      <w:r>
        <w:rPr>
          <w:rFonts w:hint="eastAsia" w:ascii="华文楷体" w:hAnsi="华文楷体" w:eastAsia="华文楷体" w:cs="宋体"/>
          <w:lang w:val="zh-CN"/>
        </w:rPr>
        <w:t>投标人</w:t>
      </w:r>
      <w:r>
        <w:rPr>
          <w:rFonts w:hint="eastAsia" w:ascii="华文楷体" w:hAnsi="华文楷体" w:eastAsia="华文楷体" w:cs="宋体"/>
        </w:rPr>
        <w:t>必</w:t>
      </w:r>
      <w:r>
        <w:rPr>
          <w:rFonts w:hint="eastAsia" w:ascii="华文楷体" w:hAnsi="华文楷体" w:eastAsia="华文楷体" w:cs="宋体"/>
          <w:lang w:val="zh-CN"/>
        </w:rPr>
        <w:t>须按上述内容、顺序和格式编制投标文件，并按要求编制目录、页码，并保证所提供的全部资料真实可信，自愿承担相应责任。</w:t>
      </w:r>
    </w:p>
    <w:p w14:paraId="326A1610">
      <w:pPr>
        <w:pStyle w:val="25"/>
        <w:spacing w:before="0" w:after="0" w:line="360" w:lineRule="auto"/>
        <w:jc w:val="left"/>
        <w:rPr>
          <w:rFonts w:ascii="华文楷体" w:hAnsi="华文楷体" w:eastAsia="华文楷体" w:cs="宋体"/>
          <w:lang w:val="zh-CN"/>
        </w:rPr>
      </w:pPr>
      <w:bookmarkStart w:id="77" w:name="_Toc31442"/>
      <w:bookmarkStart w:id="78" w:name="_Toc184345902"/>
      <w:r>
        <w:rPr>
          <w:rFonts w:hint="eastAsia" w:ascii="华文楷体" w:hAnsi="华文楷体" w:eastAsia="华文楷体" w:cs="宋体"/>
          <w:sz w:val="28"/>
          <w:szCs w:val="28"/>
          <w:lang w:val="zh-CN"/>
        </w:rPr>
        <w:t>12.投标文件的编制要求</w:t>
      </w:r>
      <w:bookmarkEnd w:id="76"/>
      <w:bookmarkEnd w:id="77"/>
      <w:bookmarkEnd w:id="78"/>
    </w:p>
    <w:p w14:paraId="1A443346">
      <w:pPr>
        <w:autoSpaceDE w:val="0"/>
        <w:autoSpaceDN w:val="0"/>
        <w:spacing w:line="360" w:lineRule="auto"/>
        <w:ind w:firstLine="480" w:firstLineChars="200"/>
        <w:rPr>
          <w:rFonts w:ascii="华文楷体" w:hAnsi="华文楷体" w:eastAsia="华文楷体" w:cs="Arial"/>
          <w:kern w:val="0"/>
          <w:lang w:val="zh-CN"/>
        </w:rPr>
      </w:pPr>
      <w:bookmarkStart w:id="79" w:name="_Toc15788"/>
      <w:bookmarkStart w:id="80" w:name="_Toc31198"/>
      <w:r>
        <w:rPr>
          <w:rFonts w:hint="eastAsia" w:ascii="华文楷体" w:hAnsi="华文楷体" w:eastAsia="华文楷体" w:cs="Arial"/>
          <w:kern w:val="0"/>
          <w:lang w:val="zh-CN"/>
        </w:rPr>
        <w:t>12.1投标人应按照招标文件所提供的投标文件格式，分别填写招标文件第四部分的内容，应分别注明所提供货物的名称、技术配置及参数、数量和价格等内容。</w:t>
      </w:r>
    </w:p>
    <w:p w14:paraId="75E6E68B">
      <w:pPr>
        <w:autoSpaceDE w:val="0"/>
        <w:autoSpaceDN w:val="0"/>
        <w:spacing w:line="360" w:lineRule="auto"/>
        <w:ind w:firstLine="480" w:firstLineChars="200"/>
        <w:rPr>
          <w:rFonts w:ascii="华文楷体" w:hAnsi="华文楷体" w:eastAsia="华文楷体" w:cs="Arial"/>
          <w:kern w:val="0"/>
          <w:lang w:val="zh-CN"/>
        </w:rPr>
      </w:pPr>
      <w:r>
        <w:rPr>
          <w:rFonts w:hint="eastAsia" w:ascii="华文楷体" w:hAnsi="华文楷体" w:eastAsia="华文楷体" w:cs="Arial"/>
          <w:kern w:val="0"/>
          <w:lang w:val="zh-CN"/>
        </w:rPr>
        <w:t>12.2投标人应在投标截止时间之前将加密电子投标文件上传至评标系统；加密电子投标文件的制作详情请咨询政采云，咨询电话：400-881-7190。</w:t>
      </w:r>
    </w:p>
    <w:p w14:paraId="71754F50">
      <w:pPr>
        <w:autoSpaceDE w:val="0"/>
        <w:autoSpaceDN w:val="0"/>
        <w:spacing w:line="360" w:lineRule="auto"/>
        <w:ind w:firstLine="480" w:firstLineChars="200"/>
        <w:rPr>
          <w:rFonts w:ascii="华文楷体" w:hAnsi="华文楷体" w:eastAsia="华文楷体" w:cs="Arial"/>
          <w:kern w:val="0"/>
          <w:lang w:val="zh-CN"/>
        </w:rPr>
      </w:pPr>
      <w:r>
        <w:rPr>
          <w:rFonts w:hint="eastAsia" w:ascii="华文楷体" w:hAnsi="华文楷体" w:eastAsia="华文楷体" w:cs="Arial"/>
          <w:kern w:val="0"/>
          <w:lang w:val="zh-CN"/>
        </w:rPr>
        <w:t>12.3投标文件中不得行间插字、涂改或增删，如有修改错漏处，须由投标人法定代表人或其委托代理人签字、加盖公章。</w:t>
      </w:r>
    </w:p>
    <w:p w14:paraId="486BC2B8">
      <w:pPr>
        <w:pStyle w:val="25"/>
        <w:spacing w:before="0" w:after="0" w:line="360" w:lineRule="auto"/>
        <w:rPr>
          <w:rFonts w:ascii="华文楷体" w:hAnsi="华文楷体" w:eastAsia="华文楷体" w:cs="宋体"/>
        </w:rPr>
      </w:pPr>
      <w:bookmarkStart w:id="81" w:name="_Toc184345903"/>
      <w:r>
        <w:rPr>
          <w:rFonts w:hint="eastAsia" w:ascii="华文楷体" w:hAnsi="华文楷体" w:eastAsia="华文楷体" w:cs="宋体"/>
          <w:lang w:val="zh-CN"/>
        </w:rPr>
        <w:t>四、投标文件的提交</w:t>
      </w:r>
      <w:bookmarkEnd w:id="79"/>
      <w:bookmarkEnd w:id="80"/>
      <w:bookmarkEnd w:id="81"/>
    </w:p>
    <w:p w14:paraId="2E18765B">
      <w:pPr>
        <w:pStyle w:val="25"/>
        <w:spacing w:before="0" w:after="0" w:line="360" w:lineRule="auto"/>
        <w:jc w:val="left"/>
        <w:rPr>
          <w:rFonts w:ascii="华文楷体" w:hAnsi="华文楷体" w:eastAsia="华文楷体" w:cs="宋体"/>
          <w:sz w:val="28"/>
          <w:szCs w:val="28"/>
        </w:rPr>
      </w:pPr>
      <w:bookmarkStart w:id="82" w:name="_Toc515908185"/>
      <w:bookmarkStart w:id="83" w:name="_Toc32078"/>
      <w:bookmarkStart w:id="84" w:name="_Toc184345904"/>
      <w:r>
        <w:rPr>
          <w:rFonts w:hint="eastAsia" w:ascii="华文楷体" w:hAnsi="华文楷体" w:eastAsia="华文楷体" w:cs="宋体"/>
          <w:sz w:val="28"/>
          <w:szCs w:val="28"/>
          <w:lang w:val="zh-CN"/>
        </w:rPr>
        <w:t>13.投标文件的</w:t>
      </w:r>
      <w:bookmarkEnd w:id="82"/>
      <w:bookmarkStart w:id="85" w:name="_Toc515908186"/>
      <w:r>
        <w:rPr>
          <w:rFonts w:hint="eastAsia" w:ascii="华文楷体" w:hAnsi="华文楷体" w:eastAsia="华文楷体" w:cs="宋体"/>
          <w:sz w:val="28"/>
          <w:szCs w:val="28"/>
        </w:rPr>
        <w:t>递交</w:t>
      </w:r>
      <w:bookmarkEnd w:id="83"/>
      <w:bookmarkEnd w:id="84"/>
    </w:p>
    <w:p w14:paraId="628E36C1">
      <w:pPr>
        <w:pStyle w:val="2"/>
        <w:spacing w:line="360" w:lineRule="auto"/>
        <w:ind w:firstLine="480" w:firstLineChars="200"/>
        <w:rPr>
          <w:rFonts w:ascii="华文楷体" w:hAnsi="华文楷体" w:eastAsia="华文楷体" w:cs="宋体"/>
          <w:kern w:val="0"/>
        </w:rPr>
      </w:pPr>
      <w:bookmarkStart w:id="86" w:name="_Toc18755"/>
      <w:r>
        <w:rPr>
          <w:rFonts w:hint="eastAsia" w:ascii="华文楷体" w:hAnsi="华文楷体" w:eastAsia="华文楷体" w:cs="宋体"/>
          <w:kern w:val="0"/>
        </w:rPr>
        <w:t>13.1</w:t>
      </w:r>
      <w:r>
        <w:rPr>
          <w:rFonts w:hint="eastAsia" w:ascii="华文楷体" w:hAnsi="华文楷体" w:eastAsia="华文楷体"/>
        </w:rPr>
        <w:t>投标人应在政采云平台上报价并按包上传电子投标文件。</w:t>
      </w:r>
    </w:p>
    <w:p w14:paraId="3ECE06AD">
      <w:pPr>
        <w:pStyle w:val="2"/>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rPr>
        <w:t>13.2</w:t>
      </w:r>
      <w:r>
        <w:rPr>
          <w:rFonts w:hint="eastAsia" w:ascii="华文楷体" w:hAnsi="华文楷体" w:eastAsia="华文楷体" w:cs="宋体"/>
          <w:kern w:val="0"/>
          <w:lang w:val="zh-CN"/>
        </w:rPr>
        <w:t>投标人在投标截止时间前按招标文件要求使用政采云电子投标客户端制作上传电子投标文件，并在开标后30分钟内远程解密投标文件。</w:t>
      </w:r>
    </w:p>
    <w:p w14:paraId="07182CF3">
      <w:pPr>
        <w:pStyle w:val="25"/>
        <w:spacing w:before="0" w:after="0" w:line="360" w:lineRule="auto"/>
        <w:jc w:val="left"/>
        <w:rPr>
          <w:rFonts w:ascii="华文楷体" w:hAnsi="华文楷体" w:eastAsia="华文楷体" w:cs="宋体"/>
          <w:lang w:val="zh-CN"/>
        </w:rPr>
      </w:pPr>
      <w:bookmarkStart w:id="87" w:name="_Toc184345905"/>
      <w:r>
        <w:rPr>
          <w:rFonts w:hint="eastAsia" w:ascii="华文楷体" w:hAnsi="华文楷体" w:eastAsia="华文楷体" w:cs="宋体"/>
          <w:sz w:val="28"/>
          <w:szCs w:val="28"/>
          <w:lang w:val="zh-CN"/>
        </w:rPr>
        <w:t>14.提交投标文件的方式</w:t>
      </w:r>
      <w:bookmarkEnd w:id="85"/>
      <w:bookmarkEnd w:id="86"/>
      <w:bookmarkEnd w:id="87"/>
    </w:p>
    <w:p w14:paraId="168AB301">
      <w:pPr>
        <w:autoSpaceDE w:val="0"/>
        <w:autoSpaceDN w:val="0"/>
        <w:spacing w:line="360" w:lineRule="auto"/>
        <w:ind w:firstLine="480"/>
        <w:rPr>
          <w:rFonts w:ascii="华文楷体" w:hAnsi="华文楷体" w:eastAsia="华文楷体" w:cs="宋体"/>
        </w:rPr>
      </w:pPr>
      <w:r>
        <w:rPr>
          <w:rFonts w:hint="eastAsia" w:ascii="华文楷体" w:hAnsi="华文楷体" w:eastAsia="华文楷体" w:cs="宋体"/>
        </w:rPr>
        <w:t>请登录政采云投标客户端投标。</w:t>
      </w:r>
    </w:p>
    <w:p w14:paraId="1DDACDB4">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lang w:val="zh-CN"/>
        </w:rPr>
        <w:t>若对项目采购电子交易系统操作有疑问</w:t>
      </w:r>
      <w:r>
        <w:rPr>
          <w:rFonts w:hint="eastAsia" w:ascii="华文楷体" w:hAnsi="华文楷体" w:eastAsia="华文楷体" w:cs="宋体"/>
        </w:rPr>
        <w:t>，</w:t>
      </w:r>
      <w:r>
        <w:rPr>
          <w:rFonts w:hint="eastAsia" w:ascii="华文楷体" w:hAnsi="华文楷体" w:eastAsia="华文楷体" w:cs="宋体"/>
          <w:lang w:val="zh-CN"/>
        </w:rPr>
        <w:t>可登录政采云</w:t>
      </w:r>
      <w:r>
        <w:rPr>
          <w:rFonts w:hint="eastAsia" w:ascii="华文楷体" w:hAnsi="华文楷体" w:eastAsia="华文楷体" w:cs="宋体"/>
        </w:rPr>
        <w:t>（https://www.zcygov.cn/），</w:t>
      </w:r>
      <w:r>
        <w:rPr>
          <w:rFonts w:hint="eastAsia" w:ascii="华文楷体" w:hAnsi="华文楷体" w:eastAsia="华文楷体" w:cs="宋体"/>
          <w:lang w:val="zh-CN"/>
        </w:rPr>
        <w:t>点击右侧咨询小采</w:t>
      </w:r>
      <w:r>
        <w:rPr>
          <w:rFonts w:hint="eastAsia" w:ascii="华文楷体" w:hAnsi="华文楷体" w:eastAsia="华文楷体" w:cs="宋体"/>
        </w:rPr>
        <w:t>，</w:t>
      </w:r>
      <w:r>
        <w:rPr>
          <w:rFonts w:hint="eastAsia" w:ascii="华文楷体" w:hAnsi="华文楷体" w:eastAsia="华文楷体" w:cs="宋体"/>
          <w:lang w:val="zh-CN"/>
        </w:rPr>
        <w:t>获取采小蜜智能服务管家帮助</w:t>
      </w:r>
      <w:r>
        <w:rPr>
          <w:rFonts w:hint="eastAsia" w:ascii="华文楷体" w:hAnsi="华文楷体" w:eastAsia="华文楷体" w:cs="宋体"/>
        </w:rPr>
        <w:t>，</w:t>
      </w:r>
      <w:r>
        <w:rPr>
          <w:rFonts w:hint="eastAsia" w:ascii="华文楷体" w:hAnsi="华文楷体" w:eastAsia="华文楷体" w:cs="宋体"/>
          <w:lang w:val="zh-CN"/>
        </w:rPr>
        <w:t>或拨打政采云服务热线</w:t>
      </w:r>
      <w:r>
        <w:rPr>
          <w:rFonts w:hint="eastAsia" w:ascii="华文楷体" w:hAnsi="华文楷体" w:eastAsia="华文楷体" w:cs="宋体"/>
        </w:rPr>
        <w:t>95763</w:t>
      </w:r>
      <w:r>
        <w:rPr>
          <w:rFonts w:hint="eastAsia" w:ascii="华文楷体" w:hAnsi="华文楷体" w:eastAsia="华文楷体" w:cs="宋体"/>
          <w:lang w:val="zh-CN"/>
        </w:rPr>
        <w:t>获取热线服务帮助。CA问题联系电话（人工）；400-087-8198。</w:t>
      </w:r>
    </w:p>
    <w:p w14:paraId="68F28DB5">
      <w:pPr>
        <w:pStyle w:val="25"/>
        <w:spacing w:before="0" w:after="0" w:line="360" w:lineRule="auto"/>
        <w:jc w:val="left"/>
        <w:rPr>
          <w:rFonts w:ascii="华文楷体" w:hAnsi="华文楷体" w:eastAsia="华文楷体" w:cs="宋体"/>
          <w:lang w:val="zh-CN"/>
        </w:rPr>
      </w:pPr>
      <w:bookmarkStart w:id="88" w:name="_Toc184345906"/>
      <w:bookmarkStart w:id="89" w:name="_Toc515908187"/>
      <w:bookmarkStart w:id="90" w:name="_Toc6792"/>
      <w:r>
        <w:rPr>
          <w:rFonts w:hint="eastAsia" w:ascii="华文楷体" w:hAnsi="华文楷体" w:eastAsia="华文楷体" w:cs="宋体"/>
          <w:sz w:val="28"/>
          <w:szCs w:val="28"/>
          <w:lang w:val="zh-CN"/>
        </w:rPr>
        <w:t>15.投标文件的补充、修改或者撤回</w:t>
      </w:r>
      <w:bookmarkEnd w:id="88"/>
      <w:bookmarkEnd w:id="89"/>
      <w:bookmarkEnd w:id="90"/>
    </w:p>
    <w:p w14:paraId="777468EA">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投标人在投标截止时间前，可以对所递交的投标文件进行补充、修改或者撤回，在投标文件递交截止时间前，修改补充后上传至</w:t>
      </w:r>
      <w:r>
        <w:rPr>
          <w:rFonts w:hint="eastAsia" w:ascii="华文楷体" w:hAnsi="华文楷体" w:eastAsia="华文楷体" w:cs="宋体"/>
          <w:lang w:val="zh-CN"/>
        </w:rPr>
        <w:t>政采云（https://www.zcygov.cn/）</w:t>
      </w:r>
      <w:r>
        <w:rPr>
          <w:rFonts w:hint="eastAsia" w:ascii="华文楷体" w:hAnsi="华文楷体" w:eastAsia="华文楷体" w:cs="宋体"/>
          <w:kern w:val="0"/>
        </w:rPr>
        <w:t>。</w:t>
      </w:r>
    </w:p>
    <w:p w14:paraId="52D447B7">
      <w:pPr>
        <w:pStyle w:val="25"/>
        <w:spacing w:before="0" w:after="0" w:line="360" w:lineRule="auto"/>
        <w:rPr>
          <w:rFonts w:ascii="华文楷体" w:hAnsi="华文楷体" w:eastAsia="华文楷体" w:cs="宋体"/>
        </w:rPr>
      </w:pPr>
      <w:bookmarkStart w:id="91" w:name="_Toc14084"/>
      <w:bookmarkStart w:id="92" w:name="_Toc17983"/>
      <w:bookmarkStart w:id="93" w:name="_Toc184345907"/>
      <w:r>
        <w:rPr>
          <w:rFonts w:hint="eastAsia" w:ascii="华文楷体" w:hAnsi="华文楷体" w:eastAsia="华文楷体" w:cs="宋体"/>
          <w:lang w:val="zh-CN"/>
        </w:rPr>
        <w:t>五、开标</w:t>
      </w:r>
      <w:bookmarkEnd w:id="91"/>
      <w:bookmarkEnd w:id="92"/>
      <w:bookmarkEnd w:id="93"/>
    </w:p>
    <w:p w14:paraId="7F3DFACE">
      <w:pPr>
        <w:pStyle w:val="25"/>
        <w:spacing w:before="0" w:after="0" w:line="360" w:lineRule="auto"/>
        <w:jc w:val="left"/>
        <w:rPr>
          <w:rFonts w:ascii="华文楷体" w:hAnsi="华文楷体" w:eastAsia="华文楷体" w:cs="宋体"/>
          <w:lang w:val="zh-CN"/>
        </w:rPr>
      </w:pPr>
      <w:bookmarkStart w:id="94" w:name="_Toc515908189"/>
      <w:bookmarkStart w:id="95" w:name="_Toc184345908"/>
      <w:bookmarkStart w:id="96" w:name="_Toc26548"/>
      <w:r>
        <w:rPr>
          <w:rFonts w:hint="eastAsia" w:ascii="华文楷体" w:hAnsi="华文楷体" w:eastAsia="华文楷体" w:cs="宋体"/>
          <w:sz w:val="28"/>
          <w:szCs w:val="28"/>
          <w:lang w:val="zh-CN"/>
        </w:rPr>
        <w:t>16.开标</w:t>
      </w:r>
      <w:bookmarkEnd w:id="94"/>
      <w:bookmarkEnd w:id="95"/>
      <w:bookmarkEnd w:id="96"/>
    </w:p>
    <w:p w14:paraId="3910B9D5">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16.1</w:t>
      </w:r>
      <w:r>
        <w:rPr>
          <w:rFonts w:hint="eastAsia" w:ascii="华文楷体" w:hAnsi="华文楷体" w:eastAsia="华文楷体" w:cs="宋体"/>
          <w:kern w:val="0"/>
        </w:rPr>
        <w:t xml:space="preserve"> 采购人、采购代理机构在政采云平台上组织开标、评标活动，时间和地点以本招标文件中确定的为准。</w:t>
      </w:r>
      <w:r>
        <w:rPr>
          <w:rFonts w:hint="eastAsia" w:ascii="华文楷体" w:hAnsi="华文楷体" w:eastAsia="华文楷体" w:cs="宋体"/>
          <w:kern w:val="0"/>
          <w:lang w:val="zh-CN"/>
        </w:rPr>
        <w:t>采购人或者采购代理机构应当对开标、评标现场活动进行全程录音录像。录音录像应当清晰可辨，音像资料作为采购文件一并存档。</w:t>
      </w:r>
    </w:p>
    <w:p w14:paraId="429E65D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16.2 开标由采购代理机构主持，评标委员会成员不得参加开标活动。投标人不足3家的，不得开标。</w:t>
      </w:r>
    </w:p>
    <w:p w14:paraId="60A69566">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16.3 投标人在政采云平台开标记录表中投标报价与投标文件中开标一览表（报价表）内容不一致的，以投标文件中开标一览表（报价表）的投标报价为准。</w:t>
      </w:r>
    </w:p>
    <w:p w14:paraId="76E90F9C">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16.4开标后，投标人可登录政采云平台同步查看“开标一览表”及开标情况。投标人代表对开标过程和开标记录有疑义，以及认为采购人、采购代理机构相关工作人员有需要回避的情形的，应当提出询问或者回避申请。采购人、采购代理机构对投标人代表提出的询问或者回避申请应当及时处理。</w:t>
      </w:r>
    </w:p>
    <w:p w14:paraId="35503962">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16.5开标后投标人必须在规定的时间内解密文件，因投标人未能按时完成解密、其投标文件编制填写、盖章不规范等原因导致系统无法解析、或上传的投标文件损坏无法正常打开的，将会被视为放弃投标。</w:t>
      </w:r>
    </w:p>
    <w:p w14:paraId="35ACB96E">
      <w:pPr>
        <w:pStyle w:val="25"/>
        <w:spacing w:before="0" w:after="0" w:line="360" w:lineRule="auto"/>
        <w:rPr>
          <w:rFonts w:ascii="华文楷体" w:hAnsi="华文楷体" w:eastAsia="华文楷体" w:cs="宋体"/>
          <w:kern w:val="0"/>
        </w:rPr>
      </w:pPr>
      <w:bookmarkStart w:id="97" w:name="_Toc19445"/>
      <w:bookmarkStart w:id="98" w:name="_Toc496004006"/>
      <w:bookmarkStart w:id="99" w:name="_Toc1965"/>
      <w:bookmarkStart w:id="100" w:name="_Toc184345909"/>
      <w:r>
        <w:rPr>
          <w:rFonts w:hint="eastAsia" w:ascii="华文楷体" w:hAnsi="华文楷体" w:eastAsia="华文楷体" w:cs="宋体"/>
          <w:kern w:val="0"/>
          <w:szCs w:val="36"/>
        </w:rPr>
        <w:t>六、资格</w:t>
      </w:r>
      <w:r>
        <w:rPr>
          <w:rFonts w:hint="eastAsia" w:ascii="华文楷体" w:hAnsi="华文楷体" w:eastAsia="华文楷体" w:cs="宋体"/>
          <w:lang w:val="zh-CN"/>
        </w:rPr>
        <w:t>审查</w:t>
      </w:r>
      <w:r>
        <w:rPr>
          <w:rFonts w:hint="eastAsia" w:ascii="华文楷体" w:hAnsi="华文楷体" w:eastAsia="华文楷体" w:cs="宋体"/>
          <w:kern w:val="0"/>
          <w:szCs w:val="36"/>
        </w:rPr>
        <w:t>程序</w:t>
      </w:r>
      <w:bookmarkEnd w:id="97"/>
      <w:bookmarkEnd w:id="98"/>
      <w:bookmarkEnd w:id="99"/>
      <w:bookmarkEnd w:id="100"/>
    </w:p>
    <w:p w14:paraId="4290BBDC">
      <w:pPr>
        <w:pStyle w:val="25"/>
        <w:spacing w:before="0" w:after="0" w:line="360" w:lineRule="auto"/>
        <w:jc w:val="left"/>
        <w:rPr>
          <w:rFonts w:ascii="华文楷体" w:hAnsi="华文楷体" w:eastAsia="华文楷体" w:cs="宋体"/>
          <w:sz w:val="28"/>
          <w:szCs w:val="28"/>
        </w:rPr>
      </w:pPr>
      <w:bookmarkStart w:id="101" w:name="_Toc184345910"/>
      <w:bookmarkStart w:id="102" w:name="_Toc515908191"/>
      <w:bookmarkStart w:id="103" w:name="_Toc25093"/>
      <w:r>
        <w:rPr>
          <w:rFonts w:hint="eastAsia" w:ascii="华文楷体" w:hAnsi="华文楷体" w:eastAsia="华文楷体" w:cs="宋体"/>
          <w:sz w:val="28"/>
          <w:szCs w:val="28"/>
        </w:rPr>
        <w:t>17.资格审查</w:t>
      </w:r>
      <w:bookmarkEnd w:id="101"/>
      <w:bookmarkEnd w:id="102"/>
      <w:bookmarkEnd w:id="103"/>
    </w:p>
    <w:p w14:paraId="4CB37C56">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17.1 开标结束后，采购人或者采购代理机构应当依法对投标人的资格性审查文件进行审查。</w:t>
      </w:r>
    </w:p>
    <w:p w14:paraId="3040BA6D">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17.2 合格投标人不足3家的，不得评标。</w:t>
      </w:r>
    </w:p>
    <w:p w14:paraId="60268CD9">
      <w:pPr>
        <w:autoSpaceDE w:val="0"/>
        <w:autoSpaceDN w:val="0"/>
        <w:spacing w:line="360" w:lineRule="auto"/>
        <w:ind w:firstLine="480" w:firstLineChars="200"/>
        <w:rPr>
          <w:rFonts w:ascii="华文楷体" w:hAnsi="华文楷体" w:eastAsia="华文楷体" w:cs="宋体"/>
          <w:sz w:val="28"/>
          <w:szCs w:val="28"/>
        </w:rPr>
      </w:pPr>
      <w:bookmarkStart w:id="104" w:name="_Toc497503315"/>
      <w:bookmarkStart w:id="105" w:name="_Toc497503516"/>
      <w:bookmarkStart w:id="106" w:name="_Toc30809"/>
      <w:bookmarkStart w:id="107" w:name="_Toc497503449"/>
      <w:bookmarkStart w:id="108" w:name="_Toc497503249"/>
      <w:r>
        <w:rPr>
          <w:rFonts w:hint="eastAsia" w:ascii="华文楷体" w:hAnsi="华文楷体" w:eastAsia="华文楷体" w:cs="宋体"/>
          <w:kern w:val="0"/>
        </w:rPr>
        <w:t>17.3 资格审查时，投标人存在下列情况之一的，按无效投标处理：</w:t>
      </w:r>
      <w:bookmarkEnd w:id="104"/>
      <w:bookmarkEnd w:id="105"/>
      <w:bookmarkEnd w:id="106"/>
      <w:bookmarkEnd w:id="107"/>
      <w:bookmarkEnd w:id="108"/>
    </w:p>
    <w:p w14:paraId="6184E54E">
      <w:pPr>
        <w:numPr>
          <w:ilvl w:val="0"/>
          <w:numId w:val="3"/>
        </w:numPr>
        <w:tabs>
          <w:tab w:val="left" w:pos="960"/>
        </w:tabs>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shd w:val="clear" w:color="auto" w:fill="FFFFFF"/>
        </w:rPr>
        <w:t>不具备</w:t>
      </w:r>
      <w:r>
        <w:rPr>
          <w:rFonts w:hint="eastAsia" w:ascii="华文楷体" w:hAnsi="华文楷体" w:eastAsia="华文楷体" w:cs="宋体"/>
          <w:kern w:val="0"/>
          <w:lang w:val="zh-CN"/>
        </w:rPr>
        <w:t>第一部分“投标邀请”中</w:t>
      </w:r>
      <w:r>
        <w:rPr>
          <w:rFonts w:hint="eastAsia" w:ascii="华文楷体" w:hAnsi="华文楷体" w:eastAsia="华文楷体" w:cs="宋体"/>
          <w:kern w:val="0"/>
        </w:rPr>
        <w:t>申请</w:t>
      </w:r>
      <w:r>
        <w:rPr>
          <w:rFonts w:hint="eastAsia" w:ascii="华文楷体" w:hAnsi="华文楷体" w:eastAsia="华文楷体" w:cs="宋体"/>
          <w:kern w:val="0"/>
          <w:lang w:val="zh-CN"/>
        </w:rPr>
        <w:t>人资格要求</w:t>
      </w:r>
      <w:r>
        <w:rPr>
          <w:rFonts w:hint="eastAsia" w:ascii="华文楷体" w:hAnsi="华文楷体" w:eastAsia="华文楷体" w:cs="宋体"/>
          <w:shd w:val="clear" w:color="auto" w:fill="FFFFFF"/>
        </w:rPr>
        <w:t>的；</w:t>
      </w:r>
    </w:p>
    <w:p w14:paraId="5CC11BD1">
      <w:pPr>
        <w:numPr>
          <w:ilvl w:val="0"/>
          <w:numId w:val="3"/>
        </w:numPr>
        <w:tabs>
          <w:tab w:val="left" w:pos="960"/>
        </w:tabs>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未按招标文件要求交纳或未足额交纳投标保证金的；</w:t>
      </w:r>
    </w:p>
    <w:p w14:paraId="723DB7D1">
      <w:pPr>
        <w:numPr>
          <w:ilvl w:val="0"/>
          <w:numId w:val="3"/>
        </w:numPr>
        <w:tabs>
          <w:tab w:val="left" w:pos="960"/>
        </w:tabs>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未按第11.1要求提供相关资料的；</w:t>
      </w:r>
    </w:p>
    <w:p w14:paraId="0F3093A5">
      <w:pPr>
        <w:numPr>
          <w:ilvl w:val="0"/>
          <w:numId w:val="3"/>
        </w:numPr>
        <w:tabs>
          <w:tab w:val="left" w:pos="960"/>
        </w:tabs>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kern w:val="0"/>
        </w:rPr>
        <w:t>资格性审查文件未按招标文件规定和要求签字、盖章的；</w:t>
      </w:r>
    </w:p>
    <w:p w14:paraId="2098341B">
      <w:pPr>
        <w:numPr>
          <w:ilvl w:val="0"/>
          <w:numId w:val="3"/>
        </w:numPr>
        <w:tabs>
          <w:tab w:val="left" w:pos="960"/>
        </w:tabs>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kern w:val="0"/>
          <w:lang w:val="zh-CN"/>
        </w:rPr>
        <w:t>投标有效期不能满足招标文件要求的；</w:t>
      </w:r>
    </w:p>
    <w:p w14:paraId="75C34A12">
      <w:pPr>
        <w:pStyle w:val="25"/>
        <w:spacing w:before="0" w:after="0" w:line="360" w:lineRule="auto"/>
        <w:rPr>
          <w:rFonts w:ascii="华文楷体" w:hAnsi="华文楷体" w:eastAsia="华文楷体" w:cs="宋体"/>
        </w:rPr>
      </w:pPr>
      <w:bookmarkStart w:id="109" w:name="_Toc14631"/>
      <w:bookmarkStart w:id="110" w:name="_Toc16720"/>
      <w:bookmarkStart w:id="111" w:name="_Toc184345911"/>
      <w:r>
        <w:rPr>
          <w:rFonts w:hint="eastAsia" w:ascii="华文楷体" w:hAnsi="华文楷体" w:eastAsia="华文楷体" w:cs="宋体"/>
          <w:lang w:val="zh-CN"/>
        </w:rPr>
        <w:t>七、评审程序及方法</w:t>
      </w:r>
      <w:bookmarkEnd w:id="109"/>
      <w:bookmarkEnd w:id="110"/>
      <w:bookmarkEnd w:id="111"/>
    </w:p>
    <w:p w14:paraId="35094714">
      <w:pPr>
        <w:pStyle w:val="25"/>
        <w:spacing w:before="0" w:after="0" w:line="360" w:lineRule="auto"/>
        <w:jc w:val="left"/>
        <w:rPr>
          <w:rFonts w:ascii="华文楷体" w:hAnsi="华文楷体" w:eastAsia="华文楷体" w:cs="宋体"/>
          <w:lang w:val="zh-CN"/>
        </w:rPr>
      </w:pPr>
      <w:bookmarkStart w:id="112" w:name="_Toc515908193"/>
      <w:bookmarkStart w:id="113" w:name="_Toc16684"/>
      <w:bookmarkStart w:id="114" w:name="_Toc184345912"/>
      <w:r>
        <w:rPr>
          <w:rFonts w:hint="eastAsia" w:ascii="华文楷体" w:hAnsi="华文楷体" w:eastAsia="华文楷体" w:cs="宋体"/>
          <w:sz w:val="28"/>
          <w:szCs w:val="28"/>
          <w:lang w:val="zh-CN"/>
        </w:rPr>
        <w:t>1</w:t>
      </w:r>
      <w:r>
        <w:rPr>
          <w:rFonts w:hint="eastAsia" w:ascii="华文楷体" w:hAnsi="华文楷体" w:eastAsia="华文楷体" w:cs="宋体"/>
          <w:sz w:val="28"/>
          <w:szCs w:val="28"/>
        </w:rPr>
        <w:t>8</w:t>
      </w:r>
      <w:r>
        <w:rPr>
          <w:rFonts w:hint="eastAsia" w:ascii="华文楷体" w:hAnsi="华文楷体" w:eastAsia="华文楷体" w:cs="宋体"/>
          <w:sz w:val="28"/>
          <w:szCs w:val="28"/>
          <w:lang w:val="zh-CN"/>
        </w:rPr>
        <w:t>.评标委员会</w:t>
      </w:r>
      <w:bookmarkEnd w:id="112"/>
      <w:bookmarkEnd w:id="113"/>
      <w:bookmarkEnd w:id="114"/>
    </w:p>
    <w:p w14:paraId="0B826AD7">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 xml:space="preserve">18.1 </w:t>
      </w:r>
      <w:r>
        <w:rPr>
          <w:rFonts w:hint="eastAsia" w:ascii="华文楷体" w:hAnsi="华文楷体" w:eastAsia="华文楷体" w:cs="宋体"/>
          <w:kern w:val="0"/>
          <w:lang w:val="zh-CN"/>
        </w:rPr>
        <w:t>采购代理机构负责组织评标工作，并履行下列职责：</w:t>
      </w:r>
    </w:p>
    <w:p w14:paraId="059F4111">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1</w:t>
      </w:r>
      <w:r>
        <w:rPr>
          <w:rFonts w:hint="eastAsia" w:ascii="华文楷体" w:hAnsi="华文楷体" w:eastAsia="华文楷体" w:cs="宋体"/>
          <w:kern w:val="0"/>
          <w:lang w:val="zh-CN"/>
        </w:rPr>
        <w:t>）核对评审专家身份和采购人代表授权函，对评审专家在政府采购活动中的职责履行情况予以记录，并及时将有关违法违规行为向财政部门报告；</w:t>
      </w:r>
    </w:p>
    <w:p w14:paraId="6D374C85">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2</w:t>
      </w:r>
      <w:r>
        <w:rPr>
          <w:rFonts w:hint="eastAsia" w:ascii="华文楷体" w:hAnsi="华文楷体" w:eastAsia="华文楷体" w:cs="宋体"/>
          <w:kern w:val="0"/>
          <w:lang w:val="zh-CN"/>
        </w:rPr>
        <w:t>）宣布评标纪律；</w:t>
      </w:r>
    </w:p>
    <w:p w14:paraId="08081D89">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3</w:t>
      </w:r>
      <w:r>
        <w:rPr>
          <w:rFonts w:hint="eastAsia" w:ascii="华文楷体" w:hAnsi="华文楷体" w:eastAsia="华文楷体" w:cs="宋体"/>
          <w:kern w:val="0"/>
          <w:lang w:val="zh-CN"/>
        </w:rPr>
        <w:t>）公布投标人名单，告知评审专家应当回避的情形；</w:t>
      </w:r>
    </w:p>
    <w:p w14:paraId="693E4F57">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4</w:t>
      </w:r>
      <w:r>
        <w:rPr>
          <w:rFonts w:hint="eastAsia" w:ascii="华文楷体" w:hAnsi="华文楷体" w:eastAsia="华文楷体" w:cs="宋体"/>
          <w:kern w:val="0"/>
          <w:lang w:val="zh-CN"/>
        </w:rPr>
        <w:t>）组织评标委员会推选评标组长，采购人代表不得担任组长；</w:t>
      </w:r>
    </w:p>
    <w:p w14:paraId="36017C6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5</w:t>
      </w:r>
      <w:r>
        <w:rPr>
          <w:rFonts w:hint="eastAsia" w:ascii="华文楷体" w:hAnsi="华文楷体" w:eastAsia="华文楷体" w:cs="宋体"/>
          <w:kern w:val="0"/>
          <w:lang w:val="zh-CN"/>
        </w:rPr>
        <w:t>）在评标期间采取必要的通讯管理措施，保证评标活动不受外界干扰；</w:t>
      </w:r>
    </w:p>
    <w:p w14:paraId="6D461AB5">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6</w:t>
      </w:r>
      <w:r>
        <w:rPr>
          <w:rFonts w:hint="eastAsia" w:ascii="华文楷体" w:hAnsi="华文楷体" w:eastAsia="华文楷体" w:cs="宋体"/>
          <w:kern w:val="0"/>
          <w:lang w:val="zh-CN"/>
        </w:rPr>
        <w:t>）根据评标委员会的要求介绍政府采购相关政策法规、招标文件；</w:t>
      </w:r>
    </w:p>
    <w:p w14:paraId="5FAE9F5A">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7</w:t>
      </w:r>
      <w:r>
        <w:rPr>
          <w:rFonts w:hint="eastAsia" w:ascii="华文楷体" w:hAnsi="华文楷体" w:eastAsia="华文楷体" w:cs="宋体"/>
          <w:kern w:val="0"/>
          <w:lang w:val="zh-CN"/>
        </w:rPr>
        <w:t>）维护评标秩序，监督评标委员会依照招标文件规定的评标程序、方法和标准进行独立评审，及时制止和纠正采购人代表、评审专家的倾向性言论或者违法违规行为；</w:t>
      </w:r>
    </w:p>
    <w:p w14:paraId="37765DF3">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8</w:t>
      </w:r>
      <w:r>
        <w:rPr>
          <w:rFonts w:hint="eastAsia" w:ascii="华文楷体" w:hAnsi="华文楷体" w:eastAsia="华文楷体" w:cs="宋体"/>
          <w:kern w:val="0"/>
          <w:lang w:val="zh-CN"/>
        </w:rPr>
        <w:t>）核对评标结果，有</w:t>
      </w:r>
      <w:r>
        <w:rPr>
          <w:rFonts w:hint="eastAsia" w:ascii="华文楷体" w:hAnsi="华文楷体" w:eastAsia="华文楷体" w:cs="宋体"/>
          <w:kern w:val="0"/>
        </w:rPr>
        <w:t>20.4</w:t>
      </w:r>
      <w:r>
        <w:rPr>
          <w:rFonts w:hint="eastAsia" w:ascii="华文楷体" w:hAnsi="华文楷体" w:eastAsia="华文楷体" w:cs="宋体"/>
          <w:kern w:val="0"/>
          <w:lang w:val="zh-CN"/>
        </w:rPr>
        <w:t>规定情形的，要求评标委员会复核或者书面说明理由，评标委员会拒绝的，应予记录并向本级财政部门报告；</w:t>
      </w:r>
    </w:p>
    <w:p w14:paraId="72ED542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9</w:t>
      </w:r>
      <w:r>
        <w:rPr>
          <w:rFonts w:hint="eastAsia" w:ascii="华文楷体" w:hAnsi="华文楷体" w:eastAsia="华文楷体" w:cs="宋体"/>
          <w:kern w:val="0"/>
          <w:lang w:val="zh-CN"/>
        </w:rPr>
        <w:t>）评审工作完成后，按照规定由采购人向评审专家支付劳务报酬和异地评审差旅费，不得向评审专家以外的其他人员支付评审劳务报酬；</w:t>
      </w:r>
    </w:p>
    <w:p w14:paraId="55543C9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w:t>
      </w:r>
      <w:r>
        <w:rPr>
          <w:rFonts w:hint="eastAsia" w:ascii="华文楷体" w:hAnsi="华文楷体" w:eastAsia="华文楷体" w:cs="宋体"/>
          <w:kern w:val="0"/>
        </w:rPr>
        <w:t>10</w:t>
      </w:r>
      <w:r>
        <w:rPr>
          <w:rFonts w:hint="eastAsia" w:ascii="华文楷体" w:hAnsi="华文楷体" w:eastAsia="华文楷体" w:cs="宋体"/>
          <w:kern w:val="0"/>
          <w:lang w:val="zh-CN"/>
        </w:rPr>
        <w:t>）处理与评标有关的其他事项。</w:t>
      </w:r>
    </w:p>
    <w:p w14:paraId="6858F30B">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lang w:val="zh-CN"/>
        </w:rPr>
        <w:t>采购人可以在评标前说明项目背景和采购需求，说明内容不得含有歧视性、倾向性意见，不得超出招标文件所述范围。说明应当提交书面材料，并随采购文件一并存档。</w:t>
      </w:r>
    </w:p>
    <w:p w14:paraId="7D7C2B91">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18.2 评标委员会负责具体评标事务，并独立履行下列职责：</w:t>
      </w:r>
    </w:p>
    <w:p w14:paraId="4B524519">
      <w:pPr>
        <w:numPr>
          <w:ilvl w:val="0"/>
          <w:numId w:val="4"/>
        </w:num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严格遵守评审工作纪律,按照客观、公正、审慎的原则,根据采购文件规定的评审程序、评审方法和评审标准进行独立评审</w:t>
      </w:r>
      <w:r>
        <w:rPr>
          <w:rFonts w:hint="eastAsia" w:ascii="华文楷体" w:hAnsi="华文楷体" w:eastAsia="华文楷体" w:cs="宋体"/>
          <w:kern w:val="0"/>
          <w:lang w:val="zh-CN"/>
        </w:rPr>
        <w:t>；</w:t>
      </w:r>
    </w:p>
    <w:p w14:paraId="166C1118">
      <w:pPr>
        <w:numPr>
          <w:ilvl w:val="0"/>
          <w:numId w:val="4"/>
        </w:num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现采购文件内容违反国家有关强制性规定或者采购文件存在歧义、重大缺陷导致评审工作无法进行时,应当停止评审并向采购人或者采购代理机构书面说明情况</w:t>
      </w:r>
      <w:r>
        <w:rPr>
          <w:rFonts w:hint="eastAsia" w:ascii="华文楷体" w:hAnsi="华文楷体" w:eastAsia="华文楷体" w:cs="宋体"/>
          <w:kern w:val="0"/>
          <w:lang w:val="zh-CN"/>
        </w:rPr>
        <w:t>；</w:t>
      </w:r>
    </w:p>
    <w:p w14:paraId="78918005">
      <w:pPr>
        <w:numPr>
          <w:ilvl w:val="0"/>
          <w:numId w:val="4"/>
        </w:num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审查、评价投标文件是否符合招标文件的商务、技术等实质性要求</w:t>
      </w:r>
      <w:r>
        <w:rPr>
          <w:rFonts w:hint="eastAsia" w:ascii="华文楷体" w:hAnsi="华文楷体" w:eastAsia="华文楷体" w:cs="宋体"/>
          <w:kern w:val="0"/>
          <w:lang w:val="zh-CN"/>
        </w:rPr>
        <w:t>；</w:t>
      </w:r>
    </w:p>
    <w:p w14:paraId="03C0C2ED">
      <w:pPr>
        <w:numPr>
          <w:ilvl w:val="0"/>
          <w:numId w:val="4"/>
        </w:num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要求投标人对投标文件有关事项作出澄清或者说明；</w:t>
      </w:r>
    </w:p>
    <w:p w14:paraId="45F01297">
      <w:pPr>
        <w:numPr>
          <w:ilvl w:val="0"/>
          <w:numId w:val="4"/>
        </w:num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对投标文件进行比较和评价；</w:t>
      </w:r>
    </w:p>
    <w:p w14:paraId="468FF81F">
      <w:pPr>
        <w:numPr>
          <w:ilvl w:val="0"/>
          <w:numId w:val="4"/>
        </w:num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确定中标候选人名单，以及根据采购人委托直接确定中标人；</w:t>
      </w:r>
    </w:p>
    <w:p w14:paraId="5AA0723C">
      <w:pPr>
        <w:numPr>
          <w:ilvl w:val="0"/>
          <w:numId w:val="4"/>
        </w:num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配合答复投标人的询问、质疑和投诉等事项,不得泄露评审文件、评审情况和在评审过程中获悉的商业秘密</w:t>
      </w:r>
      <w:r>
        <w:rPr>
          <w:rFonts w:hint="eastAsia" w:ascii="华文楷体" w:hAnsi="华文楷体" w:eastAsia="华文楷体" w:cs="宋体"/>
          <w:kern w:val="0"/>
          <w:lang w:val="zh-CN"/>
        </w:rPr>
        <w:t>；</w:t>
      </w:r>
    </w:p>
    <w:p w14:paraId="1D27AF18">
      <w:pPr>
        <w:numPr>
          <w:ilvl w:val="0"/>
          <w:numId w:val="4"/>
        </w:num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向采购人、采购代理机构或者有关部门报告评标中发现的违法行为。</w:t>
      </w:r>
    </w:p>
    <w:p w14:paraId="64560FFA">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18.3 评标委员会由采购人代表和评审专家组成，成员人数应当为5人以上单数，其中评审专家不得少于成员总数的三分之二；本项目评标委员会由5人组成，其中采购人代表1名，评审专家4名，从省级以上人民政府财政部门设立的评审专家库中随机抽取评审专家。</w:t>
      </w:r>
    </w:p>
    <w:p w14:paraId="7F0A2ABE">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采购项目符合下列情形之一的，评标委员会成员人数应当为7人以上单数：</w:t>
      </w:r>
    </w:p>
    <w:p w14:paraId="437D9BDA">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（1）采购预算金额在1000万元以上；</w:t>
      </w:r>
    </w:p>
    <w:p w14:paraId="6F0AE3D5">
      <w:pPr>
        <w:tabs>
          <w:tab w:val="left" w:pos="3126"/>
        </w:tabs>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（2）技术复杂；</w:t>
      </w:r>
      <w:r>
        <w:rPr>
          <w:rFonts w:hint="eastAsia" w:ascii="华文楷体" w:hAnsi="华文楷体" w:eastAsia="华文楷体" w:cs="宋体"/>
          <w:kern w:val="0"/>
        </w:rPr>
        <w:tab/>
      </w:r>
    </w:p>
    <w:p w14:paraId="05AD2089">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（3）社会影响较大。</w:t>
      </w:r>
    </w:p>
    <w:p w14:paraId="1E9128A1">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评审专家对本单位的采购项目只能作为采购人代表参与评标。采购代理机构工作人员不得参加由本机构代理的政府采购项目的评标。</w:t>
      </w:r>
    </w:p>
    <w:p w14:paraId="375A996F">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评标委员会成员名单在评标结果公告前应当保密。</w:t>
      </w:r>
    </w:p>
    <w:p w14:paraId="38B9D64C">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 xml:space="preserve">18.4 </w:t>
      </w:r>
      <w:r>
        <w:rPr>
          <w:rFonts w:hint="eastAsia" w:ascii="华文楷体" w:hAnsi="华文楷体" w:eastAsia="华文楷体" w:cs="宋体"/>
          <w:kern w:val="0"/>
          <w:lang w:val="zh-CN"/>
        </w:rPr>
        <w:t>采购</w:t>
      </w:r>
      <w:r>
        <w:rPr>
          <w:rFonts w:hint="eastAsia" w:ascii="华文楷体" w:hAnsi="华文楷体" w:eastAsia="华文楷体" w:cs="宋体"/>
          <w:kern w:val="0"/>
        </w:rPr>
        <w:t>人应当从省级以上财政部门设立的政府采购评审专家库中，通过随机方式抽取评审专家。对技术复杂、专业性强的采购项目，通过随机方式难以确定合适评审专家的，经主管预算单位同意，采购人可以自行选定相应专业领域的评审专家。自行选定评审专家的，应当优先选择本单位以外的评审专家。</w:t>
      </w:r>
    </w:p>
    <w:p w14:paraId="2B83412C">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lang w:val="zh-CN"/>
        </w:rPr>
        <w:t>1</w:t>
      </w:r>
      <w:r>
        <w:rPr>
          <w:rFonts w:hint="eastAsia" w:ascii="华文楷体" w:hAnsi="华文楷体" w:eastAsia="华文楷体" w:cs="宋体"/>
          <w:kern w:val="0"/>
        </w:rPr>
        <w:t>8</w:t>
      </w:r>
      <w:r>
        <w:rPr>
          <w:rFonts w:hint="eastAsia" w:ascii="华文楷体" w:hAnsi="华文楷体" w:eastAsia="华文楷体" w:cs="宋体"/>
          <w:kern w:val="0"/>
          <w:lang w:val="zh-CN"/>
        </w:rPr>
        <w:t>.</w:t>
      </w:r>
      <w:r>
        <w:rPr>
          <w:rFonts w:hint="eastAsia" w:ascii="华文楷体" w:hAnsi="华文楷体" w:eastAsia="华文楷体" w:cs="宋体"/>
          <w:kern w:val="0"/>
        </w:rPr>
        <w:t>5 评标中因评标委员会成员缺席、回避或者健康等特殊原因导致评标委员会组成不符合规定的，采购人或者采购代理机构应当依法补足后继续评标。被更换的评标委员会成员所作出的评标意见无效。无法及时补足评标委员会成员的，采购代理机构应当停止评标活动，封存所有投标文件和开标、评标资料，依法重新组建评标委员会进行评标。原评标委员会所作出的评标意见无效。</w:t>
      </w:r>
    </w:p>
    <w:p w14:paraId="228915B3">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采购人或</w:t>
      </w:r>
      <w:r>
        <w:rPr>
          <w:rFonts w:hint="eastAsia" w:ascii="华文楷体" w:hAnsi="华文楷体" w:eastAsia="华文楷体" w:cs="宋体"/>
          <w:kern w:val="0"/>
          <w:lang w:val="zh-CN"/>
        </w:rPr>
        <w:t>采购代理机构</w:t>
      </w:r>
      <w:r>
        <w:rPr>
          <w:rFonts w:hint="eastAsia" w:ascii="华文楷体" w:hAnsi="华文楷体" w:eastAsia="华文楷体" w:cs="宋体"/>
          <w:kern w:val="0"/>
        </w:rPr>
        <w:t>应当将变更、重新组建评标委员会的情况予以记录，并随采购文件一并存档。</w:t>
      </w:r>
    </w:p>
    <w:p w14:paraId="169536C4">
      <w:pPr>
        <w:pStyle w:val="25"/>
        <w:spacing w:before="0" w:after="0" w:line="360" w:lineRule="auto"/>
        <w:jc w:val="left"/>
        <w:rPr>
          <w:rFonts w:ascii="华文楷体" w:hAnsi="华文楷体" w:eastAsia="华文楷体" w:cs="宋体"/>
          <w:lang w:val="zh-CN"/>
        </w:rPr>
      </w:pPr>
      <w:bookmarkStart w:id="115" w:name="_Toc184345913"/>
      <w:bookmarkStart w:id="116" w:name="_Toc515908194"/>
      <w:bookmarkStart w:id="117" w:name="_Toc8649"/>
      <w:r>
        <w:rPr>
          <w:rFonts w:hint="eastAsia" w:ascii="华文楷体" w:hAnsi="华文楷体" w:eastAsia="华文楷体" w:cs="宋体"/>
          <w:sz w:val="28"/>
          <w:szCs w:val="28"/>
        </w:rPr>
        <w:t>19</w:t>
      </w:r>
      <w:r>
        <w:rPr>
          <w:rFonts w:hint="eastAsia" w:ascii="华文楷体" w:hAnsi="华文楷体" w:eastAsia="华文楷体" w:cs="宋体"/>
          <w:sz w:val="28"/>
          <w:szCs w:val="28"/>
          <w:lang w:val="zh-CN"/>
        </w:rPr>
        <w:t>.评审工作程序</w:t>
      </w:r>
      <w:bookmarkEnd w:id="115"/>
      <w:bookmarkEnd w:id="116"/>
      <w:bookmarkEnd w:id="117"/>
    </w:p>
    <w:p w14:paraId="510D22C5">
      <w:pPr>
        <w:autoSpaceDE w:val="0"/>
        <w:autoSpaceDN w:val="0"/>
        <w:spacing w:line="360" w:lineRule="auto"/>
        <w:ind w:firstLine="482" w:firstLineChars="200"/>
        <w:rPr>
          <w:rFonts w:ascii="华文楷体" w:hAnsi="华文楷体" w:eastAsia="华文楷体" w:cs="宋体"/>
          <w:kern w:val="0"/>
          <w:lang w:val="zh-CN"/>
        </w:rPr>
      </w:pPr>
      <w:r>
        <w:rPr>
          <w:rFonts w:hint="eastAsia" w:ascii="华文楷体" w:hAnsi="华文楷体" w:eastAsia="华文楷体" w:cs="宋体"/>
          <w:b/>
          <w:bCs/>
          <w:kern w:val="0"/>
          <w:lang w:val="zh-CN"/>
        </w:rPr>
        <w:t>1</w:t>
      </w:r>
      <w:r>
        <w:rPr>
          <w:rFonts w:hint="eastAsia" w:ascii="华文楷体" w:hAnsi="华文楷体" w:eastAsia="华文楷体" w:cs="宋体"/>
          <w:b/>
          <w:bCs/>
          <w:kern w:val="0"/>
        </w:rPr>
        <w:t>9</w:t>
      </w:r>
      <w:r>
        <w:rPr>
          <w:rFonts w:hint="eastAsia" w:ascii="华文楷体" w:hAnsi="华文楷体" w:eastAsia="华文楷体" w:cs="宋体"/>
          <w:b/>
          <w:bCs/>
          <w:kern w:val="0"/>
          <w:lang w:val="zh-CN"/>
        </w:rPr>
        <w:t>.1</w:t>
      </w:r>
      <w:r>
        <w:rPr>
          <w:rFonts w:hint="eastAsia" w:ascii="华文楷体" w:hAnsi="华文楷体" w:eastAsia="华文楷体" w:cs="宋体"/>
          <w:kern w:val="0"/>
          <w:lang w:val="zh-CN"/>
        </w:rPr>
        <w:t>评标委员会应当对符合资格的投标人的符合性文件进行审查，以确定其是否满足招标文件的实质性要求。</w:t>
      </w:r>
    </w:p>
    <w:p w14:paraId="58C6D589">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19.1.1</w:t>
      </w:r>
      <w:r>
        <w:rPr>
          <w:rFonts w:hint="eastAsia" w:ascii="华文楷体" w:hAnsi="华文楷体" w:eastAsia="华文楷体" w:cs="宋体"/>
          <w:kern w:val="0"/>
          <w:lang w:val="zh-CN"/>
        </w:rPr>
        <w:t>投标文件中含义不明确、同类问题表述不一致或者有明显文字和计算错误的内容，评标委员会应当以书面形式要求投标人作出必要的澄清、说明或者补正。</w:t>
      </w:r>
    </w:p>
    <w:p w14:paraId="4752385D">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投标人的澄清、说明或者补正应当采用书面形式，并加盖公章，或者由法定代表人或其授权的代表签字。投标人的澄清、说明或者补正不得超出投标文件的范围或者改变投标文件的实质性内容。</w:t>
      </w:r>
    </w:p>
    <w:p w14:paraId="7FA295CC">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评标委员会根据投标情况确定答疑时间，答疑或澄清在政采云平台上进行，投标人可在政采云平台上的“我的澄清”界面了解答疑时间等信息。在项目开标、评标时须在线了解开标信息，掌握答疑时间，需由法定代表人或委托代理人对评标委员会提出的质疑做出应答。如在规定的时间内未完成</w:t>
      </w:r>
      <w:r>
        <w:rPr>
          <w:rFonts w:hint="eastAsia" w:ascii="华文楷体" w:hAnsi="华文楷体" w:eastAsia="华文楷体" w:cs="宋体"/>
          <w:kern w:val="0"/>
        </w:rPr>
        <w:t>在</w:t>
      </w:r>
      <w:r>
        <w:rPr>
          <w:rFonts w:hint="eastAsia" w:ascii="华文楷体" w:hAnsi="华文楷体" w:eastAsia="华文楷体" w:cs="宋体"/>
          <w:kern w:val="0"/>
          <w:lang w:val="zh-CN"/>
        </w:rPr>
        <w:t>政采云平台上答疑者，视同放弃答疑。</w:t>
      </w:r>
    </w:p>
    <w:p w14:paraId="1C84DF78">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w:t>
      </w:r>
      <w:r>
        <w:rPr>
          <w:rFonts w:hint="eastAsia" w:ascii="华文楷体" w:hAnsi="华文楷体" w:eastAsia="华文楷体" w:cs="宋体"/>
          <w:kern w:val="0"/>
        </w:rPr>
        <w:t>9</w:t>
      </w:r>
      <w:r>
        <w:rPr>
          <w:rFonts w:hint="eastAsia" w:ascii="华文楷体" w:hAnsi="华文楷体" w:eastAsia="华文楷体" w:cs="宋体"/>
          <w:kern w:val="0"/>
          <w:lang w:val="zh-CN"/>
        </w:rPr>
        <w:t>.</w:t>
      </w:r>
      <w:r>
        <w:rPr>
          <w:rFonts w:hint="eastAsia" w:ascii="华文楷体" w:hAnsi="华文楷体" w:eastAsia="华文楷体" w:cs="宋体"/>
          <w:kern w:val="0"/>
        </w:rPr>
        <w:t>1</w:t>
      </w:r>
      <w:r>
        <w:rPr>
          <w:rFonts w:hint="eastAsia" w:ascii="华文楷体" w:hAnsi="华文楷体" w:eastAsia="华文楷体" w:cs="宋体"/>
          <w:kern w:val="0"/>
          <w:lang w:val="zh-CN"/>
        </w:rPr>
        <w:t>.2投标人存在下列情况之一的，投标无效:</w:t>
      </w:r>
    </w:p>
    <w:p w14:paraId="093F6C4B">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符合性审查文件未按招标文件要求签署、盖章的；</w:t>
      </w:r>
    </w:p>
    <w:p w14:paraId="1ABA1C53">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lang w:val="zh-CN"/>
        </w:rPr>
        <w:t>未按第11</w:t>
      </w:r>
      <w:r>
        <w:rPr>
          <w:rFonts w:hint="eastAsia" w:ascii="华文楷体" w:hAnsi="华文楷体" w:eastAsia="华文楷体" w:cs="宋体"/>
        </w:rPr>
        <w:t>.</w:t>
      </w:r>
      <w:r>
        <w:rPr>
          <w:rFonts w:hint="eastAsia" w:ascii="华文楷体" w:hAnsi="华文楷体" w:eastAsia="华文楷体" w:cs="宋体"/>
          <w:lang w:val="zh-CN"/>
        </w:rPr>
        <w:t>2（1</w:t>
      </w:r>
      <w:r>
        <w:rPr>
          <w:rFonts w:hint="eastAsia" w:ascii="华文楷体" w:hAnsi="华文楷体" w:eastAsia="华文楷体" w:cs="宋体"/>
        </w:rPr>
        <w:t>4</w:t>
      </w:r>
      <w:r>
        <w:rPr>
          <w:rFonts w:hint="eastAsia" w:ascii="华文楷体" w:hAnsi="华文楷体" w:eastAsia="华文楷体" w:cs="宋体"/>
          <w:lang w:val="zh-CN"/>
        </w:rPr>
        <w:t>）-（1</w:t>
      </w:r>
      <w:r>
        <w:rPr>
          <w:rFonts w:hint="eastAsia" w:ascii="华文楷体" w:hAnsi="华文楷体" w:eastAsia="华文楷体" w:cs="宋体"/>
        </w:rPr>
        <w:t>7</w:t>
      </w:r>
      <w:r>
        <w:rPr>
          <w:rFonts w:hint="eastAsia" w:ascii="华文楷体" w:hAnsi="华文楷体" w:eastAsia="华文楷体" w:cs="宋体"/>
          <w:lang w:val="zh-CN"/>
        </w:rPr>
        <w:t>）款要求提供相关资料的；</w:t>
      </w:r>
    </w:p>
    <w:p w14:paraId="469B9215">
      <w:pPr>
        <w:numPr>
          <w:ilvl w:val="0"/>
          <w:numId w:val="5"/>
        </w:num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投标文件含有采购人不能接受的附加条件的；</w:t>
      </w:r>
    </w:p>
    <w:p w14:paraId="4B1ADE99">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合同履行期限</w:t>
      </w:r>
      <w:r>
        <w:rPr>
          <w:rFonts w:hint="eastAsia" w:ascii="华文楷体" w:hAnsi="华文楷体" w:eastAsia="华文楷体" w:cs="宋体"/>
          <w:kern w:val="0"/>
          <w:lang w:val="zh-CN"/>
        </w:rPr>
        <w:t>、</w:t>
      </w:r>
      <w:r>
        <w:rPr>
          <w:rFonts w:hint="eastAsia" w:ascii="华文楷体" w:hAnsi="华文楷体" w:eastAsia="华文楷体" w:cs="宋体"/>
          <w:kern w:val="0"/>
        </w:rPr>
        <w:t>质保期</w:t>
      </w:r>
      <w:r>
        <w:rPr>
          <w:rFonts w:hint="eastAsia" w:ascii="华文楷体" w:hAnsi="华文楷体" w:eastAsia="华文楷体" w:cs="宋体"/>
          <w:kern w:val="0"/>
          <w:lang w:val="zh-CN"/>
        </w:rPr>
        <w:t>不能满足招标文件要求的；</w:t>
      </w:r>
    </w:p>
    <w:p w14:paraId="5ECC642E">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投标报价超过招标文件中规定的预算金额或者最高限价的；</w:t>
      </w:r>
    </w:p>
    <w:p w14:paraId="12A07193">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采购内容单项报价超过招标文件中规定的单项预算金额或者单项最高限价的；</w:t>
      </w:r>
    </w:p>
    <w:p w14:paraId="643E5F9C">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投标产品</w:t>
      </w:r>
      <w:r>
        <w:rPr>
          <w:rFonts w:hint="eastAsia" w:ascii="华文楷体" w:hAnsi="华文楷体" w:eastAsia="华文楷体" w:cs="宋体"/>
          <w:kern w:val="0"/>
        </w:rPr>
        <w:t>有一项不</w:t>
      </w:r>
      <w:r>
        <w:rPr>
          <w:rFonts w:hint="eastAsia" w:ascii="华文楷体" w:hAnsi="华文楷体" w:eastAsia="华文楷体" w:cs="宋体"/>
          <w:kern w:val="0"/>
          <w:lang w:val="zh-CN"/>
        </w:rPr>
        <w:t>满足招标文件确定的</w:t>
      </w:r>
      <w:r>
        <w:rPr>
          <w:rFonts w:hint="eastAsia" w:ascii="华文楷体" w:hAnsi="华文楷体" w:eastAsia="华文楷体" w:cs="宋体"/>
          <w:kern w:val="0"/>
        </w:rPr>
        <w:t>“★”标注的技术参数、指标的；</w:t>
      </w:r>
    </w:p>
    <w:p w14:paraId="65BFB18B">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存在串通投标行为；</w:t>
      </w:r>
    </w:p>
    <w:p w14:paraId="3DDB4B08">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rPr>
        <w:t>投标报价出现前后不一致，又不按19.1.3进行确认的；</w:t>
      </w:r>
    </w:p>
    <w:p w14:paraId="24115892">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rPr>
        <w:t>评标委员会认为应按无效投标处理的其他情况；</w:t>
      </w:r>
    </w:p>
    <w:p w14:paraId="0DEBAD64">
      <w:pPr>
        <w:numPr>
          <w:ilvl w:val="0"/>
          <w:numId w:val="5"/>
        </w:num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法律、法规和招标文件规定的其他无效情形。</w:t>
      </w:r>
    </w:p>
    <w:p w14:paraId="0E5116EA">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19.1.3 投标文件报价出现前后不一致的，按照下列规定修正：</w:t>
      </w:r>
    </w:p>
    <w:p w14:paraId="03B6E73A">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（1）投标文件中开标一览表（报价表）内容与投标文件中相应内容不一致的，以开标一览表（报价表）为准；</w:t>
      </w:r>
    </w:p>
    <w:p w14:paraId="2C55C08F">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（2）大写金额和小写金额不一致的，以大写金额为准；</w:t>
      </w:r>
    </w:p>
    <w:p w14:paraId="718E47A3">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（3）单价金额小数点或者百分比有明显错位的，以开标一览表的总价为准，并修改单价；</w:t>
      </w:r>
    </w:p>
    <w:p w14:paraId="3A11236A">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（4）总价金额与按单价汇总金额不一致的，以单价金额计算结果为准。</w:t>
      </w:r>
    </w:p>
    <w:p w14:paraId="1C91D979">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同时出现两种以上不一致的，按照前款规定的顺序修正。修正后的报价按第二款的规定经投标人确认后产生约束力，投标人不确认的，其投标无效。</w:t>
      </w:r>
    </w:p>
    <w:p w14:paraId="2E38C3C5">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 xml:space="preserve">19.2 </w:t>
      </w:r>
      <w:r>
        <w:rPr>
          <w:rFonts w:hint="eastAsia" w:ascii="华文楷体" w:hAnsi="华文楷体" w:eastAsia="华文楷体" w:cs="宋体"/>
          <w:kern w:val="0"/>
          <w:lang w:val="zh-CN"/>
        </w:rPr>
        <w:t>评审过程中，在同等条件下，优先采购具有环境标志、节能、自主创新的产品。投标人须提供《国家节能产品认证证书》、《中国环境标志产品认证证书》的原件扫描件或复印件。</w:t>
      </w:r>
    </w:p>
    <w:p w14:paraId="6B27EF7C">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根据《政府采购促进中小企业发展管理办法》，属中小企业制造的货物（产品），投标人须提供《中小企业声明函》，其划型标准严格按照国家工信部、国家统计局、国家发改委、 财政部出台的《中小企业划型标准规定》（工信部联企业[2011]300号）执行。投标人提供的《中小企业声明函》资料必须真实，如有虚假，将依法承担相应责任。</w:t>
      </w:r>
    </w:p>
    <w:p w14:paraId="54BC3630">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根据财政部、民政部、中国残疾人联合会出台的《关于促进残疾人就业政府采购政策的通知》（财库[2017]141号），属残疾人福利性单位的，投标人须提供《残疾人福利性单位声明函》，并由投标人加盖公章，残疾人福利性单位视同小微型企业，享受预留份额、评标中价格扣除等促进中小企业发展的政府采购政策。向残疾人福利性单位采购的金额，计入面向中小企业采购的统计数据。</w:t>
      </w:r>
      <w:r>
        <w:rPr>
          <w:rFonts w:ascii="华文楷体" w:hAnsi="华文楷体" w:eastAsia="华文楷体" w:cs="宋体"/>
          <w:kern w:val="0"/>
          <w:lang w:val="zh-CN"/>
        </w:rPr>
        <w:t>残疾人福利性单位属于小型、微型企业的，不重复享受政策</w:t>
      </w:r>
      <w:r>
        <w:rPr>
          <w:rFonts w:hint="eastAsia" w:ascii="华文楷体" w:hAnsi="华文楷体" w:eastAsia="华文楷体" w:cs="宋体"/>
          <w:kern w:val="0"/>
          <w:lang w:val="zh-CN"/>
        </w:rPr>
        <w:t>。投标人提供的《残疾人福利性单位声明函》资料必须真实，如有虚假，将依法承担相应责任。</w:t>
      </w:r>
    </w:p>
    <w:p w14:paraId="45156EC3">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根据《关于政府采购支持监狱企业发展有关问题的通知》（财库［2014]68 号）的相关规定，</w:t>
      </w:r>
      <w:r>
        <w:rPr>
          <w:rFonts w:ascii="华文楷体" w:hAnsi="华文楷体" w:eastAsia="华文楷体" w:cs="宋体"/>
          <w:kern w:val="0"/>
          <w:lang w:val="zh-CN"/>
        </w:rPr>
        <w:t>在政府采购活动中，</w:t>
      </w:r>
      <w:r>
        <w:rPr>
          <w:rFonts w:ascii="华文楷体" w:hAnsi="华文楷体" w:eastAsia="华文楷体" w:cs="宋体"/>
          <w:bCs/>
          <w:kern w:val="0"/>
          <w:lang w:val="zh-CN"/>
        </w:rPr>
        <w:t>监狱企业视同小型、微型企业，享受预留份额、评审中价格扣除等政府采购促进中小企业发展的政府采购政策</w:t>
      </w:r>
      <w:r>
        <w:rPr>
          <w:rFonts w:ascii="华文楷体" w:hAnsi="华文楷体" w:eastAsia="华文楷体" w:cs="宋体"/>
          <w:kern w:val="0"/>
          <w:lang w:val="zh-CN"/>
        </w:rPr>
        <w:t>。向监狱企业采购的金额，计入面向中小企业采购的统计数据。</w:t>
      </w:r>
    </w:p>
    <w:p w14:paraId="30333436">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 xml:space="preserve">19.3 </w:t>
      </w:r>
      <w:r>
        <w:rPr>
          <w:rFonts w:hint="eastAsia" w:ascii="华文楷体" w:hAnsi="华文楷体" w:eastAsia="华文楷体" w:cs="宋体"/>
          <w:kern w:val="0"/>
          <w:lang w:val="zh-CN"/>
        </w:rPr>
        <w:t>在评审过程中，</w:t>
      </w:r>
      <w:r>
        <w:rPr>
          <w:rFonts w:hint="eastAsia" w:ascii="华文楷体" w:hAnsi="华文楷体" w:eastAsia="华文楷体" w:cs="宋体"/>
          <w:shd w:val="clear" w:color="auto" w:fill="FFFFFF"/>
        </w:rPr>
        <w:t>评标委员会成员对需要共同认定的事项存在争议的，应当按照少数服从多数的原则作出结论。持不同意见的评标委员会成员应当在评标报告上签署不同意见及理由，否则视为同意评标报告。</w:t>
      </w:r>
    </w:p>
    <w:p w14:paraId="481F08D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w:t>
      </w:r>
      <w:r>
        <w:rPr>
          <w:rFonts w:hint="eastAsia" w:ascii="华文楷体" w:hAnsi="华文楷体" w:eastAsia="华文楷体" w:cs="宋体"/>
          <w:kern w:val="0"/>
        </w:rPr>
        <w:t>9</w:t>
      </w:r>
      <w:r>
        <w:rPr>
          <w:rFonts w:hint="eastAsia" w:ascii="华文楷体" w:hAnsi="华文楷体" w:eastAsia="华文楷体" w:cs="宋体"/>
          <w:kern w:val="0"/>
          <w:lang w:val="zh-CN"/>
        </w:rPr>
        <w:t>.</w:t>
      </w:r>
      <w:r>
        <w:rPr>
          <w:rFonts w:hint="eastAsia" w:ascii="华文楷体" w:hAnsi="华文楷体" w:eastAsia="华文楷体" w:cs="宋体"/>
          <w:kern w:val="0"/>
        </w:rPr>
        <w:t xml:space="preserve">4 </w:t>
      </w:r>
      <w:r>
        <w:rPr>
          <w:rFonts w:hint="eastAsia" w:ascii="华文楷体" w:hAnsi="华文楷体" w:eastAsia="华文楷体" w:cs="宋体"/>
          <w:shd w:val="clear" w:color="auto" w:fill="FFFFFF"/>
        </w:rPr>
        <w:t>评标委员会应当按照招标文件中规定的评标方法和标准，对符合性审查合格的投标文件进行商务和技术评估，综合比较与评价。</w:t>
      </w:r>
    </w:p>
    <w:p w14:paraId="4E1C9FA5">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lang w:val="zh-CN"/>
        </w:rPr>
        <w:t>1</w:t>
      </w:r>
      <w:r>
        <w:rPr>
          <w:rFonts w:hint="eastAsia" w:ascii="华文楷体" w:hAnsi="华文楷体" w:eastAsia="华文楷体" w:cs="宋体"/>
          <w:kern w:val="0"/>
        </w:rPr>
        <w:t>9</w:t>
      </w:r>
      <w:r>
        <w:rPr>
          <w:rFonts w:hint="eastAsia" w:ascii="华文楷体" w:hAnsi="华文楷体" w:eastAsia="华文楷体" w:cs="宋体"/>
          <w:kern w:val="0"/>
          <w:lang w:val="zh-CN"/>
        </w:rPr>
        <w:t>.</w:t>
      </w:r>
      <w:r>
        <w:rPr>
          <w:rFonts w:hint="eastAsia" w:ascii="华文楷体" w:hAnsi="华文楷体" w:eastAsia="华文楷体" w:cs="宋体"/>
          <w:kern w:val="0"/>
        </w:rPr>
        <w:t xml:space="preserve">5 </w:t>
      </w:r>
      <w:r>
        <w:rPr>
          <w:rFonts w:hint="eastAsia" w:ascii="华文楷体" w:hAnsi="华文楷体" w:eastAsia="华文楷体" w:cs="宋体"/>
          <w:shd w:val="clear" w:color="auto" w:fill="FFFFFF"/>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49F1AC4">
      <w:pPr>
        <w:autoSpaceDE w:val="0"/>
        <w:autoSpaceDN w:val="0"/>
        <w:spacing w:line="360" w:lineRule="auto"/>
        <w:ind w:firstLine="480" w:firstLineChars="200"/>
        <w:rPr>
          <w:rFonts w:ascii="华文楷体" w:hAnsi="华文楷体" w:eastAsia="华文楷体" w:cs="Arial"/>
          <w:shd w:val="clear" w:color="auto" w:fill="FFFFFF"/>
        </w:rPr>
      </w:pPr>
      <w:r>
        <w:rPr>
          <w:rFonts w:hint="eastAsia" w:ascii="华文楷体" w:hAnsi="华文楷体" w:eastAsia="华文楷体" w:cs="宋体"/>
          <w:kern w:val="0"/>
        </w:rPr>
        <w:t xml:space="preserve">19.6 </w:t>
      </w:r>
      <w:r>
        <w:rPr>
          <w:rFonts w:hint="eastAsia" w:ascii="华文楷体" w:hAnsi="华文楷体" w:eastAsia="华文楷体" w:cs="Arial"/>
          <w:shd w:val="clear" w:color="auto" w:fill="FFFFFF"/>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评审得分相同的，由评标委员会按照以投标报价低的优先；投标报价也相等的技术得分高的优先；技术得分也相等的，由采购人自行确定一个投标人获得中标候选人推荐资格。确定一个投标人获得中标人推荐资格，招标文件未规定的采取随机抽取方式确定，其他同品牌投标人不作为中标候选人。非单一产品采购项目，采购人应当根据采购项目技术构成、产品价格比重等合理确定核心产品，并在招标文件中载明。多家投标人提供的核心产品品牌相同的，按前两款规定处理。</w:t>
      </w:r>
    </w:p>
    <w:p w14:paraId="7D0002FD">
      <w:pPr>
        <w:pStyle w:val="25"/>
        <w:spacing w:before="0" w:after="0" w:line="360" w:lineRule="auto"/>
        <w:jc w:val="left"/>
        <w:rPr>
          <w:rFonts w:ascii="华文楷体" w:hAnsi="华文楷体" w:eastAsia="华文楷体" w:cs="宋体"/>
          <w:sz w:val="28"/>
          <w:szCs w:val="28"/>
          <w:lang w:val="zh-CN"/>
        </w:rPr>
      </w:pPr>
      <w:bookmarkStart w:id="118" w:name="_Toc515908195"/>
      <w:bookmarkStart w:id="119" w:name="_Toc184345914"/>
      <w:bookmarkStart w:id="120" w:name="_Toc29455"/>
      <w:r>
        <w:rPr>
          <w:rFonts w:hint="eastAsia" w:ascii="华文楷体" w:hAnsi="华文楷体" w:eastAsia="华文楷体" w:cs="宋体"/>
          <w:sz w:val="28"/>
          <w:szCs w:val="28"/>
        </w:rPr>
        <w:t>20</w:t>
      </w:r>
      <w:r>
        <w:rPr>
          <w:rFonts w:hint="eastAsia" w:ascii="华文楷体" w:hAnsi="华文楷体" w:eastAsia="华文楷体" w:cs="宋体"/>
          <w:sz w:val="28"/>
          <w:szCs w:val="28"/>
          <w:lang w:val="zh-CN"/>
        </w:rPr>
        <w:t>.评审方法和标准</w:t>
      </w:r>
      <w:bookmarkEnd w:id="118"/>
      <w:bookmarkEnd w:id="119"/>
      <w:bookmarkEnd w:id="120"/>
    </w:p>
    <w:p w14:paraId="56CF1A6E">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rPr>
        <w:t>20</w:t>
      </w:r>
      <w:r>
        <w:rPr>
          <w:rFonts w:hint="eastAsia" w:ascii="华文楷体" w:hAnsi="华文楷体" w:eastAsia="华文楷体" w:cs="宋体"/>
          <w:kern w:val="0"/>
          <w:lang w:val="zh-CN"/>
        </w:rPr>
        <w:t>.1依照《中华人民共和国政府采购法》、《中华人民共和国政府采购法实施条例》、《政府采购货物和服务招</w:t>
      </w:r>
      <w:r>
        <w:rPr>
          <w:rFonts w:hint="eastAsia" w:ascii="华文楷体" w:hAnsi="华文楷体" w:eastAsia="华文楷体" w:cs="宋体"/>
          <w:kern w:val="0"/>
        </w:rPr>
        <w:t>标</w:t>
      </w:r>
      <w:r>
        <w:rPr>
          <w:rFonts w:hint="eastAsia" w:ascii="华文楷体" w:hAnsi="华文楷体" w:eastAsia="华文楷体" w:cs="宋体"/>
          <w:kern w:val="0"/>
          <w:lang w:val="zh-CN"/>
        </w:rPr>
        <w:t>投标管理办法》等法律法规的规定，结合该项目的特点制定本评审办法。</w:t>
      </w:r>
    </w:p>
    <w:p w14:paraId="111B8DB9">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20</w:t>
      </w:r>
      <w:r>
        <w:rPr>
          <w:rFonts w:hint="eastAsia" w:ascii="华文楷体" w:hAnsi="华文楷体" w:eastAsia="华文楷体" w:cs="宋体"/>
          <w:kern w:val="0"/>
          <w:lang w:val="zh-CN"/>
        </w:rPr>
        <w:t>.2本次评审方法采用综合评分法</w:t>
      </w:r>
      <w:r>
        <w:rPr>
          <w:rFonts w:hint="eastAsia" w:ascii="华文楷体" w:hAnsi="华文楷体" w:eastAsia="华文楷体" w:cs="宋体"/>
          <w:kern w:val="0"/>
        </w:rPr>
        <w:t>。</w:t>
      </w:r>
    </w:p>
    <w:p w14:paraId="39AEE476">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综合评分法，</w:t>
      </w:r>
      <w:r>
        <w:rPr>
          <w:rFonts w:hint="eastAsia" w:ascii="华文楷体" w:hAnsi="华文楷体" w:eastAsia="华文楷体" w:cs="宋体"/>
          <w:shd w:val="clear" w:color="auto" w:fill="FFFFFF"/>
        </w:rPr>
        <w:t>是指投标文件满足招标文件全部实质性要求，且按照评审因素的量化指标评审得分最高的投标人为中标候选人的评标方法</w:t>
      </w:r>
      <w:r>
        <w:rPr>
          <w:rFonts w:hint="eastAsia" w:ascii="华文楷体" w:hAnsi="华文楷体" w:eastAsia="华文楷体" w:cs="宋体"/>
          <w:kern w:val="0"/>
          <w:lang w:val="zh-CN"/>
        </w:rPr>
        <w:t>。</w:t>
      </w:r>
    </w:p>
    <w:p w14:paraId="46751CC3">
      <w:p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评审因素的设定应当与投标人所提供货物服务的质量相关，包括</w:t>
      </w:r>
      <w:r>
        <w:rPr>
          <w:rFonts w:hint="eastAsia" w:ascii="华文楷体" w:hAnsi="华文楷体" w:eastAsia="华文楷体" w:cs="宋体"/>
          <w:b/>
          <w:bCs/>
          <w:shd w:val="clear" w:color="auto" w:fill="FFFFFF"/>
        </w:rPr>
        <w:t>投标报价、技术水平、商务评价</w:t>
      </w:r>
      <w:r>
        <w:rPr>
          <w:rFonts w:hint="eastAsia" w:ascii="华文楷体" w:hAnsi="华文楷体" w:eastAsia="华文楷体" w:cs="宋体"/>
          <w:shd w:val="clear" w:color="auto" w:fill="FFFFFF"/>
        </w:rPr>
        <w:t>。资格条件不得作为评审因素。</w:t>
      </w:r>
    </w:p>
    <w:p w14:paraId="709A5D7B">
      <w:pPr>
        <w:keepNext w:val="0"/>
        <w:keepLines w:val="0"/>
        <w:pageBreakBefore w:val="0"/>
        <w:widowControl w:val="0"/>
        <w:kinsoku/>
        <w:wordWrap/>
        <w:overflowPunct/>
        <w:topLinePunct w:val="0"/>
        <w:autoSpaceDE w:val="0"/>
        <w:autoSpaceDN w:val="0"/>
        <w:bidi w:val="0"/>
        <w:adjustRightInd/>
        <w:snapToGrid/>
        <w:spacing w:line="480" w:lineRule="exact"/>
        <w:ind w:firstLine="480" w:firstLineChars="200"/>
        <w:textAlignment w:val="auto"/>
        <w:rPr>
          <w:rFonts w:hint="eastAsia" w:ascii="华文楷体" w:hAnsi="华文楷体" w:eastAsia="华文楷体" w:cs="宋体"/>
          <w:shd w:val="clear" w:color="auto" w:fill="FFFFFF"/>
        </w:rPr>
      </w:pPr>
      <w:r>
        <w:rPr>
          <w:rFonts w:hint="eastAsia" w:ascii="华文楷体" w:hAnsi="华文楷体" w:eastAsia="华文楷体" w:cs="宋体"/>
          <w:shd w:val="clear" w:color="auto" w:fill="FFFFFF"/>
        </w:rPr>
        <w:t>评审因素应当细化和量化，且与相应的商务条件和采购需求对应。商务条件和采购需求指标有区间规定的，评审因素应当量化到相应区间，并设置各区间对应的不同分值。</w:t>
      </w:r>
    </w:p>
    <w:p w14:paraId="1688B492">
      <w:pPr>
        <w:pStyle w:val="2"/>
        <w:keepNext w:val="0"/>
        <w:keepLines w:val="0"/>
        <w:pageBreakBefore w:val="0"/>
        <w:widowControl w:val="0"/>
        <w:kinsoku/>
        <w:wordWrap/>
        <w:overflowPunct/>
        <w:topLinePunct w:val="0"/>
        <w:autoSpaceDE/>
        <w:autoSpaceDN/>
        <w:bidi w:val="0"/>
        <w:adjustRightInd/>
        <w:snapToGrid/>
        <w:spacing w:after="0" w:line="480" w:lineRule="exact"/>
        <w:ind w:firstLine="482" w:firstLineChars="200"/>
        <w:textAlignment w:val="auto"/>
        <w:rPr>
          <w:rFonts w:hint="eastAsia" w:ascii="华文楷体" w:hAnsi="华文楷体" w:eastAsia="华文楷体" w:cs="宋体"/>
          <w:b/>
          <w:shd w:val="clear" w:color="auto" w:fill="FFFFFF"/>
        </w:rPr>
      </w:pPr>
      <w:r>
        <w:rPr>
          <w:rFonts w:hint="eastAsia" w:ascii="华文楷体" w:hAnsi="华文楷体" w:eastAsia="华文楷体" w:cs="宋体"/>
          <w:b/>
          <w:shd w:val="clear" w:color="auto" w:fill="FFFFFF"/>
        </w:rPr>
        <w:t>包一评分标准：</w:t>
      </w:r>
    </w:p>
    <w:tbl>
      <w:tblPr>
        <w:tblStyle w:val="26"/>
        <w:tblpPr w:leftFromText="180" w:rightFromText="180" w:vertAnchor="text" w:horzAnchor="page" w:tblpX="1662" w:tblpY="524"/>
        <w:tblOverlap w:val="never"/>
        <w:tblW w:w="8685" w:type="dxa"/>
        <w:tblInd w:w="0" w:type="dxa"/>
        <w:tblLayout w:type="fixed"/>
        <w:tblCellMar>
          <w:top w:w="0" w:type="dxa"/>
          <w:left w:w="108" w:type="dxa"/>
          <w:bottom w:w="0" w:type="dxa"/>
          <w:right w:w="108" w:type="dxa"/>
        </w:tblCellMar>
      </w:tblPr>
      <w:tblGrid>
        <w:gridCol w:w="931"/>
        <w:gridCol w:w="1282"/>
        <w:gridCol w:w="6472"/>
      </w:tblGrid>
      <w:tr w14:paraId="729AF607">
        <w:tblPrEx>
          <w:tblCellMar>
            <w:top w:w="0" w:type="dxa"/>
            <w:left w:w="108" w:type="dxa"/>
            <w:bottom w:w="0" w:type="dxa"/>
            <w:right w:w="108" w:type="dxa"/>
          </w:tblCellMar>
        </w:tblPrEx>
        <w:trPr>
          <w:trHeight w:val="90" w:hRule="atLeast"/>
        </w:trPr>
        <w:tc>
          <w:tcPr>
            <w:tcW w:w="931" w:type="dxa"/>
            <w:tcBorders>
              <w:top w:val="single" w:color="000000" w:sz="6" w:space="0"/>
              <w:left w:val="single" w:color="000000" w:sz="6" w:space="0"/>
              <w:bottom w:val="single" w:color="000000" w:sz="6" w:space="0"/>
              <w:right w:val="single" w:color="000000" w:sz="6" w:space="0"/>
            </w:tcBorders>
            <w:vAlign w:val="center"/>
          </w:tcPr>
          <w:p w14:paraId="78698353">
            <w:pPr>
              <w:pStyle w:val="24"/>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center"/>
              <w:textAlignment w:val="auto"/>
              <w:rPr>
                <w:rFonts w:ascii="华文楷体" w:hAnsi="华文楷体" w:eastAsia="华文楷体" w:cs="宋体"/>
                <w:lang w:val="zh-CN"/>
              </w:rPr>
            </w:pPr>
            <w:r>
              <w:rPr>
                <w:rFonts w:hint="eastAsia" w:ascii="华文楷体" w:hAnsi="华文楷体" w:eastAsia="华文楷体" w:cs="宋体"/>
                <w:lang w:val="zh-CN"/>
              </w:rPr>
              <w:t>序号</w:t>
            </w:r>
          </w:p>
        </w:tc>
        <w:tc>
          <w:tcPr>
            <w:tcW w:w="1282" w:type="dxa"/>
            <w:tcBorders>
              <w:top w:val="single" w:color="000000" w:sz="6" w:space="0"/>
              <w:left w:val="single" w:color="000000" w:sz="6" w:space="0"/>
              <w:bottom w:val="single" w:color="000000" w:sz="6" w:space="0"/>
              <w:right w:val="single" w:color="000000" w:sz="6" w:space="0"/>
            </w:tcBorders>
            <w:vAlign w:val="center"/>
          </w:tcPr>
          <w:p w14:paraId="00BE99C8">
            <w:pPr>
              <w:pStyle w:val="24"/>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center"/>
              <w:textAlignment w:val="auto"/>
              <w:rPr>
                <w:rFonts w:ascii="华文楷体" w:hAnsi="华文楷体" w:eastAsia="华文楷体" w:cs="宋体"/>
              </w:rPr>
            </w:pPr>
            <w:r>
              <w:rPr>
                <w:rFonts w:hint="eastAsia" w:ascii="华文楷体" w:hAnsi="华文楷体" w:eastAsia="华文楷体" w:cs="宋体"/>
                <w:lang w:val="zh-CN"/>
              </w:rPr>
              <w:t>评审</w:t>
            </w:r>
            <w:r>
              <w:rPr>
                <w:rFonts w:hint="eastAsia" w:ascii="华文楷体" w:hAnsi="华文楷体" w:eastAsia="华文楷体" w:cs="宋体"/>
              </w:rPr>
              <w:t>因素</w:t>
            </w:r>
          </w:p>
        </w:tc>
        <w:tc>
          <w:tcPr>
            <w:tcW w:w="6472" w:type="dxa"/>
            <w:tcBorders>
              <w:top w:val="single" w:color="000000" w:sz="6" w:space="0"/>
              <w:left w:val="single" w:color="000000" w:sz="6" w:space="0"/>
              <w:bottom w:val="single" w:color="000000" w:sz="6" w:space="0"/>
              <w:right w:val="single" w:color="000000" w:sz="6" w:space="0"/>
            </w:tcBorders>
            <w:vAlign w:val="center"/>
          </w:tcPr>
          <w:p w14:paraId="7CB7E2F4">
            <w:pPr>
              <w:pStyle w:val="24"/>
              <w:keepNext w:val="0"/>
              <w:keepLines w:val="0"/>
              <w:pageBreakBefore w:val="0"/>
              <w:widowControl w:val="0"/>
              <w:kinsoku/>
              <w:wordWrap/>
              <w:overflowPunct/>
              <w:topLinePunct w:val="0"/>
              <w:autoSpaceDE/>
              <w:autoSpaceDN/>
              <w:bidi w:val="0"/>
              <w:adjustRightInd/>
              <w:snapToGrid/>
              <w:spacing w:before="0" w:beforeAutospacing="0" w:after="0" w:afterAutospacing="0" w:line="440" w:lineRule="exact"/>
              <w:jc w:val="center"/>
              <w:textAlignment w:val="auto"/>
              <w:rPr>
                <w:rFonts w:ascii="华文楷体" w:hAnsi="华文楷体" w:eastAsia="华文楷体" w:cs="宋体"/>
                <w:lang w:val="zh-CN"/>
              </w:rPr>
            </w:pPr>
            <w:r>
              <w:rPr>
                <w:rFonts w:hint="eastAsia" w:ascii="华文楷体" w:hAnsi="华文楷体" w:eastAsia="华文楷体" w:cs="宋体"/>
              </w:rPr>
              <w:t>评审标准</w:t>
            </w:r>
          </w:p>
        </w:tc>
      </w:tr>
      <w:tr w14:paraId="03400D24">
        <w:tblPrEx>
          <w:tblCellMar>
            <w:top w:w="0" w:type="dxa"/>
            <w:left w:w="108" w:type="dxa"/>
            <w:bottom w:w="0" w:type="dxa"/>
            <w:right w:w="108" w:type="dxa"/>
          </w:tblCellMar>
        </w:tblPrEx>
        <w:trPr>
          <w:trHeight w:val="415" w:hRule="atLeast"/>
        </w:trPr>
        <w:tc>
          <w:tcPr>
            <w:tcW w:w="931" w:type="dxa"/>
            <w:tcBorders>
              <w:top w:val="single" w:color="000000" w:sz="6" w:space="0"/>
              <w:left w:val="single" w:color="000000" w:sz="6" w:space="0"/>
              <w:bottom w:val="single" w:color="000000" w:sz="6" w:space="0"/>
              <w:right w:val="single" w:color="000000" w:sz="6" w:space="0"/>
            </w:tcBorders>
            <w:vAlign w:val="center"/>
          </w:tcPr>
          <w:p w14:paraId="53ED9543">
            <w:pPr>
              <w:pStyle w:val="24"/>
              <w:keepNext w:val="0"/>
              <w:keepLines w:val="0"/>
              <w:pageBreakBefore w:val="0"/>
              <w:kinsoku/>
              <w:wordWrap/>
              <w:overflowPunct/>
              <w:topLinePunct w:val="0"/>
              <w:bidi w:val="0"/>
              <w:adjustRightInd/>
              <w:snapToGrid/>
              <w:spacing w:before="0" w:beforeAutospacing="0" w:after="0" w:afterAutospacing="0" w:line="440" w:lineRule="exact"/>
              <w:jc w:val="center"/>
              <w:textAlignment w:val="auto"/>
              <w:rPr>
                <w:rFonts w:ascii="华文楷体" w:hAnsi="华文楷体" w:eastAsia="华文楷体" w:cs="宋体"/>
                <w:b/>
                <w:bCs/>
              </w:rPr>
            </w:pPr>
            <w:r>
              <w:rPr>
                <w:rFonts w:hint="eastAsia" w:ascii="华文楷体" w:hAnsi="华文楷体" w:eastAsia="华文楷体" w:cs="宋体"/>
                <w:b/>
                <w:bCs/>
              </w:rPr>
              <w:t>1</w:t>
            </w:r>
          </w:p>
        </w:tc>
        <w:tc>
          <w:tcPr>
            <w:tcW w:w="1282" w:type="dxa"/>
            <w:tcBorders>
              <w:top w:val="single" w:color="000000" w:sz="6" w:space="0"/>
              <w:left w:val="single" w:color="000000" w:sz="6" w:space="0"/>
              <w:bottom w:val="single" w:color="000000" w:sz="6" w:space="0"/>
              <w:right w:val="single" w:color="000000" w:sz="6" w:space="0"/>
            </w:tcBorders>
            <w:vAlign w:val="center"/>
          </w:tcPr>
          <w:p w14:paraId="7A4F56FA">
            <w:pPr>
              <w:pStyle w:val="24"/>
              <w:keepNext w:val="0"/>
              <w:keepLines w:val="0"/>
              <w:pageBreakBefore w:val="0"/>
              <w:kinsoku/>
              <w:wordWrap/>
              <w:overflowPunct/>
              <w:topLinePunct w:val="0"/>
              <w:bidi w:val="0"/>
              <w:adjustRightInd/>
              <w:snapToGrid/>
              <w:spacing w:before="0" w:beforeAutospacing="0" w:after="0" w:afterAutospacing="0" w:line="440" w:lineRule="exact"/>
              <w:jc w:val="center"/>
              <w:textAlignment w:val="auto"/>
              <w:rPr>
                <w:rFonts w:ascii="华文楷体" w:hAnsi="华文楷体" w:eastAsia="华文楷体" w:cs="宋体"/>
                <w:b/>
                <w:bCs/>
                <w:shd w:val="clear" w:color="auto" w:fill="FFFFFF"/>
              </w:rPr>
            </w:pPr>
            <w:r>
              <w:rPr>
                <w:rFonts w:hint="eastAsia" w:ascii="华文楷体" w:hAnsi="华文楷体" w:eastAsia="华文楷体" w:cs="宋体"/>
                <w:b/>
                <w:bCs/>
                <w:shd w:val="clear" w:color="auto" w:fill="FFFFFF"/>
              </w:rPr>
              <w:t>投标报价</w:t>
            </w:r>
          </w:p>
          <w:p w14:paraId="485FA301">
            <w:pPr>
              <w:pStyle w:val="24"/>
              <w:keepNext w:val="0"/>
              <w:keepLines w:val="0"/>
              <w:pageBreakBefore w:val="0"/>
              <w:kinsoku/>
              <w:wordWrap/>
              <w:overflowPunct/>
              <w:topLinePunct w:val="0"/>
              <w:bidi w:val="0"/>
              <w:adjustRightInd/>
              <w:snapToGrid/>
              <w:spacing w:before="0" w:beforeAutospacing="0" w:after="0" w:afterAutospacing="0" w:line="440" w:lineRule="exact"/>
              <w:jc w:val="center"/>
              <w:textAlignment w:val="auto"/>
              <w:rPr>
                <w:rFonts w:ascii="华文楷体" w:hAnsi="华文楷体" w:eastAsia="华文楷体" w:cs="宋体"/>
                <w:b/>
                <w:bCs/>
                <w:lang w:val="zh-CN"/>
              </w:rPr>
            </w:pPr>
            <w:r>
              <w:rPr>
                <w:rFonts w:hint="eastAsia" w:ascii="华文楷体" w:hAnsi="华文楷体" w:eastAsia="华文楷体" w:cs="宋体"/>
                <w:b/>
                <w:bCs/>
                <w:shd w:val="clear" w:color="auto" w:fill="FFFFFF"/>
              </w:rPr>
              <w:t>(</w:t>
            </w:r>
            <w:r>
              <w:rPr>
                <w:rFonts w:hint="eastAsia" w:ascii="华文楷体" w:hAnsi="华文楷体" w:eastAsia="华文楷体" w:cs="宋体"/>
                <w:b/>
                <w:bCs/>
              </w:rPr>
              <w:t>30%</w:t>
            </w:r>
            <w:r>
              <w:rPr>
                <w:rFonts w:hint="eastAsia" w:ascii="华文楷体" w:hAnsi="华文楷体" w:eastAsia="华文楷体" w:cs="宋体"/>
                <w:b/>
                <w:bCs/>
                <w:shd w:val="clear" w:color="auto" w:fill="FFFFFF"/>
              </w:rPr>
              <w:t>)</w:t>
            </w:r>
          </w:p>
        </w:tc>
        <w:tc>
          <w:tcPr>
            <w:tcW w:w="6472" w:type="dxa"/>
            <w:tcBorders>
              <w:top w:val="single" w:color="000000" w:sz="6" w:space="0"/>
              <w:left w:val="single" w:color="000000" w:sz="6" w:space="0"/>
              <w:bottom w:val="single" w:color="000000" w:sz="6" w:space="0"/>
              <w:right w:val="single" w:color="000000" w:sz="6" w:space="0"/>
            </w:tcBorders>
            <w:vAlign w:val="center"/>
          </w:tcPr>
          <w:p w14:paraId="4864DA77">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shd w:val="clear" w:color="auto" w:fill="FFFFFF"/>
              </w:rPr>
            </w:pPr>
            <w:r>
              <w:rPr>
                <w:rFonts w:hint="eastAsia" w:ascii="华文楷体" w:hAnsi="华文楷体" w:eastAsia="华文楷体" w:cs="宋体"/>
                <w:shd w:val="clear" w:color="auto" w:fill="FFFFFF"/>
              </w:rPr>
              <w:t>（1）产品的价格分值占总分值比重的30%；</w:t>
            </w:r>
          </w:p>
          <w:p w14:paraId="4BDA3E38">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shd w:val="clear" w:color="auto" w:fill="FFFFFF"/>
              </w:rPr>
            </w:pPr>
            <w:r>
              <w:rPr>
                <w:rFonts w:hint="eastAsia" w:ascii="华文楷体" w:hAnsi="华文楷体" w:eastAsia="华文楷体" w:cs="宋体"/>
                <w:shd w:val="clear" w:color="auto" w:fill="FFFFFF"/>
              </w:rPr>
              <w:t>（2）价格分应当采用低价优先法计算，即满足招标文件要求且投标价格最低的投标报价为评标基准价，其价格分为满分。其他投标人的价格分统一按照下列公式计算：投标报价得分=(评标基准价／投标报价)×100×投标报价比重；</w:t>
            </w:r>
          </w:p>
          <w:p w14:paraId="304BD602">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shd w:val="clear" w:color="auto" w:fill="FFFFFF"/>
              </w:rPr>
            </w:pPr>
            <w:r>
              <w:rPr>
                <w:rFonts w:ascii="华文楷体" w:hAnsi="华文楷体" w:eastAsia="华文楷体" w:cs="宋体"/>
                <w:shd w:val="clear" w:color="auto" w:fill="FFFFFF"/>
              </w:rPr>
              <w:t>（3）因落实政府采购政策进行价格调整的，以调整后的价格 计算评标基准价和投标报价。监狱企业和残疾人福利性单位 属于小型、微型企业的，不重复享受政策。《关于进一步加大政府采购支持中小企业力度的通知》（财库〔2022〕19 号）， 对小型和微型企业制造（生产）产品的价格给予10%的扣除， 用扣除后的价格参与评审。</w:t>
            </w:r>
          </w:p>
        </w:tc>
      </w:tr>
      <w:tr w14:paraId="3AAAF936">
        <w:tblPrEx>
          <w:tblCellMar>
            <w:top w:w="0" w:type="dxa"/>
            <w:left w:w="108" w:type="dxa"/>
            <w:bottom w:w="0" w:type="dxa"/>
            <w:right w:w="108" w:type="dxa"/>
          </w:tblCellMar>
        </w:tblPrEx>
        <w:trPr>
          <w:trHeight w:val="90" w:hRule="atLeast"/>
        </w:trPr>
        <w:tc>
          <w:tcPr>
            <w:tcW w:w="931" w:type="dxa"/>
            <w:tcBorders>
              <w:top w:val="single" w:color="000000" w:sz="6" w:space="0"/>
              <w:left w:val="single" w:color="000000" w:sz="6" w:space="0"/>
              <w:bottom w:val="single" w:color="000000" w:sz="6" w:space="0"/>
              <w:right w:val="single" w:color="000000" w:sz="6" w:space="0"/>
            </w:tcBorders>
            <w:vAlign w:val="center"/>
          </w:tcPr>
          <w:p w14:paraId="17B45AE0">
            <w:pPr>
              <w:pStyle w:val="24"/>
              <w:keepNext w:val="0"/>
              <w:keepLines w:val="0"/>
              <w:pageBreakBefore w:val="0"/>
              <w:kinsoku/>
              <w:wordWrap/>
              <w:overflowPunct/>
              <w:topLinePunct w:val="0"/>
              <w:bidi w:val="0"/>
              <w:adjustRightInd/>
              <w:snapToGrid/>
              <w:spacing w:before="0" w:beforeAutospacing="0" w:after="0" w:afterAutospacing="0" w:line="440" w:lineRule="exact"/>
              <w:jc w:val="center"/>
              <w:textAlignment w:val="auto"/>
              <w:rPr>
                <w:rFonts w:ascii="华文楷体" w:hAnsi="华文楷体" w:eastAsia="华文楷体" w:cs="宋体"/>
                <w:b/>
                <w:bCs/>
              </w:rPr>
            </w:pPr>
            <w:r>
              <w:rPr>
                <w:rFonts w:hint="eastAsia" w:ascii="华文楷体" w:hAnsi="华文楷体" w:eastAsia="华文楷体" w:cs="宋体"/>
                <w:b/>
                <w:bCs/>
              </w:rPr>
              <w:t>2</w:t>
            </w:r>
          </w:p>
        </w:tc>
        <w:tc>
          <w:tcPr>
            <w:tcW w:w="1282" w:type="dxa"/>
            <w:tcBorders>
              <w:top w:val="single" w:color="000000" w:sz="6" w:space="0"/>
              <w:left w:val="single" w:color="000000" w:sz="6" w:space="0"/>
              <w:bottom w:val="single" w:color="000000" w:sz="6" w:space="0"/>
              <w:right w:val="single" w:color="000000" w:sz="6" w:space="0"/>
            </w:tcBorders>
            <w:vAlign w:val="center"/>
          </w:tcPr>
          <w:p w14:paraId="68FC03AF">
            <w:pPr>
              <w:pStyle w:val="24"/>
              <w:keepNext w:val="0"/>
              <w:keepLines w:val="0"/>
              <w:pageBreakBefore w:val="0"/>
              <w:kinsoku/>
              <w:wordWrap/>
              <w:overflowPunct/>
              <w:topLinePunct w:val="0"/>
              <w:bidi w:val="0"/>
              <w:adjustRightInd/>
              <w:snapToGrid/>
              <w:spacing w:before="0" w:beforeAutospacing="0" w:after="0" w:afterAutospacing="0" w:line="440" w:lineRule="exact"/>
              <w:jc w:val="center"/>
              <w:textAlignment w:val="auto"/>
              <w:rPr>
                <w:rFonts w:ascii="华文楷体" w:hAnsi="华文楷体" w:eastAsia="华文楷体" w:cs="宋体"/>
                <w:b/>
                <w:bCs/>
                <w:shd w:val="clear" w:color="auto" w:fill="FFFFFF"/>
              </w:rPr>
            </w:pPr>
            <w:r>
              <w:rPr>
                <w:rFonts w:hint="eastAsia" w:ascii="华文楷体" w:hAnsi="华文楷体" w:eastAsia="华文楷体" w:cs="宋体"/>
                <w:b/>
                <w:bCs/>
                <w:shd w:val="clear" w:color="auto" w:fill="FFFFFF"/>
              </w:rPr>
              <w:t>技术水平</w:t>
            </w:r>
          </w:p>
          <w:p w14:paraId="7290B84B">
            <w:pPr>
              <w:pStyle w:val="24"/>
              <w:keepNext w:val="0"/>
              <w:keepLines w:val="0"/>
              <w:pageBreakBefore w:val="0"/>
              <w:kinsoku/>
              <w:wordWrap/>
              <w:overflowPunct/>
              <w:topLinePunct w:val="0"/>
              <w:bidi w:val="0"/>
              <w:adjustRightInd/>
              <w:snapToGrid/>
              <w:spacing w:before="0" w:beforeAutospacing="0" w:after="0" w:afterAutospacing="0" w:line="440" w:lineRule="exact"/>
              <w:jc w:val="center"/>
              <w:textAlignment w:val="auto"/>
              <w:rPr>
                <w:rFonts w:ascii="华文楷体" w:hAnsi="华文楷体" w:eastAsia="华文楷体" w:cs="宋体"/>
                <w:b/>
                <w:bCs/>
                <w:lang w:val="zh-CN"/>
              </w:rPr>
            </w:pPr>
            <w:r>
              <w:rPr>
                <w:rFonts w:hint="eastAsia" w:ascii="华文楷体" w:hAnsi="华文楷体" w:eastAsia="华文楷体" w:cs="宋体"/>
                <w:b/>
                <w:bCs/>
                <w:shd w:val="clear" w:color="auto" w:fill="FFFFFF"/>
              </w:rPr>
              <w:t>（55%）</w:t>
            </w:r>
          </w:p>
        </w:tc>
        <w:tc>
          <w:tcPr>
            <w:tcW w:w="6472" w:type="dxa"/>
            <w:tcBorders>
              <w:top w:val="single" w:color="000000" w:sz="6" w:space="0"/>
              <w:left w:val="single" w:color="000000" w:sz="6" w:space="0"/>
              <w:bottom w:val="single" w:color="000000" w:sz="6" w:space="0"/>
              <w:right w:val="single" w:color="000000" w:sz="6" w:space="0"/>
            </w:tcBorders>
            <w:vAlign w:val="center"/>
          </w:tcPr>
          <w:p w14:paraId="576F6021">
            <w:pPr>
              <w:keepNext w:val="0"/>
              <w:keepLines w:val="0"/>
              <w:pageBreakBefore w:val="0"/>
              <w:kinsoku/>
              <w:wordWrap/>
              <w:overflowPunct/>
              <w:topLinePunct w:val="0"/>
              <w:autoSpaceDE w:val="0"/>
              <w:autoSpaceDN w:val="0"/>
              <w:bidi w:val="0"/>
              <w:adjustRightInd/>
              <w:snapToGrid/>
              <w:spacing w:line="440" w:lineRule="exact"/>
              <w:textAlignment w:val="auto"/>
              <w:rPr>
                <w:rFonts w:ascii="华文楷体" w:hAnsi="华文楷体" w:eastAsia="华文楷体" w:cs="宋体"/>
                <w:lang w:val="zh-CN"/>
              </w:rPr>
            </w:pPr>
            <w:r>
              <w:rPr>
                <w:rFonts w:hint="eastAsia" w:ascii="华文楷体" w:hAnsi="华文楷体" w:eastAsia="华文楷体" w:cs="宋体"/>
                <w:b/>
                <w:bCs/>
                <w:lang w:val="zh-CN"/>
              </w:rPr>
              <w:t>（</w:t>
            </w:r>
            <w:r>
              <w:rPr>
                <w:rFonts w:hint="eastAsia" w:ascii="华文楷体" w:hAnsi="华文楷体" w:eastAsia="华文楷体" w:cs="宋体"/>
                <w:b/>
                <w:bCs/>
              </w:rPr>
              <w:t>1</w:t>
            </w:r>
            <w:r>
              <w:rPr>
                <w:rFonts w:hint="eastAsia" w:ascii="华文楷体" w:hAnsi="华文楷体" w:eastAsia="华文楷体" w:cs="宋体"/>
                <w:b/>
                <w:bCs/>
                <w:lang w:val="zh-CN"/>
              </w:rPr>
              <w:t>）</w:t>
            </w:r>
            <w:r>
              <w:rPr>
                <w:rFonts w:hint="eastAsia" w:ascii="华文楷体" w:hAnsi="华文楷体" w:eastAsia="华文楷体" w:cs="宋体"/>
                <w:b/>
                <w:lang w:val="zh-CN"/>
              </w:rPr>
              <w:t>技术性能指标</w:t>
            </w:r>
            <w:r>
              <w:rPr>
                <w:rFonts w:hint="eastAsia" w:ascii="华文楷体" w:hAnsi="华文楷体" w:eastAsia="华文楷体" w:cs="宋体"/>
                <w:b/>
              </w:rPr>
              <w:t>【</w:t>
            </w:r>
            <w:r>
              <w:rPr>
                <w:rFonts w:ascii="华文楷体" w:hAnsi="华文楷体" w:eastAsia="华文楷体" w:cs="宋体"/>
                <w:b/>
              </w:rPr>
              <w:t>33</w:t>
            </w:r>
            <w:r>
              <w:rPr>
                <w:rFonts w:hint="eastAsia" w:ascii="华文楷体" w:hAnsi="华文楷体" w:eastAsia="华文楷体" w:cs="宋体"/>
                <w:b/>
              </w:rPr>
              <w:t>分】</w:t>
            </w:r>
            <w:r>
              <w:rPr>
                <w:rFonts w:hint="eastAsia" w:ascii="华文楷体" w:hAnsi="华文楷体" w:eastAsia="华文楷体" w:cs="宋体"/>
                <w:lang w:val="zh-CN"/>
              </w:rPr>
              <w:t>：</w:t>
            </w:r>
            <w:r>
              <w:rPr>
                <w:rFonts w:hint="eastAsia" w:ascii="华文楷体" w:hAnsi="华文楷体" w:eastAsia="华文楷体" w:cs="宋体"/>
              </w:rPr>
              <w:t>评标委员会根据投标人提供的技术支持资料对产品的综合性能进行评定，技术参数和配置完全满足或高于招标文件要求的，</w:t>
            </w:r>
            <w:r>
              <w:rPr>
                <w:rFonts w:hint="eastAsia" w:ascii="华文楷体" w:hAnsi="华文楷体" w:eastAsia="华文楷体" w:cs="宋体"/>
                <w:lang w:val="zh-CN"/>
              </w:rPr>
              <w:t>得</w:t>
            </w:r>
            <w:r>
              <w:rPr>
                <w:rFonts w:hint="eastAsia" w:ascii="华文楷体" w:hAnsi="华文楷体" w:eastAsia="华文楷体" w:cs="宋体"/>
              </w:rPr>
              <w:t>3</w:t>
            </w:r>
            <w:r>
              <w:rPr>
                <w:rFonts w:ascii="华文楷体" w:hAnsi="华文楷体" w:eastAsia="华文楷体" w:cs="宋体"/>
              </w:rPr>
              <w:t>3</w:t>
            </w:r>
            <w:r>
              <w:rPr>
                <w:rFonts w:hint="eastAsia" w:ascii="华文楷体" w:hAnsi="华文楷体" w:eastAsia="华文楷体" w:cs="宋体"/>
                <w:lang w:val="zh-CN"/>
              </w:rPr>
              <w:t>分；带“</w:t>
            </w:r>
            <w:r>
              <w:rPr>
                <w:rFonts w:hint="eastAsia" w:ascii="华文楷体" w:hAnsi="华文楷体" w:eastAsia="华文楷体" w:cs="宋体"/>
              </w:rPr>
              <w:t>▲</w:t>
            </w:r>
            <w:r>
              <w:rPr>
                <w:rFonts w:hint="eastAsia" w:ascii="华文楷体" w:hAnsi="华文楷体" w:eastAsia="华文楷体" w:cs="宋体"/>
                <w:lang w:val="zh-CN"/>
              </w:rPr>
              <w:t>”项技术参数每有一个负偏离扣</w:t>
            </w:r>
            <w:r>
              <w:rPr>
                <w:rFonts w:ascii="华文楷体" w:hAnsi="华文楷体" w:eastAsia="华文楷体" w:cs="宋体"/>
                <w:u w:val="single"/>
              </w:rPr>
              <w:t>3</w:t>
            </w:r>
            <w:r>
              <w:rPr>
                <w:rFonts w:hint="eastAsia" w:ascii="华文楷体" w:hAnsi="华文楷体" w:eastAsia="华文楷体" w:cs="宋体"/>
                <w:lang w:val="zh-CN"/>
              </w:rPr>
              <w:t>分。非“</w:t>
            </w:r>
            <w:r>
              <w:rPr>
                <w:rFonts w:hint="eastAsia" w:ascii="华文楷体" w:hAnsi="华文楷体" w:eastAsia="华文楷体" w:cs="宋体"/>
              </w:rPr>
              <w:t>▲</w:t>
            </w:r>
            <w:r>
              <w:rPr>
                <w:rFonts w:hint="eastAsia" w:ascii="华文楷体" w:hAnsi="华文楷体" w:eastAsia="华文楷体" w:cs="宋体"/>
                <w:lang w:val="zh-CN"/>
              </w:rPr>
              <w:t>”项每有一个技术参数负偏离扣</w:t>
            </w:r>
            <w:r>
              <w:rPr>
                <w:rFonts w:ascii="华文楷体" w:hAnsi="华文楷体" w:eastAsia="华文楷体" w:cs="宋体"/>
              </w:rPr>
              <w:t>1</w:t>
            </w:r>
            <w:r>
              <w:rPr>
                <w:rFonts w:hint="eastAsia" w:ascii="华文楷体" w:hAnsi="华文楷体" w:eastAsia="华文楷体" w:cs="宋体"/>
                <w:lang w:val="zh-CN"/>
              </w:rPr>
              <w:t>分，扣完为止。</w:t>
            </w:r>
            <w:r>
              <w:rPr>
                <w:rFonts w:hint="eastAsia" w:ascii="华文楷体" w:hAnsi="华文楷体" w:eastAsia="华文楷体" w:cs="宋体"/>
                <w:bCs/>
                <w:lang w:val="zh-CN"/>
              </w:rPr>
              <w:t>技术偏离表中投标人应如实填写，并与招标文件技术参数要求一一对应。招标文件确定的“★”技术参数、指标的评议不包括在此项技术性能指标评议范围之内。</w:t>
            </w:r>
          </w:p>
          <w:p w14:paraId="3F49057C">
            <w:pPr>
              <w:pStyle w:val="24"/>
              <w:keepNext w:val="0"/>
              <w:keepLines w:val="0"/>
              <w:pageBreakBefore w:val="0"/>
              <w:widowControl/>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bCs/>
              </w:rPr>
            </w:pPr>
            <w:r>
              <w:rPr>
                <w:rFonts w:hint="eastAsia" w:ascii="华文楷体" w:hAnsi="华文楷体" w:eastAsia="华文楷体" w:cs="宋体"/>
                <w:bCs/>
              </w:rPr>
              <w:t>注：技术偏离的评议请阅读技术响应偏离表的相关说明。</w:t>
            </w:r>
            <w:r>
              <w:rPr>
                <w:rFonts w:hint="eastAsia" w:ascii="华文楷体" w:hAnsi="华文楷体" w:eastAsia="华文楷体" w:cs="宋体"/>
                <w:bCs/>
                <w:lang w:val="zh-CN"/>
              </w:rPr>
              <w:t>“</w:t>
            </w:r>
            <w:r>
              <w:rPr>
                <w:rFonts w:hint="eastAsia" w:ascii="华文楷体" w:hAnsi="华文楷体" w:eastAsia="华文楷体" w:cs="宋体"/>
                <w:bCs/>
              </w:rPr>
              <w:t>▲</w:t>
            </w:r>
            <w:r>
              <w:rPr>
                <w:rFonts w:hint="eastAsia" w:ascii="华文楷体" w:hAnsi="华文楷体" w:eastAsia="华文楷体" w:cs="宋体"/>
                <w:bCs/>
                <w:lang w:val="zh-CN"/>
              </w:rPr>
              <w:t>”项技术参数</w:t>
            </w:r>
            <w:r>
              <w:rPr>
                <w:rFonts w:hint="eastAsia" w:ascii="华文楷体" w:hAnsi="华文楷体" w:eastAsia="华文楷体" w:cs="宋体"/>
                <w:bCs/>
              </w:rPr>
              <w:t>须在检测报告内体现，否则按负偏离处理。</w:t>
            </w:r>
          </w:p>
          <w:p w14:paraId="4A3C28BA">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b/>
                <w:shd w:val="clear" w:color="auto" w:fill="FFFFFF"/>
                <w:lang w:val="zh-CN"/>
              </w:rPr>
              <w:t>（</w:t>
            </w:r>
            <w:r>
              <w:rPr>
                <w:rFonts w:hint="eastAsia" w:ascii="华文楷体" w:hAnsi="华文楷体" w:eastAsia="华文楷体" w:cs="宋体"/>
                <w:b/>
                <w:shd w:val="clear" w:color="auto" w:fill="FFFFFF"/>
              </w:rPr>
              <w:t>2）</w:t>
            </w:r>
            <w:r>
              <w:rPr>
                <w:rFonts w:hint="eastAsia" w:ascii="华文楷体" w:hAnsi="华文楷体" w:eastAsia="华文楷体" w:cs="宋体"/>
                <w:b/>
                <w:shd w:val="clear" w:color="auto" w:fill="FFFFFF"/>
                <w:lang w:val="zh-CN"/>
              </w:rPr>
              <w:t>节能和环保</w:t>
            </w:r>
            <w:r>
              <w:rPr>
                <w:rFonts w:hint="eastAsia" w:ascii="华文楷体" w:hAnsi="华文楷体" w:eastAsia="华文楷体" w:cs="宋体"/>
                <w:b/>
              </w:rPr>
              <w:t>【2分】</w:t>
            </w:r>
            <w:r>
              <w:rPr>
                <w:rFonts w:hint="eastAsia" w:ascii="华文楷体" w:hAnsi="华文楷体" w:eastAsia="华文楷体" w:cs="宋体"/>
                <w:shd w:val="clear" w:color="auto" w:fill="FFFFFF"/>
                <w:lang w:val="zh-CN"/>
              </w:rPr>
              <w:t>：所投产品为节能产品的，每提供一个得</w:t>
            </w:r>
            <w:r>
              <w:rPr>
                <w:rFonts w:hint="eastAsia" w:ascii="华文楷体" w:hAnsi="华文楷体" w:eastAsia="华文楷体" w:cs="宋体"/>
                <w:shd w:val="clear" w:color="auto" w:fill="FFFFFF"/>
              </w:rPr>
              <w:t>0.5</w:t>
            </w:r>
            <w:r>
              <w:rPr>
                <w:rFonts w:hint="eastAsia" w:ascii="华文楷体" w:hAnsi="华文楷体" w:eastAsia="华文楷体" w:cs="宋体"/>
                <w:shd w:val="clear" w:color="auto" w:fill="FFFFFF"/>
                <w:lang w:val="zh-CN"/>
              </w:rPr>
              <w:t>分，满分1分；所投产品为环保产品的每提供一个得</w:t>
            </w:r>
            <w:r>
              <w:rPr>
                <w:rFonts w:hint="eastAsia" w:ascii="华文楷体" w:hAnsi="华文楷体" w:eastAsia="华文楷体" w:cs="宋体"/>
                <w:shd w:val="clear" w:color="auto" w:fill="FFFFFF"/>
              </w:rPr>
              <w:t>0.5</w:t>
            </w:r>
            <w:r>
              <w:rPr>
                <w:rFonts w:hint="eastAsia" w:ascii="华文楷体" w:hAnsi="华文楷体" w:eastAsia="华文楷体" w:cs="宋体"/>
                <w:shd w:val="clear" w:color="auto" w:fill="FFFFFF"/>
                <w:lang w:val="zh-CN"/>
              </w:rPr>
              <w:t>分，满分1分；未提供不得分。此项满分2分，</w:t>
            </w:r>
            <w:r>
              <w:rPr>
                <w:rFonts w:hint="eastAsia" w:ascii="华文楷体" w:hAnsi="华文楷体" w:eastAsia="华文楷体" w:cs="宋体"/>
                <w:lang w:val="zh-CN"/>
              </w:rPr>
              <w:t>该项得分的认定以《国家节能产品认证证书》、《中国环境标志产品认证证书》为准，政府强制采购产品除外。</w:t>
            </w:r>
          </w:p>
          <w:p w14:paraId="2445610F">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b/>
                <w:shd w:val="clear" w:color="auto" w:fill="FFFFFF"/>
                <w:lang w:val="zh-CN"/>
              </w:rPr>
            </w:pPr>
            <w:r>
              <w:rPr>
                <w:rFonts w:hint="eastAsia" w:ascii="华文楷体" w:hAnsi="华文楷体" w:eastAsia="华文楷体" w:cs="宋体"/>
                <w:b/>
                <w:shd w:val="clear" w:color="auto" w:fill="FFFFFF"/>
                <w:lang w:val="zh-CN"/>
              </w:rPr>
              <w:t>（3）样品评审【1</w:t>
            </w:r>
            <w:r>
              <w:rPr>
                <w:rFonts w:ascii="华文楷体" w:hAnsi="华文楷体" w:eastAsia="华文楷体" w:cs="宋体"/>
                <w:b/>
                <w:shd w:val="clear" w:color="auto" w:fill="FFFFFF"/>
                <w:lang w:val="zh-CN"/>
              </w:rPr>
              <w:t>0</w:t>
            </w:r>
            <w:r>
              <w:rPr>
                <w:rFonts w:hint="eastAsia" w:ascii="华文楷体" w:hAnsi="华文楷体" w:eastAsia="华文楷体" w:cs="宋体"/>
                <w:b/>
                <w:shd w:val="clear" w:color="auto" w:fill="FFFFFF"/>
                <w:lang w:val="zh-CN"/>
              </w:rPr>
              <w:t>分】：</w:t>
            </w:r>
          </w:p>
          <w:p w14:paraId="19CD1635">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 xml:space="preserve">样品评审标准：评标委员会综合考虑样品制作工艺、外观、操作、安全，投标产品技术参数、指标，并结合现场评审情况，进行评价打分。 </w:t>
            </w:r>
          </w:p>
          <w:p w14:paraId="5DB2EB76">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 xml:space="preserve">①样品制作工艺精细程度、外观质量、安全性能完全满足或高于招标文件要求，无任何问题的得10分； </w:t>
            </w:r>
          </w:p>
          <w:p w14:paraId="321827F6">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②样品制作工艺精细程度、外观质量、安全性能与招标文件要求有细微偏差，仍能满足采购需求的得</w:t>
            </w:r>
            <w:r>
              <w:rPr>
                <w:rFonts w:ascii="华文楷体" w:hAnsi="华文楷体" w:eastAsia="华文楷体" w:cs="宋体"/>
                <w:lang w:val="zh-CN"/>
              </w:rPr>
              <w:t>8</w:t>
            </w:r>
            <w:r>
              <w:rPr>
                <w:rFonts w:hint="eastAsia" w:ascii="华文楷体" w:hAnsi="华文楷体" w:eastAsia="华文楷体" w:cs="宋体"/>
                <w:lang w:val="zh-CN"/>
              </w:rPr>
              <w:t xml:space="preserve">分； </w:t>
            </w:r>
          </w:p>
          <w:p w14:paraId="23D78E39">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 xml:space="preserve">③样品制作工艺精细程度、外观质量、安全性能与招标文件要求有部分偏差，但不影响产品主要功能的得 </w:t>
            </w:r>
            <w:r>
              <w:rPr>
                <w:rFonts w:ascii="华文楷体" w:hAnsi="华文楷体" w:eastAsia="华文楷体" w:cs="宋体"/>
                <w:lang w:val="zh-CN"/>
              </w:rPr>
              <w:t>6</w:t>
            </w:r>
            <w:r>
              <w:rPr>
                <w:rFonts w:hint="eastAsia" w:ascii="华文楷体" w:hAnsi="华文楷体" w:eastAsia="华文楷体" w:cs="宋体"/>
                <w:lang w:val="zh-CN"/>
              </w:rPr>
              <w:t xml:space="preserve">分； </w:t>
            </w:r>
          </w:p>
          <w:p w14:paraId="3E28891C">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④样品制作工艺精细程度、外观质量、安全性能与招标文件要求有较大偏差，影响产品主要功能，但有部分功能仍能满足采购需求的得4分。</w:t>
            </w:r>
          </w:p>
          <w:p w14:paraId="00189A7F">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⑤样品制作工艺精细程度、外观质量、安全性能与招标文件要求有重大偏差，影响产品主要功能，但有部分功能仍能满足采购需求的得</w:t>
            </w:r>
            <w:r>
              <w:rPr>
                <w:rFonts w:ascii="华文楷体" w:hAnsi="华文楷体" w:eastAsia="华文楷体" w:cs="宋体"/>
                <w:lang w:val="zh-CN"/>
              </w:rPr>
              <w:t>2</w:t>
            </w:r>
            <w:r>
              <w:rPr>
                <w:rFonts w:hint="eastAsia" w:ascii="华文楷体" w:hAnsi="华文楷体" w:eastAsia="华文楷体" w:cs="宋体"/>
                <w:lang w:val="zh-CN"/>
              </w:rPr>
              <w:t>分。</w:t>
            </w:r>
          </w:p>
          <w:p w14:paraId="6E0C4C11">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以下情形时，样品评审得分为0分：</w:t>
            </w:r>
          </w:p>
          <w:p w14:paraId="38CCC7FD">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①未提供样品或未与样品一并提交技术参数、指标的技术支持资料（技术支持资料以招标文件要求为准）；</w:t>
            </w:r>
          </w:p>
          <w:p w14:paraId="660BA0A9">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②样品上无产品铭牌或永久性标识（三无产品）；</w:t>
            </w:r>
          </w:p>
          <w:p w14:paraId="67B08555">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③所提供样品与投标文件中载明的品牌型号不一致；</w:t>
            </w:r>
          </w:p>
          <w:p w14:paraId="7DF4CE7F">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④与样品一并提交的技术支持资料与投标文件内容不一致。说明:</w:t>
            </w:r>
          </w:p>
          <w:p w14:paraId="68D7DB39">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①有样品分别进行评审赋分；</w:t>
            </w:r>
          </w:p>
          <w:p w14:paraId="792D518D">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b/>
                <w:bCs/>
              </w:rPr>
            </w:pPr>
            <w:r>
              <w:rPr>
                <w:rFonts w:hint="eastAsia" w:ascii="华文楷体" w:hAnsi="华文楷体" w:eastAsia="华文楷体" w:cs="宋体"/>
                <w:b/>
                <w:bCs/>
              </w:rPr>
              <w:t>②样品总得分计算方法:所有样品得分之和/样品数量(如:某个包有x项样品，每项样品满分10分，该包样品得分=X项样品得分相加后除以x)。</w:t>
            </w:r>
          </w:p>
          <w:p w14:paraId="2423A462">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ascii="华文楷体" w:hAnsi="华文楷体" w:eastAsia="华文楷体" w:cs="宋体"/>
                <w:b/>
                <w:bCs/>
              </w:rPr>
              <w:t>（4）</w:t>
            </w:r>
            <w:r>
              <w:rPr>
                <w:rFonts w:hint="eastAsia" w:ascii="华文楷体" w:hAnsi="华文楷体" w:eastAsia="华文楷体" w:cs="宋体"/>
                <w:b/>
                <w:bCs/>
              </w:rPr>
              <w:t>视频演示</w:t>
            </w:r>
            <w:r>
              <w:rPr>
                <w:rFonts w:ascii="华文楷体" w:hAnsi="华文楷体" w:eastAsia="华文楷体" w:cs="宋体"/>
                <w:b/>
                <w:bCs/>
              </w:rPr>
              <w:t>【8分】：</w:t>
            </w:r>
            <w:r>
              <w:rPr>
                <w:rFonts w:ascii="华文楷体" w:hAnsi="华文楷体" w:eastAsia="华文楷体" w:cs="宋体"/>
                <w:lang w:val="zh-CN"/>
              </w:rPr>
              <w:t>就所投</w:t>
            </w:r>
            <w:r>
              <w:rPr>
                <w:rFonts w:hint="eastAsia" w:ascii="华文楷体" w:hAnsi="华文楷体" w:eastAsia="华文楷体" w:cs="宋体"/>
                <w:lang w:val="zh-CN"/>
              </w:rPr>
              <w:t>复合翼无人机</w:t>
            </w:r>
            <w:r>
              <w:rPr>
                <w:rFonts w:ascii="华文楷体" w:hAnsi="华文楷体" w:eastAsia="华文楷体" w:cs="宋体"/>
                <w:lang w:val="zh-CN"/>
              </w:rPr>
              <w:t>需提供高海拔地区（4000米以上）高空飞行续航测试视频（视频不允许剪辑），视频开始内容需包含海拔仪、经纬仪、称重仪、计时器等测量设备展示具体的海拔高度、位置信息、载重质量、续航时间，视频全程展示无人机主体设备续航能力，中途不得更换电池或通过其他设备供电。视频拍摄产品必须与投标文件投标产品</w:t>
            </w:r>
            <w:r>
              <w:rPr>
                <w:rFonts w:hint="eastAsia" w:ascii="华文楷体" w:hAnsi="华文楷体" w:eastAsia="华文楷体" w:cs="宋体"/>
                <w:lang w:val="zh-CN"/>
              </w:rPr>
              <w:t>规格型号</w:t>
            </w:r>
            <w:r>
              <w:rPr>
                <w:rFonts w:ascii="华文楷体" w:hAnsi="华文楷体" w:eastAsia="华文楷体" w:cs="宋体"/>
                <w:lang w:val="zh-CN"/>
              </w:rPr>
              <w:t>相一致。投标人需提供</w:t>
            </w:r>
            <w:r>
              <w:rPr>
                <w:rFonts w:hint="eastAsia" w:ascii="华文楷体" w:hAnsi="华文楷体" w:eastAsia="华文楷体" w:cs="宋体"/>
                <w:lang w:val="zh-CN"/>
              </w:rPr>
              <w:t>演示</w:t>
            </w:r>
            <w:r>
              <w:rPr>
                <w:rFonts w:ascii="华文楷体" w:hAnsi="华文楷体" w:eastAsia="华文楷体" w:cs="宋体"/>
                <w:lang w:val="zh-CN"/>
              </w:rPr>
              <w:t>视频真实性承诺书（格式自拟）。就上述视频中呈现的4个评分点：海拔高度、位置信息、无人机载重重量（除去无人机自身重量的承载重量）、续航时间，各项指标逐一进行展示，展示全面与投标文件技术响应一致且符合采购需求</w:t>
            </w:r>
            <w:r>
              <w:rPr>
                <w:rFonts w:hint="eastAsia" w:ascii="华文楷体" w:hAnsi="华文楷体" w:eastAsia="华文楷体" w:cs="宋体"/>
                <w:lang w:val="zh-CN"/>
              </w:rPr>
              <w:t>的</w:t>
            </w:r>
            <w:r>
              <w:rPr>
                <w:rFonts w:ascii="华文楷体" w:hAnsi="华文楷体" w:eastAsia="华文楷体" w:cs="宋体"/>
                <w:lang w:val="zh-CN"/>
              </w:rPr>
              <w:t>得8分；</w:t>
            </w:r>
            <w:r>
              <w:rPr>
                <w:rFonts w:hint="eastAsia" w:ascii="华文楷体" w:hAnsi="华文楷体" w:eastAsia="华文楷体" w:cs="宋体"/>
                <w:lang w:val="zh-CN"/>
              </w:rPr>
              <w:t>展示每缺一项或对应项展示信息与投标产品不符的扣2分，此项评分扣完为止；</w:t>
            </w:r>
            <w:r>
              <w:rPr>
                <w:rFonts w:ascii="华文楷体" w:hAnsi="华文楷体" w:eastAsia="华文楷体" w:cs="宋体"/>
                <w:lang w:val="zh-CN"/>
              </w:rPr>
              <w:t>未提供或</w:t>
            </w:r>
            <w:r>
              <w:rPr>
                <w:rFonts w:hint="eastAsia" w:ascii="华文楷体" w:hAnsi="华文楷体" w:eastAsia="华文楷体" w:cs="宋体"/>
                <w:lang w:val="zh-CN"/>
              </w:rPr>
              <w:t>供应商提供的储存介质损坏、视频格式错误等原因导致视频无法正常播放或视频画面不清晰无法辨别的</w:t>
            </w:r>
            <w:r>
              <w:rPr>
                <w:rFonts w:ascii="华文楷体" w:hAnsi="华文楷体" w:eastAsia="华文楷体" w:cs="宋体"/>
                <w:lang w:val="zh-CN"/>
              </w:rPr>
              <w:t>不得分。</w:t>
            </w:r>
          </w:p>
          <w:p w14:paraId="5DD64C86">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lang w:val="zh-CN"/>
              </w:rPr>
            </w:pPr>
            <w:r>
              <w:rPr>
                <w:rFonts w:hint="eastAsia" w:ascii="华文楷体" w:hAnsi="华文楷体" w:eastAsia="华文楷体" w:cs="宋体"/>
                <w:lang w:val="zh-CN"/>
              </w:rPr>
              <w:t>注：须单独密封</w:t>
            </w:r>
            <w:r>
              <w:rPr>
                <w:rFonts w:ascii="华文楷体" w:hAnsi="华文楷体" w:eastAsia="华文楷体" w:cs="宋体"/>
                <w:lang w:val="zh-CN"/>
              </w:rPr>
              <w:t>递交2份以 U盘为载体的电子版。</w:t>
            </w:r>
          </w:p>
          <w:p w14:paraId="172B56F9">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rPr>
            </w:pPr>
            <w:r>
              <w:rPr>
                <w:rFonts w:hint="eastAsia" w:ascii="华文楷体" w:hAnsi="华文楷体" w:eastAsia="华文楷体" w:cs="宋体"/>
                <w:b/>
                <w:bCs/>
              </w:rPr>
              <w:t>（</w:t>
            </w:r>
            <w:r>
              <w:rPr>
                <w:rFonts w:ascii="华文楷体" w:hAnsi="华文楷体" w:eastAsia="华文楷体" w:cs="宋体"/>
                <w:b/>
                <w:bCs/>
              </w:rPr>
              <w:t>5</w:t>
            </w:r>
            <w:r>
              <w:rPr>
                <w:rFonts w:hint="eastAsia" w:ascii="华文楷体" w:hAnsi="华文楷体" w:eastAsia="华文楷体" w:cs="宋体"/>
                <w:b/>
                <w:bCs/>
              </w:rPr>
              <w:t>）自主创新【2分】：</w:t>
            </w:r>
            <w:r>
              <w:rPr>
                <w:rStyle w:val="75"/>
                <w:rFonts w:hint="default" w:ascii="华文楷体" w:hAnsi="华文楷体" w:eastAsia="华文楷体" w:cs="宋体"/>
                <w:color w:val="auto"/>
              </w:rPr>
              <w:t>投标产品属于自主知识产权的每提供一项得1分，满分2分，须提供证明材料。</w:t>
            </w:r>
          </w:p>
        </w:tc>
      </w:tr>
      <w:tr w14:paraId="05B52DAF">
        <w:tblPrEx>
          <w:tblCellMar>
            <w:top w:w="0" w:type="dxa"/>
            <w:left w:w="108" w:type="dxa"/>
            <w:bottom w:w="0" w:type="dxa"/>
            <w:right w:w="108" w:type="dxa"/>
          </w:tblCellMar>
        </w:tblPrEx>
        <w:trPr>
          <w:trHeight w:val="90" w:hRule="atLeast"/>
        </w:trPr>
        <w:tc>
          <w:tcPr>
            <w:tcW w:w="931" w:type="dxa"/>
            <w:tcBorders>
              <w:top w:val="single" w:color="000000" w:sz="6" w:space="0"/>
              <w:left w:val="single" w:color="000000" w:sz="6" w:space="0"/>
              <w:bottom w:val="single" w:color="000000" w:sz="6" w:space="0"/>
              <w:right w:val="single" w:color="000000" w:sz="6" w:space="0"/>
            </w:tcBorders>
            <w:vAlign w:val="center"/>
          </w:tcPr>
          <w:p w14:paraId="6564DB6B">
            <w:pPr>
              <w:pStyle w:val="24"/>
              <w:keepNext w:val="0"/>
              <w:keepLines w:val="0"/>
              <w:pageBreakBefore w:val="0"/>
              <w:kinsoku/>
              <w:wordWrap/>
              <w:overflowPunct/>
              <w:topLinePunct w:val="0"/>
              <w:bidi w:val="0"/>
              <w:adjustRightInd/>
              <w:snapToGrid/>
              <w:spacing w:before="0" w:beforeAutospacing="0" w:after="0" w:afterAutospacing="0" w:line="440" w:lineRule="exact"/>
              <w:jc w:val="center"/>
              <w:textAlignment w:val="auto"/>
              <w:rPr>
                <w:rFonts w:ascii="华文楷体" w:hAnsi="华文楷体" w:eastAsia="华文楷体" w:cs="宋体"/>
                <w:b/>
                <w:bCs/>
              </w:rPr>
            </w:pPr>
            <w:r>
              <w:rPr>
                <w:rFonts w:hint="eastAsia" w:ascii="华文楷体" w:hAnsi="华文楷体" w:eastAsia="华文楷体" w:cs="宋体"/>
                <w:b/>
                <w:bCs/>
              </w:rPr>
              <w:t>3</w:t>
            </w:r>
          </w:p>
        </w:tc>
        <w:tc>
          <w:tcPr>
            <w:tcW w:w="1282" w:type="dxa"/>
            <w:tcBorders>
              <w:top w:val="single" w:color="000000" w:sz="6" w:space="0"/>
              <w:left w:val="single" w:color="000000" w:sz="6" w:space="0"/>
              <w:bottom w:val="single" w:color="000000" w:sz="6" w:space="0"/>
              <w:right w:val="single" w:color="000000" w:sz="6" w:space="0"/>
            </w:tcBorders>
            <w:vAlign w:val="center"/>
          </w:tcPr>
          <w:p w14:paraId="687A3AC6">
            <w:pPr>
              <w:pStyle w:val="24"/>
              <w:keepNext w:val="0"/>
              <w:keepLines w:val="0"/>
              <w:pageBreakBefore w:val="0"/>
              <w:kinsoku/>
              <w:wordWrap/>
              <w:overflowPunct/>
              <w:topLinePunct w:val="0"/>
              <w:bidi w:val="0"/>
              <w:adjustRightInd/>
              <w:snapToGrid/>
              <w:spacing w:before="0" w:beforeAutospacing="0" w:after="0" w:afterAutospacing="0" w:line="440" w:lineRule="exact"/>
              <w:jc w:val="center"/>
              <w:textAlignment w:val="auto"/>
              <w:rPr>
                <w:rFonts w:ascii="华文楷体" w:hAnsi="华文楷体" w:eastAsia="华文楷体" w:cs="宋体"/>
                <w:b/>
                <w:bCs/>
                <w:shd w:val="clear" w:color="auto" w:fill="FFFFFF"/>
              </w:rPr>
            </w:pPr>
            <w:r>
              <w:rPr>
                <w:rFonts w:hint="eastAsia" w:ascii="华文楷体" w:hAnsi="华文楷体" w:eastAsia="华文楷体" w:cs="宋体"/>
                <w:b/>
                <w:bCs/>
                <w:shd w:val="clear" w:color="auto" w:fill="FFFFFF"/>
              </w:rPr>
              <w:t>商务评价（15%）</w:t>
            </w:r>
          </w:p>
        </w:tc>
        <w:tc>
          <w:tcPr>
            <w:tcW w:w="6472" w:type="dxa"/>
            <w:tcBorders>
              <w:top w:val="single" w:color="000000" w:sz="6" w:space="0"/>
              <w:left w:val="single" w:color="000000" w:sz="6" w:space="0"/>
              <w:bottom w:val="single" w:color="000000" w:sz="6" w:space="0"/>
              <w:right w:val="single" w:color="000000" w:sz="6" w:space="0"/>
            </w:tcBorders>
            <w:vAlign w:val="center"/>
          </w:tcPr>
          <w:p w14:paraId="26FE1BDC">
            <w:pPr>
              <w:pStyle w:val="24"/>
              <w:keepNext w:val="0"/>
              <w:keepLines w:val="0"/>
              <w:pageBreakBefore w:val="0"/>
              <w:kinsoku/>
              <w:wordWrap/>
              <w:overflowPunct/>
              <w:topLinePunct w:val="0"/>
              <w:bidi w:val="0"/>
              <w:adjustRightInd/>
              <w:snapToGrid/>
              <w:spacing w:before="0" w:beforeAutospacing="0" w:after="0" w:afterAutospacing="0" w:line="440" w:lineRule="exact"/>
              <w:textAlignment w:val="auto"/>
              <w:rPr>
                <w:rFonts w:ascii="华文楷体" w:hAnsi="华文楷体" w:eastAsia="华文楷体" w:cs="宋体"/>
              </w:rPr>
            </w:pPr>
            <w:r>
              <w:rPr>
                <w:rFonts w:hint="eastAsia" w:ascii="华文楷体" w:hAnsi="华文楷体" w:eastAsia="华文楷体" w:cs="宋体"/>
                <w:b/>
                <w:bCs/>
              </w:rPr>
              <w:t>（1）类似业绩情况</w:t>
            </w:r>
            <w:r>
              <w:rPr>
                <w:rFonts w:hint="eastAsia" w:ascii="华文楷体" w:hAnsi="华文楷体" w:eastAsia="华文楷体" w:cs="宋体"/>
                <w:bCs/>
                <w:lang w:val="zh-CN"/>
              </w:rPr>
              <w:t>【</w:t>
            </w:r>
            <w:r>
              <w:rPr>
                <w:rFonts w:hint="eastAsia" w:ascii="华文楷体" w:hAnsi="华文楷体" w:eastAsia="华文楷体" w:cs="宋体"/>
                <w:b/>
              </w:rPr>
              <w:t>3</w:t>
            </w:r>
            <w:r>
              <w:rPr>
                <w:rFonts w:hint="eastAsia" w:ascii="华文楷体" w:hAnsi="华文楷体" w:eastAsia="华文楷体" w:cs="宋体"/>
                <w:b/>
                <w:lang w:val="zh-CN"/>
              </w:rPr>
              <w:t>分</w:t>
            </w:r>
            <w:r>
              <w:rPr>
                <w:rFonts w:hint="eastAsia" w:ascii="华文楷体" w:hAnsi="华文楷体" w:eastAsia="华文楷体" w:cs="宋体"/>
                <w:bCs/>
                <w:lang w:val="zh-CN"/>
              </w:rPr>
              <w:t>】</w:t>
            </w:r>
            <w:r>
              <w:rPr>
                <w:rFonts w:hint="eastAsia" w:ascii="华文楷体" w:hAnsi="华文楷体" w:eastAsia="华文楷体" w:cs="宋体"/>
                <w:b/>
                <w:bCs/>
              </w:rPr>
              <w:t>：</w:t>
            </w:r>
            <w:r>
              <w:rPr>
                <w:rFonts w:hint="eastAsia" w:ascii="华文楷体" w:hAnsi="华文楷体" w:eastAsia="华文楷体" w:cs="宋体"/>
              </w:rPr>
              <w:t>提供近三年（2022年01月01日至2025年0</w:t>
            </w:r>
            <w:r>
              <w:rPr>
                <w:rFonts w:hint="eastAsia" w:ascii="华文楷体" w:hAnsi="华文楷体" w:eastAsia="华文楷体" w:cs="宋体"/>
                <w:lang w:val="en-US" w:eastAsia="zh-CN"/>
              </w:rPr>
              <w:t>4</w:t>
            </w:r>
            <w:r>
              <w:rPr>
                <w:rFonts w:hint="eastAsia" w:ascii="华文楷体" w:hAnsi="华文楷体" w:eastAsia="华文楷体" w:cs="宋体"/>
              </w:rPr>
              <w:t>月01日）的投标人类似业绩证明材料，每提供1项得0.5分，满分3分，未提供不得分；（提供业绩证明材料：①合同复印件（应包含合同首页、标的及金额所在页、签字盖章页。）、②销售发票复印件、③验收证明材料复印件（验收证明材料须提供使用单位加盖公章或验收人员签字的验收证明材料），以上三项内容缺一不可，未按要求提供完整证明材料的不得分。）</w:t>
            </w:r>
          </w:p>
          <w:p w14:paraId="65BF9755">
            <w:pPr>
              <w:pStyle w:val="24"/>
              <w:keepNext w:val="0"/>
              <w:keepLines w:val="0"/>
              <w:pageBreakBefore w:val="0"/>
              <w:widowControl/>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rPr>
            </w:pPr>
            <w:r>
              <w:rPr>
                <w:rFonts w:hint="eastAsia" w:ascii="华文楷体" w:hAnsi="华文楷体" w:eastAsia="华文楷体" w:cs="宋体"/>
                <w:b/>
                <w:bCs/>
              </w:rPr>
              <w:t>（2）实施方案【3分】</w:t>
            </w:r>
            <w:r>
              <w:rPr>
                <w:rFonts w:hint="eastAsia" w:ascii="华文楷体" w:hAnsi="华文楷体" w:eastAsia="华文楷体" w:cs="宋体"/>
              </w:rPr>
              <w:t>：根据项目特点提供详尽的实施方案，</w:t>
            </w:r>
            <w:r>
              <w:rPr>
                <w:rFonts w:hint="eastAsia" w:ascii="华文楷体" w:hAnsi="华文楷体" w:eastAsia="华文楷体" w:cs="宋体"/>
                <w:lang w:val="zh-CN"/>
              </w:rPr>
              <w:t>包</w:t>
            </w:r>
            <w:r>
              <w:rPr>
                <w:rFonts w:hint="eastAsia" w:ascii="华文楷体" w:hAnsi="华文楷体" w:eastAsia="华文楷体" w:cs="宋体"/>
              </w:rPr>
              <w:t>括</w:t>
            </w:r>
            <w:r>
              <w:rPr>
                <w:rFonts w:hint="eastAsia" w:ascii="华文楷体" w:hAnsi="华文楷体" w:eastAsia="华文楷体" w:cs="宋体"/>
                <w:lang w:val="zh-CN"/>
              </w:rPr>
              <w:t>：①实施计划、②实施团队、</w:t>
            </w:r>
            <w:r>
              <w:rPr>
                <w:rFonts w:hint="eastAsia" w:ascii="华文楷体" w:hAnsi="华文楷体" w:eastAsia="华文楷体" w:cs="宋体"/>
              </w:rPr>
              <w:t>③运输安装方案</w:t>
            </w:r>
            <w:r>
              <w:rPr>
                <w:rFonts w:hint="eastAsia" w:ascii="华文楷体" w:hAnsi="华文楷体" w:eastAsia="华文楷体" w:cs="宋体"/>
                <w:lang w:val="zh-CN"/>
              </w:rPr>
              <w:t>。</w:t>
            </w:r>
            <w:r>
              <w:rPr>
                <w:rFonts w:hint="eastAsia" w:ascii="华文楷体" w:hAnsi="华文楷体" w:eastAsia="华文楷体" w:cs="宋体"/>
              </w:rPr>
              <w:t>针对上述每一项要求作出了详细的方案且符合采购需求的得3分</w:t>
            </w:r>
            <w:r>
              <w:rPr>
                <w:rFonts w:hint="eastAsia" w:ascii="华文楷体" w:hAnsi="华文楷体" w:eastAsia="华文楷体" w:cs="宋体"/>
                <w:lang w:val="zh-CN"/>
              </w:rPr>
              <w:t>；每缺少一项内容扣</w:t>
            </w:r>
            <w:r>
              <w:rPr>
                <w:rFonts w:hint="eastAsia" w:ascii="华文楷体" w:hAnsi="华文楷体" w:eastAsia="华文楷体" w:cs="宋体"/>
              </w:rPr>
              <w:t>1</w:t>
            </w:r>
            <w:r>
              <w:rPr>
                <w:rFonts w:hint="eastAsia" w:ascii="华文楷体" w:hAnsi="华文楷体" w:eastAsia="华文楷体" w:cs="宋体"/>
                <w:lang w:val="zh-CN"/>
              </w:rPr>
              <w:t>分；所提供的每项内容中每有一处缺陷的扣0.5分。</w:t>
            </w:r>
            <w:r>
              <w:rPr>
                <w:rFonts w:hint="eastAsia" w:ascii="华文楷体" w:hAnsi="华文楷体" w:eastAsia="华文楷体" w:cs="宋体"/>
                <w:shd w:val="clear" w:color="auto" w:fill="FFFFFF"/>
              </w:rPr>
              <w:t>扣完为止。</w:t>
            </w:r>
            <w:r>
              <w:rPr>
                <w:rFonts w:hint="eastAsia" w:ascii="华文楷体" w:hAnsi="华文楷体" w:eastAsia="华文楷体" w:cs="宋体"/>
                <w:lang w:val="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存在明显逻辑性错误)。</w:t>
            </w:r>
            <w:r>
              <w:rPr>
                <w:rFonts w:hint="eastAsia" w:ascii="华文楷体" w:hAnsi="华文楷体" w:eastAsia="华文楷体" w:cs="宋体"/>
              </w:rPr>
              <w:t>未提供不得分。</w:t>
            </w:r>
          </w:p>
          <w:p w14:paraId="5204DB3A">
            <w:pPr>
              <w:pStyle w:val="24"/>
              <w:keepNext w:val="0"/>
              <w:keepLines w:val="0"/>
              <w:pageBreakBefore w:val="0"/>
              <w:widowControl/>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rPr>
            </w:pPr>
            <w:r>
              <w:rPr>
                <w:rFonts w:hint="eastAsia" w:ascii="华文楷体" w:hAnsi="华文楷体" w:eastAsia="华文楷体" w:cs="宋体"/>
                <w:b/>
                <w:bCs/>
              </w:rPr>
              <w:t>（3）质量保证方案【3分】：</w:t>
            </w:r>
            <w:r>
              <w:rPr>
                <w:rFonts w:hint="eastAsia" w:ascii="华文楷体" w:hAnsi="华文楷体" w:eastAsia="华文楷体" w:cs="宋体"/>
              </w:rPr>
              <w:t>根据项目特点提供详尽的质量保证方案，包括：①质量保障措施、②</w:t>
            </w:r>
            <w:r>
              <w:rPr>
                <w:rStyle w:val="75"/>
                <w:rFonts w:hint="default" w:ascii="华文楷体" w:hAnsi="华文楷体" w:eastAsia="华文楷体" w:cs="宋体"/>
                <w:color w:val="auto"/>
              </w:rPr>
              <w:t>质量回访流程及方案</w:t>
            </w:r>
            <w:r>
              <w:rPr>
                <w:rFonts w:hint="eastAsia" w:ascii="华文楷体" w:hAnsi="华文楷体" w:eastAsia="华文楷体" w:cs="宋体"/>
              </w:rPr>
              <w:t>、</w:t>
            </w:r>
            <w:r>
              <w:rPr>
                <w:rStyle w:val="75"/>
                <w:rFonts w:hint="default" w:ascii="华文楷体" w:hAnsi="华文楷体" w:eastAsia="华文楷体" w:cs="宋体"/>
                <w:color w:val="auto"/>
              </w:rPr>
              <w:t>③</w:t>
            </w:r>
            <w:r>
              <w:rPr>
                <w:rFonts w:hint="eastAsia" w:ascii="华文楷体" w:hAnsi="华文楷体" w:eastAsia="华文楷体" w:cs="宋体"/>
              </w:rPr>
              <w:t>质量问题退换货流程及方案。针对上述每一项要求作出了详细的方案及承诺且符合采购需求的得3分；每缺少一项内容扣1分；所提供的每项内容中每有一处缺陷的扣0.5分。</w:t>
            </w:r>
            <w:r>
              <w:rPr>
                <w:rFonts w:hint="eastAsia" w:ascii="华文楷体" w:hAnsi="华文楷体" w:eastAsia="华文楷体" w:cs="宋体"/>
                <w:shd w:val="clear" w:color="auto" w:fill="FFFFFF"/>
              </w:rPr>
              <w:t>扣完为止。</w:t>
            </w:r>
            <w:r>
              <w:rPr>
                <w:rFonts w:hint="eastAsia" w:ascii="华文楷体" w:hAnsi="华文楷体" w:eastAsia="华文楷体" w:cs="宋体"/>
                <w:lang w:val="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存在明显逻辑性错误)。</w:t>
            </w:r>
            <w:r>
              <w:rPr>
                <w:rFonts w:hint="eastAsia" w:ascii="华文楷体" w:hAnsi="华文楷体" w:eastAsia="华文楷体" w:cs="宋体"/>
              </w:rPr>
              <w:t>未提供不得分。</w:t>
            </w:r>
          </w:p>
          <w:p w14:paraId="021FEBE0">
            <w:pPr>
              <w:pStyle w:val="24"/>
              <w:keepNext w:val="0"/>
              <w:keepLines w:val="0"/>
              <w:pageBreakBefore w:val="0"/>
              <w:kinsoku/>
              <w:wordWrap/>
              <w:overflowPunct/>
              <w:topLinePunct w:val="0"/>
              <w:bidi w:val="0"/>
              <w:adjustRightInd/>
              <w:snapToGrid/>
              <w:spacing w:before="0" w:beforeAutospacing="0" w:after="0" w:afterAutospacing="0" w:line="440" w:lineRule="exact"/>
              <w:jc w:val="both"/>
              <w:textAlignment w:val="auto"/>
              <w:rPr>
                <w:rFonts w:ascii="华文楷体" w:hAnsi="华文楷体" w:eastAsia="华文楷体" w:cs="宋体"/>
              </w:rPr>
            </w:pPr>
            <w:r>
              <w:rPr>
                <w:rFonts w:hint="eastAsia" w:ascii="华文楷体" w:hAnsi="华文楷体" w:eastAsia="华文楷体" w:cs="宋体"/>
                <w:b/>
                <w:bCs/>
                <w:lang w:val="zh-CN"/>
              </w:rPr>
              <w:t>（4）培训方案</w:t>
            </w:r>
            <w:r>
              <w:rPr>
                <w:rFonts w:hint="eastAsia" w:ascii="华文楷体" w:hAnsi="华文楷体" w:eastAsia="华文楷体" w:cs="宋体"/>
                <w:b/>
                <w:bCs/>
              </w:rPr>
              <w:t>【3分】：</w:t>
            </w:r>
            <w:r>
              <w:rPr>
                <w:rFonts w:hint="eastAsia" w:ascii="华文楷体" w:hAnsi="华文楷体" w:eastAsia="华文楷体" w:cs="宋体"/>
                <w:shd w:val="clear" w:color="auto" w:fill="FFFFFF"/>
                <w:lang w:val="zh-CN"/>
              </w:rPr>
              <w:t>根据项目特点提供详尽的培训方案，</w:t>
            </w:r>
            <w:r>
              <w:rPr>
                <w:rFonts w:hint="eastAsia" w:ascii="华文楷体" w:hAnsi="华文楷体" w:eastAsia="华文楷体" w:cs="宋体"/>
                <w:shd w:val="clear" w:color="auto" w:fill="FFFFFF"/>
              </w:rPr>
              <w:t>包括</w:t>
            </w:r>
            <w:r>
              <w:rPr>
                <w:rFonts w:hint="eastAsia" w:ascii="华文楷体" w:hAnsi="华文楷体" w:eastAsia="华文楷体" w:cs="宋体"/>
                <w:shd w:val="clear" w:color="auto" w:fill="FFFFFF"/>
                <w:lang w:val="zh-CN"/>
              </w:rPr>
              <w:t>：①培训批次、②培训内容、③培训讲师团队，针对上述每一项要求作出了详细的方案且符合采购需求的得3分；每缺少一项内容扣1分；所提供的每项内容中每有一处缺陷的扣0.5分。</w:t>
            </w:r>
            <w:r>
              <w:rPr>
                <w:rFonts w:hint="eastAsia" w:ascii="华文楷体" w:hAnsi="华文楷体" w:eastAsia="华文楷体" w:cs="宋体"/>
                <w:shd w:val="clear" w:color="auto" w:fill="FFFFFF"/>
              </w:rPr>
              <w:t>扣完为止。</w:t>
            </w:r>
            <w:r>
              <w:rPr>
                <w:rFonts w:hint="eastAsia" w:ascii="华文楷体" w:hAnsi="华文楷体" w:eastAsia="华文楷体" w:cs="宋体"/>
                <w:shd w:val="clear" w:color="auto" w:fill="FFFFFF"/>
                <w:lang w:val="zh-CN"/>
              </w:rPr>
              <w:t>(</w:t>
            </w:r>
            <w:r>
              <w:rPr>
                <w:rFonts w:hint="eastAsia" w:ascii="华文楷体" w:hAnsi="华文楷体" w:eastAsia="华文楷体" w:cs="宋体"/>
                <w:lang w:val="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存在明显逻辑性错误</w:t>
            </w:r>
            <w:r>
              <w:rPr>
                <w:rFonts w:hint="eastAsia" w:ascii="华文楷体" w:hAnsi="华文楷体" w:eastAsia="华文楷体" w:cs="宋体"/>
                <w:shd w:val="clear" w:color="auto" w:fill="FFFFFF"/>
                <w:lang w:val="zh-CN"/>
              </w:rPr>
              <w:t>)。未提供不得分。</w:t>
            </w:r>
          </w:p>
          <w:p w14:paraId="35459BFF">
            <w:pPr>
              <w:pStyle w:val="2"/>
              <w:keepNext w:val="0"/>
              <w:keepLines w:val="0"/>
              <w:pageBreakBefore w:val="0"/>
              <w:kinsoku/>
              <w:wordWrap/>
              <w:overflowPunct/>
              <w:topLinePunct w:val="0"/>
              <w:bidi w:val="0"/>
              <w:adjustRightInd/>
              <w:snapToGrid/>
              <w:spacing w:line="440" w:lineRule="exact"/>
              <w:textAlignment w:val="auto"/>
              <w:rPr>
                <w:rFonts w:ascii="华文楷体" w:hAnsi="华文楷体" w:eastAsia="华文楷体" w:cs="宋体"/>
              </w:rPr>
            </w:pPr>
            <w:r>
              <w:rPr>
                <w:rFonts w:hint="eastAsia" w:ascii="华文楷体" w:hAnsi="华文楷体" w:eastAsia="华文楷体" w:cs="宋体"/>
                <w:b/>
                <w:bCs/>
              </w:rPr>
              <w:t>（5）售后服务方案【3分】：</w:t>
            </w:r>
            <w:r>
              <w:rPr>
                <w:rFonts w:hint="eastAsia" w:ascii="华文楷体" w:hAnsi="华文楷体" w:eastAsia="华文楷体" w:cs="宋体"/>
              </w:rPr>
              <w:t>根据项目特点提供详尽的售后服务方案，包括：①服务团队、②服务响应时间、③就全部招标内容提供零配件清单（需列明零配件名称、制造商名称、品牌、型号规格、单价）。针对上述每一项要求作出了详细的方案且符合采购需求的得3分；每缺少一项内容扣1分；所提供的每项内容中每有一处缺陷的扣0.5分。</w:t>
            </w:r>
            <w:r>
              <w:rPr>
                <w:rFonts w:hint="eastAsia" w:ascii="华文楷体" w:hAnsi="华文楷体" w:eastAsia="华文楷体" w:cs="宋体"/>
                <w:shd w:val="clear" w:color="auto" w:fill="FFFFFF"/>
              </w:rPr>
              <w:t>扣完为止。</w:t>
            </w:r>
            <w:r>
              <w:rPr>
                <w:rFonts w:hint="eastAsia" w:ascii="华文楷体" w:hAnsi="华文楷体" w:eastAsia="华文楷体" w:cs="宋体"/>
                <w:lang w:val="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存在明显逻辑性错误)。</w:t>
            </w:r>
            <w:r>
              <w:rPr>
                <w:rFonts w:hint="eastAsia" w:ascii="华文楷体" w:hAnsi="华文楷体" w:eastAsia="华文楷体" w:cs="宋体"/>
              </w:rPr>
              <w:t>未提供不得分。</w:t>
            </w:r>
          </w:p>
        </w:tc>
      </w:tr>
    </w:tbl>
    <w:p w14:paraId="4C3993ED"/>
    <w:p w14:paraId="70A55AF2">
      <w:pPr>
        <w:pStyle w:val="3"/>
        <w:rPr>
          <w:rFonts w:ascii="华文楷体" w:hAnsi="华文楷体" w:eastAsia="华文楷体"/>
        </w:rPr>
      </w:pPr>
    </w:p>
    <w:p w14:paraId="6015A6B0">
      <w:pPr>
        <w:pStyle w:val="4"/>
        <w:ind w:left="0" w:leftChars="0" w:firstLine="0" w:firstLineChars="0"/>
        <w:jc w:val="left"/>
        <w:rPr>
          <w:rFonts w:ascii="华文楷体" w:hAnsi="华文楷体" w:eastAsia="华文楷体" w:cs="宋体"/>
        </w:rPr>
      </w:pPr>
      <w:r>
        <w:rPr>
          <w:rFonts w:hint="eastAsia" w:ascii="华文楷体" w:hAnsi="华文楷体" w:eastAsia="华文楷体" w:cs="宋体"/>
        </w:rPr>
        <w:br w:type="page"/>
      </w:r>
    </w:p>
    <w:p w14:paraId="49BF755F">
      <w:pPr>
        <w:pStyle w:val="2"/>
        <w:spacing w:after="0" w:line="360" w:lineRule="auto"/>
        <w:ind w:firstLine="482" w:firstLineChars="200"/>
        <w:rPr>
          <w:rFonts w:ascii="华文楷体" w:hAnsi="华文楷体" w:eastAsia="华文楷体" w:cs="宋体"/>
          <w:b/>
          <w:shd w:val="clear" w:color="auto" w:fill="FFFFFF"/>
        </w:rPr>
      </w:pPr>
      <w:r>
        <w:rPr>
          <w:rFonts w:hint="eastAsia" w:ascii="华文楷体" w:hAnsi="华文楷体" w:eastAsia="华文楷体" w:cs="宋体"/>
          <w:b/>
          <w:shd w:val="clear" w:color="auto" w:fill="FFFFFF"/>
        </w:rPr>
        <w:t>包三评分标准：</w:t>
      </w:r>
    </w:p>
    <w:tbl>
      <w:tblPr>
        <w:tblStyle w:val="26"/>
        <w:tblW w:w="8685" w:type="dxa"/>
        <w:jc w:val="center"/>
        <w:tblLayout w:type="fixed"/>
        <w:tblCellMar>
          <w:top w:w="0" w:type="dxa"/>
          <w:left w:w="108" w:type="dxa"/>
          <w:bottom w:w="0" w:type="dxa"/>
          <w:right w:w="108" w:type="dxa"/>
        </w:tblCellMar>
      </w:tblPr>
      <w:tblGrid>
        <w:gridCol w:w="931"/>
        <w:gridCol w:w="1282"/>
        <w:gridCol w:w="6472"/>
      </w:tblGrid>
      <w:tr w14:paraId="0BA60FCF">
        <w:tblPrEx>
          <w:tblCellMar>
            <w:top w:w="0" w:type="dxa"/>
            <w:left w:w="108" w:type="dxa"/>
            <w:bottom w:w="0" w:type="dxa"/>
            <w:right w:w="108" w:type="dxa"/>
          </w:tblCellMar>
        </w:tblPrEx>
        <w:trPr>
          <w:trHeight w:val="90" w:hRule="atLeast"/>
          <w:jc w:val="center"/>
        </w:trPr>
        <w:tc>
          <w:tcPr>
            <w:tcW w:w="931" w:type="dxa"/>
            <w:tcBorders>
              <w:top w:val="single" w:color="000000" w:sz="6" w:space="0"/>
              <w:left w:val="single" w:color="000000" w:sz="6" w:space="0"/>
              <w:bottom w:val="single" w:color="000000" w:sz="6" w:space="0"/>
              <w:right w:val="single" w:color="000000" w:sz="6" w:space="0"/>
            </w:tcBorders>
            <w:vAlign w:val="center"/>
          </w:tcPr>
          <w:p w14:paraId="2AB7A8E3">
            <w:pPr>
              <w:pStyle w:val="24"/>
              <w:spacing w:before="0" w:beforeAutospacing="0" w:after="0" w:afterAutospacing="0"/>
              <w:rPr>
                <w:rFonts w:ascii="华文楷体" w:hAnsi="华文楷体" w:eastAsia="华文楷体" w:cs="宋体"/>
                <w:lang w:val="zh-CN"/>
              </w:rPr>
            </w:pPr>
            <w:r>
              <w:rPr>
                <w:rFonts w:hint="eastAsia" w:ascii="华文楷体" w:hAnsi="华文楷体" w:eastAsia="华文楷体" w:cs="宋体"/>
                <w:lang w:val="zh-CN"/>
              </w:rPr>
              <w:t>序号</w:t>
            </w:r>
          </w:p>
        </w:tc>
        <w:tc>
          <w:tcPr>
            <w:tcW w:w="1282" w:type="dxa"/>
            <w:tcBorders>
              <w:top w:val="single" w:color="000000" w:sz="6" w:space="0"/>
              <w:left w:val="single" w:color="000000" w:sz="6" w:space="0"/>
              <w:bottom w:val="single" w:color="000000" w:sz="6" w:space="0"/>
              <w:right w:val="single" w:color="000000" w:sz="6" w:space="0"/>
            </w:tcBorders>
            <w:vAlign w:val="center"/>
          </w:tcPr>
          <w:p w14:paraId="6AB9818E">
            <w:pPr>
              <w:pStyle w:val="24"/>
              <w:spacing w:before="0" w:beforeAutospacing="0" w:after="0" w:afterAutospacing="0"/>
              <w:jc w:val="center"/>
              <w:rPr>
                <w:rFonts w:ascii="华文楷体" w:hAnsi="华文楷体" w:eastAsia="华文楷体" w:cs="宋体"/>
              </w:rPr>
            </w:pPr>
            <w:r>
              <w:rPr>
                <w:rFonts w:hint="eastAsia" w:ascii="华文楷体" w:hAnsi="华文楷体" w:eastAsia="华文楷体" w:cs="宋体"/>
                <w:lang w:val="zh-CN"/>
              </w:rPr>
              <w:t>评审</w:t>
            </w:r>
            <w:r>
              <w:rPr>
                <w:rFonts w:hint="eastAsia" w:ascii="华文楷体" w:hAnsi="华文楷体" w:eastAsia="华文楷体" w:cs="宋体"/>
              </w:rPr>
              <w:t>因素</w:t>
            </w:r>
          </w:p>
        </w:tc>
        <w:tc>
          <w:tcPr>
            <w:tcW w:w="6472" w:type="dxa"/>
            <w:tcBorders>
              <w:top w:val="single" w:color="000000" w:sz="6" w:space="0"/>
              <w:left w:val="single" w:color="000000" w:sz="6" w:space="0"/>
              <w:bottom w:val="single" w:color="000000" w:sz="6" w:space="0"/>
              <w:right w:val="single" w:color="000000" w:sz="6" w:space="0"/>
            </w:tcBorders>
            <w:vAlign w:val="center"/>
          </w:tcPr>
          <w:p w14:paraId="7049DFCF">
            <w:pPr>
              <w:pStyle w:val="24"/>
              <w:spacing w:before="0" w:beforeAutospacing="0" w:after="0" w:afterAutospacing="0"/>
              <w:jc w:val="center"/>
              <w:rPr>
                <w:rFonts w:ascii="华文楷体" w:hAnsi="华文楷体" w:eastAsia="华文楷体" w:cs="宋体"/>
                <w:lang w:val="zh-CN"/>
              </w:rPr>
            </w:pPr>
            <w:r>
              <w:rPr>
                <w:rFonts w:hint="eastAsia" w:ascii="华文楷体" w:hAnsi="华文楷体" w:eastAsia="华文楷体" w:cs="宋体"/>
              </w:rPr>
              <w:t>评审标准</w:t>
            </w:r>
          </w:p>
        </w:tc>
      </w:tr>
      <w:tr w14:paraId="2D5A99A8">
        <w:tblPrEx>
          <w:tblCellMar>
            <w:top w:w="0" w:type="dxa"/>
            <w:left w:w="108" w:type="dxa"/>
            <w:bottom w:w="0" w:type="dxa"/>
            <w:right w:w="108" w:type="dxa"/>
          </w:tblCellMar>
        </w:tblPrEx>
        <w:trPr>
          <w:trHeight w:val="415" w:hRule="atLeast"/>
          <w:jc w:val="center"/>
        </w:trPr>
        <w:tc>
          <w:tcPr>
            <w:tcW w:w="931" w:type="dxa"/>
            <w:tcBorders>
              <w:top w:val="single" w:color="000000" w:sz="6" w:space="0"/>
              <w:left w:val="single" w:color="000000" w:sz="6" w:space="0"/>
              <w:bottom w:val="single" w:color="000000" w:sz="6" w:space="0"/>
              <w:right w:val="single" w:color="000000" w:sz="6" w:space="0"/>
            </w:tcBorders>
            <w:vAlign w:val="center"/>
          </w:tcPr>
          <w:p w14:paraId="6C305668">
            <w:pPr>
              <w:pStyle w:val="24"/>
              <w:spacing w:before="0" w:beforeAutospacing="0" w:after="0" w:afterAutospacing="0" w:line="460" w:lineRule="exact"/>
              <w:jc w:val="center"/>
              <w:rPr>
                <w:rFonts w:ascii="华文楷体" w:hAnsi="华文楷体" w:eastAsia="华文楷体" w:cs="宋体"/>
                <w:b/>
                <w:bCs/>
              </w:rPr>
            </w:pPr>
            <w:r>
              <w:rPr>
                <w:rFonts w:hint="eastAsia" w:ascii="华文楷体" w:hAnsi="华文楷体" w:eastAsia="华文楷体" w:cs="宋体"/>
                <w:b/>
                <w:bCs/>
              </w:rPr>
              <w:t>1</w:t>
            </w:r>
          </w:p>
        </w:tc>
        <w:tc>
          <w:tcPr>
            <w:tcW w:w="1282" w:type="dxa"/>
            <w:tcBorders>
              <w:top w:val="single" w:color="000000" w:sz="6" w:space="0"/>
              <w:left w:val="single" w:color="000000" w:sz="6" w:space="0"/>
              <w:bottom w:val="single" w:color="000000" w:sz="6" w:space="0"/>
              <w:right w:val="single" w:color="000000" w:sz="6" w:space="0"/>
            </w:tcBorders>
            <w:vAlign w:val="center"/>
          </w:tcPr>
          <w:p w14:paraId="62B24CC5">
            <w:pPr>
              <w:pStyle w:val="24"/>
              <w:spacing w:before="0" w:beforeAutospacing="0" w:after="0" w:afterAutospacing="0" w:line="460" w:lineRule="exact"/>
              <w:jc w:val="center"/>
              <w:rPr>
                <w:rFonts w:ascii="华文楷体" w:hAnsi="华文楷体" w:eastAsia="华文楷体" w:cs="宋体"/>
                <w:b/>
                <w:bCs/>
                <w:shd w:val="clear" w:color="auto" w:fill="FFFFFF"/>
              </w:rPr>
            </w:pPr>
            <w:r>
              <w:rPr>
                <w:rFonts w:hint="eastAsia" w:ascii="华文楷体" w:hAnsi="华文楷体" w:eastAsia="华文楷体" w:cs="宋体"/>
                <w:b/>
                <w:bCs/>
                <w:shd w:val="clear" w:color="auto" w:fill="FFFFFF"/>
              </w:rPr>
              <w:t>投标报价</w:t>
            </w:r>
          </w:p>
          <w:p w14:paraId="2420C179">
            <w:pPr>
              <w:pStyle w:val="24"/>
              <w:spacing w:before="0" w:beforeAutospacing="0" w:after="0" w:afterAutospacing="0" w:line="460" w:lineRule="exact"/>
              <w:jc w:val="center"/>
              <w:rPr>
                <w:rFonts w:ascii="华文楷体" w:hAnsi="华文楷体" w:eastAsia="华文楷体" w:cs="宋体"/>
                <w:b/>
                <w:bCs/>
                <w:lang w:val="zh-CN"/>
              </w:rPr>
            </w:pPr>
            <w:r>
              <w:rPr>
                <w:rFonts w:hint="eastAsia" w:ascii="华文楷体" w:hAnsi="华文楷体" w:eastAsia="华文楷体" w:cs="宋体"/>
                <w:b/>
                <w:bCs/>
                <w:shd w:val="clear" w:color="auto" w:fill="FFFFFF"/>
              </w:rPr>
              <w:t>(</w:t>
            </w:r>
            <w:r>
              <w:rPr>
                <w:rFonts w:hint="eastAsia" w:ascii="华文楷体" w:hAnsi="华文楷体" w:eastAsia="华文楷体" w:cs="宋体"/>
                <w:b/>
                <w:bCs/>
              </w:rPr>
              <w:t>30%</w:t>
            </w:r>
            <w:r>
              <w:rPr>
                <w:rFonts w:hint="eastAsia" w:ascii="华文楷体" w:hAnsi="华文楷体" w:eastAsia="华文楷体" w:cs="宋体"/>
                <w:b/>
                <w:bCs/>
                <w:shd w:val="clear" w:color="auto" w:fill="FFFFFF"/>
              </w:rPr>
              <w:t>)</w:t>
            </w:r>
          </w:p>
        </w:tc>
        <w:tc>
          <w:tcPr>
            <w:tcW w:w="6472" w:type="dxa"/>
            <w:tcBorders>
              <w:top w:val="single" w:color="000000" w:sz="6" w:space="0"/>
              <w:left w:val="single" w:color="000000" w:sz="6" w:space="0"/>
              <w:bottom w:val="single" w:color="000000" w:sz="6" w:space="0"/>
              <w:right w:val="single" w:color="000000" w:sz="6" w:space="0"/>
            </w:tcBorders>
            <w:vAlign w:val="center"/>
          </w:tcPr>
          <w:p w14:paraId="728C0C95">
            <w:pPr>
              <w:pStyle w:val="24"/>
              <w:spacing w:before="0" w:beforeAutospacing="0" w:after="0" w:afterAutospacing="0" w:line="460" w:lineRule="exact"/>
              <w:jc w:val="both"/>
              <w:rPr>
                <w:rFonts w:ascii="华文楷体" w:hAnsi="华文楷体" w:eastAsia="华文楷体" w:cs="宋体"/>
                <w:shd w:val="clear" w:color="auto" w:fill="FFFFFF"/>
              </w:rPr>
            </w:pPr>
            <w:r>
              <w:rPr>
                <w:rFonts w:hint="eastAsia" w:ascii="华文楷体" w:hAnsi="华文楷体" w:eastAsia="华文楷体" w:cs="宋体"/>
                <w:shd w:val="clear" w:color="auto" w:fill="FFFFFF"/>
              </w:rPr>
              <w:t>（1）产品的价格分值占总分值比重的30%；</w:t>
            </w:r>
          </w:p>
          <w:p w14:paraId="2EAE0D24">
            <w:pPr>
              <w:pStyle w:val="24"/>
              <w:spacing w:before="0" w:beforeAutospacing="0" w:after="0" w:afterAutospacing="0" w:line="460" w:lineRule="exact"/>
              <w:jc w:val="both"/>
              <w:rPr>
                <w:rFonts w:ascii="华文楷体" w:hAnsi="华文楷体" w:eastAsia="华文楷体" w:cs="宋体"/>
                <w:shd w:val="clear" w:color="auto" w:fill="FFFFFF"/>
              </w:rPr>
            </w:pPr>
            <w:r>
              <w:rPr>
                <w:rFonts w:hint="eastAsia" w:ascii="华文楷体" w:hAnsi="华文楷体" w:eastAsia="华文楷体" w:cs="宋体"/>
                <w:shd w:val="clear" w:color="auto" w:fill="FFFFFF"/>
              </w:rPr>
              <w:t>（2）价格分应当采用低价优先法计算，即满足招标文件要求且投标价格最低的投标报价为评标基准价，其价格分为满分。其他投标人的价格分统一按照下列公式计算：投标报价得分=(评标基准价／投标报价)×100×投标报价比重。</w:t>
            </w:r>
          </w:p>
        </w:tc>
      </w:tr>
      <w:tr w14:paraId="24172EB5">
        <w:tblPrEx>
          <w:tblCellMar>
            <w:top w:w="0" w:type="dxa"/>
            <w:left w:w="108" w:type="dxa"/>
            <w:bottom w:w="0" w:type="dxa"/>
            <w:right w:w="108" w:type="dxa"/>
          </w:tblCellMar>
        </w:tblPrEx>
        <w:trPr>
          <w:trHeight w:val="90" w:hRule="atLeast"/>
          <w:jc w:val="center"/>
        </w:trPr>
        <w:tc>
          <w:tcPr>
            <w:tcW w:w="931" w:type="dxa"/>
            <w:tcBorders>
              <w:top w:val="single" w:color="000000" w:sz="6" w:space="0"/>
              <w:left w:val="single" w:color="000000" w:sz="6" w:space="0"/>
              <w:bottom w:val="single" w:color="000000" w:sz="6" w:space="0"/>
              <w:right w:val="single" w:color="000000" w:sz="6" w:space="0"/>
            </w:tcBorders>
            <w:vAlign w:val="center"/>
          </w:tcPr>
          <w:p w14:paraId="0135CE7C">
            <w:pPr>
              <w:pStyle w:val="24"/>
              <w:spacing w:before="0" w:beforeAutospacing="0" w:after="0" w:afterAutospacing="0" w:line="460" w:lineRule="exact"/>
              <w:jc w:val="center"/>
              <w:rPr>
                <w:rFonts w:ascii="华文楷体" w:hAnsi="华文楷体" w:eastAsia="华文楷体" w:cs="宋体"/>
                <w:b/>
                <w:bCs/>
              </w:rPr>
            </w:pPr>
            <w:r>
              <w:rPr>
                <w:rFonts w:hint="eastAsia" w:ascii="华文楷体" w:hAnsi="华文楷体" w:eastAsia="华文楷体" w:cs="宋体"/>
                <w:b/>
                <w:bCs/>
              </w:rPr>
              <w:t>2</w:t>
            </w:r>
          </w:p>
        </w:tc>
        <w:tc>
          <w:tcPr>
            <w:tcW w:w="1282" w:type="dxa"/>
            <w:tcBorders>
              <w:top w:val="single" w:color="000000" w:sz="6" w:space="0"/>
              <w:left w:val="single" w:color="000000" w:sz="6" w:space="0"/>
              <w:bottom w:val="single" w:color="000000" w:sz="6" w:space="0"/>
              <w:right w:val="single" w:color="000000" w:sz="6" w:space="0"/>
            </w:tcBorders>
            <w:vAlign w:val="center"/>
          </w:tcPr>
          <w:p w14:paraId="11E16AD3">
            <w:pPr>
              <w:pStyle w:val="24"/>
              <w:spacing w:before="0" w:beforeAutospacing="0" w:after="0" w:afterAutospacing="0" w:line="460" w:lineRule="exact"/>
              <w:jc w:val="center"/>
              <w:rPr>
                <w:rFonts w:ascii="华文楷体" w:hAnsi="华文楷体" w:eastAsia="华文楷体" w:cs="宋体"/>
                <w:b/>
                <w:bCs/>
                <w:shd w:val="clear" w:color="auto" w:fill="FFFFFF"/>
              </w:rPr>
            </w:pPr>
            <w:r>
              <w:rPr>
                <w:rFonts w:hint="eastAsia" w:ascii="华文楷体" w:hAnsi="华文楷体" w:eastAsia="华文楷体" w:cs="宋体"/>
                <w:b/>
                <w:bCs/>
                <w:shd w:val="clear" w:color="auto" w:fill="FFFFFF"/>
              </w:rPr>
              <w:t>技术水平</w:t>
            </w:r>
          </w:p>
          <w:p w14:paraId="40CBBA91">
            <w:pPr>
              <w:pStyle w:val="24"/>
              <w:spacing w:before="0" w:beforeAutospacing="0" w:after="0" w:afterAutospacing="0" w:line="460" w:lineRule="exact"/>
              <w:jc w:val="center"/>
              <w:rPr>
                <w:rFonts w:ascii="华文楷体" w:hAnsi="华文楷体" w:eastAsia="华文楷体" w:cs="宋体"/>
                <w:b/>
                <w:bCs/>
                <w:lang w:val="zh-CN"/>
              </w:rPr>
            </w:pPr>
            <w:r>
              <w:rPr>
                <w:rFonts w:hint="eastAsia" w:ascii="华文楷体" w:hAnsi="华文楷体" w:eastAsia="华文楷体" w:cs="宋体"/>
                <w:b/>
                <w:bCs/>
                <w:shd w:val="clear" w:color="auto" w:fill="FFFFFF"/>
              </w:rPr>
              <w:t>（57%）</w:t>
            </w:r>
          </w:p>
        </w:tc>
        <w:tc>
          <w:tcPr>
            <w:tcW w:w="6472" w:type="dxa"/>
            <w:tcBorders>
              <w:top w:val="single" w:color="000000" w:sz="6" w:space="0"/>
              <w:left w:val="single" w:color="000000" w:sz="6" w:space="0"/>
              <w:bottom w:val="single" w:color="000000" w:sz="6" w:space="0"/>
              <w:right w:val="single" w:color="000000" w:sz="6" w:space="0"/>
            </w:tcBorders>
            <w:vAlign w:val="center"/>
          </w:tcPr>
          <w:p w14:paraId="479BF204">
            <w:pPr>
              <w:autoSpaceDE w:val="0"/>
              <w:autoSpaceDN w:val="0"/>
              <w:spacing w:line="460" w:lineRule="exact"/>
              <w:rPr>
                <w:rFonts w:ascii="华文楷体" w:hAnsi="华文楷体" w:eastAsia="华文楷体" w:cs="宋体"/>
                <w:lang w:val="zh-CN"/>
              </w:rPr>
            </w:pPr>
            <w:r>
              <w:rPr>
                <w:rFonts w:hint="eastAsia" w:ascii="华文楷体" w:hAnsi="华文楷体" w:eastAsia="华文楷体" w:cs="宋体"/>
                <w:b/>
                <w:bCs/>
                <w:lang w:val="zh-CN"/>
              </w:rPr>
              <w:t>（</w:t>
            </w:r>
            <w:r>
              <w:rPr>
                <w:rFonts w:hint="eastAsia" w:ascii="华文楷体" w:hAnsi="华文楷体" w:eastAsia="华文楷体" w:cs="宋体"/>
                <w:b/>
                <w:bCs/>
              </w:rPr>
              <w:t>1</w:t>
            </w:r>
            <w:r>
              <w:rPr>
                <w:rFonts w:hint="eastAsia" w:ascii="华文楷体" w:hAnsi="华文楷体" w:eastAsia="华文楷体" w:cs="宋体"/>
                <w:b/>
                <w:bCs/>
                <w:lang w:val="zh-CN"/>
              </w:rPr>
              <w:t>）</w:t>
            </w:r>
            <w:r>
              <w:rPr>
                <w:rFonts w:hint="eastAsia" w:ascii="华文楷体" w:hAnsi="华文楷体" w:eastAsia="华文楷体" w:cs="宋体"/>
                <w:b/>
                <w:lang w:val="zh-CN"/>
              </w:rPr>
              <w:t>技术性能指标</w:t>
            </w:r>
            <w:r>
              <w:rPr>
                <w:rFonts w:hint="eastAsia" w:ascii="华文楷体" w:hAnsi="华文楷体" w:eastAsia="华文楷体" w:cs="宋体"/>
                <w:b/>
              </w:rPr>
              <w:t>【</w:t>
            </w:r>
            <w:r>
              <w:rPr>
                <w:rFonts w:ascii="华文楷体" w:hAnsi="华文楷体" w:eastAsia="华文楷体" w:cs="宋体"/>
                <w:b/>
              </w:rPr>
              <w:t>36</w:t>
            </w:r>
            <w:r>
              <w:rPr>
                <w:rFonts w:hint="eastAsia" w:ascii="华文楷体" w:hAnsi="华文楷体" w:eastAsia="华文楷体" w:cs="宋体"/>
                <w:b/>
              </w:rPr>
              <w:t>分】</w:t>
            </w:r>
            <w:r>
              <w:rPr>
                <w:rFonts w:hint="eastAsia" w:ascii="华文楷体" w:hAnsi="华文楷体" w:eastAsia="华文楷体" w:cs="宋体"/>
                <w:lang w:val="zh-CN"/>
              </w:rPr>
              <w:t>：</w:t>
            </w:r>
            <w:r>
              <w:rPr>
                <w:rFonts w:hint="eastAsia" w:ascii="华文楷体" w:hAnsi="华文楷体" w:eastAsia="华文楷体" w:cs="宋体"/>
              </w:rPr>
              <w:t>评标委员会根据投标人提供的技术支持资料对产品的综合性能进行评定，技术参数和配置完全满足或高于招标文件要求的，</w:t>
            </w:r>
            <w:r>
              <w:rPr>
                <w:rFonts w:hint="eastAsia" w:ascii="华文楷体" w:hAnsi="华文楷体" w:eastAsia="华文楷体" w:cs="宋体"/>
                <w:lang w:val="zh-CN"/>
              </w:rPr>
              <w:t>得</w:t>
            </w:r>
            <w:r>
              <w:rPr>
                <w:rFonts w:hint="eastAsia" w:ascii="华文楷体" w:hAnsi="华文楷体" w:eastAsia="华文楷体" w:cs="宋体"/>
              </w:rPr>
              <w:t>3</w:t>
            </w:r>
            <w:r>
              <w:rPr>
                <w:rFonts w:ascii="华文楷体" w:hAnsi="华文楷体" w:eastAsia="华文楷体" w:cs="宋体"/>
              </w:rPr>
              <w:t>6</w:t>
            </w:r>
            <w:r>
              <w:rPr>
                <w:rFonts w:hint="eastAsia" w:ascii="华文楷体" w:hAnsi="华文楷体" w:eastAsia="华文楷体" w:cs="宋体"/>
                <w:lang w:val="zh-CN"/>
              </w:rPr>
              <w:t>分；带“</w:t>
            </w:r>
            <w:r>
              <w:rPr>
                <w:rFonts w:hint="eastAsia" w:ascii="华文楷体" w:hAnsi="华文楷体" w:eastAsia="华文楷体" w:cs="宋体"/>
              </w:rPr>
              <w:t>▲</w:t>
            </w:r>
            <w:r>
              <w:rPr>
                <w:rFonts w:hint="eastAsia" w:ascii="华文楷体" w:hAnsi="华文楷体" w:eastAsia="华文楷体" w:cs="宋体"/>
                <w:lang w:val="zh-CN"/>
              </w:rPr>
              <w:t>”项技术参数每有一个负偏离扣</w:t>
            </w:r>
            <w:r>
              <w:rPr>
                <w:rFonts w:ascii="华文楷体" w:hAnsi="华文楷体" w:eastAsia="华文楷体" w:cs="宋体"/>
              </w:rPr>
              <w:t>3</w:t>
            </w:r>
            <w:r>
              <w:rPr>
                <w:rFonts w:hint="eastAsia" w:ascii="华文楷体" w:hAnsi="华文楷体" w:eastAsia="华文楷体" w:cs="宋体"/>
                <w:lang w:val="zh-CN"/>
              </w:rPr>
              <w:t>分。非“</w:t>
            </w:r>
            <w:r>
              <w:rPr>
                <w:rFonts w:hint="eastAsia" w:ascii="华文楷体" w:hAnsi="华文楷体" w:eastAsia="华文楷体" w:cs="宋体"/>
              </w:rPr>
              <w:t>▲</w:t>
            </w:r>
            <w:r>
              <w:rPr>
                <w:rFonts w:hint="eastAsia" w:ascii="华文楷体" w:hAnsi="华文楷体" w:eastAsia="华文楷体" w:cs="宋体"/>
                <w:lang w:val="zh-CN"/>
              </w:rPr>
              <w:t>”项每有一个技术参数负偏离扣</w:t>
            </w:r>
            <w:r>
              <w:rPr>
                <w:rFonts w:ascii="华文楷体" w:hAnsi="华文楷体" w:eastAsia="华文楷体" w:cs="宋体"/>
              </w:rPr>
              <w:t>1</w:t>
            </w:r>
            <w:r>
              <w:rPr>
                <w:rFonts w:hint="eastAsia" w:ascii="华文楷体" w:hAnsi="华文楷体" w:eastAsia="华文楷体" w:cs="宋体"/>
                <w:lang w:val="zh-CN"/>
              </w:rPr>
              <w:t>分，扣完为止。</w:t>
            </w:r>
            <w:r>
              <w:rPr>
                <w:rFonts w:hint="eastAsia" w:ascii="华文楷体" w:hAnsi="华文楷体" w:eastAsia="华文楷体" w:cs="宋体"/>
                <w:bCs/>
                <w:lang w:val="zh-CN"/>
              </w:rPr>
              <w:t>技术偏离表中投标人应如实填写，并与招标文件技术参数要求一一对应。招标文件确定的“★”技术参数、指标的评议不包括在此项技术性能指标评议范围之内。</w:t>
            </w:r>
          </w:p>
          <w:p w14:paraId="6D343C20">
            <w:pPr>
              <w:pStyle w:val="24"/>
              <w:widowControl/>
              <w:spacing w:before="0" w:beforeAutospacing="0" w:after="0" w:afterAutospacing="0" w:line="460" w:lineRule="exact"/>
              <w:jc w:val="both"/>
              <w:rPr>
                <w:rFonts w:ascii="华文楷体" w:hAnsi="华文楷体" w:eastAsia="华文楷体" w:cs="宋体"/>
                <w:bCs/>
              </w:rPr>
            </w:pPr>
            <w:r>
              <w:rPr>
                <w:rFonts w:hint="eastAsia" w:ascii="华文楷体" w:hAnsi="华文楷体" w:eastAsia="华文楷体" w:cs="宋体"/>
                <w:bCs/>
              </w:rPr>
              <w:t>注：技术偏离的评议请阅读技术响应偏离表的相关说明。</w:t>
            </w:r>
            <w:r>
              <w:rPr>
                <w:rFonts w:hint="eastAsia" w:ascii="华文楷体" w:hAnsi="华文楷体" w:eastAsia="华文楷体" w:cs="宋体"/>
                <w:bCs/>
                <w:lang w:val="zh-CN"/>
              </w:rPr>
              <w:t>“</w:t>
            </w:r>
            <w:r>
              <w:rPr>
                <w:rFonts w:hint="eastAsia" w:ascii="华文楷体" w:hAnsi="华文楷体" w:eastAsia="华文楷体" w:cs="宋体"/>
                <w:bCs/>
              </w:rPr>
              <w:t>▲</w:t>
            </w:r>
            <w:r>
              <w:rPr>
                <w:rFonts w:hint="eastAsia" w:ascii="华文楷体" w:hAnsi="华文楷体" w:eastAsia="华文楷体" w:cs="宋体"/>
                <w:bCs/>
                <w:lang w:val="zh-CN"/>
              </w:rPr>
              <w:t>”项技术参数</w:t>
            </w:r>
            <w:r>
              <w:rPr>
                <w:rFonts w:hint="eastAsia" w:ascii="华文楷体" w:hAnsi="华文楷体" w:eastAsia="华文楷体" w:cs="宋体"/>
                <w:bCs/>
              </w:rPr>
              <w:t>须在检测报告内体现，否则按负偏离处理。</w:t>
            </w:r>
          </w:p>
          <w:p w14:paraId="2CA3B9B2">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b/>
                <w:shd w:val="clear" w:color="auto" w:fill="FFFFFF"/>
                <w:lang w:val="zh-CN"/>
              </w:rPr>
              <w:t>（</w:t>
            </w:r>
            <w:r>
              <w:rPr>
                <w:rFonts w:hint="eastAsia" w:ascii="华文楷体" w:hAnsi="华文楷体" w:eastAsia="华文楷体" w:cs="宋体"/>
                <w:b/>
                <w:shd w:val="clear" w:color="auto" w:fill="FFFFFF"/>
              </w:rPr>
              <w:t>2）</w:t>
            </w:r>
            <w:r>
              <w:rPr>
                <w:rFonts w:hint="eastAsia" w:ascii="华文楷体" w:hAnsi="华文楷体" w:eastAsia="华文楷体" w:cs="宋体"/>
                <w:b/>
                <w:shd w:val="clear" w:color="auto" w:fill="FFFFFF"/>
                <w:lang w:val="zh-CN"/>
              </w:rPr>
              <w:t>节能和环保</w:t>
            </w:r>
            <w:r>
              <w:rPr>
                <w:rFonts w:hint="eastAsia" w:ascii="华文楷体" w:hAnsi="华文楷体" w:eastAsia="华文楷体" w:cs="宋体"/>
                <w:b/>
              </w:rPr>
              <w:t>【2分】</w:t>
            </w:r>
            <w:r>
              <w:rPr>
                <w:rFonts w:hint="eastAsia" w:ascii="华文楷体" w:hAnsi="华文楷体" w:eastAsia="华文楷体" w:cs="宋体"/>
                <w:shd w:val="clear" w:color="auto" w:fill="FFFFFF"/>
                <w:lang w:val="zh-CN"/>
              </w:rPr>
              <w:t>：所投产品为节能产品的，每提供一个得</w:t>
            </w:r>
            <w:r>
              <w:rPr>
                <w:rFonts w:hint="eastAsia" w:ascii="华文楷体" w:hAnsi="华文楷体" w:eastAsia="华文楷体" w:cs="宋体"/>
                <w:shd w:val="clear" w:color="auto" w:fill="FFFFFF"/>
              </w:rPr>
              <w:t>0.5</w:t>
            </w:r>
            <w:r>
              <w:rPr>
                <w:rFonts w:hint="eastAsia" w:ascii="华文楷体" w:hAnsi="华文楷体" w:eastAsia="华文楷体" w:cs="宋体"/>
                <w:shd w:val="clear" w:color="auto" w:fill="FFFFFF"/>
                <w:lang w:val="zh-CN"/>
              </w:rPr>
              <w:t>分，满分1分；所投产品为环保产品的每提供一个得</w:t>
            </w:r>
            <w:r>
              <w:rPr>
                <w:rFonts w:hint="eastAsia" w:ascii="华文楷体" w:hAnsi="华文楷体" w:eastAsia="华文楷体" w:cs="宋体"/>
                <w:shd w:val="clear" w:color="auto" w:fill="FFFFFF"/>
              </w:rPr>
              <w:t>0.5</w:t>
            </w:r>
            <w:r>
              <w:rPr>
                <w:rFonts w:hint="eastAsia" w:ascii="华文楷体" w:hAnsi="华文楷体" w:eastAsia="华文楷体" w:cs="宋体"/>
                <w:shd w:val="clear" w:color="auto" w:fill="FFFFFF"/>
                <w:lang w:val="zh-CN"/>
              </w:rPr>
              <w:t>分，满分1分；未提供不得分。此项满分2分，</w:t>
            </w:r>
            <w:r>
              <w:rPr>
                <w:rFonts w:hint="eastAsia" w:ascii="华文楷体" w:hAnsi="华文楷体" w:eastAsia="华文楷体" w:cs="宋体"/>
                <w:lang w:val="zh-CN"/>
              </w:rPr>
              <w:t>该项得分的认定以《国家节能产品认证证书》、《中国环境标志产品认证证书》为准，政府强制采购产品除外。</w:t>
            </w:r>
          </w:p>
          <w:p w14:paraId="4FD1F3FF">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b/>
                <w:shd w:val="clear" w:color="auto" w:fill="FFFFFF"/>
                <w:lang w:val="zh-CN"/>
              </w:rPr>
              <w:t>（3）样品评审【1</w:t>
            </w:r>
            <w:r>
              <w:rPr>
                <w:rFonts w:ascii="华文楷体" w:hAnsi="华文楷体" w:eastAsia="华文楷体" w:cs="宋体"/>
                <w:b/>
                <w:shd w:val="clear" w:color="auto" w:fill="FFFFFF"/>
                <w:lang w:val="zh-CN"/>
              </w:rPr>
              <w:t>0</w:t>
            </w:r>
            <w:r>
              <w:rPr>
                <w:rFonts w:hint="eastAsia" w:ascii="华文楷体" w:hAnsi="华文楷体" w:eastAsia="华文楷体" w:cs="宋体"/>
                <w:b/>
                <w:shd w:val="clear" w:color="auto" w:fill="FFFFFF"/>
                <w:lang w:val="zh-CN"/>
              </w:rPr>
              <w:t>分】</w:t>
            </w:r>
            <w:r>
              <w:rPr>
                <w:rFonts w:hint="eastAsia" w:ascii="华文楷体" w:hAnsi="华文楷体" w:eastAsia="华文楷体" w:cs="宋体"/>
                <w:lang w:val="zh-CN"/>
              </w:rPr>
              <w:t>：</w:t>
            </w:r>
          </w:p>
          <w:p w14:paraId="248AEEF7">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样品评审标准：评标委员会综合考虑样品制作工艺、外观、操作、安全，投标产品技术参数、指标，并结合现场评审情况，进行评价打分。</w:t>
            </w:r>
          </w:p>
          <w:p w14:paraId="72966BC7">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①样品制作工艺精细程度、外观质量、安全性能完全满足或高于招标文件要求，无任何问题的得10分；</w:t>
            </w:r>
          </w:p>
          <w:p w14:paraId="4F8754F8">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②样品制作工艺精细程度、外观质量、安全性能与招标文件要求有细微偏差，仍能满足采购需求的得</w:t>
            </w:r>
            <w:r>
              <w:rPr>
                <w:rFonts w:ascii="华文楷体" w:hAnsi="华文楷体" w:eastAsia="华文楷体" w:cs="宋体"/>
                <w:lang w:val="zh-CN"/>
              </w:rPr>
              <w:t>8</w:t>
            </w:r>
            <w:r>
              <w:rPr>
                <w:rFonts w:hint="eastAsia" w:ascii="华文楷体" w:hAnsi="华文楷体" w:eastAsia="华文楷体" w:cs="宋体"/>
                <w:lang w:val="zh-CN"/>
              </w:rPr>
              <w:t>分；</w:t>
            </w:r>
          </w:p>
          <w:p w14:paraId="0DFB9C90">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 xml:space="preserve">③样品制作工艺精细程度、外观质量、安全性能与招标文件要求有部分偏差，但不影响产品主要功能的得 </w:t>
            </w:r>
            <w:r>
              <w:rPr>
                <w:rFonts w:ascii="华文楷体" w:hAnsi="华文楷体" w:eastAsia="华文楷体" w:cs="宋体"/>
                <w:lang w:val="zh-CN"/>
              </w:rPr>
              <w:t>6</w:t>
            </w:r>
            <w:r>
              <w:rPr>
                <w:rFonts w:hint="eastAsia" w:ascii="华文楷体" w:hAnsi="华文楷体" w:eastAsia="华文楷体" w:cs="宋体"/>
                <w:lang w:val="zh-CN"/>
              </w:rPr>
              <w:t xml:space="preserve">分； </w:t>
            </w:r>
          </w:p>
          <w:p w14:paraId="7CBC5011">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④样品制作工艺精细程度、外观质量、安全性能与招标文件要求有较大偏差，影响产品主要功能，但有部分功能仍能满足采购需求的得4分。</w:t>
            </w:r>
          </w:p>
          <w:p w14:paraId="23F0F306">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⑤样品制作工艺精细程度、外观质量、安全性能与招标文件要求有重大偏差，影响产品主要功能，但有部分功能仍能满足采购需求的得</w:t>
            </w:r>
            <w:r>
              <w:rPr>
                <w:rFonts w:ascii="华文楷体" w:hAnsi="华文楷体" w:eastAsia="华文楷体" w:cs="宋体"/>
                <w:lang w:val="zh-CN"/>
              </w:rPr>
              <w:t>2</w:t>
            </w:r>
            <w:r>
              <w:rPr>
                <w:rFonts w:hint="eastAsia" w:ascii="华文楷体" w:hAnsi="华文楷体" w:eastAsia="华文楷体" w:cs="宋体"/>
                <w:lang w:val="zh-CN"/>
              </w:rPr>
              <w:t>分。</w:t>
            </w:r>
          </w:p>
          <w:p w14:paraId="0EA41346">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以下情形时，样品评审得分为0分：</w:t>
            </w:r>
          </w:p>
          <w:p w14:paraId="2D05F47D">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①未提供样品或未与样品一并提交技术参数、指标的技术支持资料（技术支持资料以招标文件要求为准）；</w:t>
            </w:r>
          </w:p>
          <w:p w14:paraId="55D9DED5">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②样品上无产品铭牌或永久性标识（三无产品）；</w:t>
            </w:r>
          </w:p>
          <w:p w14:paraId="0FC26DFC">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③所提供样品与投标文件中载明的品牌型号不一致；</w:t>
            </w:r>
          </w:p>
          <w:p w14:paraId="5EC4CE81">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④与样品一并提交的技术支持资料与投标文件内容不一致。说明:</w:t>
            </w:r>
          </w:p>
          <w:p w14:paraId="15F5FA37">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①所有样品分别进行评审赋分；</w:t>
            </w:r>
          </w:p>
          <w:p w14:paraId="03C582AE">
            <w:pPr>
              <w:pStyle w:val="24"/>
              <w:spacing w:before="0" w:beforeAutospacing="0" w:after="0" w:afterAutospacing="0" w:line="460" w:lineRule="exact"/>
              <w:jc w:val="both"/>
              <w:rPr>
                <w:rFonts w:ascii="华文楷体" w:hAnsi="华文楷体" w:eastAsia="华文楷体" w:cs="宋体"/>
                <w:b/>
                <w:bCs/>
              </w:rPr>
            </w:pPr>
            <w:r>
              <w:rPr>
                <w:rFonts w:hint="eastAsia" w:ascii="华文楷体" w:hAnsi="华文楷体" w:eastAsia="华文楷体" w:cs="宋体"/>
                <w:b/>
                <w:bCs/>
              </w:rPr>
              <w:t>②样品总得分计算方法:所有样品得分之和/样品数量(如:某个包有x项样品，每项样品满分10分，该包样品得分=X项样品得分相加后除以x)。</w:t>
            </w:r>
          </w:p>
          <w:p w14:paraId="2AE6B921">
            <w:pPr>
              <w:pStyle w:val="24"/>
              <w:spacing w:before="0" w:beforeAutospacing="0" w:after="0" w:afterAutospacing="0" w:line="460" w:lineRule="exact"/>
              <w:jc w:val="both"/>
              <w:rPr>
                <w:rFonts w:ascii="华文楷体" w:hAnsi="华文楷体" w:eastAsia="华文楷体" w:cs="宋体"/>
                <w:lang w:val="zh-CN"/>
              </w:rPr>
            </w:pPr>
            <w:r>
              <w:rPr>
                <w:rFonts w:ascii="华文楷体" w:hAnsi="华文楷体" w:eastAsia="华文楷体" w:cs="宋体"/>
                <w:b/>
                <w:bCs/>
              </w:rPr>
              <w:t>（4）</w:t>
            </w:r>
            <w:r>
              <w:rPr>
                <w:rFonts w:hint="eastAsia" w:ascii="华文楷体" w:hAnsi="华文楷体" w:eastAsia="华文楷体" w:cs="宋体"/>
                <w:b/>
                <w:bCs/>
              </w:rPr>
              <w:t>视频演示</w:t>
            </w:r>
            <w:r>
              <w:rPr>
                <w:rFonts w:ascii="华文楷体" w:hAnsi="华文楷体" w:eastAsia="华文楷体" w:cs="宋体"/>
                <w:b/>
                <w:bCs/>
              </w:rPr>
              <w:t>【8分】：</w:t>
            </w:r>
            <w:r>
              <w:rPr>
                <w:rFonts w:ascii="华文楷体" w:hAnsi="华文楷体" w:eastAsia="华文楷体" w:cs="宋体"/>
                <w:lang w:val="zh-CN"/>
              </w:rPr>
              <w:t>就所投</w:t>
            </w:r>
            <w:r>
              <w:rPr>
                <w:rFonts w:hint="eastAsia" w:ascii="华文楷体" w:hAnsi="华文楷体" w:eastAsia="华文楷体" w:cs="宋体"/>
                <w:lang w:val="zh-CN"/>
              </w:rPr>
              <w:t>柔性堵漏工具、堵漏工具、</w:t>
            </w:r>
            <w:r>
              <w:rPr>
                <w:rFonts w:hint="eastAsia" w:ascii="华文楷体" w:hAnsi="华文楷体" w:eastAsia="华文楷体" w:cs="宋体"/>
                <w:szCs w:val="21"/>
              </w:rPr>
              <w:t>高寒营帐、高寒帐篷</w:t>
            </w:r>
            <w:r>
              <w:rPr>
                <w:rFonts w:hint="eastAsia" w:ascii="华文楷体" w:hAnsi="华文楷体" w:eastAsia="华文楷体" w:cs="宋体"/>
                <w:lang w:val="zh-CN"/>
              </w:rPr>
              <w:t>采用视频拍摄方式，对产品进行介绍，拍摄内容包括以下：1.视频演示产品须与所投产品的品牌、规格型号保持一致；2.对所投产品的主要功能按照招标文件技术参数要求进行逐项介绍；3.对所投产品的配件组成、外观、结构等内容进行介绍；4.对产品的组装便捷性、操作性、功能性配置进行介绍。上述4个产品的视频演示内容完全符合第1-4项要求且符合采购需求的每一项得0.5分，视频演示每缺一项或对应项演示信息与投标产品不符的扣0.5分，此项评分扣完为止；</w:t>
            </w:r>
            <w:r>
              <w:rPr>
                <w:rFonts w:ascii="华文楷体" w:hAnsi="华文楷体" w:eastAsia="华文楷体" w:cs="宋体"/>
                <w:lang w:val="zh-CN"/>
              </w:rPr>
              <w:t>未提供或</w:t>
            </w:r>
            <w:r>
              <w:rPr>
                <w:rFonts w:hint="eastAsia" w:ascii="华文楷体" w:hAnsi="华文楷体" w:eastAsia="华文楷体" w:cs="宋体"/>
                <w:lang w:val="zh-CN"/>
              </w:rPr>
              <w:t>供应商提供的储存介质损坏、视频格式错误等原因导致视频无法正常播放或视频画面不清晰无法辨别的</w:t>
            </w:r>
            <w:r>
              <w:rPr>
                <w:rFonts w:ascii="华文楷体" w:hAnsi="华文楷体" w:eastAsia="华文楷体" w:cs="宋体"/>
                <w:lang w:val="zh-CN"/>
              </w:rPr>
              <w:t>不得分。投标人需提供</w:t>
            </w:r>
            <w:r>
              <w:rPr>
                <w:rFonts w:hint="eastAsia" w:ascii="华文楷体" w:hAnsi="华文楷体" w:eastAsia="华文楷体" w:cs="宋体"/>
                <w:lang w:val="zh-CN"/>
              </w:rPr>
              <w:t>演示</w:t>
            </w:r>
            <w:r>
              <w:rPr>
                <w:rFonts w:ascii="华文楷体" w:hAnsi="华文楷体" w:eastAsia="华文楷体" w:cs="宋体"/>
                <w:lang w:val="zh-CN"/>
              </w:rPr>
              <w:t>视频真实性承诺书（格式自拟）</w:t>
            </w:r>
            <w:r>
              <w:rPr>
                <w:rFonts w:hint="eastAsia" w:ascii="华文楷体" w:hAnsi="华文楷体" w:eastAsia="华文楷体" w:cs="宋体"/>
                <w:lang w:val="zh-CN"/>
              </w:rPr>
              <w:t>。</w:t>
            </w:r>
          </w:p>
          <w:p w14:paraId="2DB60DB6">
            <w:pPr>
              <w:pStyle w:val="24"/>
              <w:spacing w:before="0" w:beforeAutospacing="0" w:after="0" w:afterAutospacing="0" w:line="460" w:lineRule="exact"/>
              <w:jc w:val="both"/>
              <w:rPr>
                <w:rFonts w:ascii="华文楷体" w:hAnsi="华文楷体" w:eastAsia="华文楷体" w:cs="宋体"/>
                <w:lang w:val="zh-CN"/>
              </w:rPr>
            </w:pPr>
            <w:r>
              <w:rPr>
                <w:rFonts w:hint="eastAsia" w:ascii="华文楷体" w:hAnsi="华文楷体" w:eastAsia="华文楷体" w:cs="宋体"/>
                <w:lang w:val="zh-CN"/>
              </w:rPr>
              <w:t>注：须单独密封</w:t>
            </w:r>
            <w:r>
              <w:rPr>
                <w:rFonts w:ascii="华文楷体" w:hAnsi="华文楷体" w:eastAsia="华文楷体" w:cs="宋体"/>
                <w:lang w:val="zh-CN"/>
              </w:rPr>
              <w:t>递交2份以 U盘为载体的电子版。</w:t>
            </w:r>
          </w:p>
          <w:p w14:paraId="29615E28">
            <w:pPr>
              <w:pStyle w:val="24"/>
              <w:spacing w:before="0" w:beforeAutospacing="0" w:after="0" w:afterAutospacing="0" w:line="460" w:lineRule="exact"/>
              <w:jc w:val="both"/>
              <w:rPr>
                <w:rFonts w:ascii="华文楷体" w:hAnsi="华文楷体" w:eastAsia="华文楷体" w:cs="宋体"/>
              </w:rPr>
            </w:pPr>
            <w:r>
              <w:rPr>
                <w:rFonts w:hint="eastAsia" w:ascii="华文楷体" w:hAnsi="华文楷体" w:eastAsia="华文楷体" w:cs="宋体"/>
                <w:b/>
                <w:bCs/>
              </w:rPr>
              <w:t>（</w:t>
            </w:r>
            <w:r>
              <w:rPr>
                <w:rFonts w:ascii="华文楷体" w:hAnsi="华文楷体" w:eastAsia="华文楷体" w:cs="宋体"/>
                <w:b/>
                <w:bCs/>
              </w:rPr>
              <w:t>5</w:t>
            </w:r>
            <w:r>
              <w:rPr>
                <w:rFonts w:hint="eastAsia" w:ascii="华文楷体" w:hAnsi="华文楷体" w:eastAsia="华文楷体" w:cs="宋体"/>
                <w:b/>
                <w:bCs/>
              </w:rPr>
              <w:t>）自主创新【1分】：</w:t>
            </w:r>
            <w:r>
              <w:rPr>
                <w:rStyle w:val="75"/>
                <w:rFonts w:hint="default" w:ascii="华文楷体" w:hAnsi="华文楷体" w:eastAsia="华文楷体" w:cs="宋体"/>
                <w:color w:val="auto"/>
              </w:rPr>
              <w:t>投标产品属于自主知识产权的每提供一项得0.5分，满分1分，须提供证明材料。</w:t>
            </w:r>
          </w:p>
        </w:tc>
      </w:tr>
      <w:tr w14:paraId="0634FF97">
        <w:tblPrEx>
          <w:tblCellMar>
            <w:top w:w="0" w:type="dxa"/>
            <w:left w:w="108" w:type="dxa"/>
            <w:bottom w:w="0" w:type="dxa"/>
            <w:right w:w="108" w:type="dxa"/>
          </w:tblCellMar>
        </w:tblPrEx>
        <w:trPr>
          <w:trHeight w:val="90" w:hRule="atLeast"/>
          <w:jc w:val="center"/>
        </w:trPr>
        <w:tc>
          <w:tcPr>
            <w:tcW w:w="931" w:type="dxa"/>
            <w:tcBorders>
              <w:top w:val="single" w:color="000000" w:sz="6" w:space="0"/>
              <w:left w:val="single" w:color="000000" w:sz="6" w:space="0"/>
              <w:bottom w:val="single" w:color="000000" w:sz="6" w:space="0"/>
              <w:right w:val="single" w:color="000000" w:sz="6" w:space="0"/>
            </w:tcBorders>
            <w:vAlign w:val="center"/>
          </w:tcPr>
          <w:p w14:paraId="13C68442">
            <w:pPr>
              <w:pStyle w:val="24"/>
              <w:spacing w:before="0" w:beforeAutospacing="0" w:after="0" w:afterAutospacing="0" w:line="460" w:lineRule="exact"/>
              <w:jc w:val="center"/>
              <w:rPr>
                <w:rFonts w:ascii="华文楷体" w:hAnsi="华文楷体" w:eastAsia="华文楷体" w:cs="宋体"/>
                <w:b/>
                <w:bCs/>
              </w:rPr>
            </w:pPr>
            <w:r>
              <w:rPr>
                <w:rFonts w:hint="eastAsia" w:ascii="华文楷体" w:hAnsi="华文楷体" w:eastAsia="华文楷体" w:cs="宋体"/>
                <w:b/>
                <w:bCs/>
              </w:rPr>
              <w:t>3</w:t>
            </w:r>
          </w:p>
        </w:tc>
        <w:tc>
          <w:tcPr>
            <w:tcW w:w="1282" w:type="dxa"/>
            <w:tcBorders>
              <w:top w:val="single" w:color="000000" w:sz="6" w:space="0"/>
              <w:left w:val="single" w:color="000000" w:sz="6" w:space="0"/>
              <w:bottom w:val="single" w:color="000000" w:sz="6" w:space="0"/>
              <w:right w:val="single" w:color="000000" w:sz="6" w:space="0"/>
            </w:tcBorders>
            <w:vAlign w:val="center"/>
          </w:tcPr>
          <w:p w14:paraId="6E6ADFBE">
            <w:pPr>
              <w:pStyle w:val="24"/>
              <w:spacing w:before="0" w:beforeAutospacing="0" w:after="0" w:afterAutospacing="0" w:line="460" w:lineRule="exact"/>
              <w:jc w:val="center"/>
              <w:rPr>
                <w:rFonts w:ascii="华文楷体" w:hAnsi="华文楷体" w:eastAsia="华文楷体" w:cs="宋体"/>
                <w:b/>
                <w:bCs/>
                <w:shd w:val="clear" w:color="auto" w:fill="FFFFFF"/>
              </w:rPr>
            </w:pPr>
            <w:r>
              <w:rPr>
                <w:rFonts w:hint="eastAsia" w:ascii="华文楷体" w:hAnsi="华文楷体" w:eastAsia="华文楷体" w:cs="宋体"/>
                <w:b/>
                <w:bCs/>
                <w:shd w:val="clear" w:color="auto" w:fill="FFFFFF"/>
              </w:rPr>
              <w:t>商务评价（13%）</w:t>
            </w:r>
          </w:p>
        </w:tc>
        <w:tc>
          <w:tcPr>
            <w:tcW w:w="6472" w:type="dxa"/>
            <w:tcBorders>
              <w:top w:val="single" w:color="000000" w:sz="6" w:space="0"/>
              <w:left w:val="single" w:color="000000" w:sz="6" w:space="0"/>
              <w:bottom w:val="single" w:color="000000" w:sz="6" w:space="0"/>
              <w:right w:val="single" w:color="000000" w:sz="6" w:space="0"/>
            </w:tcBorders>
            <w:vAlign w:val="center"/>
          </w:tcPr>
          <w:p w14:paraId="4116BBD7">
            <w:pPr>
              <w:pStyle w:val="24"/>
              <w:spacing w:before="0" w:beforeAutospacing="0" w:after="0" w:afterAutospacing="0" w:line="460" w:lineRule="exact"/>
              <w:rPr>
                <w:rFonts w:ascii="华文楷体" w:hAnsi="华文楷体" w:eastAsia="华文楷体" w:cs="宋体"/>
              </w:rPr>
            </w:pPr>
            <w:r>
              <w:rPr>
                <w:rFonts w:hint="eastAsia" w:ascii="华文楷体" w:hAnsi="华文楷体" w:eastAsia="华文楷体" w:cs="宋体"/>
                <w:b/>
                <w:bCs/>
              </w:rPr>
              <w:t>（1）类似业绩情况</w:t>
            </w:r>
            <w:r>
              <w:rPr>
                <w:rFonts w:hint="eastAsia" w:ascii="华文楷体" w:hAnsi="华文楷体" w:eastAsia="华文楷体" w:cs="宋体"/>
                <w:bCs/>
                <w:lang w:val="zh-CN"/>
              </w:rPr>
              <w:t>【</w:t>
            </w:r>
            <w:r>
              <w:rPr>
                <w:rFonts w:hint="eastAsia" w:ascii="华文楷体" w:hAnsi="华文楷体" w:eastAsia="华文楷体" w:cs="宋体"/>
                <w:b/>
              </w:rPr>
              <w:t>3</w:t>
            </w:r>
            <w:r>
              <w:rPr>
                <w:rFonts w:hint="eastAsia" w:ascii="华文楷体" w:hAnsi="华文楷体" w:eastAsia="华文楷体" w:cs="宋体"/>
                <w:b/>
                <w:lang w:val="zh-CN"/>
              </w:rPr>
              <w:t>分</w:t>
            </w:r>
            <w:r>
              <w:rPr>
                <w:rFonts w:hint="eastAsia" w:ascii="华文楷体" w:hAnsi="华文楷体" w:eastAsia="华文楷体" w:cs="宋体"/>
                <w:bCs/>
                <w:lang w:val="zh-CN"/>
              </w:rPr>
              <w:t>】</w:t>
            </w:r>
            <w:r>
              <w:rPr>
                <w:rFonts w:hint="eastAsia" w:ascii="华文楷体" w:hAnsi="华文楷体" w:eastAsia="华文楷体" w:cs="宋体"/>
                <w:b/>
                <w:bCs/>
              </w:rPr>
              <w:t>：</w:t>
            </w:r>
            <w:r>
              <w:rPr>
                <w:rFonts w:hint="eastAsia" w:ascii="华文楷体" w:hAnsi="华文楷体" w:eastAsia="华文楷体" w:cs="宋体"/>
              </w:rPr>
              <w:t>提供近三年（2022年01月01日至2025年0</w:t>
            </w:r>
            <w:r>
              <w:rPr>
                <w:rFonts w:hint="eastAsia" w:ascii="华文楷体" w:hAnsi="华文楷体" w:eastAsia="华文楷体" w:cs="宋体"/>
                <w:lang w:val="en-US" w:eastAsia="zh-CN"/>
              </w:rPr>
              <w:t>4</w:t>
            </w:r>
            <w:r>
              <w:rPr>
                <w:rFonts w:hint="eastAsia" w:ascii="华文楷体" w:hAnsi="华文楷体" w:eastAsia="华文楷体" w:cs="宋体"/>
              </w:rPr>
              <w:t>月01日）的投标人类似业绩证明材料，每提供1项得0.5分，满分3分，未提供不得分；（提供业绩证明材料：①合同复印件（应包含合同首页、标的及金额所在页、签字盖章页。）、②销售发票复印件、③验收证明材料复印件（验收证明材料须提供使用单位加盖公章或验收人员签字的验收证明材料），以上三项内容缺一不可，未按要求提供完整证明材料的不得分。）</w:t>
            </w:r>
          </w:p>
          <w:p w14:paraId="04D6CDF9">
            <w:pPr>
              <w:pStyle w:val="24"/>
              <w:widowControl/>
              <w:spacing w:before="0" w:beforeAutospacing="0" w:after="0" w:afterAutospacing="0" w:line="460" w:lineRule="exact"/>
              <w:jc w:val="both"/>
              <w:rPr>
                <w:rFonts w:ascii="华文楷体" w:hAnsi="华文楷体" w:eastAsia="华文楷体" w:cs="宋体"/>
              </w:rPr>
            </w:pPr>
            <w:r>
              <w:rPr>
                <w:rFonts w:hint="eastAsia" w:ascii="华文楷体" w:hAnsi="华文楷体" w:eastAsia="华文楷体" w:cs="宋体"/>
                <w:b/>
                <w:bCs/>
              </w:rPr>
              <w:t>（2）实施方案【3分】</w:t>
            </w:r>
            <w:r>
              <w:rPr>
                <w:rFonts w:hint="eastAsia" w:ascii="华文楷体" w:hAnsi="华文楷体" w:eastAsia="华文楷体" w:cs="宋体"/>
              </w:rPr>
              <w:t>：根据项目特点提供详尽的实施方案，</w:t>
            </w:r>
            <w:r>
              <w:rPr>
                <w:rFonts w:hint="eastAsia" w:ascii="华文楷体" w:hAnsi="华文楷体" w:eastAsia="华文楷体" w:cs="宋体"/>
                <w:lang w:val="zh-CN"/>
              </w:rPr>
              <w:t>包</w:t>
            </w:r>
            <w:r>
              <w:rPr>
                <w:rFonts w:hint="eastAsia" w:ascii="华文楷体" w:hAnsi="华文楷体" w:eastAsia="华文楷体" w:cs="宋体"/>
              </w:rPr>
              <w:t>括</w:t>
            </w:r>
            <w:r>
              <w:rPr>
                <w:rFonts w:hint="eastAsia" w:ascii="华文楷体" w:hAnsi="华文楷体" w:eastAsia="华文楷体" w:cs="宋体"/>
                <w:lang w:val="zh-CN"/>
              </w:rPr>
              <w:t>：①实施计划、②实施团队、</w:t>
            </w:r>
            <w:r>
              <w:rPr>
                <w:rFonts w:hint="eastAsia" w:ascii="华文楷体" w:hAnsi="华文楷体" w:eastAsia="华文楷体" w:cs="宋体"/>
              </w:rPr>
              <w:t>③</w:t>
            </w:r>
            <w:r>
              <w:rPr>
                <w:rFonts w:hint="eastAsia" w:ascii="华文楷体" w:hAnsi="华文楷体" w:eastAsia="华文楷体" w:cs="宋体"/>
                <w:lang w:val="zh-CN"/>
              </w:rPr>
              <w:t>实施进度。</w:t>
            </w:r>
            <w:r>
              <w:rPr>
                <w:rFonts w:hint="eastAsia" w:ascii="华文楷体" w:hAnsi="华文楷体" w:eastAsia="华文楷体" w:cs="宋体"/>
              </w:rPr>
              <w:t>针对上述每一项要求作出了详细的方案且符合采购需求的得3分</w:t>
            </w:r>
            <w:r>
              <w:rPr>
                <w:rFonts w:hint="eastAsia" w:ascii="华文楷体" w:hAnsi="华文楷体" w:eastAsia="华文楷体" w:cs="宋体"/>
                <w:lang w:val="zh-CN"/>
              </w:rPr>
              <w:t>；每缺少一项内容扣</w:t>
            </w:r>
            <w:r>
              <w:rPr>
                <w:rFonts w:hint="eastAsia" w:ascii="华文楷体" w:hAnsi="华文楷体" w:eastAsia="华文楷体" w:cs="宋体"/>
              </w:rPr>
              <w:t>1</w:t>
            </w:r>
            <w:r>
              <w:rPr>
                <w:rFonts w:hint="eastAsia" w:ascii="华文楷体" w:hAnsi="华文楷体" w:eastAsia="华文楷体" w:cs="宋体"/>
                <w:lang w:val="zh-CN"/>
              </w:rPr>
              <w:t>分；所提供的每项内容中每有一处缺陷的扣0.5分。</w:t>
            </w:r>
            <w:r>
              <w:rPr>
                <w:rFonts w:hint="eastAsia" w:ascii="华文楷体" w:hAnsi="华文楷体" w:eastAsia="华文楷体" w:cs="宋体"/>
                <w:shd w:val="clear" w:color="auto" w:fill="FFFFFF"/>
              </w:rPr>
              <w:t>扣完为止。</w:t>
            </w:r>
            <w:r>
              <w:rPr>
                <w:rFonts w:hint="eastAsia" w:ascii="华文楷体" w:hAnsi="华文楷体" w:eastAsia="华文楷体" w:cs="宋体"/>
                <w:lang w:val="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存在明显逻辑性错误)，</w:t>
            </w:r>
            <w:r>
              <w:rPr>
                <w:rFonts w:hint="eastAsia" w:ascii="华文楷体" w:hAnsi="华文楷体" w:eastAsia="华文楷体" w:cs="宋体"/>
              </w:rPr>
              <w:t>未提供不得分。</w:t>
            </w:r>
          </w:p>
          <w:p w14:paraId="7A04A71C">
            <w:pPr>
              <w:pStyle w:val="24"/>
              <w:widowControl/>
              <w:spacing w:before="0" w:beforeAutospacing="0" w:after="0" w:afterAutospacing="0" w:line="460" w:lineRule="exact"/>
              <w:jc w:val="both"/>
              <w:rPr>
                <w:rFonts w:ascii="华文楷体" w:hAnsi="华文楷体" w:eastAsia="华文楷体" w:cs="宋体"/>
              </w:rPr>
            </w:pPr>
            <w:r>
              <w:rPr>
                <w:rFonts w:hint="eastAsia" w:ascii="华文楷体" w:hAnsi="华文楷体" w:eastAsia="华文楷体" w:cs="宋体"/>
                <w:b/>
                <w:bCs/>
              </w:rPr>
              <w:t>（3）质量保证方案【4分】：</w:t>
            </w:r>
            <w:r>
              <w:rPr>
                <w:rFonts w:hint="eastAsia" w:ascii="华文楷体" w:hAnsi="华文楷体" w:eastAsia="华文楷体" w:cs="宋体"/>
              </w:rPr>
              <w:t>根据项目特点提供详尽的质量保证方案，包括：①质量管理制度、②质量保障措施、</w:t>
            </w:r>
            <w:r>
              <w:rPr>
                <w:rStyle w:val="75"/>
                <w:rFonts w:hint="default" w:ascii="华文楷体" w:hAnsi="华文楷体" w:eastAsia="华文楷体" w:cs="宋体"/>
                <w:color w:val="auto"/>
              </w:rPr>
              <w:t>③质量回访流程及方案、</w:t>
            </w:r>
            <w:r>
              <w:rPr>
                <w:rFonts w:hint="eastAsia" w:ascii="华文楷体" w:hAnsi="华文楷体" w:eastAsia="华文楷体" w:cs="宋体"/>
              </w:rPr>
              <w:t>④质量问题退换货流程及方案。针对上述每一项要求作出了详细的方案及承诺且符合采购需求的得4分；每缺少一项内容扣1分；所提供的每项内容中每有一处缺陷的扣0.5分。</w:t>
            </w:r>
            <w:r>
              <w:rPr>
                <w:rFonts w:hint="eastAsia" w:ascii="华文楷体" w:hAnsi="华文楷体" w:eastAsia="华文楷体" w:cs="宋体"/>
                <w:shd w:val="clear" w:color="auto" w:fill="FFFFFF"/>
              </w:rPr>
              <w:t>扣完为止。</w:t>
            </w:r>
            <w:r>
              <w:rPr>
                <w:rFonts w:hint="eastAsia" w:ascii="华文楷体" w:hAnsi="华文楷体" w:eastAsia="华文楷体" w:cs="宋体"/>
                <w:lang w:val="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存在明显逻辑性错误)。</w:t>
            </w:r>
            <w:r>
              <w:rPr>
                <w:rFonts w:hint="eastAsia" w:ascii="华文楷体" w:hAnsi="华文楷体" w:eastAsia="华文楷体" w:cs="宋体"/>
              </w:rPr>
              <w:t>未提供不得分。</w:t>
            </w:r>
          </w:p>
          <w:p w14:paraId="6A19D49F">
            <w:pPr>
              <w:pStyle w:val="2"/>
              <w:spacing w:line="460" w:lineRule="exact"/>
              <w:rPr>
                <w:rFonts w:ascii="华文楷体" w:hAnsi="华文楷体" w:eastAsia="华文楷体" w:cs="宋体"/>
              </w:rPr>
            </w:pPr>
            <w:r>
              <w:rPr>
                <w:rFonts w:hint="eastAsia" w:ascii="华文楷体" w:hAnsi="华文楷体" w:eastAsia="华文楷体" w:cs="宋体"/>
                <w:b/>
                <w:bCs/>
              </w:rPr>
              <w:t>（4）售后服务方案【3分】：</w:t>
            </w:r>
            <w:r>
              <w:rPr>
                <w:rFonts w:hint="eastAsia" w:ascii="华文楷体" w:hAnsi="华文楷体" w:eastAsia="华文楷体" w:cs="宋体"/>
              </w:rPr>
              <w:t>根据项目特点提供详尽的售后服务方案，包括：①服务团队、②服务响应时间、③售后服务内容。针对上述每一项要求作出了详细的方案且符合采购需求的得3分；每缺少一项内容扣1分；所提供的每项内容中每有一处缺陷的扣0.5分。</w:t>
            </w:r>
            <w:r>
              <w:rPr>
                <w:rFonts w:hint="eastAsia" w:ascii="华文楷体" w:hAnsi="华文楷体" w:eastAsia="华文楷体" w:cs="宋体"/>
                <w:shd w:val="clear" w:color="auto" w:fill="FFFFFF"/>
              </w:rPr>
              <w:t>扣完为止。</w:t>
            </w:r>
            <w:r>
              <w:rPr>
                <w:rFonts w:hint="eastAsia" w:ascii="华文楷体" w:hAnsi="华文楷体" w:eastAsia="华文楷体" w:cs="宋体"/>
                <w:lang w:val="zh-CN"/>
              </w:rPr>
              <w:t>(注：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存在明显逻辑性错误)，</w:t>
            </w:r>
            <w:r>
              <w:rPr>
                <w:rFonts w:hint="eastAsia" w:ascii="华文楷体" w:hAnsi="华文楷体" w:eastAsia="华文楷体" w:cs="宋体"/>
              </w:rPr>
              <w:t>未提供不得分。</w:t>
            </w:r>
          </w:p>
        </w:tc>
      </w:tr>
    </w:tbl>
    <w:p w14:paraId="0219C293">
      <w:pPr>
        <w:rPr>
          <w:rFonts w:ascii="华文楷体" w:hAnsi="华文楷体" w:eastAsia="华文楷体"/>
        </w:rPr>
      </w:pPr>
    </w:p>
    <w:p w14:paraId="1F461B88">
      <w:pPr>
        <w:pStyle w:val="2"/>
        <w:spacing w:after="0"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20.3 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179A79B3">
      <w:p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20.4 评标结果汇总完成后，除下列情形外，任何人不得修改评标结果：</w:t>
      </w:r>
    </w:p>
    <w:p w14:paraId="17B413F1">
      <w:p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（1）分值汇总计算错误的；</w:t>
      </w:r>
    </w:p>
    <w:p w14:paraId="4CB5B734">
      <w:p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（2）分项评分超出评分标准范围的；</w:t>
      </w:r>
    </w:p>
    <w:p w14:paraId="7CAE5530">
      <w:p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（3）评标委员会成员对客观评审因素评分不一致的；</w:t>
      </w:r>
    </w:p>
    <w:p w14:paraId="116B8D33">
      <w:p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（4）经评标委员会认定评分畸高、畸低的。</w:t>
      </w:r>
    </w:p>
    <w:p w14:paraId="42F8F326">
      <w:p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评标报告签署前，经复核发现存在以上情形之一的，评标委员会应当当场修改评标结果，并在评标报告中记载；评标报告签署后，采购人或者采购代理机构发现存在以上情形之一的，应当组织原评标委员会进行重新评审，重新评审改变评标结果的，书面报告本级财政部门。</w:t>
      </w:r>
    </w:p>
    <w:p w14:paraId="2F7E81C4">
      <w:pPr>
        <w:autoSpaceDE w:val="0"/>
        <w:autoSpaceDN w:val="0"/>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shd w:val="clear" w:color="auto" w:fill="FFFFFF"/>
        </w:rPr>
        <w:t>投标人对以上情形提出质疑的，采购人或者采购代理机构可以组织原评标委员会进行重新评审，重新评审改变评标结果的，应当书面报告本级财政部门。</w:t>
      </w:r>
    </w:p>
    <w:p w14:paraId="2C3718D4">
      <w:pPr>
        <w:pStyle w:val="25"/>
        <w:spacing w:before="0" w:after="0" w:line="360" w:lineRule="auto"/>
        <w:rPr>
          <w:rFonts w:ascii="华文楷体" w:hAnsi="华文楷体" w:eastAsia="华文楷体" w:cs="宋体"/>
          <w:lang w:val="zh-CN"/>
        </w:rPr>
      </w:pPr>
      <w:bookmarkStart w:id="121" w:name="_Toc10967"/>
      <w:bookmarkStart w:id="122" w:name="_Toc184345915"/>
      <w:bookmarkStart w:id="123" w:name="_Toc12456"/>
      <w:r>
        <w:rPr>
          <w:rFonts w:hint="eastAsia" w:ascii="华文楷体" w:hAnsi="华文楷体" w:eastAsia="华文楷体" w:cs="宋体"/>
          <w:lang w:val="zh-CN"/>
        </w:rPr>
        <w:t>八、中标</w:t>
      </w:r>
      <w:bookmarkEnd w:id="121"/>
      <w:bookmarkEnd w:id="122"/>
      <w:bookmarkEnd w:id="123"/>
    </w:p>
    <w:p w14:paraId="2CA989D1">
      <w:pPr>
        <w:pStyle w:val="25"/>
        <w:spacing w:before="0" w:after="0" w:line="360" w:lineRule="auto"/>
        <w:jc w:val="left"/>
        <w:rPr>
          <w:rFonts w:ascii="华文楷体" w:hAnsi="华文楷体" w:eastAsia="华文楷体" w:cs="宋体"/>
          <w:lang w:val="zh-CN"/>
        </w:rPr>
      </w:pPr>
      <w:bookmarkStart w:id="124" w:name="_Toc184345916"/>
      <w:bookmarkStart w:id="125" w:name="_Toc515908197"/>
      <w:bookmarkStart w:id="126" w:name="_Toc12768"/>
      <w:r>
        <w:rPr>
          <w:rFonts w:hint="eastAsia" w:ascii="华文楷体" w:hAnsi="华文楷体" w:eastAsia="华文楷体" w:cs="宋体"/>
          <w:sz w:val="28"/>
          <w:szCs w:val="28"/>
          <w:lang w:val="zh-CN"/>
        </w:rPr>
        <w:t>2</w:t>
      </w:r>
      <w:r>
        <w:rPr>
          <w:rFonts w:hint="eastAsia" w:ascii="华文楷体" w:hAnsi="华文楷体" w:eastAsia="华文楷体" w:cs="宋体"/>
          <w:sz w:val="28"/>
          <w:szCs w:val="28"/>
        </w:rPr>
        <w:t>1</w:t>
      </w:r>
      <w:r>
        <w:rPr>
          <w:rFonts w:hint="eastAsia" w:ascii="华文楷体" w:hAnsi="华文楷体" w:eastAsia="华文楷体" w:cs="宋体"/>
          <w:sz w:val="28"/>
          <w:szCs w:val="28"/>
          <w:lang w:val="zh-CN"/>
        </w:rPr>
        <w:t>.推荐并确定中标人</w:t>
      </w:r>
      <w:bookmarkEnd w:id="124"/>
      <w:bookmarkEnd w:id="125"/>
      <w:bookmarkEnd w:id="126"/>
    </w:p>
    <w:p w14:paraId="2EE5B9BE">
      <w:pPr>
        <w:autoSpaceDE w:val="0"/>
        <w:autoSpaceDN w:val="0"/>
        <w:spacing w:line="360" w:lineRule="auto"/>
        <w:ind w:firstLine="480" w:firstLineChars="200"/>
        <w:rPr>
          <w:rFonts w:ascii="华文楷体" w:hAnsi="华文楷体" w:eastAsia="华文楷体" w:cs="宋体"/>
        </w:rPr>
      </w:pPr>
      <w:r>
        <w:rPr>
          <w:rFonts w:hint="eastAsia" w:ascii="华文楷体" w:hAnsi="华文楷体" w:eastAsia="华文楷体" w:cs="宋体"/>
        </w:rPr>
        <w:t>21.1 采购代理机构应当在评标结束后2个工作日内将评标报告送采购人。采购人应当自收到评标报告之日起５个工作日内，在评标报告确定的中标候选人名单中按顺序确定中标人。中标候选人并列的，由采购人或者采购人委托评标委员会按照招标文件规定的方式确定中标人；招标文件未规定的，采取随机抽取的方式确定。</w:t>
      </w:r>
    </w:p>
    <w:p w14:paraId="5BD4F6A1">
      <w:pPr>
        <w:autoSpaceDE w:val="0"/>
        <w:autoSpaceDN w:val="0"/>
        <w:spacing w:line="360" w:lineRule="auto"/>
        <w:ind w:firstLine="480" w:firstLineChars="200"/>
        <w:rPr>
          <w:rFonts w:ascii="华文楷体" w:hAnsi="华文楷体" w:eastAsia="华文楷体" w:cs="宋体"/>
        </w:rPr>
      </w:pPr>
      <w:r>
        <w:rPr>
          <w:rFonts w:hint="eastAsia" w:ascii="华文楷体" w:hAnsi="华文楷体" w:eastAsia="华文楷体" w:cs="宋体"/>
        </w:rPr>
        <w:t>21.2 采购人自行组织招标的，应当在评标结束后5个工作日内确定中标人。</w:t>
      </w:r>
    </w:p>
    <w:p w14:paraId="7D81839D">
      <w:pPr>
        <w:autoSpaceDE w:val="0"/>
        <w:autoSpaceDN w:val="0"/>
        <w:spacing w:line="360" w:lineRule="auto"/>
        <w:ind w:firstLine="480" w:firstLineChars="200"/>
        <w:rPr>
          <w:rFonts w:ascii="华文楷体" w:hAnsi="华文楷体" w:eastAsia="华文楷体" w:cs="宋体"/>
        </w:rPr>
      </w:pPr>
      <w:r>
        <w:rPr>
          <w:rFonts w:hint="eastAsia" w:ascii="华文楷体" w:hAnsi="华文楷体" w:eastAsia="华文楷体" w:cs="宋体"/>
        </w:rPr>
        <w:t>21.3 采购人在收到评标报告5个工作日内未按评标报告推荐的中标候选人顺序确定中标人，又不能说明合法理由的，视同按评标报告推荐的顺序确定排名第一的中标候选人为中标人。</w:t>
      </w:r>
    </w:p>
    <w:p w14:paraId="74C1D436">
      <w:pPr>
        <w:pStyle w:val="25"/>
        <w:spacing w:before="0" w:after="0" w:line="360" w:lineRule="auto"/>
        <w:jc w:val="left"/>
        <w:rPr>
          <w:rFonts w:ascii="华文楷体" w:hAnsi="华文楷体" w:eastAsia="华文楷体" w:cs="宋体"/>
          <w:lang w:val="zh-CN"/>
        </w:rPr>
      </w:pPr>
      <w:bookmarkStart w:id="127" w:name="_Toc184345917"/>
      <w:bookmarkStart w:id="128" w:name="_Toc515908198"/>
      <w:bookmarkStart w:id="129" w:name="_Toc15894"/>
      <w:r>
        <w:rPr>
          <w:rFonts w:hint="eastAsia" w:ascii="华文楷体" w:hAnsi="华文楷体" w:eastAsia="华文楷体" w:cs="宋体"/>
          <w:sz w:val="28"/>
          <w:szCs w:val="28"/>
          <w:lang w:val="zh-CN"/>
        </w:rPr>
        <w:t>2</w:t>
      </w:r>
      <w:r>
        <w:rPr>
          <w:rFonts w:hint="eastAsia" w:ascii="华文楷体" w:hAnsi="华文楷体" w:eastAsia="华文楷体" w:cs="宋体"/>
          <w:sz w:val="28"/>
          <w:szCs w:val="28"/>
        </w:rPr>
        <w:t>2</w:t>
      </w:r>
      <w:r>
        <w:rPr>
          <w:rFonts w:hint="eastAsia" w:ascii="华文楷体" w:hAnsi="华文楷体" w:eastAsia="华文楷体" w:cs="宋体"/>
          <w:sz w:val="28"/>
          <w:szCs w:val="28"/>
          <w:lang w:val="zh-CN"/>
        </w:rPr>
        <w:t>.中标通知</w:t>
      </w:r>
      <w:bookmarkEnd w:id="127"/>
      <w:bookmarkEnd w:id="128"/>
      <w:bookmarkEnd w:id="129"/>
    </w:p>
    <w:p w14:paraId="1F7B5EF7">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22.1 采购人或者采购代理机构应当自中标人确定之日起2个工作日内，在省级以上财政部门指定的媒体上公告中标结果。</w:t>
      </w:r>
    </w:p>
    <w:p w14:paraId="7CA8395F">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22.2 中标结果公告内容应当包括采购人及其委托的采购代理机构的名称、地址、联系方式，项目名称和项目编号，中标人名称、地址和中标金额，主要中标标的的名称、规格型号、数量、单价、服务要求，中标公告期限以及评审专家名单。</w:t>
      </w:r>
    </w:p>
    <w:p w14:paraId="59FBD606">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22.3 中标公告期限为1个工作日。</w:t>
      </w:r>
    </w:p>
    <w:p w14:paraId="4BB5F78B">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22.4 在公告中标结果的同时，</w:t>
      </w:r>
      <w:r>
        <w:rPr>
          <w:rFonts w:hint="eastAsia" w:ascii="华文楷体" w:hAnsi="华文楷体" w:eastAsia="华文楷体" w:cs="宋体"/>
          <w:shd w:val="clear" w:color="auto" w:fill="FFFFFF"/>
        </w:rPr>
        <w:t>采购代理机构</w:t>
      </w:r>
      <w:r>
        <w:rPr>
          <w:rFonts w:hint="eastAsia" w:ascii="华文楷体" w:hAnsi="华文楷体" w:eastAsia="华文楷体" w:cs="宋体"/>
          <w:kern w:val="0"/>
        </w:rPr>
        <w:t>应当向中标人发出中标通知书；对投标无效的投标人，采购人或采购代理机构应当告知其投标无效的原因；采用综合评分法评审的，还应当告知未中标人本人的评审得分与排序。</w:t>
      </w:r>
    </w:p>
    <w:p w14:paraId="11C9980E">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22.5 中标通知书发出后，采购人不得违法改变中标结果，中标人无正当理由不得放弃中标。</w:t>
      </w:r>
    </w:p>
    <w:p w14:paraId="6A1CADA7">
      <w:pPr>
        <w:pStyle w:val="25"/>
        <w:spacing w:before="0" w:after="0" w:line="360" w:lineRule="auto"/>
        <w:rPr>
          <w:rFonts w:ascii="华文楷体" w:hAnsi="华文楷体" w:eastAsia="华文楷体" w:cs="宋体"/>
          <w:lang w:val="zh-CN"/>
        </w:rPr>
      </w:pPr>
      <w:bookmarkStart w:id="130" w:name="_Toc184345918"/>
      <w:bookmarkStart w:id="131" w:name="_Toc7953"/>
      <w:bookmarkStart w:id="132" w:name="_Toc28727"/>
      <w:r>
        <w:rPr>
          <w:rFonts w:hint="eastAsia" w:ascii="华文楷体" w:hAnsi="华文楷体" w:eastAsia="华文楷体" w:cs="宋体"/>
          <w:lang w:val="zh-CN"/>
        </w:rPr>
        <w:t>九、授予合同</w:t>
      </w:r>
      <w:bookmarkEnd w:id="130"/>
      <w:bookmarkEnd w:id="131"/>
      <w:bookmarkEnd w:id="132"/>
    </w:p>
    <w:p w14:paraId="3A24A0D8">
      <w:pPr>
        <w:pStyle w:val="25"/>
        <w:spacing w:before="0" w:after="0" w:line="360" w:lineRule="auto"/>
        <w:jc w:val="left"/>
        <w:rPr>
          <w:rFonts w:ascii="华文楷体" w:hAnsi="华文楷体" w:eastAsia="华文楷体" w:cs="宋体"/>
          <w:kern w:val="0"/>
          <w:sz w:val="24"/>
        </w:rPr>
      </w:pPr>
      <w:bookmarkStart w:id="133" w:name="_Toc25978"/>
      <w:bookmarkStart w:id="134" w:name="_Toc184345919"/>
      <w:bookmarkStart w:id="135" w:name="_Toc515908200"/>
      <w:r>
        <w:rPr>
          <w:rFonts w:hint="eastAsia" w:ascii="华文楷体" w:hAnsi="华文楷体" w:eastAsia="华文楷体" w:cs="宋体"/>
          <w:sz w:val="28"/>
          <w:szCs w:val="28"/>
          <w:lang w:val="zh-CN"/>
        </w:rPr>
        <w:t>2</w:t>
      </w:r>
      <w:r>
        <w:rPr>
          <w:rFonts w:hint="eastAsia" w:ascii="华文楷体" w:hAnsi="华文楷体" w:eastAsia="华文楷体" w:cs="宋体"/>
          <w:sz w:val="28"/>
          <w:szCs w:val="28"/>
        </w:rPr>
        <w:t>3</w:t>
      </w:r>
      <w:r>
        <w:rPr>
          <w:rFonts w:hint="eastAsia" w:ascii="华文楷体" w:hAnsi="华文楷体" w:eastAsia="华文楷体" w:cs="宋体"/>
          <w:sz w:val="28"/>
          <w:szCs w:val="28"/>
          <w:lang w:val="zh-CN"/>
        </w:rPr>
        <w:t>.签订合同</w:t>
      </w:r>
      <w:bookmarkEnd w:id="133"/>
      <w:bookmarkEnd w:id="134"/>
      <w:bookmarkEnd w:id="135"/>
    </w:p>
    <w:p w14:paraId="1DE65B93">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lang w:val="zh-CN"/>
        </w:rPr>
        <w:t>2</w:t>
      </w:r>
      <w:r>
        <w:rPr>
          <w:rFonts w:hint="eastAsia" w:ascii="华文楷体" w:hAnsi="华文楷体" w:eastAsia="华文楷体" w:cs="宋体"/>
          <w:kern w:val="0"/>
        </w:rPr>
        <w:t>3</w:t>
      </w:r>
      <w:r>
        <w:rPr>
          <w:rFonts w:hint="eastAsia" w:ascii="华文楷体" w:hAnsi="华文楷体" w:eastAsia="华文楷体" w:cs="宋体"/>
          <w:kern w:val="0"/>
          <w:lang w:val="zh-CN"/>
        </w:rPr>
        <w:t>.1</w:t>
      </w:r>
      <w:r>
        <w:rPr>
          <w:rFonts w:hint="eastAsia" w:ascii="华文楷体" w:hAnsi="华文楷体" w:eastAsia="华文楷体" w:cs="宋体"/>
          <w:kern w:val="0"/>
        </w:rPr>
        <w:t xml:space="preserve"> 采购人应当自中标通知书发出之日起30日内，按照招标文件和中标人投标文件的规定，与中标人签订书面合同。所签订的合同不得对招标文件确定的事项和中标人投标文件作实质性修改。</w:t>
      </w:r>
    </w:p>
    <w:p w14:paraId="6944DC58">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采购人不得向中标人提出任何不合理的要求作为签订合同的条件。</w:t>
      </w:r>
    </w:p>
    <w:p w14:paraId="6B7C5A2F">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w:t>
      </w:r>
      <w:r>
        <w:rPr>
          <w:rFonts w:hint="eastAsia" w:ascii="华文楷体" w:hAnsi="华文楷体" w:eastAsia="华文楷体" w:cs="宋体"/>
          <w:kern w:val="0"/>
        </w:rPr>
        <w:t>3</w:t>
      </w:r>
      <w:r>
        <w:rPr>
          <w:rFonts w:hint="eastAsia" w:ascii="华文楷体" w:hAnsi="华文楷体" w:eastAsia="华文楷体" w:cs="宋体"/>
          <w:kern w:val="0"/>
          <w:lang w:val="zh-CN"/>
        </w:rPr>
        <w:t>.2</w:t>
      </w:r>
      <w:r>
        <w:rPr>
          <w:rFonts w:hint="eastAsia" w:ascii="华文楷体" w:hAnsi="华文楷体" w:eastAsia="华文楷体" w:cs="宋体"/>
          <w:kern w:val="0"/>
        </w:rPr>
        <w:t xml:space="preserve"> 在签订合同后30个日历日内，中标人（乙方）应当以支票、汇票、本票或者金融机构、担保机构出具的保函等非现金形式向采购人（甲方）缴纳履约保证金。履约保证金的数额为合同金额的10%，履约保证金的有效期为中标通知书收到之日起455个日历日。</w:t>
      </w:r>
    </w:p>
    <w:p w14:paraId="65633F01">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w:t>
      </w:r>
      <w:r>
        <w:rPr>
          <w:rFonts w:hint="eastAsia" w:ascii="华文楷体" w:hAnsi="华文楷体" w:eastAsia="华文楷体" w:cs="宋体"/>
          <w:kern w:val="0"/>
        </w:rPr>
        <w:t>3</w:t>
      </w:r>
      <w:r>
        <w:rPr>
          <w:rFonts w:hint="eastAsia" w:ascii="华文楷体" w:hAnsi="华文楷体" w:eastAsia="华文楷体" w:cs="宋体"/>
          <w:kern w:val="0"/>
          <w:lang w:val="zh-CN"/>
        </w:rPr>
        <w:t>.3</w:t>
      </w:r>
      <w:r>
        <w:rPr>
          <w:rFonts w:hint="eastAsia" w:ascii="华文楷体" w:hAnsi="华文楷体" w:eastAsia="华文楷体" w:cs="宋体"/>
          <w:kern w:val="0"/>
        </w:rPr>
        <w:t xml:space="preserve"> 中标人拒绝与采购人签订合同的</w:t>
      </w:r>
      <w:r>
        <w:rPr>
          <w:rFonts w:hint="eastAsia" w:ascii="华文楷体" w:hAnsi="华文楷体" w:eastAsia="华文楷体" w:cs="宋体"/>
          <w:kern w:val="0"/>
          <w:lang w:val="zh-CN"/>
        </w:rPr>
        <w:t>，采购人可以按照评标报告推荐的中标候选人名单排序，确定下一候选人为中标人，也可重新开展政府采购活动。</w:t>
      </w:r>
    </w:p>
    <w:p w14:paraId="744A02B4">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w:t>
      </w:r>
      <w:r>
        <w:rPr>
          <w:rFonts w:hint="eastAsia" w:ascii="华文楷体" w:hAnsi="华文楷体" w:eastAsia="华文楷体" w:cs="宋体"/>
          <w:kern w:val="0"/>
        </w:rPr>
        <w:t>3</w:t>
      </w:r>
      <w:r>
        <w:rPr>
          <w:rFonts w:hint="eastAsia" w:ascii="华文楷体" w:hAnsi="华文楷体" w:eastAsia="华文楷体" w:cs="宋体"/>
          <w:kern w:val="0"/>
          <w:lang w:val="zh-CN"/>
        </w:rPr>
        <w:t>.4招标文件、中标人的投标文件、《中标通知书》及其澄清、说明文件、承诺等，均为签订采购合同的依据，作为采购合同的组成部分。</w:t>
      </w:r>
    </w:p>
    <w:p w14:paraId="05EBFC29">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 xml:space="preserve">23.5 </w:t>
      </w:r>
      <w:r>
        <w:rPr>
          <w:rFonts w:hint="eastAsia" w:ascii="华文楷体" w:hAnsi="华文楷体" w:eastAsia="华文楷体" w:cs="宋体"/>
          <w:kern w:val="0"/>
          <w:lang w:val="zh-CN"/>
        </w:rPr>
        <w:t>采购合同签订之日起</w:t>
      </w:r>
      <w:r>
        <w:rPr>
          <w:rFonts w:hint="eastAsia" w:ascii="华文楷体" w:hAnsi="华文楷体" w:eastAsia="华文楷体" w:cs="宋体"/>
          <w:kern w:val="0"/>
        </w:rPr>
        <w:t>2</w:t>
      </w:r>
      <w:r>
        <w:rPr>
          <w:rFonts w:hint="eastAsia" w:ascii="华文楷体" w:hAnsi="华文楷体" w:eastAsia="华文楷体" w:cs="宋体"/>
          <w:kern w:val="0"/>
          <w:lang w:val="zh-CN"/>
        </w:rPr>
        <w:t>个工作日内，由采购人将采购合同在</w:t>
      </w:r>
      <w:r>
        <w:rPr>
          <w:rFonts w:hint="eastAsia" w:ascii="华文楷体" w:hAnsi="华文楷体" w:eastAsia="华文楷体" w:cs="宋体"/>
          <w:kern w:val="0"/>
        </w:rPr>
        <w:t>中国</w:t>
      </w:r>
      <w:r>
        <w:rPr>
          <w:rFonts w:hint="eastAsia" w:ascii="华文楷体" w:hAnsi="华文楷体" w:eastAsia="华文楷体" w:cs="宋体"/>
          <w:kern w:val="0"/>
          <w:lang w:val="zh-CN"/>
        </w:rPr>
        <w:t>政府采购网上公告，但采购合同中涉及国家秘密、商业秘密的内容除外。</w:t>
      </w:r>
    </w:p>
    <w:p w14:paraId="7D134241">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23.6 采购人与中标人应当根据合同的约定依法履行合同义务。政府采购合同的履行、违约责任和解决争议的方法等适用《中华人民共和国民法典》。</w:t>
      </w:r>
    </w:p>
    <w:p w14:paraId="48931148">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 xml:space="preserve">23.7 </w:t>
      </w:r>
      <w:r>
        <w:rPr>
          <w:rFonts w:hint="eastAsia" w:ascii="华文楷体" w:hAnsi="华文楷体" w:eastAsia="华文楷体" w:cs="宋体"/>
        </w:rPr>
        <w:t>采购人或者采购代理机构应当按照政府采购合同规定的技术、服务、安全标准组织对投标人履约情况进行验收，并出具验收书。验收书应当包括每一项技术、服务、安全标准的履约情况。</w:t>
      </w:r>
    </w:p>
    <w:p w14:paraId="64FFC63C">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23.8 采购人可以邀请参加本项目的其他投标人或者第三方机构参与验收。参与验收的投标人或者第三方机构的意见作为验收书的参考资料一并存档。</w:t>
      </w:r>
    </w:p>
    <w:p w14:paraId="2975A70A">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23.9 采购人应当加强对中标人的履约管理，并按照采购合同约定，及时向中标人支付采购资金。对于中标人违反采购合同约定的行为，采购人应当及时处理，依法追究其违约责任。</w:t>
      </w:r>
    </w:p>
    <w:p w14:paraId="662A2A1A">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23.10 采购人、采购代理机构应当建立真实完整的招标采购档案，妥善保存每项采购活动的采购文件。</w:t>
      </w:r>
    </w:p>
    <w:p w14:paraId="51CB9E8A">
      <w:pPr>
        <w:pStyle w:val="25"/>
        <w:spacing w:before="0" w:after="0" w:line="360" w:lineRule="auto"/>
        <w:rPr>
          <w:rFonts w:ascii="华文楷体" w:hAnsi="华文楷体" w:eastAsia="华文楷体" w:cs="宋体"/>
          <w:lang w:val="zh-CN"/>
        </w:rPr>
      </w:pPr>
      <w:bookmarkStart w:id="136" w:name="_Toc16718"/>
      <w:bookmarkStart w:id="137" w:name="_Toc29423"/>
      <w:bookmarkStart w:id="138" w:name="_Toc184345920"/>
      <w:r>
        <w:rPr>
          <w:rFonts w:hint="eastAsia" w:ascii="华文楷体" w:hAnsi="华文楷体" w:eastAsia="华文楷体" w:cs="宋体"/>
          <w:lang w:val="zh-CN"/>
        </w:rPr>
        <w:t>十、其他</w:t>
      </w:r>
      <w:bookmarkEnd w:id="136"/>
      <w:bookmarkEnd w:id="137"/>
      <w:bookmarkEnd w:id="138"/>
    </w:p>
    <w:p w14:paraId="5C78BA59">
      <w:pPr>
        <w:pStyle w:val="25"/>
        <w:spacing w:before="0" w:after="0" w:line="360" w:lineRule="auto"/>
        <w:jc w:val="left"/>
        <w:rPr>
          <w:rFonts w:ascii="华文楷体" w:hAnsi="华文楷体" w:eastAsia="华文楷体" w:cs="宋体"/>
          <w:sz w:val="28"/>
          <w:szCs w:val="28"/>
        </w:rPr>
      </w:pPr>
      <w:bookmarkStart w:id="139" w:name="_Toc4680"/>
      <w:bookmarkStart w:id="140" w:name="_Toc184345921"/>
      <w:bookmarkStart w:id="141" w:name="_Toc515908202"/>
      <w:r>
        <w:rPr>
          <w:rFonts w:hint="eastAsia" w:ascii="华文楷体" w:hAnsi="华文楷体" w:eastAsia="华文楷体" w:cs="宋体"/>
          <w:sz w:val="28"/>
          <w:szCs w:val="28"/>
        </w:rPr>
        <w:t>24. 串通投标的情形</w:t>
      </w:r>
      <w:bookmarkEnd w:id="139"/>
      <w:bookmarkEnd w:id="140"/>
      <w:bookmarkEnd w:id="141"/>
    </w:p>
    <w:p w14:paraId="606BDCBB">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24.1投标人应当遵循公平竞争的原则，不得恶意串通，不得妨碍其他投标人的竞争行为，不得损害采购人或者其他投标人的合法权益。在评标过程中发现投标人有上述情形的，评标委员会应当认定其投标无效，并书面报告本级财政部门。</w:t>
      </w:r>
    </w:p>
    <w:p w14:paraId="6A3CA883">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24.2 有下列情形之一的，视为投标人串通投标，其投标无效：</w:t>
      </w:r>
    </w:p>
    <w:p w14:paraId="3650E1F0">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（1）不同投标人的投标文件由同一单位或者个人编制；</w:t>
      </w:r>
    </w:p>
    <w:p w14:paraId="05188A9A">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（2）不同投标人委托同一单位或者个人办理投标事宜；</w:t>
      </w:r>
    </w:p>
    <w:p w14:paraId="552A6F09">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（3）不同投标人的投标文件载明的项目管理成员或者联系人员为同一人；</w:t>
      </w:r>
    </w:p>
    <w:p w14:paraId="5F467BBD">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（4）不同投标人的投标文件异常一致或者投标报价呈规律性差异；</w:t>
      </w:r>
    </w:p>
    <w:p w14:paraId="3633904D">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（5）不同投标人的投标文件相互混装；</w:t>
      </w:r>
    </w:p>
    <w:p w14:paraId="77561CFD">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（6）不同投标人的投标保证金从同一单位或者个人的账户转出。</w:t>
      </w:r>
    </w:p>
    <w:p w14:paraId="77078DB8">
      <w:pPr>
        <w:pStyle w:val="25"/>
        <w:spacing w:before="0" w:after="0" w:line="360" w:lineRule="auto"/>
        <w:jc w:val="left"/>
        <w:rPr>
          <w:rFonts w:ascii="华文楷体" w:hAnsi="华文楷体" w:eastAsia="华文楷体" w:cs="宋体"/>
          <w:sz w:val="28"/>
          <w:szCs w:val="28"/>
        </w:rPr>
      </w:pPr>
      <w:bookmarkStart w:id="142" w:name="_Toc184345922"/>
      <w:bookmarkStart w:id="143" w:name="_Toc28356"/>
      <w:bookmarkStart w:id="144" w:name="_Toc515908203"/>
      <w:r>
        <w:rPr>
          <w:rFonts w:hint="eastAsia" w:ascii="华文楷体" w:hAnsi="华文楷体" w:eastAsia="华文楷体" w:cs="宋体"/>
          <w:sz w:val="28"/>
          <w:szCs w:val="28"/>
        </w:rPr>
        <w:t>25. 废标</w:t>
      </w:r>
      <w:bookmarkEnd w:id="142"/>
      <w:bookmarkEnd w:id="143"/>
      <w:bookmarkEnd w:id="144"/>
    </w:p>
    <w:p w14:paraId="42F78CC8">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25.1 在招标采购中，出现下列情形之一的，应予废标：</w:t>
      </w:r>
    </w:p>
    <w:p w14:paraId="028FCFD7">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（1）符合专业条件的投标人或者对招标文件作实质性响应的投标人不足三家的。</w:t>
      </w:r>
    </w:p>
    <w:p w14:paraId="2C52E62B">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（2）出现影响采购公正的违法、违规行为的。</w:t>
      </w:r>
    </w:p>
    <w:p w14:paraId="0012B271">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（3）投标人的报价均超出采购预算，采购人不能支付的。</w:t>
      </w:r>
    </w:p>
    <w:p w14:paraId="1C326A55">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（4）因重大变故，采购任务取消的。</w:t>
      </w:r>
    </w:p>
    <w:p w14:paraId="3FB31FEE">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废标后，由采购人或者采购代理机构发布废标公告。</w:t>
      </w:r>
    </w:p>
    <w:p w14:paraId="0B39CCB5">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25.2 公开招标数额标准以上的采购项目，投标截止后投标人不足3家或者通过资格审查或符合性审查的投标人不足3家的，除采购任务取消情形外，按照以下方式处理：</w:t>
      </w:r>
    </w:p>
    <w:p w14:paraId="3399CB66">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（1）招标文件存在不合理条款或者招标程序不符合规定的，采购人、采购代理机构改正后依法重新招标；</w:t>
      </w:r>
    </w:p>
    <w:p w14:paraId="1FB615FF">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rPr>
        <w:t>（2）招标文件没有不合理条款、招标程序符合规定，需要采用其他采购方式采购的，采购人应当依法报财政部门批准。</w:t>
      </w:r>
    </w:p>
    <w:p w14:paraId="54A0B6B0">
      <w:pPr>
        <w:pStyle w:val="25"/>
        <w:spacing w:before="0" w:after="0" w:line="360" w:lineRule="auto"/>
        <w:jc w:val="left"/>
        <w:rPr>
          <w:rFonts w:ascii="华文楷体" w:hAnsi="华文楷体" w:eastAsia="华文楷体" w:cs="宋体"/>
          <w:sz w:val="28"/>
          <w:szCs w:val="28"/>
        </w:rPr>
      </w:pPr>
      <w:bookmarkStart w:id="145" w:name="_Toc13485"/>
      <w:bookmarkStart w:id="146" w:name="_Toc515908204"/>
      <w:bookmarkStart w:id="147" w:name="_Toc184345923"/>
      <w:r>
        <w:rPr>
          <w:rFonts w:hint="eastAsia" w:ascii="华文楷体" w:hAnsi="华文楷体" w:eastAsia="华文楷体" w:cs="宋体"/>
          <w:sz w:val="28"/>
          <w:szCs w:val="28"/>
        </w:rPr>
        <w:t>26. 中标服务费</w:t>
      </w:r>
      <w:bookmarkEnd w:id="145"/>
      <w:bookmarkEnd w:id="146"/>
      <w:bookmarkEnd w:id="147"/>
    </w:p>
    <w:p w14:paraId="6BADFAE3">
      <w:pPr>
        <w:autoSpaceDE w:val="0"/>
        <w:autoSpaceDN w:val="0"/>
        <w:spacing w:line="360" w:lineRule="auto"/>
        <w:ind w:firstLine="480" w:firstLineChars="200"/>
        <w:jc w:val="left"/>
        <w:rPr>
          <w:rFonts w:ascii="华文楷体" w:hAnsi="华文楷体" w:eastAsia="华文楷体" w:cs="宋体"/>
          <w:kern w:val="0"/>
          <w:lang w:val="zh-CN"/>
        </w:rPr>
      </w:pPr>
      <w:r>
        <w:rPr>
          <w:rFonts w:hint="eastAsia" w:ascii="华文楷体" w:hAnsi="华文楷体" w:eastAsia="华文楷体" w:cs="宋体"/>
          <w:kern w:val="0"/>
          <w:lang w:val="zh-CN"/>
        </w:rPr>
        <w:t>26.1 收取对象：中标人。</w:t>
      </w:r>
    </w:p>
    <w:p w14:paraId="4786FD1A">
      <w:pPr>
        <w:autoSpaceDE w:val="0"/>
        <w:autoSpaceDN w:val="0"/>
        <w:spacing w:line="384" w:lineRule="auto"/>
        <w:ind w:firstLine="480" w:firstLineChars="200"/>
        <w:jc w:val="left"/>
        <w:rPr>
          <w:rFonts w:ascii="华文楷体" w:hAnsi="华文楷体" w:eastAsia="华文楷体" w:cs="宋体"/>
          <w:kern w:val="0"/>
          <w:lang w:val="zh-CN"/>
        </w:rPr>
      </w:pPr>
      <w:r>
        <w:rPr>
          <w:rFonts w:hint="eastAsia" w:ascii="华文楷体" w:hAnsi="华文楷体" w:eastAsia="华文楷体" w:cs="宋体"/>
          <w:kern w:val="0"/>
        </w:rPr>
        <w:t xml:space="preserve">26.2 </w:t>
      </w:r>
      <w:r>
        <w:rPr>
          <w:rFonts w:hint="eastAsia" w:ascii="华文楷体" w:hAnsi="华文楷体" w:eastAsia="华文楷体" w:cs="宋体"/>
          <w:kern w:val="0"/>
          <w:lang w:val="zh-CN"/>
        </w:rPr>
        <w:t>收费金额：按照委托代理协议约定执行。</w:t>
      </w:r>
    </w:p>
    <w:p w14:paraId="156DFE4B">
      <w:pPr>
        <w:autoSpaceDE w:val="0"/>
        <w:autoSpaceDN w:val="0"/>
        <w:spacing w:line="360" w:lineRule="auto"/>
        <w:ind w:firstLine="480" w:firstLineChars="200"/>
        <w:jc w:val="left"/>
        <w:rPr>
          <w:rFonts w:ascii="华文楷体" w:hAnsi="华文楷体" w:eastAsia="华文楷体" w:cs="宋体"/>
          <w:kern w:val="0"/>
          <w:u w:val="dashDotDotHeavy"/>
          <w:lang w:val="zh-CN"/>
        </w:rPr>
      </w:pPr>
      <w:r>
        <w:rPr>
          <w:rFonts w:hint="eastAsia" w:ascii="华文楷体" w:hAnsi="华文楷体" w:eastAsia="华文楷体" w:cs="宋体"/>
          <w:kern w:val="0"/>
          <w:lang w:val="zh-CN"/>
        </w:rPr>
        <w:t>在领取中标通知书前向采购代理机构缴纳，金额按原国家计委《关于印发招标代理服务收费管理暂行办法的通知》（计价格[2002]1980 号）文货物招标代理服务要求收费计算。</w:t>
      </w:r>
    </w:p>
    <w:p w14:paraId="1485F3C0">
      <w:pPr>
        <w:autoSpaceDE w:val="0"/>
        <w:autoSpaceDN w:val="0"/>
        <w:spacing w:line="360" w:lineRule="auto"/>
        <w:ind w:firstLine="480" w:firstLineChars="200"/>
        <w:jc w:val="left"/>
        <w:rPr>
          <w:rFonts w:ascii="华文楷体" w:hAnsi="华文楷体" w:eastAsia="华文楷体" w:cs="宋体"/>
          <w:b/>
          <w:bCs/>
          <w:sz w:val="36"/>
          <w:szCs w:val="32"/>
          <w:lang w:val="zh-CN"/>
        </w:rPr>
      </w:pPr>
      <w:r>
        <w:rPr>
          <w:rFonts w:hint="eastAsia" w:ascii="华文楷体" w:hAnsi="华文楷体" w:eastAsia="华文楷体" w:cs="宋体"/>
          <w:kern w:val="0"/>
        </w:rPr>
        <w:t>说明：根据</w:t>
      </w:r>
      <w:r>
        <w:rPr>
          <w:rFonts w:hint="eastAsia" w:ascii="华文楷体" w:hAnsi="华文楷体" w:eastAsia="华文楷体" w:cs="宋体"/>
          <w:kern w:val="0"/>
          <w:lang w:val="zh-CN"/>
        </w:rPr>
        <w:t>《关于进一步放开建设项目专项业务服务价格的通知》（发改价格[2015]299号）规定，实行市场调节价，应严格遵守《价格法》、《</w:t>
      </w:r>
      <w:r>
        <w:rPr>
          <w:rFonts w:hint="eastAsia" w:ascii="华文楷体" w:hAnsi="华文楷体" w:eastAsia="华文楷体" w:cs="宋体"/>
          <w:kern w:val="0"/>
        </w:rPr>
        <w:t>明码标价和禁止价格欺诈</w:t>
      </w:r>
      <w:r>
        <w:rPr>
          <w:rFonts w:hint="eastAsia" w:ascii="华文楷体" w:hAnsi="华文楷体" w:eastAsia="华文楷体" w:cs="宋体"/>
          <w:kern w:val="0"/>
          <w:lang w:val="zh-CN"/>
        </w:rPr>
        <w:t>》等法律法规的规定，由采购人和采购代理机构共同确定合理的收费金额</w:t>
      </w:r>
      <w:r>
        <w:rPr>
          <w:rFonts w:hint="eastAsia" w:ascii="华文楷体" w:hAnsi="华文楷体" w:eastAsia="华文楷体" w:cs="宋体"/>
          <w:kern w:val="0"/>
        </w:rPr>
        <w:t>。</w:t>
      </w:r>
    </w:p>
    <w:p w14:paraId="328F5EA5">
      <w:pPr>
        <w:autoSpaceDE w:val="0"/>
        <w:autoSpaceDN w:val="0"/>
        <w:spacing w:line="360" w:lineRule="auto"/>
        <w:ind w:firstLine="480" w:firstLineChars="200"/>
        <w:jc w:val="left"/>
        <w:rPr>
          <w:rFonts w:ascii="华文楷体" w:hAnsi="华文楷体" w:eastAsia="华文楷体" w:cs="宋体"/>
          <w:kern w:val="0"/>
          <w:lang w:val="zh-CN"/>
        </w:rPr>
        <w:sectPr>
          <w:pgSz w:w="11849" w:h="16781"/>
          <w:pgMar w:top="1440" w:right="1803" w:bottom="1440" w:left="1803" w:header="851" w:footer="992" w:gutter="0"/>
          <w:cols w:space="720" w:num="1"/>
          <w:docGrid w:linePitch="397" w:charSpace="0"/>
        </w:sectPr>
      </w:pPr>
      <w:r>
        <w:rPr>
          <w:rFonts w:hint="eastAsia" w:ascii="华文楷体" w:hAnsi="华文楷体" w:eastAsia="华文楷体" w:cs="宋体"/>
          <w:kern w:val="0"/>
          <w:lang w:val="zh-CN"/>
        </w:rPr>
        <w:t>其他未尽事宜，按照《中华人民共和国政府采购法》、《中华人民共和国政府采购法实施条例》、《中华人民共和国</w:t>
      </w:r>
      <w:r>
        <w:rPr>
          <w:rFonts w:hint="eastAsia" w:ascii="华文楷体" w:hAnsi="华文楷体" w:eastAsia="华文楷体" w:cs="宋体"/>
          <w:kern w:val="0"/>
        </w:rPr>
        <w:t>民法典</w:t>
      </w:r>
      <w:r>
        <w:rPr>
          <w:rFonts w:hint="eastAsia" w:ascii="华文楷体" w:hAnsi="华文楷体" w:eastAsia="华文楷体" w:cs="宋体"/>
          <w:kern w:val="0"/>
          <w:lang w:val="zh-CN"/>
        </w:rPr>
        <w:t>》等法律法规的有关条款执行。</w:t>
      </w:r>
    </w:p>
    <w:p w14:paraId="6BFC59F7">
      <w:pPr>
        <w:autoSpaceDE w:val="0"/>
        <w:autoSpaceDN w:val="0"/>
        <w:spacing w:line="360" w:lineRule="auto"/>
        <w:ind w:firstLine="723" w:firstLineChars="200"/>
        <w:jc w:val="center"/>
        <w:rPr>
          <w:rFonts w:ascii="华文楷体" w:hAnsi="华文楷体" w:eastAsia="华文楷体" w:cs="宋体"/>
        </w:rPr>
      </w:pPr>
      <w:bookmarkStart w:id="148" w:name="_Toc28679"/>
      <w:r>
        <w:rPr>
          <w:rFonts w:hint="eastAsia" w:ascii="华文楷体" w:hAnsi="华文楷体" w:eastAsia="华文楷体" w:cs="宋体"/>
          <w:b/>
          <w:bCs/>
          <w:sz w:val="36"/>
          <w:szCs w:val="48"/>
          <w:lang w:val="zh-CN"/>
        </w:rPr>
        <w:t>第三部分政府采购项目合同书范本</w:t>
      </w:r>
      <w:bookmarkEnd w:id="148"/>
    </w:p>
    <w:p w14:paraId="0BB801E0">
      <w:pPr>
        <w:autoSpaceDE w:val="0"/>
        <w:autoSpaceDN w:val="0"/>
        <w:adjustRightInd w:val="0"/>
        <w:spacing w:line="360" w:lineRule="auto"/>
        <w:jc w:val="center"/>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（货物类）</w:t>
      </w:r>
    </w:p>
    <w:p w14:paraId="5D44AE10">
      <w:pPr>
        <w:autoSpaceDE w:val="0"/>
        <w:autoSpaceDN w:val="0"/>
        <w:adjustRightInd w:val="0"/>
        <w:spacing w:line="360" w:lineRule="auto"/>
        <w:rPr>
          <w:rFonts w:ascii="华文楷体" w:hAnsi="华文楷体" w:eastAsia="华文楷体" w:cs="宋体"/>
          <w:kern w:val="0"/>
          <w:sz w:val="28"/>
          <w:szCs w:val="28"/>
        </w:rPr>
      </w:pPr>
    </w:p>
    <w:p w14:paraId="18C5A9D3">
      <w:pPr>
        <w:autoSpaceDE w:val="0"/>
        <w:autoSpaceDN w:val="0"/>
        <w:adjustRightInd w:val="0"/>
        <w:spacing w:line="360" w:lineRule="auto"/>
        <w:rPr>
          <w:rFonts w:ascii="华文楷体" w:hAnsi="华文楷体" w:eastAsia="华文楷体" w:cs="宋体"/>
          <w:kern w:val="0"/>
          <w:sz w:val="28"/>
          <w:szCs w:val="28"/>
        </w:rPr>
      </w:pPr>
    </w:p>
    <w:p w14:paraId="0B6CE360">
      <w:pPr>
        <w:autoSpaceDE w:val="0"/>
        <w:autoSpaceDN w:val="0"/>
        <w:adjustRightInd w:val="0"/>
        <w:spacing w:line="360" w:lineRule="auto"/>
        <w:jc w:val="center"/>
        <w:rPr>
          <w:rFonts w:ascii="华文楷体" w:hAnsi="华文楷体" w:eastAsia="华文楷体" w:cs="宋体"/>
          <w:b/>
          <w:bCs/>
          <w:kern w:val="0"/>
          <w:sz w:val="48"/>
          <w:szCs w:val="48"/>
        </w:rPr>
      </w:pPr>
      <w:r>
        <w:rPr>
          <w:rFonts w:hint="eastAsia" w:ascii="华文楷体" w:hAnsi="华文楷体" w:eastAsia="华文楷体" w:cs="宋体"/>
          <w:b/>
          <w:bCs/>
          <w:kern w:val="0"/>
          <w:sz w:val="48"/>
          <w:szCs w:val="48"/>
          <w:lang w:val="zh-CN"/>
        </w:rPr>
        <w:t>政府采购项目合同书</w:t>
      </w:r>
    </w:p>
    <w:p w14:paraId="745F3636">
      <w:pPr>
        <w:autoSpaceDE w:val="0"/>
        <w:autoSpaceDN w:val="0"/>
        <w:adjustRightInd w:val="0"/>
        <w:spacing w:line="360" w:lineRule="auto"/>
        <w:rPr>
          <w:rFonts w:ascii="华文楷体" w:hAnsi="华文楷体" w:eastAsia="华文楷体" w:cs="宋体"/>
          <w:kern w:val="0"/>
          <w:sz w:val="28"/>
          <w:szCs w:val="28"/>
        </w:rPr>
      </w:pPr>
    </w:p>
    <w:p w14:paraId="341693CC">
      <w:pPr>
        <w:autoSpaceDE w:val="0"/>
        <w:autoSpaceDN w:val="0"/>
        <w:adjustRightInd w:val="0"/>
        <w:spacing w:line="360" w:lineRule="auto"/>
        <w:rPr>
          <w:rFonts w:ascii="华文楷体" w:hAnsi="华文楷体" w:eastAsia="华文楷体" w:cs="宋体"/>
          <w:kern w:val="0"/>
          <w:sz w:val="28"/>
          <w:szCs w:val="28"/>
        </w:rPr>
      </w:pPr>
    </w:p>
    <w:p w14:paraId="619AA78F">
      <w:pPr>
        <w:autoSpaceDE w:val="0"/>
        <w:autoSpaceDN w:val="0"/>
        <w:adjustRightInd w:val="0"/>
        <w:spacing w:line="360" w:lineRule="auto"/>
        <w:rPr>
          <w:rFonts w:ascii="华文楷体" w:hAnsi="华文楷体" w:eastAsia="华文楷体" w:cs="宋体"/>
          <w:kern w:val="0"/>
          <w:sz w:val="28"/>
          <w:szCs w:val="28"/>
        </w:rPr>
      </w:pPr>
    </w:p>
    <w:p w14:paraId="317649BC">
      <w:pPr>
        <w:autoSpaceDE w:val="0"/>
        <w:autoSpaceDN w:val="0"/>
        <w:adjustRightInd w:val="0"/>
        <w:spacing w:line="360" w:lineRule="auto"/>
        <w:rPr>
          <w:rFonts w:ascii="华文楷体" w:hAnsi="华文楷体" w:eastAsia="华文楷体" w:cs="宋体"/>
          <w:kern w:val="0"/>
          <w:sz w:val="28"/>
          <w:szCs w:val="28"/>
        </w:rPr>
      </w:pPr>
    </w:p>
    <w:p w14:paraId="1165F7DB">
      <w:pPr>
        <w:autoSpaceDE w:val="0"/>
        <w:autoSpaceDN w:val="0"/>
        <w:adjustRightInd w:val="0"/>
        <w:spacing w:line="360" w:lineRule="auto"/>
        <w:ind w:left="2102" w:hanging="2108" w:hangingChars="700"/>
        <w:rPr>
          <w:rFonts w:ascii="华文楷体" w:hAnsi="华文楷体" w:eastAsia="华文楷体" w:cs="宋体"/>
          <w:b/>
          <w:bCs/>
          <w:kern w:val="0"/>
          <w:sz w:val="30"/>
          <w:szCs w:val="30"/>
        </w:rPr>
      </w:pPr>
      <w:r>
        <w:rPr>
          <w:rFonts w:hint="eastAsia" w:ascii="华文楷体" w:hAnsi="华文楷体" w:eastAsia="华文楷体" w:cs="宋体"/>
          <w:b/>
          <w:bCs/>
          <w:kern w:val="0"/>
          <w:sz w:val="30"/>
          <w:szCs w:val="30"/>
          <w:lang w:val="zh-CN"/>
        </w:rPr>
        <w:t>采购项目名称：</w:t>
      </w:r>
      <w:r>
        <w:rPr>
          <w:rFonts w:hint="eastAsia" w:ascii="华文楷体" w:hAnsi="华文楷体" w:eastAsia="华文楷体" w:cs="宋体"/>
          <w:b/>
          <w:bCs/>
          <w:kern w:val="0"/>
          <w:sz w:val="30"/>
          <w:szCs w:val="30"/>
          <w:u w:val="single"/>
        </w:rPr>
        <w:t xml:space="preserve"> 格尔木市消防救援支队2024年度灭火救援装备采购项目                                </w:t>
      </w:r>
    </w:p>
    <w:p w14:paraId="13F64244">
      <w:pPr>
        <w:autoSpaceDE w:val="0"/>
        <w:autoSpaceDN w:val="0"/>
        <w:adjustRightInd w:val="0"/>
        <w:spacing w:line="360" w:lineRule="auto"/>
        <w:rPr>
          <w:rFonts w:ascii="华文楷体" w:hAnsi="华文楷体" w:eastAsia="华文楷体" w:cs="宋体"/>
          <w:b/>
          <w:bCs/>
          <w:kern w:val="0"/>
          <w:sz w:val="30"/>
          <w:szCs w:val="30"/>
          <w:u w:val="single"/>
        </w:rPr>
      </w:pPr>
      <w:r>
        <w:rPr>
          <w:rFonts w:hint="eastAsia" w:ascii="华文楷体" w:hAnsi="华文楷体" w:eastAsia="华文楷体" w:cs="宋体"/>
          <w:b/>
          <w:bCs/>
          <w:kern w:val="0"/>
          <w:sz w:val="30"/>
          <w:szCs w:val="30"/>
          <w:lang w:val="zh-CN"/>
        </w:rPr>
        <w:t>采购合同编号：</w:t>
      </w:r>
      <w:r>
        <w:rPr>
          <w:rFonts w:hint="eastAsia" w:ascii="华文楷体" w:hAnsi="华文楷体" w:eastAsia="华文楷体" w:cs="宋体"/>
          <w:b/>
          <w:bCs/>
          <w:kern w:val="0"/>
          <w:sz w:val="30"/>
          <w:szCs w:val="30"/>
          <w:u w:val="single"/>
        </w:rPr>
        <w:t>QHJM-2024-035-包号</w:t>
      </w:r>
    </w:p>
    <w:p w14:paraId="3A44D2E7">
      <w:pPr>
        <w:autoSpaceDE w:val="0"/>
        <w:autoSpaceDN w:val="0"/>
        <w:adjustRightInd w:val="0"/>
        <w:spacing w:line="360" w:lineRule="auto"/>
        <w:rPr>
          <w:rFonts w:ascii="华文楷体" w:hAnsi="华文楷体" w:eastAsia="华文楷体" w:cs="宋体"/>
          <w:b/>
          <w:bCs/>
          <w:kern w:val="0"/>
          <w:sz w:val="30"/>
          <w:szCs w:val="30"/>
        </w:rPr>
      </w:pPr>
      <w:r>
        <w:rPr>
          <w:rFonts w:hint="eastAsia" w:ascii="华文楷体" w:hAnsi="华文楷体" w:eastAsia="华文楷体" w:cs="宋体"/>
          <w:b/>
          <w:bCs/>
          <w:kern w:val="0"/>
          <w:sz w:val="30"/>
          <w:szCs w:val="30"/>
          <w:lang w:val="zh-CN"/>
        </w:rPr>
        <w:t>采购人（甲方）：</w:t>
      </w:r>
      <w:r>
        <w:rPr>
          <w:rFonts w:ascii="华文楷体" w:hAnsi="华文楷体" w:eastAsia="华文楷体" w:cs="宋体"/>
          <w:b/>
          <w:bCs/>
          <w:kern w:val="0"/>
          <w:sz w:val="30"/>
          <w:szCs w:val="30"/>
          <w:u w:val="single"/>
        </w:rPr>
        <w:t xml:space="preserve">        </w:t>
      </w:r>
      <w:r>
        <w:rPr>
          <w:rFonts w:hint="eastAsia" w:ascii="华文楷体" w:hAnsi="华文楷体" w:eastAsia="华文楷体" w:cs="宋体"/>
          <w:b/>
          <w:bCs/>
          <w:kern w:val="0"/>
          <w:sz w:val="30"/>
          <w:szCs w:val="30"/>
          <w:u w:val="single"/>
          <w:lang w:val="zh-CN"/>
        </w:rPr>
        <w:t>（盖章）</w:t>
      </w:r>
    </w:p>
    <w:p w14:paraId="692A13EE">
      <w:pPr>
        <w:autoSpaceDE w:val="0"/>
        <w:autoSpaceDN w:val="0"/>
        <w:adjustRightInd w:val="0"/>
        <w:spacing w:line="360" w:lineRule="auto"/>
        <w:rPr>
          <w:rFonts w:ascii="华文楷体" w:hAnsi="华文楷体" w:eastAsia="华文楷体" w:cs="宋体"/>
          <w:b/>
          <w:bCs/>
          <w:kern w:val="0"/>
          <w:sz w:val="30"/>
          <w:szCs w:val="30"/>
        </w:rPr>
      </w:pPr>
      <w:r>
        <w:rPr>
          <w:rFonts w:hint="eastAsia" w:ascii="华文楷体" w:hAnsi="华文楷体" w:eastAsia="华文楷体" w:cs="宋体"/>
          <w:b/>
          <w:bCs/>
          <w:kern w:val="0"/>
          <w:sz w:val="30"/>
          <w:szCs w:val="30"/>
          <w:lang w:val="zh-CN"/>
        </w:rPr>
        <w:t>中标人（乙方）：</w:t>
      </w:r>
      <w:r>
        <w:rPr>
          <w:rFonts w:ascii="华文楷体" w:hAnsi="华文楷体" w:eastAsia="华文楷体" w:cs="宋体"/>
          <w:b/>
          <w:bCs/>
          <w:kern w:val="0"/>
          <w:sz w:val="30"/>
          <w:szCs w:val="30"/>
          <w:u w:val="single"/>
        </w:rPr>
        <w:t xml:space="preserve">        </w:t>
      </w:r>
      <w:r>
        <w:rPr>
          <w:rFonts w:hint="eastAsia" w:ascii="华文楷体" w:hAnsi="华文楷体" w:eastAsia="华文楷体" w:cs="宋体"/>
          <w:b/>
          <w:bCs/>
          <w:kern w:val="0"/>
          <w:sz w:val="30"/>
          <w:szCs w:val="30"/>
          <w:u w:val="single"/>
          <w:lang w:val="zh-CN"/>
        </w:rPr>
        <w:t>（盖章）</w:t>
      </w:r>
    </w:p>
    <w:p w14:paraId="51C04C0C">
      <w:pPr>
        <w:autoSpaceDE w:val="0"/>
        <w:autoSpaceDN w:val="0"/>
        <w:adjustRightInd w:val="0"/>
        <w:spacing w:line="360" w:lineRule="auto"/>
        <w:rPr>
          <w:rFonts w:ascii="华文楷体" w:hAnsi="华文楷体" w:eastAsia="华文楷体" w:cs="宋体"/>
          <w:u w:val="single"/>
        </w:rPr>
      </w:pPr>
      <w:r>
        <w:rPr>
          <w:rFonts w:hint="eastAsia" w:ascii="华文楷体" w:hAnsi="华文楷体" w:eastAsia="华文楷体" w:cs="宋体"/>
          <w:b/>
          <w:bCs/>
          <w:kern w:val="0"/>
          <w:sz w:val="30"/>
          <w:szCs w:val="30"/>
          <w:lang w:val="zh-CN"/>
        </w:rPr>
        <w:t>签订时间：</w:t>
      </w:r>
      <w:r>
        <w:rPr>
          <w:rFonts w:hint="eastAsia" w:ascii="华文楷体" w:hAnsi="华文楷体" w:eastAsia="华文楷体" w:cs="宋体"/>
          <w:b/>
          <w:bCs/>
          <w:kern w:val="0"/>
          <w:sz w:val="30"/>
          <w:szCs w:val="30"/>
          <w:u w:val="single"/>
          <w:lang w:val="zh-CN"/>
        </w:rPr>
        <w:t xml:space="preserve">            </w:t>
      </w:r>
      <w:r>
        <w:rPr>
          <w:rFonts w:ascii="华文楷体" w:hAnsi="华文楷体" w:eastAsia="华文楷体" w:cs="宋体"/>
          <w:b/>
          <w:bCs/>
          <w:kern w:val="0"/>
          <w:sz w:val="30"/>
          <w:szCs w:val="30"/>
          <w:u w:val="single"/>
        </w:rPr>
        <w:t xml:space="preserve">       </w:t>
      </w:r>
      <w:r>
        <w:rPr>
          <w:rFonts w:hint="eastAsia" w:ascii="华文楷体" w:hAnsi="华文楷体" w:eastAsia="华文楷体" w:cs="宋体"/>
          <w:b/>
          <w:bCs/>
          <w:kern w:val="0"/>
          <w:sz w:val="30"/>
          <w:szCs w:val="30"/>
          <w:u w:val="single"/>
          <w:lang w:val="zh-CN"/>
        </w:rPr>
        <w:t xml:space="preserve">  </w:t>
      </w:r>
      <w:r>
        <w:rPr>
          <w:rFonts w:ascii="华文楷体" w:hAnsi="华文楷体" w:eastAsia="华文楷体" w:cs="宋体"/>
          <w:b/>
          <w:bCs/>
          <w:kern w:val="0"/>
          <w:sz w:val="30"/>
          <w:szCs w:val="30"/>
          <w:u w:val="single"/>
        </w:rPr>
        <w:t>.</w:t>
      </w:r>
    </w:p>
    <w:p w14:paraId="21517359">
      <w:pPr>
        <w:rPr>
          <w:rFonts w:ascii="华文楷体" w:hAnsi="华文楷体" w:eastAsia="华文楷体" w:cs="宋体"/>
        </w:rPr>
      </w:pPr>
      <w:bookmarkStart w:id="149" w:name="_Toc81325242"/>
      <w:r>
        <w:rPr>
          <w:rFonts w:hint="eastAsia" w:ascii="华文楷体" w:hAnsi="华文楷体" w:eastAsia="华文楷体" w:cs="宋体"/>
        </w:rPr>
        <w:br w:type="page"/>
      </w:r>
      <w:bookmarkEnd w:id="149"/>
    </w:p>
    <w:p w14:paraId="3053F80D">
      <w:pPr>
        <w:rPr>
          <w:rFonts w:ascii="华文楷体" w:hAnsi="华文楷体" w:eastAsia="华文楷体"/>
          <w:sz w:val="44"/>
          <w:szCs w:val="44"/>
        </w:rPr>
      </w:pPr>
    </w:p>
    <w:p w14:paraId="2CDBA7DF">
      <w:pPr>
        <w:adjustRightInd w:val="0"/>
        <w:snapToGrid w:val="0"/>
        <w:jc w:val="center"/>
        <w:rPr>
          <w:rFonts w:ascii="华文楷体" w:hAnsi="华文楷体" w:eastAsia="华文楷体" w:cs="宋体"/>
          <w:b/>
          <w:bCs/>
          <w:sz w:val="32"/>
          <w:szCs w:val="32"/>
        </w:rPr>
      </w:pPr>
      <w:bookmarkStart w:id="150" w:name="_Toc31015"/>
      <w:r>
        <w:rPr>
          <w:rFonts w:hint="eastAsia" w:ascii="华文楷体" w:hAnsi="华文楷体" w:eastAsia="华文楷体" w:cs="宋体"/>
          <w:b/>
          <w:bCs/>
          <w:sz w:val="32"/>
          <w:szCs w:val="32"/>
        </w:rPr>
        <w:t>第一节 政府采购合同协议书</w:t>
      </w:r>
    </w:p>
    <w:p w14:paraId="2E8803E7">
      <w:pPr>
        <w:pStyle w:val="3"/>
        <w:adjustRightInd w:val="0"/>
        <w:snapToGrid w:val="0"/>
        <w:spacing w:after="0" w:line="480" w:lineRule="exact"/>
        <w:ind w:left="0" w:leftChars="0"/>
        <w:rPr>
          <w:rFonts w:ascii="华文楷体" w:hAnsi="华文楷体" w:eastAsia="华文楷体" w:cs="宋体"/>
          <w:sz w:val="24"/>
        </w:rPr>
      </w:pPr>
      <w:r>
        <w:rPr>
          <w:rFonts w:hint="eastAsia" w:ascii="华文楷体" w:hAnsi="华文楷体" w:eastAsia="华文楷体" w:cs="宋体"/>
          <w:sz w:val="24"/>
        </w:rPr>
        <w:t>政府采购编号：</w:t>
      </w:r>
      <w:r>
        <w:rPr>
          <w:rFonts w:hint="eastAsia" w:ascii="华文楷体" w:hAnsi="华文楷体" w:eastAsia="华文楷体" w:cs="宋体"/>
          <w:sz w:val="24"/>
          <w:u w:val="single"/>
        </w:rPr>
        <w:t xml:space="preserve">                                </w:t>
      </w:r>
      <w:r>
        <w:rPr>
          <w:rFonts w:hint="eastAsia" w:ascii="华文楷体" w:hAnsi="华文楷体" w:eastAsia="华文楷体" w:cs="宋体"/>
          <w:sz w:val="24"/>
        </w:rPr>
        <w:t xml:space="preserve">.  </w:t>
      </w:r>
    </w:p>
    <w:p w14:paraId="4DEE004D">
      <w:pPr>
        <w:pStyle w:val="3"/>
        <w:adjustRightInd w:val="0"/>
        <w:snapToGrid w:val="0"/>
        <w:spacing w:after="0" w:line="480" w:lineRule="exact"/>
        <w:ind w:left="0" w:leftChars="0"/>
        <w:rPr>
          <w:rFonts w:ascii="华文楷体" w:hAnsi="华文楷体" w:eastAsia="华文楷体" w:cs="宋体"/>
          <w:b/>
        </w:rPr>
      </w:pPr>
      <w:r>
        <w:rPr>
          <w:rFonts w:hint="eastAsia" w:ascii="华文楷体" w:hAnsi="华文楷体" w:eastAsia="华文楷体" w:cs="宋体"/>
          <w:sz w:val="24"/>
        </w:rPr>
        <w:t>采购合同编号：</w:t>
      </w:r>
      <w:r>
        <w:rPr>
          <w:rFonts w:hint="eastAsia" w:ascii="华文楷体" w:hAnsi="华文楷体" w:eastAsia="华文楷体" w:cs="宋体"/>
          <w:sz w:val="24"/>
          <w:u w:val="single"/>
        </w:rPr>
        <w:t xml:space="preserve">                                </w:t>
      </w:r>
      <w:r>
        <w:rPr>
          <w:rFonts w:hint="eastAsia" w:ascii="华文楷体" w:hAnsi="华文楷体" w:eastAsia="华文楷体" w:cs="宋体"/>
          <w:sz w:val="24"/>
        </w:rPr>
        <w:t xml:space="preserve">.  </w:t>
      </w:r>
    </w:p>
    <w:p w14:paraId="42CFA2B9">
      <w:pPr>
        <w:adjustRightInd w:val="0"/>
        <w:snapToGrid w:val="0"/>
        <w:spacing w:line="480" w:lineRule="exact"/>
        <w:rPr>
          <w:rFonts w:ascii="华文楷体" w:hAnsi="华文楷体" w:eastAsia="华文楷体" w:cs="宋体"/>
        </w:rPr>
      </w:pPr>
      <w:r>
        <w:rPr>
          <w:rFonts w:hint="eastAsia" w:ascii="华文楷体" w:hAnsi="华文楷体" w:eastAsia="华文楷体" w:cs="宋体"/>
        </w:rPr>
        <w:t>采购人（全称）：</w:t>
      </w:r>
      <w:r>
        <w:rPr>
          <w:rFonts w:hint="eastAsia" w:ascii="华文楷体" w:hAnsi="华文楷体" w:eastAsia="华文楷体" w:cs="宋体"/>
          <w:u w:val="single"/>
        </w:rPr>
        <w:t xml:space="preserve">                             </w:t>
      </w:r>
      <w:r>
        <w:rPr>
          <w:rFonts w:hint="eastAsia" w:ascii="华文楷体" w:hAnsi="华文楷体" w:eastAsia="华文楷体" w:cs="宋体"/>
        </w:rPr>
        <w:t>（甲方）</w:t>
      </w:r>
    </w:p>
    <w:p w14:paraId="461AF163">
      <w:pPr>
        <w:adjustRightInd w:val="0"/>
        <w:snapToGrid w:val="0"/>
        <w:spacing w:line="480" w:lineRule="exact"/>
        <w:rPr>
          <w:rFonts w:ascii="华文楷体" w:hAnsi="华文楷体" w:eastAsia="华文楷体" w:cs="宋体"/>
        </w:rPr>
      </w:pPr>
      <w:r>
        <w:rPr>
          <w:rFonts w:hint="eastAsia" w:ascii="华文楷体" w:hAnsi="华文楷体" w:eastAsia="华文楷体" w:cs="宋体"/>
        </w:rPr>
        <w:t>中标人（全称）：</w:t>
      </w:r>
      <w:r>
        <w:rPr>
          <w:rFonts w:hint="eastAsia" w:ascii="华文楷体" w:hAnsi="华文楷体" w:eastAsia="华文楷体" w:cs="宋体"/>
          <w:u w:val="single"/>
        </w:rPr>
        <w:t xml:space="preserve">                             </w:t>
      </w:r>
      <w:r>
        <w:rPr>
          <w:rFonts w:hint="eastAsia" w:ascii="华文楷体" w:hAnsi="华文楷体" w:eastAsia="华文楷体" w:cs="宋体"/>
        </w:rPr>
        <w:t>（乙方）</w:t>
      </w:r>
    </w:p>
    <w:p w14:paraId="4C883671">
      <w:pPr>
        <w:pStyle w:val="3"/>
        <w:adjustRightInd w:val="0"/>
        <w:snapToGrid w:val="0"/>
        <w:spacing w:after="0" w:line="480" w:lineRule="exact"/>
        <w:ind w:left="0" w:leftChars="0" w:firstLine="480" w:firstLineChars="200"/>
        <w:rPr>
          <w:rFonts w:ascii="华文楷体" w:hAnsi="华文楷体" w:eastAsia="华文楷体" w:cs="宋体"/>
          <w:sz w:val="24"/>
        </w:rPr>
      </w:pPr>
      <w:r>
        <w:rPr>
          <w:rFonts w:hint="eastAsia" w:ascii="华文楷体" w:hAnsi="华文楷体" w:eastAsia="华文楷体" w:cs="宋体"/>
          <w:sz w:val="24"/>
        </w:rPr>
        <w:t>为了保护甲、乙双方合法权益，根据《中华人民共和国</w:t>
      </w:r>
      <w:r>
        <w:rPr>
          <w:rFonts w:hint="eastAsia" w:ascii="华文楷体" w:hAnsi="华文楷体" w:eastAsia="华文楷体" w:cs="宋体"/>
          <w:bCs/>
          <w:sz w:val="24"/>
        </w:rPr>
        <w:t>民法典</w:t>
      </w:r>
      <w:r>
        <w:rPr>
          <w:rFonts w:hint="eastAsia" w:ascii="华文楷体" w:hAnsi="华文楷体" w:eastAsia="华文楷体" w:cs="宋体"/>
          <w:sz w:val="24"/>
        </w:rPr>
        <w:t>》、《中华人民共和国政府采购法》及其他有关法律、法规、规章，双方签订本合同协议书。</w:t>
      </w:r>
    </w:p>
    <w:p w14:paraId="677AC057">
      <w:pPr>
        <w:adjustRightInd w:val="0"/>
        <w:snapToGrid w:val="0"/>
        <w:spacing w:line="480" w:lineRule="exact"/>
        <w:ind w:firstLine="482" w:firstLineChars="200"/>
        <w:rPr>
          <w:rFonts w:ascii="华文楷体" w:hAnsi="华文楷体" w:eastAsia="华文楷体" w:cs="宋体"/>
          <w:b/>
        </w:rPr>
      </w:pPr>
      <w:r>
        <w:rPr>
          <w:rFonts w:hint="eastAsia" w:ascii="华文楷体" w:hAnsi="华文楷体" w:eastAsia="华文楷体" w:cs="宋体"/>
          <w:b/>
        </w:rPr>
        <w:t>1、项目信息</w:t>
      </w:r>
    </w:p>
    <w:p w14:paraId="1A07442D">
      <w:pPr>
        <w:pStyle w:val="3"/>
        <w:adjustRightInd w:val="0"/>
        <w:snapToGrid w:val="0"/>
        <w:spacing w:after="0" w:line="480" w:lineRule="exact"/>
        <w:ind w:left="0" w:leftChars="0" w:firstLine="480" w:firstLineChars="200"/>
        <w:rPr>
          <w:rFonts w:ascii="华文楷体" w:hAnsi="华文楷体" w:eastAsia="华文楷体" w:cs="宋体"/>
          <w:sz w:val="24"/>
        </w:rPr>
      </w:pPr>
      <w:r>
        <w:rPr>
          <w:rFonts w:hint="eastAsia" w:ascii="华文楷体" w:hAnsi="华文楷体" w:eastAsia="华文楷体" w:cs="宋体"/>
          <w:sz w:val="24"/>
        </w:rPr>
        <w:t>（1）采购项目名称：</w:t>
      </w:r>
      <w:r>
        <w:rPr>
          <w:rFonts w:hint="eastAsia" w:ascii="华文楷体" w:hAnsi="华文楷体" w:eastAsia="华文楷体" w:cs="宋体"/>
          <w:sz w:val="24"/>
          <w:u w:val="single"/>
        </w:rPr>
        <w:t xml:space="preserve">                           </w:t>
      </w:r>
      <w:r>
        <w:rPr>
          <w:rFonts w:hint="eastAsia" w:ascii="华文楷体" w:hAnsi="华文楷体" w:eastAsia="华文楷体" w:cs="宋体"/>
          <w:sz w:val="24"/>
        </w:rPr>
        <w:t>.</w:t>
      </w:r>
      <w:r>
        <w:rPr>
          <w:rFonts w:hint="eastAsia" w:ascii="华文楷体" w:hAnsi="华文楷体" w:eastAsia="华文楷体" w:cs="宋体"/>
          <w:sz w:val="24"/>
          <w:u w:val="single"/>
        </w:rPr>
        <w:t xml:space="preserve">                                         </w:t>
      </w:r>
    </w:p>
    <w:p w14:paraId="2ECF333E">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rPr>
        <w:t>（2）采购方式：</w:t>
      </w:r>
      <w:r>
        <w:rPr>
          <w:rFonts w:hint="eastAsia" w:ascii="华文楷体" w:hAnsi="华文楷体" w:eastAsia="华文楷体" w:cs="宋体"/>
          <w:u w:val="single"/>
        </w:rPr>
        <w:t xml:space="preserve"> 公开招标 </w:t>
      </w:r>
      <w:r>
        <w:rPr>
          <w:rFonts w:hint="eastAsia" w:ascii="华文楷体" w:hAnsi="华文楷体" w:eastAsia="华文楷体" w:cs="宋体"/>
        </w:rPr>
        <w:t xml:space="preserve"> </w:t>
      </w:r>
    </w:p>
    <w:p w14:paraId="7F206A3C">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rPr>
        <w:t>（3）采购组织形式：</w:t>
      </w:r>
      <w:r>
        <w:rPr>
          <w:rFonts w:hint="eastAsia" w:ascii="华文楷体" w:hAnsi="华文楷体" w:eastAsia="华文楷体" w:cs="宋体"/>
          <w:u w:val="single"/>
        </w:rPr>
        <w:t xml:space="preserve"> 委托社会采购代理机构</w:t>
      </w:r>
    </w:p>
    <w:p w14:paraId="6577F7ED">
      <w:pPr>
        <w:adjustRightInd w:val="0"/>
        <w:snapToGrid w:val="0"/>
        <w:spacing w:line="480" w:lineRule="exact"/>
        <w:ind w:firstLine="472" w:firstLineChars="196"/>
        <w:rPr>
          <w:rFonts w:ascii="华文楷体" w:hAnsi="华文楷体" w:eastAsia="华文楷体" w:cs="宋体"/>
          <w:b/>
        </w:rPr>
      </w:pPr>
      <w:r>
        <w:rPr>
          <w:rFonts w:hint="eastAsia" w:ascii="华文楷体" w:hAnsi="华文楷体" w:eastAsia="华文楷体" w:cs="宋体"/>
          <w:b/>
        </w:rPr>
        <w:t>2、合同金额</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1340"/>
        <w:gridCol w:w="1284"/>
        <w:gridCol w:w="1173"/>
        <w:gridCol w:w="1354"/>
        <w:gridCol w:w="1121"/>
        <w:gridCol w:w="1189"/>
        <w:gridCol w:w="1011"/>
      </w:tblGrid>
      <w:tr w14:paraId="66237D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95" w:type="dxa"/>
            <w:vAlign w:val="center"/>
          </w:tcPr>
          <w:p w14:paraId="0B382020">
            <w:pPr>
              <w:pStyle w:val="4"/>
              <w:spacing w:line="480" w:lineRule="exact"/>
              <w:ind w:left="0" w:leftChars="0" w:firstLine="0" w:firstLineChars="0"/>
              <w:jc w:val="center"/>
              <w:rPr>
                <w:rFonts w:ascii="华文楷体" w:hAnsi="华文楷体" w:eastAsia="华文楷体" w:cs="宋体"/>
                <w:sz w:val="24"/>
              </w:rPr>
            </w:pPr>
            <w:r>
              <w:rPr>
                <w:rFonts w:hint="eastAsia" w:ascii="华文楷体" w:hAnsi="华文楷体" w:eastAsia="华文楷体" w:cs="宋体"/>
                <w:sz w:val="24"/>
              </w:rPr>
              <w:t>序号</w:t>
            </w:r>
          </w:p>
        </w:tc>
        <w:tc>
          <w:tcPr>
            <w:tcW w:w="1340" w:type="dxa"/>
            <w:vAlign w:val="center"/>
          </w:tcPr>
          <w:p w14:paraId="1671553A">
            <w:pPr>
              <w:pStyle w:val="4"/>
              <w:spacing w:line="480" w:lineRule="exact"/>
              <w:ind w:left="0" w:leftChars="0" w:firstLine="0" w:firstLineChars="0"/>
              <w:jc w:val="center"/>
              <w:rPr>
                <w:rFonts w:ascii="华文楷体" w:hAnsi="华文楷体" w:eastAsia="华文楷体" w:cs="宋体"/>
                <w:sz w:val="24"/>
              </w:rPr>
            </w:pPr>
            <w:r>
              <w:rPr>
                <w:rFonts w:hint="eastAsia" w:ascii="华文楷体" w:hAnsi="华文楷体" w:eastAsia="华文楷体" w:cs="宋体"/>
                <w:sz w:val="24"/>
              </w:rPr>
              <w:t>装备名称</w:t>
            </w:r>
          </w:p>
        </w:tc>
        <w:tc>
          <w:tcPr>
            <w:tcW w:w="1284" w:type="dxa"/>
            <w:vAlign w:val="center"/>
          </w:tcPr>
          <w:p w14:paraId="1E5AD07D">
            <w:pPr>
              <w:pStyle w:val="4"/>
              <w:spacing w:line="480" w:lineRule="exact"/>
              <w:ind w:left="0" w:leftChars="0" w:firstLine="0" w:firstLineChars="0"/>
              <w:jc w:val="center"/>
              <w:rPr>
                <w:rFonts w:ascii="华文楷体" w:hAnsi="华文楷体" w:eastAsia="华文楷体" w:cs="宋体"/>
                <w:sz w:val="24"/>
              </w:rPr>
            </w:pPr>
            <w:r>
              <w:rPr>
                <w:rFonts w:hint="eastAsia" w:ascii="华文楷体" w:hAnsi="华文楷体" w:eastAsia="华文楷体" w:cs="宋体"/>
                <w:sz w:val="24"/>
              </w:rPr>
              <w:t>规格型号</w:t>
            </w:r>
          </w:p>
        </w:tc>
        <w:tc>
          <w:tcPr>
            <w:tcW w:w="1173" w:type="dxa"/>
            <w:vAlign w:val="center"/>
          </w:tcPr>
          <w:p w14:paraId="15BE0838">
            <w:pPr>
              <w:pStyle w:val="4"/>
              <w:spacing w:line="480" w:lineRule="exact"/>
              <w:ind w:left="0" w:leftChars="0" w:firstLine="0" w:firstLineChars="0"/>
              <w:jc w:val="center"/>
              <w:rPr>
                <w:rFonts w:ascii="华文楷体" w:hAnsi="华文楷体" w:eastAsia="华文楷体" w:cs="宋体"/>
                <w:sz w:val="24"/>
              </w:rPr>
            </w:pPr>
            <w:r>
              <w:rPr>
                <w:rFonts w:hint="eastAsia" w:ascii="华文楷体" w:hAnsi="华文楷体" w:eastAsia="华文楷体" w:cs="宋体"/>
                <w:sz w:val="24"/>
              </w:rPr>
              <w:t>制造商</w:t>
            </w:r>
          </w:p>
        </w:tc>
        <w:tc>
          <w:tcPr>
            <w:tcW w:w="1354" w:type="dxa"/>
            <w:vAlign w:val="center"/>
          </w:tcPr>
          <w:p w14:paraId="397BA8F1">
            <w:pPr>
              <w:pStyle w:val="4"/>
              <w:spacing w:line="360" w:lineRule="exact"/>
              <w:ind w:left="0" w:leftChars="0" w:firstLine="0" w:firstLineChars="0"/>
              <w:jc w:val="center"/>
              <w:rPr>
                <w:rFonts w:ascii="华文楷体" w:hAnsi="华文楷体" w:eastAsia="华文楷体" w:cs="宋体"/>
                <w:sz w:val="24"/>
              </w:rPr>
            </w:pPr>
            <w:r>
              <w:rPr>
                <w:rFonts w:hint="eastAsia" w:ascii="华文楷体" w:hAnsi="华文楷体" w:eastAsia="华文楷体" w:cs="宋体"/>
                <w:sz w:val="24"/>
              </w:rPr>
              <w:t>数量/单位</w:t>
            </w:r>
          </w:p>
        </w:tc>
        <w:tc>
          <w:tcPr>
            <w:tcW w:w="1121" w:type="dxa"/>
            <w:vAlign w:val="center"/>
          </w:tcPr>
          <w:p w14:paraId="5E21A08C">
            <w:pPr>
              <w:pStyle w:val="4"/>
              <w:spacing w:line="320" w:lineRule="exact"/>
              <w:ind w:left="0" w:leftChars="0" w:firstLine="0" w:firstLineChars="0"/>
              <w:jc w:val="center"/>
              <w:rPr>
                <w:rFonts w:ascii="华文楷体" w:hAnsi="华文楷体" w:eastAsia="华文楷体" w:cs="宋体"/>
                <w:sz w:val="24"/>
              </w:rPr>
            </w:pPr>
            <w:r>
              <w:rPr>
                <w:rFonts w:hint="eastAsia" w:ascii="华文楷体" w:hAnsi="华文楷体" w:eastAsia="华文楷体" w:cs="宋体"/>
                <w:sz w:val="24"/>
              </w:rPr>
              <w:t>单价（元）</w:t>
            </w:r>
          </w:p>
        </w:tc>
        <w:tc>
          <w:tcPr>
            <w:tcW w:w="1189" w:type="dxa"/>
            <w:vAlign w:val="center"/>
          </w:tcPr>
          <w:p w14:paraId="10DB1ED7">
            <w:pPr>
              <w:pStyle w:val="4"/>
              <w:spacing w:line="480" w:lineRule="exact"/>
              <w:ind w:left="0" w:leftChars="0" w:firstLine="0" w:firstLineChars="0"/>
              <w:jc w:val="center"/>
              <w:rPr>
                <w:rFonts w:ascii="华文楷体" w:hAnsi="华文楷体" w:eastAsia="华文楷体" w:cs="宋体"/>
                <w:sz w:val="24"/>
              </w:rPr>
            </w:pPr>
            <w:r>
              <w:rPr>
                <w:rFonts w:hint="eastAsia" w:ascii="华文楷体" w:hAnsi="华文楷体" w:eastAsia="华文楷体" w:cs="宋体"/>
                <w:sz w:val="24"/>
              </w:rPr>
              <w:t>总价（元）</w:t>
            </w:r>
          </w:p>
        </w:tc>
        <w:tc>
          <w:tcPr>
            <w:tcW w:w="1011" w:type="dxa"/>
            <w:vAlign w:val="center"/>
          </w:tcPr>
          <w:p w14:paraId="3908D728">
            <w:pPr>
              <w:pStyle w:val="4"/>
              <w:spacing w:line="480" w:lineRule="exact"/>
              <w:ind w:left="0" w:leftChars="0" w:firstLine="0" w:firstLineChars="0"/>
              <w:jc w:val="center"/>
              <w:rPr>
                <w:rFonts w:ascii="华文楷体" w:hAnsi="华文楷体" w:eastAsia="华文楷体" w:cs="宋体"/>
                <w:sz w:val="24"/>
              </w:rPr>
            </w:pPr>
            <w:r>
              <w:rPr>
                <w:rFonts w:hint="eastAsia" w:ascii="华文楷体" w:hAnsi="华文楷体" w:eastAsia="华文楷体" w:cs="宋体"/>
                <w:sz w:val="24"/>
              </w:rPr>
              <w:t>备注</w:t>
            </w:r>
          </w:p>
        </w:tc>
      </w:tr>
      <w:tr w14:paraId="385B4A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5" w:type="dxa"/>
          </w:tcPr>
          <w:p w14:paraId="4A1A4207">
            <w:pPr>
              <w:pStyle w:val="4"/>
              <w:spacing w:line="480" w:lineRule="exact"/>
              <w:ind w:left="480" w:firstLine="480"/>
              <w:rPr>
                <w:rFonts w:ascii="华文楷体" w:hAnsi="华文楷体" w:eastAsia="华文楷体" w:cs="宋体"/>
                <w:sz w:val="24"/>
              </w:rPr>
            </w:pPr>
          </w:p>
        </w:tc>
        <w:tc>
          <w:tcPr>
            <w:tcW w:w="1340" w:type="dxa"/>
          </w:tcPr>
          <w:p w14:paraId="5661AC04">
            <w:pPr>
              <w:pStyle w:val="4"/>
              <w:spacing w:line="480" w:lineRule="exact"/>
              <w:ind w:left="480" w:firstLine="480"/>
              <w:rPr>
                <w:rFonts w:ascii="华文楷体" w:hAnsi="华文楷体" w:eastAsia="华文楷体" w:cs="宋体"/>
                <w:sz w:val="24"/>
              </w:rPr>
            </w:pPr>
          </w:p>
        </w:tc>
        <w:tc>
          <w:tcPr>
            <w:tcW w:w="1284" w:type="dxa"/>
          </w:tcPr>
          <w:p w14:paraId="19E50282">
            <w:pPr>
              <w:pStyle w:val="4"/>
              <w:spacing w:line="480" w:lineRule="exact"/>
              <w:ind w:left="480" w:firstLine="480"/>
              <w:rPr>
                <w:rFonts w:ascii="华文楷体" w:hAnsi="华文楷体" w:eastAsia="华文楷体" w:cs="宋体"/>
                <w:sz w:val="24"/>
              </w:rPr>
            </w:pPr>
          </w:p>
        </w:tc>
        <w:tc>
          <w:tcPr>
            <w:tcW w:w="1173" w:type="dxa"/>
          </w:tcPr>
          <w:p w14:paraId="6CD187C2">
            <w:pPr>
              <w:pStyle w:val="4"/>
              <w:spacing w:line="480" w:lineRule="exact"/>
              <w:ind w:left="480" w:firstLine="480"/>
              <w:rPr>
                <w:rFonts w:ascii="华文楷体" w:hAnsi="华文楷体" w:eastAsia="华文楷体" w:cs="宋体"/>
                <w:sz w:val="24"/>
              </w:rPr>
            </w:pPr>
          </w:p>
        </w:tc>
        <w:tc>
          <w:tcPr>
            <w:tcW w:w="1354" w:type="dxa"/>
          </w:tcPr>
          <w:p w14:paraId="596CC54B">
            <w:pPr>
              <w:pStyle w:val="4"/>
              <w:spacing w:line="480" w:lineRule="exact"/>
              <w:ind w:left="480" w:firstLine="480"/>
              <w:rPr>
                <w:rFonts w:ascii="华文楷体" w:hAnsi="华文楷体" w:eastAsia="华文楷体" w:cs="宋体"/>
                <w:sz w:val="24"/>
              </w:rPr>
            </w:pPr>
          </w:p>
        </w:tc>
        <w:tc>
          <w:tcPr>
            <w:tcW w:w="1121" w:type="dxa"/>
          </w:tcPr>
          <w:p w14:paraId="26F468CE">
            <w:pPr>
              <w:pStyle w:val="4"/>
              <w:spacing w:line="480" w:lineRule="exact"/>
              <w:ind w:left="480" w:firstLine="480"/>
              <w:rPr>
                <w:rFonts w:ascii="华文楷体" w:hAnsi="华文楷体" w:eastAsia="华文楷体" w:cs="宋体"/>
                <w:sz w:val="24"/>
              </w:rPr>
            </w:pPr>
          </w:p>
        </w:tc>
        <w:tc>
          <w:tcPr>
            <w:tcW w:w="1189" w:type="dxa"/>
          </w:tcPr>
          <w:p w14:paraId="62A8A9E1">
            <w:pPr>
              <w:pStyle w:val="4"/>
              <w:spacing w:line="480" w:lineRule="exact"/>
              <w:ind w:left="480" w:firstLine="480"/>
              <w:rPr>
                <w:rFonts w:ascii="华文楷体" w:hAnsi="华文楷体" w:eastAsia="华文楷体" w:cs="宋体"/>
                <w:sz w:val="24"/>
              </w:rPr>
            </w:pPr>
          </w:p>
        </w:tc>
        <w:tc>
          <w:tcPr>
            <w:tcW w:w="1011" w:type="dxa"/>
          </w:tcPr>
          <w:p w14:paraId="782B3D37">
            <w:pPr>
              <w:pStyle w:val="4"/>
              <w:spacing w:line="480" w:lineRule="exact"/>
              <w:ind w:left="480" w:firstLine="480"/>
              <w:rPr>
                <w:rFonts w:ascii="华文楷体" w:hAnsi="华文楷体" w:eastAsia="华文楷体" w:cs="宋体"/>
                <w:sz w:val="24"/>
              </w:rPr>
            </w:pPr>
          </w:p>
        </w:tc>
      </w:tr>
      <w:tr w14:paraId="0DC18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5" w:type="dxa"/>
          </w:tcPr>
          <w:p w14:paraId="34FB68DB">
            <w:pPr>
              <w:pStyle w:val="4"/>
              <w:spacing w:line="480" w:lineRule="exact"/>
              <w:ind w:left="480" w:firstLine="480"/>
              <w:rPr>
                <w:rFonts w:ascii="华文楷体" w:hAnsi="华文楷体" w:eastAsia="华文楷体" w:cs="宋体"/>
                <w:sz w:val="24"/>
              </w:rPr>
            </w:pPr>
          </w:p>
        </w:tc>
        <w:tc>
          <w:tcPr>
            <w:tcW w:w="1340" w:type="dxa"/>
          </w:tcPr>
          <w:p w14:paraId="2671A5C3">
            <w:pPr>
              <w:pStyle w:val="4"/>
              <w:spacing w:line="480" w:lineRule="exact"/>
              <w:ind w:left="480" w:firstLine="480"/>
              <w:rPr>
                <w:rFonts w:ascii="华文楷体" w:hAnsi="华文楷体" w:eastAsia="华文楷体" w:cs="宋体"/>
                <w:sz w:val="24"/>
              </w:rPr>
            </w:pPr>
          </w:p>
        </w:tc>
        <w:tc>
          <w:tcPr>
            <w:tcW w:w="1284" w:type="dxa"/>
          </w:tcPr>
          <w:p w14:paraId="132EF26F">
            <w:pPr>
              <w:pStyle w:val="4"/>
              <w:spacing w:line="480" w:lineRule="exact"/>
              <w:ind w:left="480" w:firstLine="480"/>
              <w:rPr>
                <w:rFonts w:ascii="华文楷体" w:hAnsi="华文楷体" w:eastAsia="华文楷体" w:cs="宋体"/>
                <w:sz w:val="24"/>
              </w:rPr>
            </w:pPr>
          </w:p>
        </w:tc>
        <w:tc>
          <w:tcPr>
            <w:tcW w:w="1173" w:type="dxa"/>
          </w:tcPr>
          <w:p w14:paraId="1455A17C">
            <w:pPr>
              <w:pStyle w:val="4"/>
              <w:spacing w:line="480" w:lineRule="exact"/>
              <w:ind w:left="480" w:firstLine="480"/>
              <w:rPr>
                <w:rFonts w:ascii="华文楷体" w:hAnsi="华文楷体" w:eastAsia="华文楷体" w:cs="宋体"/>
                <w:sz w:val="24"/>
              </w:rPr>
            </w:pPr>
          </w:p>
        </w:tc>
        <w:tc>
          <w:tcPr>
            <w:tcW w:w="1354" w:type="dxa"/>
          </w:tcPr>
          <w:p w14:paraId="38C1FEB7">
            <w:pPr>
              <w:pStyle w:val="4"/>
              <w:spacing w:line="480" w:lineRule="exact"/>
              <w:ind w:left="480" w:firstLine="480"/>
              <w:rPr>
                <w:rFonts w:ascii="华文楷体" w:hAnsi="华文楷体" w:eastAsia="华文楷体" w:cs="宋体"/>
                <w:sz w:val="24"/>
              </w:rPr>
            </w:pPr>
          </w:p>
        </w:tc>
        <w:tc>
          <w:tcPr>
            <w:tcW w:w="1121" w:type="dxa"/>
          </w:tcPr>
          <w:p w14:paraId="4E086C32">
            <w:pPr>
              <w:pStyle w:val="4"/>
              <w:spacing w:line="480" w:lineRule="exact"/>
              <w:ind w:left="480" w:firstLine="480"/>
              <w:rPr>
                <w:rFonts w:ascii="华文楷体" w:hAnsi="华文楷体" w:eastAsia="华文楷体" w:cs="宋体"/>
                <w:sz w:val="24"/>
              </w:rPr>
            </w:pPr>
          </w:p>
        </w:tc>
        <w:tc>
          <w:tcPr>
            <w:tcW w:w="1189" w:type="dxa"/>
          </w:tcPr>
          <w:p w14:paraId="6E349296">
            <w:pPr>
              <w:pStyle w:val="4"/>
              <w:spacing w:line="480" w:lineRule="exact"/>
              <w:ind w:left="480" w:firstLine="480"/>
              <w:rPr>
                <w:rFonts w:ascii="华文楷体" w:hAnsi="华文楷体" w:eastAsia="华文楷体" w:cs="宋体"/>
                <w:sz w:val="24"/>
              </w:rPr>
            </w:pPr>
          </w:p>
        </w:tc>
        <w:tc>
          <w:tcPr>
            <w:tcW w:w="1011" w:type="dxa"/>
          </w:tcPr>
          <w:p w14:paraId="1C538551">
            <w:pPr>
              <w:pStyle w:val="4"/>
              <w:spacing w:line="480" w:lineRule="exact"/>
              <w:ind w:left="480" w:firstLine="480"/>
              <w:rPr>
                <w:rFonts w:ascii="华文楷体" w:hAnsi="华文楷体" w:eastAsia="华文楷体" w:cs="宋体"/>
                <w:sz w:val="24"/>
              </w:rPr>
            </w:pPr>
          </w:p>
        </w:tc>
      </w:tr>
      <w:tr w14:paraId="73E19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95" w:type="dxa"/>
          </w:tcPr>
          <w:p w14:paraId="02978726">
            <w:pPr>
              <w:pStyle w:val="4"/>
              <w:spacing w:line="480" w:lineRule="exact"/>
              <w:ind w:left="480" w:firstLine="480"/>
              <w:rPr>
                <w:rFonts w:ascii="华文楷体" w:hAnsi="华文楷体" w:eastAsia="华文楷体" w:cs="宋体"/>
                <w:sz w:val="24"/>
              </w:rPr>
            </w:pPr>
          </w:p>
        </w:tc>
        <w:tc>
          <w:tcPr>
            <w:tcW w:w="1340" w:type="dxa"/>
          </w:tcPr>
          <w:p w14:paraId="63A2FD80">
            <w:pPr>
              <w:pStyle w:val="4"/>
              <w:spacing w:line="480" w:lineRule="exact"/>
              <w:ind w:left="480" w:firstLine="480"/>
              <w:rPr>
                <w:rFonts w:ascii="华文楷体" w:hAnsi="华文楷体" w:eastAsia="华文楷体" w:cs="宋体"/>
                <w:sz w:val="24"/>
              </w:rPr>
            </w:pPr>
          </w:p>
        </w:tc>
        <w:tc>
          <w:tcPr>
            <w:tcW w:w="1284" w:type="dxa"/>
          </w:tcPr>
          <w:p w14:paraId="720F37F9">
            <w:pPr>
              <w:pStyle w:val="4"/>
              <w:spacing w:line="480" w:lineRule="exact"/>
              <w:ind w:left="480" w:firstLine="480"/>
              <w:rPr>
                <w:rFonts w:ascii="华文楷体" w:hAnsi="华文楷体" w:eastAsia="华文楷体" w:cs="宋体"/>
                <w:sz w:val="24"/>
              </w:rPr>
            </w:pPr>
          </w:p>
        </w:tc>
        <w:tc>
          <w:tcPr>
            <w:tcW w:w="1173" w:type="dxa"/>
          </w:tcPr>
          <w:p w14:paraId="5FF26C95">
            <w:pPr>
              <w:pStyle w:val="4"/>
              <w:spacing w:line="480" w:lineRule="exact"/>
              <w:ind w:left="480" w:firstLine="480"/>
              <w:rPr>
                <w:rFonts w:ascii="华文楷体" w:hAnsi="华文楷体" w:eastAsia="华文楷体" w:cs="宋体"/>
                <w:sz w:val="24"/>
              </w:rPr>
            </w:pPr>
          </w:p>
        </w:tc>
        <w:tc>
          <w:tcPr>
            <w:tcW w:w="1354" w:type="dxa"/>
          </w:tcPr>
          <w:p w14:paraId="625393A7">
            <w:pPr>
              <w:pStyle w:val="4"/>
              <w:spacing w:line="480" w:lineRule="exact"/>
              <w:ind w:left="480" w:firstLine="480"/>
              <w:rPr>
                <w:rFonts w:ascii="华文楷体" w:hAnsi="华文楷体" w:eastAsia="华文楷体" w:cs="宋体"/>
                <w:sz w:val="24"/>
              </w:rPr>
            </w:pPr>
          </w:p>
        </w:tc>
        <w:tc>
          <w:tcPr>
            <w:tcW w:w="1121" w:type="dxa"/>
          </w:tcPr>
          <w:p w14:paraId="3E6ECB70">
            <w:pPr>
              <w:pStyle w:val="4"/>
              <w:spacing w:line="480" w:lineRule="exact"/>
              <w:ind w:left="480" w:firstLine="480"/>
              <w:rPr>
                <w:rFonts w:ascii="华文楷体" w:hAnsi="华文楷体" w:eastAsia="华文楷体" w:cs="宋体"/>
                <w:sz w:val="24"/>
              </w:rPr>
            </w:pPr>
          </w:p>
        </w:tc>
        <w:tc>
          <w:tcPr>
            <w:tcW w:w="1189" w:type="dxa"/>
          </w:tcPr>
          <w:p w14:paraId="486D061E">
            <w:pPr>
              <w:pStyle w:val="4"/>
              <w:spacing w:line="480" w:lineRule="exact"/>
              <w:ind w:left="480" w:firstLine="480"/>
              <w:rPr>
                <w:rFonts w:ascii="华文楷体" w:hAnsi="华文楷体" w:eastAsia="华文楷体" w:cs="宋体"/>
                <w:sz w:val="24"/>
              </w:rPr>
            </w:pPr>
          </w:p>
        </w:tc>
        <w:tc>
          <w:tcPr>
            <w:tcW w:w="1011" w:type="dxa"/>
          </w:tcPr>
          <w:p w14:paraId="41EC3B10">
            <w:pPr>
              <w:pStyle w:val="4"/>
              <w:spacing w:line="480" w:lineRule="exact"/>
              <w:ind w:left="480" w:firstLine="480"/>
              <w:rPr>
                <w:rFonts w:ascii="华文楷体" w:hAnsi="华文楷体" w:eastAsia="华文楷体" w:cs="宋体"/>
                <w:sz w:val="24"/>
              </w:rPr>
            </w:pPr>
          </w:p>
        </w:tc>
      </w:tr>
      <w:tr w14:paraId="29AC3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vMerge w:val="restart"/>
            <w:vAlign w:val="center"/>
          </w:tcPr>
          <w:p w14:paraId="6F25AA10">
            <w:pPr>
              <w:adjustRightInd w:val="0"/>
              <w:snapToGrid w:val="0"/>
              <w:spacing w:line="480" w:lineRule="exact"/>
              <w:jc w:val="center"/>
              <w:rPr>
                <w:rFonts w:ascii="华文楷体" w:hAnsi="华文楷体" w:eastAsia="华文楷体" w:cs="宋体"/>
              </w:rPr>
            </w:pPr>
            <w:r>
              <w:rPr>
                <w:rFonts w:hint="eastAsia" w:ascii="华文楷体" w:hAnsi="华文楷体" w:eastAsia="华文楷体" w:cs="宋体"/>
              </w:rPr>
              <w:t>合同金额</w:t>
            </w:r>
          </w:p>
        </w:tc>
        <w:tc>
          <w:tcPr>
            <w:tcW w:w="7132" w:type="dxa"/>
            <w:gridSpan w:val="6"/>
          </w:tcPr>
          <w:p w14:paraId="57478821">
            <w:pPr>
              <w:pStyle w:val="4"/>
              <w:spacing w:line="480" w:lineRule="exact"/>
              <w:ind w:left="0" w:leftChars="0" w:firstLine="0" w:firstLineChars="0"/>
              <w:rPr>
                <w:rFonts w:ascii="华文楷体" w:hAnsi="华文楷体" w:eastAsia="华文楷体" w:cs="宋体"/>
                <w:sz w:val="24"/>
              </w:rPr>
            </w:pPr>
            <w:r>
              <w:rPr>
                <w:rFonts w:hint="eastAsia" w:ascii="华文楷体" w:hAnsi="华文楷体" w:eastAsia="华文楷体" w:cs="宋体"/>
                <w:sz w:val="24"/>
              </w:rPr>
              <w:t>大写：</w:t>
            </w:r>
            <w:r>
              <w:rPr>
                <w:rFonts w:hint="eastAsia" w:ascii="华文楷体" w:hAnsi="华文楷体" w:eastAsia="华文楷体" w:cs="宋体"/>
                <w:sz w:val="24"/>
                <w:u w:val="single"/>
              </w:rPr>
              <w:t xml:space="preserve">                      </w:t>
            </w:r>
          </w:p>
        </w:tc>
      </w:tr>
      <w:tr w14:paraId="1DDFF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235" w:type="dxa"/>
            <w:gridSpan w:val="2"/>
            <w:vMerge w:val="continue"/>
          </w:tcPr>
          <w:p w14:paraId="67D119BF">
            <w:pPr>
              <w:pStyle w:val="4"/>
              <w:spacing w:line="480" w:lineRule="exact"/>
              <w:ind w:left="480" w:firstLine="480"/>
              <w:rPr>
                <w:rFonts w:ascii="华文楷体" w:hAnsi="华文楷体" w:eastAsia="华文楷体" w:cs="宋体"/>
                <w:sz w:val="24"/>
              </w:rPr>
            </w:pPr>
          </w:p>
        </w:tc>
        <w:tc>
          <w:tcPr>
            <w:tcW w:w="7132" w:type="dxa"/>
            <w:gridSpan w:val="6"/>
          </w:tcPr>
          <w:p w14:paraId="113E49DF">
            <w:pPr>
              <w:adjustRightInd w:val="0"/>
              <w:snapToGrid w:val="0"/>
              <w:spacing w:line="480" w:lineRule="exact"/>
              <w:jc w:val="left"/>
              <w:rPr>
                <w:rFonts w:ascii="华文楷体" w:hAnsi="华文楷体" w:eastAsia="华文楷体" w:cs="宋体"/>
              </w:rPr>
            </w:pPr>
            <w:r>
              <w:rPr>
                <w:rFonts w:hint="eastAsia" w:ascii="华文楷体" w:hAnsi="华文楷体" w:eastAsia="华文楷体" w:cs="宋体"/>
              </w:rPr>
              <w:t>小写：</w:t>
            </w:r>
            <w:r>
              <w:rPr>
                <w:rFonts w:hint="eastAsia" w:ascii="华文楷体" w:hAnsi="华文楷体" w:eastAsia="华文楷体" w:cs="宋体"/>
                <w:u w:val="single"/>
              </w:rPr>
              <w:t xml:space="preserve">                      </w:t>
            </w:r>
          </w:p>
        </w:tc>
      </w:tr>
    </w:tbl>
    <w:p w14:paraId="49C87889">
      <w:pPr>
        <w:adjustRightInd w:val="0"/>
        <w:snapToGrid w:val="0"/>
        <w:spacing w:line="480" w:lineRule="exact"/>
        <w:ind w:firstLine="480" w:firstLineChars="200"/>
        <w:rPr>
          <w:rFonts w:ascii="华文楷体" w:hAnsi="华文楷体" w:eastAsia="华文楷体" w:cs="宋体"/>
          <w:bCs/>
        </w:rPr>
      </w:pPr>
      <w:r>
        <w:rPr>
          <w:rFonts w:hint="eastAsia" w:ascii="华文楷体" w:hAnsi="华文楷体" w:eastAsia="华文楷体" w:cs="宋体"/>
          <w:bCs/>
        </w:rPr>
        <w:t>本合同价款为</w:t>
      </w:r>
      <w:r>
        <w:rPr>
          <w:rFonts w:hint="eastAsia" w:ascii="华文楷体" w:hAnsi="华文楷体" w:eastAsia="华文楷体" w:cs="宋体"/>
        </w:rPr>
        <w:t>设备价款、包装费、运输费、安装费、调试费、检测费、培训费、技术服务费、售后服务费、税金、保险费等其他为完成本项目将发生的全部费用</w:t>
      </w:r>
      <w:r>
        <w:rPr>
          <w:rFonts w:hint="eastAsia" w:ascii="华文楷体" w:hAnsi="华文楷体" w:eastAsia="华文楷体" w:cs="宋体"/>
          <w:kern w:val="0"/>
          <w:lang w:val="zh-CN"/>
        </w:rPr>
        <w:t>。</w:t>
      </w:r>
    </w:p>
    <w:p w14:paraId="3B456B49">
      <w:pPr>
        <w:adjustRightInd w:val="0"/>
        <w:snapToGrid w:val="0"/>
        <w:spacing w:line="480" w:lineRule="exact"/>
        <w:ind w:firstLine="482" w:firstLineChars="200"/>
        <w:rPr>
          <w:rFonts w:ascii="华文楷体" w:hAnsi="华文楷体" w:eastAsia="华文楷体" w:cs="宋体"/>
          <w:u w:val="single"/>
        </w:rPr>
      </w:pPr>
      <w:r>
        <w:rPr>
          <w:rFonts w:hint="eastAsia" w:ascii="华文楷体" w:hAnsi="华文楷体" w:eastAsia="华文楷体" w:cs="宋体"/>
          <w:b/>
        </w:rPr>
        <w:t>3、履行合同的时间、地点及方式</w:t>
      </w:r>
    </w:p>
    <w:p w14:paraId="0F05A8FA">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rPr>
        <w:t>（1）合同签订：乙方应在自中标通知书发出之日起30日之内，按中标通知书指定时间、地点与甲方签订政府采购合同协议书。</w:t>
      </w:r>
    </w:p>
    <w:p w14:paraId="225A0FAC">
      <w:pPr>
        <w:adjustRightInd w:val="0"/>
        <w:snapToGrid w:val="0"/>
        <w:spacing w:line="480" w:lineRule="exact"/>
        <w:ind w:firstLine="480" w:firstLineChars="200"/>
        <w:rPr>
          <w:rFonts w:ascii="华文楷体" w:hAnsi="华文楷体" w:eastAsia="华文楷体" w:cs="宋体"/>
          <w:u w:val="single"/>
        </w:rPr>
      </w:pPr>
      <w:r>
        <w:rPr>
          <w:rFonts w:hint="eastAsia" w:ascii="华文楷体" w:hAnsi="华文楷体" w:eastAsia="华文楷体" w:cs="宋体"/>
        </w:rPr>
        <w:t>（2）交货时间：</w:t>
      </w:r>
      <w:r>
        <w:rPr>
          <w:rFonts w:hint="eastAsia" w:ascii="华文楷体" w:hAnsi="华文楷体" w:eastAsia="华文楷体" w:cs="宋体"/>
          <w:b/>
          <w:bCs/>
          <w:u w:val="single"/>
          <w:lang w:val="zh-CN"/>
        </w:rPr>
        <w:t>自合同签订之日起60日内供货至采购人指定地点</w:t>
      </w:r>
    </w:p>
    <w:p w14:paraId="056E124D">
      <w:pPr>
        <w:adjustRightInd w:val="0"/>
        <w:snapToGrid w:val="0"/>
        <w:spacing w:line="480" w:lineRule="exact"/>
        <w:ind w:firstLine="480" w:firstLineChars="200"/>
        <w:rPr>
          <w:rFonts w:ascii="华文楷体" w:hAnsi="华文楷体" w:eastAsia="华文楷体" w:cs="宋体"/>
          <w:u w:val="single"/>
        </w:rPr>
      </w:pPr>
      <w:r>
        <w:rPr>
          <w:rFonts w:hint="eastAsia" w:ascii="华文楷体" w:hAnsi="华文楷体" w:eastAsia="华文楷体" w:cs="宋体"/>
        </w:rPr>
        <w:t>（3）交货地点</w:t>
      </w:r>
      <w:r>
        <w:rPr>
          <w:rFonts w:hint="eastAsia" w:ascii="华文楷体" w:hAnsi="华文楷体" w:eastAsia="华文楷体" w:cs="宋体"/>
          <w:b/>
        </w:rPr>
        <w:t>：</w:t>
      </w:r>
      <w:r>
        <w:rPr>
          <w:rFonts w:hint="eastAsia" w:ascii="华文楷体" w:hAnsi="华文楷体" w:eastAsia="华文楷体" w:cs="宋体"/>
          <w:u w:val="single"/>
        </w:rPr>
        <w:t xml:space="preserve"> 格尔木市消防救援支队 </w:t>
      </w:r>
    </w:p>
    <w:p w14:paraId="3962DC77">
      <w:pPr>
        <w:adjustRightInd w:val="0"/>
        <w:snapToGrid w:val="0"/>
        <w:spacing w:line="480" w:lineRule="exact"/>
        <w:ind w:firstLine="480" w:firstLineChars="200"/>
        <w:rPr>
          <w:rFonts w:ascii="华文楷体" w:hAnsi="华文楷体" w:eastAsia="华文楷体" w:cs="宋体"/>
          <w:u w:val="single"/>
        </w:rPr>
      </w:pPr>
      <w:r>
        <w:rPr>
          <w:rFonts w:hint="eastAsia" w:ascii="华文楷体" w:hAnsi="华文楷体" w:eastAsia="华文楷体" w:cs="宋体"/>
        </w:rPr>
        <w:t>（4）交货方式：</w:t>
      </w:r>
      <w:r>
        <w:rPr>
          <w:rFonts w:hint="eastAsia" w:ascii="华文楷体" w:hAnsi="华文楷体" w:eastAsia="华文楷体" w:cs="宋体"/>
          <w:u w:val="single"/>
        </w:rPr>
        <w:t xml:space="preserve"> 乙方负责货物的包装、运输、保管、安装、调试、检测、验收、培训、售后服务等，并承担验收前的一切风险、责任和费用。</w:t>
      </w:r>
    </w:p>
    <w:p w14:paraId="0D11D6B6">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rPr>
        <w:t>（5）</w:t>
      </w:r>
      <w:r>
        <w:rPr>
          <w:rFonts w:hint="eastAsia" w:ascii="华文楷体" w:hAnsi="华文楷体" w:eastAsia="华文楷体" w:cs="宋体"/>
          <w:lang w:val="zh-CN"/>
        </w:rPr>
        <w:t>乙方提供不符合招投标文件和本合同规定的产品，甲方有权拒绝</w:t>
      </w:r>
      <w:r>
        <w:rPr>
          <w:rFonts w:hint="eastAsia" w:ascii="华文楷体" w:hAnsi="华文楷体" w:eastAsia="华文楷体" w:cs="宋体"/>
        </w:rPr>
        <w:t>接收</w:t>
      </w:r>
      <w:r>
        <w:rPr>
          <w:rFonts w:hint="eastAsia" w:ascii="华文楷体" w:hAnsi="华文楷体" w:eastAsia="华文楷体" w:cs="宋体"/>
          <w:lang w:val="zh-CN"/>
        </w:rPr>
        <w:t>。</w:t>
      </w:r>
    </w:p>
    <w:p w14:paraId="70F83821">
      <w:pPr>
        <w:adjustRightInd w:val="0"/>
        <w:snapToGrid w:val="0"/>
        <w:spacing w:line="480" w:lineRule="exact"/>
        <w:ind w:firstLine="480" w:firstLineChars="200"/>
        <w:rPr>
          <w:rFonts w:ascii="华文楷体" w:hAnsi="华文楷体" w:eastAsia="华文楷体" w:cs="宋体"/>
          <w:lang w:val="zh-CN"/>
        </w:rPr>
      </w:pPr>
      <w:r>
        <w:rPr>
          <w:rFonts w:hint="eastAsia" w:ascii="华文楷体" w:hAnsi="华文楷体" w:eastAsia="华文楷体" w:cs="宋体"/>
        </w:rPr>
        <w:t>（6）</w:t>
      </w:r>
      <w:r>
        <w:rPr>
          <w:rFonts w:hint="eastAsia" w:ascii="华文楷体" w:hAnsi="华文楷体" w:eastAsia="华文楷体" w:cs="宋体"/>
          <w:lang w:val="zh-CN"/>
        </w:rPr>
        <w:t>乙方应将提供产品的装箱清单、用户手册、原厂保修卡、随机资料、工具和备品、备件等交付给甲方，如有缺失应及时补齐，否则视为逾期交货。</w:t>
      </w:r>
    </w:p>
    <w:p w14:paraId="1DF3E389">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lang w:val="zh-CN"/>
        </w:rPr>
        <w:t>（7）甲方应当在到货（安装、调试完）后</w:t>
      </w:r>
      <w:r>
        <w:rPr>
          <w:rFonts w:hint="eastAsia" w:ascii="华文楷体" w:hAnsi="华文楷体" w:eastAsia="华文楷体" w:cs="宋体"/>
        </w:rPr>
        <w:t>尽快进行</w:t>
      </w:r>
      <w:r>
        <w:rPr>
          <w:rFonts w:hint="eastAsia" w:ascii="华文楷体" w:hAnsi="华文楷体" w:eastAsia="华文楷体" w:cs="宋体"/>
          <w:lang w:val="zh-CN"/>
        </w:rPr>
        <w:t>验收。验收合格后，由甲乙双方签署产品验收单并加盖采购人公章，甲乙双方各执一份。</w:t>
      </w:r>
    </w:p>
    <w:p w14:paraId="12B068C8">
      <w:pPr>
        <w:adjustRightInd w:val="0"/>
        <w:snapToGrid w:val="0"/>
        <w:spacing w:line="480" w:lineRule="exact"/>
        <w:ind w:firstLine="480" w:firstLineChars="200"/>
        <w:rPr>
          <w:rFonts w:ascii="华文楷体" w:hAnsi="华文楷体" w:eastAsia="华文楷体" w:cs="宋体"/>
          <w:lang w:val="zh-CN"/>
        </w:rPr>
      </w:pPr>
      <w:r>
        <w:rPr>
          <w:rFonts w:hint="eastAsia" w:ascii="华文楷体" w:hAnsi="华文楷体" w:eastAsia="华文楷体" w:cs="宋体"/>
          <w:lang w:val="zh-CN"/>
        </w:rPr>
        <w:t>（8）甲方应提供该项目验收报告交同级财政监管部门，由财政部门按规定程序抽验后办理资金拨付。</w:t>
      </w:r>
    </w:p>
    <w:p w14:paraId="7848015D">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lang w:val="zh-CN"/>
        </w:rPr>
        <w:t xml:space="preserve">（9）甲方在验收过程中发现乙方有违约问题，可暂缓资金结算，并按招、投标文件的规定要求乙方及时予以解决。待违约问题解决后，方可办理资金结算事宜。甲方对产品验收有异议的，在验收后5个工作日内以书面形式向乙方提出，乙方应自收到甲方书面异议后5个工作日内及时予以解决。 </w:t>
      </w:r>
    </w:p>
    <w:p w14:paraId="07B3AD33">
      <w:pPr>
        <w:adjustRightInd w:val="0"/>
        <w:snapToGrid w:val="0"/>
        <w:spacing w:line="480" w:lineRule="exact"/>
        <w:ind w:firstLine="480" w:firstLineChars="200"/>
        <w:rPr>
          <w:rFonts w:ascii="华文楷体" w:hAnsi="华文楷体" w:eastAsia="华文楷体" w:cs="宋体"/>
          <w:lang w:val="zh-CN"/>
        </w:rPr>
      </w:pPr>
      <w:r>
        <w:rPr>
          <w:rFonts w:hint="eastAsia" w:ascii="华文楷体" w:hAnsi="华文楷体" w:eastAsia="华文楷体" w:cs="宋体"/>
          <w:lang w:val="zh-CN"/>
        </w:rPr>
        <w:t>（10）乙方向甲方提供产品相关完税发票。</w:t>
      </w:r>
    </w:p>
    <w:p w14:paraId="3D776198">
      <w:pPr>
        <w:autoSpaceDE w:val="0"/>
        <w:autoSpaceDN w:val="0"/>
        <w:spacing w:line="480" w:lineRule="exact"/>
        <w:ind w:firstLine="482" w:firstLineChars="200"/>
        <w:rPr>
          <w:rFonts w:ascii="华文楷体" w:hAnsi="华文楷体" w:eastAsia="华文楷体" w:cs="宋体"/>
          <w:b/>
        </w:rPr>
      </w:pPr>
      <w:r>
        <w:rPr>
          <w:rFonts w:hint="eastAsia" w:ascii="华文楷体" w:hAnsi="华文楷体" w:eastAsia="华文楷体" w:cs="宋体"/>
          <w:b/>
        </w:rPr>
        <w:t>4、付款方式：</w:t>
      </w:r>
    </w:p>
    <w:p w14:paraId="49CE4EB0">
      <w:pPr>
        <w:adjustRightInd w:val="0"/>
        <w:snapToGrid w:val="0"/>
        <w:spacing w:line="480" w:lineRule="exact"/>
        <w:ind w:firstLine="480" w:firstLineChars="200"/>
        <w:rPr>
          <w:rFonts w:ascii="华文楷体" w:hAnsi="华文楷体" w:eastAsia="华文楷体" w:cs="宋体"/>
          <w:lang w:val="zh-CN"/>
        </w:rPr>
      </w:pPr>
      <w:r>
        <w:rPr>
          <w:rFonts w:hint="eastAsia" w:ascii="华文楷体" w:hAnsi="华文楷体" w:eastAsia="华文楷体" w:cs="宋体"/>
          <w:lang w:val="zh-CN"/>
        </w:rPr>
        <w:t>①履约担保：在签订合同后30个日历日内，中标人（乙方）应当以支票、汇票、本票或者金融机构、担保机构出具的保函等非现金形式向采购人（甲方）缴纳履约保证金。履约保证金的数额为合同金额的10%，履约保证金的有效期为中标通知书收到之日起455个日历日。</w:t>
      </w:r>
    </w:p>
    <w:p w14:paraId="615F8514">
      <w:pPr>
        <w:adjustRightInd w:val="0"/>
        <w:snapToGrid w:val="0"/>
        <w:spacing w:line="480" w:lineRule="exact"/>
        <w:ind w:firstLine="480" w:firstLineChars="200"/>
        <w:rPr>
          <w:rFonts w:ascii="华文楷体" w:hAnsi="华文楷体" w:eastAsia="华文楷体" w:cs="宋体"/>
          <w:lang w:val="zh-CN"/>
        </w:rPr>
      </w:pPr>
      <w:r>
        <w:rPr>
          <w:rFonts w:hint="eastAsia" w:ascii="华文楷体" w:hAnsi="华文楷体" w:eastAsia="华文楷体" w:cs="宋体"/>
          <w:lang w:val="zh-CN"/>
        </w:rPr>
        <w:t>②预付款：收到保函后，甲方向乙方支付不低于合同总金额的40%作为预付款。预付款支付后，如乙方未履行合同义务，则甲方有权收回预付款；如乙方依约履行了合同义务，则预付款抵作合同价款。</w:t>
      </w:r>
    </w:p>
    <w:p w14:paraId="3122781A">
      <w:pPr>
        <w:adjustRightInd w:val="0"/>
        <w:snapToGrid w:val="0"/>
        <w:spacing w:line="480" w:lineRule="exact"/>
        <w:ind w:firstLine="480" w:firstLineChars="200"/>
        <w:rPr>
          <w:rFonts w:ascii="华文楷体" w:hAnsi="华文楷体" w:eastAsia="华文楷体" w:cs="宋体"/>
          <w:lang w:val="zh-CN"/>
        </w:rPr>
      </w:pPr>
      <w:r>
        <w:rPr>
          <w:rFonts w:hint="eastAsia" w:ascii="华文楷体" w:hAnsi="华文楷体" w:eastAsia="华文楷体" w:cs="宋体"/>
          <w:lang w:val="zh-CN"/>
        </w:rPr>
        <w:t>③交货款：乙方按合同规定的交货时间交货并经甲方对合同项下所有货物验收合格后15 个工作日内，凭乙方全额有效发票、拨款申请、及甲方签署的验收合格报告，经审计后甲方向乙方支付剩余款项。</w:t>
      </w:r>
    </w:p>
    <w:p w14:paraId="08C25021">
      <w:pPr>
        <w:adjustRightInd w:val="0"/>
        <w:snapToGrid w:val="0"/>
        <w:spacing w:line="480" w:lineRule="exact"/>
        <w:ind w:firstLine="480" w:firstLineChars="200"/>
        <w:rPr>
          <w:rFonts w:ascii="华文楷体" w:hAnsi="华文楷体" w:eastAsia="华文楷体" w:cs="宋体"/>
          <w:lang w:val="zh-CN"/>
        </w:rPr>
      </w:pPr>
      <w:r>
        <w:rPr>
          <w:rFonts w:hint="eastAsia" w:ascii="华文楷体" w:hAnsi="华文楷体" w:eastAsia="华文楷体" w:cs="宋体"/>
          <w:lang w:val="zh-CN"/>
        </w:rPr>
        <w:t>④结清款：验收合格满 1 年且乙方履行合同义务，凭乙方合同总金额有效发票复印件、等额有效收据、拨款申请及甲方签署的意见，甲方向乙方退还履约保函，但是乙方需要继续履行质保义务。</w:t>
      </w:r>
    </w:p>
    <w:p w14:paraId="29762FE9">
      <w:pPr>
        <w:adjustRightInd w:val="0"/>
        <w:snapToGrid w:val="0"/>
        <w:spacing w:line="480" w:lineRule="exact"/>
        <w:ind w:firstLine="482" w:firstLineChars="200"/>
        <w:rPr>
          <w:rFonts w:ascii="华文楷体" w:hAnsi="华文楷体" w:eastAsia="华文楷体" w:cs="宋体"/>
          <w:b/>
        </w:rPr>
      </w:pPr>
      <w:r>
        <w:rPr>
          <w:rFonts w:hint="eastAsia" w:ascii="华文楷体" w:hAnsi="华文楷体" w:eastAsia="华文楷体" w:cs="宋体"/>
          <w:b/>
        </w:rPr>
        <w:t>5、解决合同纠纷方式</w:t>
      </w:r>
    </w:p>
    <w:p w14:paraId="4155E987">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rPr>
        <w:t>首先通过双方协商解决，协商解决不成，则通过以下途径解决纠纷：向甲方所在地人民法院提起诉讼。</w:t>
      </w:r>
    </w:p>
    <w:p w14:paraId="5350351F">
      <w:pPr>
        <w:adjustRightInd w:val="0"/>
        <w:snapToGrid w:val="0"/>
        <w:spacing w:line="480" w:lineRule="exact"/>
        <w:ind w:firstLine="482" w:firstLineChars="200"/>
        <w:rPr>
          <w:rFonts w:ascii="华文楷体" w:hAnsi="华文楷体" w:eastAsia="华文楷体" w:cs="宋体"/>
          <w:b/>
        </w:rPr>
      </w:pPr>
      <w:r>
        <w:rPr>
          <w:rFonts w:hint="eastAsia" w:ascii="华文楷体" w:hAnsi="华文楷体" w:eastAsia="华文楷体" w:cs="宋体"/>
          <w:b/>
        </w:rPr>
        <w:t>6、合同的变更、终止与转让</w:t>
      </w:r>
    </w:p>
    <w:p w14:paraId="79913C91">
      <w:pPr>
        <w:autoSpaceDE w:val="0"/>
        <w:autoSpaceDN w:val="0"/>
        <w:spacing w:line="480" w:lineRule="exact"/>
        <w:ind w:firstLine="360" w:firstLineChars="150"/>
        <w:rPr>
          <w:rFonts w:ascii="华文楷体" w:hAnsi="华文楷体" w:eastAsia="华文楷体" w:cs="宋体"/>
          <w:kern w:val="0"/>
        </w:rPr>
      </w:pPr>
      <w:r>
        <w:rPr>
          <w:rFonts w:hint="eastAsia" w:ascii="华文楷体" w:hAnsi="华文楷体" w:eastAsia="华文楷体" w:cs="宋体"/>
          <w:kern w:val="0"/>
        </w:rPr>
        <w:t>（1）</w:t>
      </w:r>
      <w:r>
        <w:rPr>
          <w:rFonts w:hint="eastAsia" w:ascii="华文楷体" w:hAnsi="华文楷体" w:eastAsia="华文楷体" w:cs="宋体"/>
          <w:kern w:val="0"/>
          <w:lang w:val="zh-CN"/>
        </w:rPr>
        <w:t>除《中华人民共和国政府采购法》第</w:t>
      </w:r>
      <w:r>
        <w:rPr>
          <w:rFonts w:hint="eastAsia" w:ascii="华文楷体" w:hAnsi="华文楷体" w:eastAsia="华文楷体" w:cs="宋体"/>
          <w:kern w:val="0"/>
        </w:rPr>
        <w:t>50</w:t>
      </w:r>
      <w:r>
        <w:rPr>
          <w:rFonts w:hint="eastAsia" w:ascii="华文楷体" w:hAnsi="华文楷体" w:eastAsia="华文楷体" w:cs="宋体"/>
          <w:kern w:val="0"/>
          <w:lang w:val="zh-CN"/>
        </w:rPr>
        <w:t>条规定的情形外，本合同一经签订，甲乙双方不得擅自变更、中止或终止。</w:t>
      </w:r>
    </w:p>
    <w:p w14:paraId="4D65E735">
      <w:pPr>
        <w:autoSpaceDE w:val="0"/>
        <w:autoSpaceDN w:val="0"/>
        <w:spacing w:line="480" w:lineRule="exact"/>
        <w:ind w:firstLine="360" w:firstLineChars="150"/>
        <w:rPr>
          <w:rFonts w:ascii="华文楷体" w:hAnsi="华文楷体" w:eastAsia="华文楷体" w:cs="宋体"/>
          <w:kern w:val="0"/>
        </w:rPr>
      </w:pPr>
      <w:r>
        <w:rPr>
          <w:rFonts w:hint="eastAsia" w:ascii="华文楷体" w:hAnsi="华文楷体" w:eastAsia="华文楷体" w:cs="宋体"/>
          <w:kern w:val="0"/>
        </w:rPr>
        <w:t>（2）</w:t>
      </w:r>
      <w:r>
        <w:rPr>
          <w:rFonts w:hint="eastAsia" w:ascii="华文楷体" w:hAnsi="华文楷体" w:eastAsia="华文楷体" w:cs="宋体"/>
          <w:kern w:val="0"/>
          <w:lang w:val="zh-CN"/>
        </w:rPr>
        <w:t>乙方不得擅自转让其应履行的合同义务。</w:t>
      </w:r>
    </w:p>
    <w:p w14:paraId="0677426B">
      <w:pPr>
        <w:autoSpaceDE w:val="0"/>
        <w:autoSpaceDN w:val="0"/>
        <w:spacing w:line="480" w:lineRule="exact"/>
        <w:ind w:firstLine="480"/>
        <w:rPr>
          <w:rFonts w:ascii="华文楷体" w:hAnsi="华文楷体" w:eastAsia="华文楷体" w:cs="宋体"/>
          <w:b/>
          <w:kern w:val="0"/>
          <w:lang w:val="zh-CN"/>
        </w:rPr>
      </w:pPr>
      <w:r>
        <w:rPr>
          <w:rFonts w:hint="eastAsia" w:ascii="华文楷体" w:hAnsi="华文楷体" w:eastAsia="华文楷体" w:cs="宋体"/>
          <w:b/>
          <w:kern w:val="0"/>
        </w:rPr>
        <w:t>7、</w:t>
      </w:r>
      <w:r>
        <w:rPr>
          <w:rFonts w:hint="eastAsia" w:ascii="华文楷体" w:hAnsi="华文楷体" w:eastAsia="华文楷体" w:cs="宋体"/>
          <w:b/>
          <w:kern w:val="0"/>
          <w:lang w:val="zh-CN"/>
        </w:rPr>
        <w:t>违约责任</w:t>
      </w:r>
    </w:p>
    <w:p w14:paraId="7D76D449">
      <w:pPr>
        <w:autoSpaceDE w:val="0"/>
        <w:autoSpaceDN w:val="0"/>
        <w:spacing w:line="480" w:lineRule="exact"/>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1）乙方所提供的产品规格、技术标准、材料等质量不合格的，应及时更换；更换不及时的，按逾期交货处罚；因质量问题甲方不同意接收的，履约保函全额扣除，并由乙方赔偿由此引起的甲方的一切经济损失。</w:t>
      </w:r>
    </w:p>
    <w:p w14:paraId="5ECF94D4">
      <w:pPr>
        <w:autoSpaceDE w:val="0"/>
        <w:autoSpaceDN w:val="0"/>
        <w:spacing w:line="480" w:lineRule="exact"/>
        <w:ind w:firstLine="360" w:firstLineChars="150"/>
        <w:rPr>
          <w:rFonts w:ascii="华文楷体" w:hAnsi="华文楷体" w:eastAsia="华文楷体" w:cs="宋体"/>
          <w:kern w:val="0"/>
        </w:rPr>
      </w:pPr>
      <w:r>
        <w:rPr>
          <w:rFonts w:hint="eastAsia" w:ascii="华文楷体" w:hAnsi="华文楷体" w:eastAsia="华文楷体" w:cs="宋体"/>
          <w:kern w:val="0"/>
        </w:rPr>
        <w:t>（2）</w:t>
      </w:r>
      <w:r>
        <w:rPr>
          <w:rFonts w:hint="eastAsia" w:ascii="华文楷体" w:hAnsi="华文楷体" w:eastAsia="华文楷体" w:cs="宋体"/>
          <w:kern w:val="0"/>
          <w:lang w:val="zh-CN"/>
        </w:rPr>
        <w:t>乙方提供的产品如侵犯了第三方权益而引发纠纷或诉讼的，均由乙方负责交涉并承担全部责任。</w:t>
      </w:r>
    </w:p>
    <w:p w14:paraId="0ADB9D9E">
      <w:pPr>
        <w:autoSpaceDE w:val="0"/>
        <w:autoSpaceDN w:val="0"/>
        <w:spacing w:line="480" w:lineRule="exact"/>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（3）因包装、运输引起的产品损坏，按质量不合格处罚。</w:t>
      </w:r>
    </w:p>
    <w:p w14:paraId="56A7E0AE">
      <w:pPr>
        <w:autoSpaceDE w:val="0"/>
        <w:autoSpaceDN w:val="0"/>
        <w:spacing w:line="480" w:lineRule="exact"/>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（4）乙方逾期交货的，每天应向甲方偿付未交产品的货款</w:t>
      </w:r>
      <w:r>
        <w:rPr>
          <w:rFonts w:hint="eastAsia" w:ascii="华文楷体" w:hAnsi="华文楷体" w:eastAsia="华文楷体" w:cs="宋体"/>
          <w:kern w:val="0"/>
        </w:rPr>
        <w:t>0.7</w:t>
      </w:r>
      <w:r>
        <w:rPr>
          <w:rFonts w:hint="eastAsia" w:ascii="华文楷体" w:hAnsi="华文楷体" w:eastAsia="华文楷体" w:cs="宋体"/>
          <w:kern w:val="0"/>
          <w:lang w:val="zh-CN"/>
        </w:rPr>
        <w:t>‰的违约金，但违约金累计不得超过违约货款的5%，超过 30 天甲方有权解除合同，乙方承担因此给甲方造成的经济损失。</w:t>
      </w:r>
    </w:p>
    <w:p w14:paraId="18E0B288">
      <w:pPr>
        <w:autoSpaceDE w:val="0"/>
        <w:autoSpaceDN w:val="0"/>
        <w:spacing w:line="480" w:lineRule="exact"/>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（5）乙方未按本合同和投标文件中规定的服务承诺提供售后服务的，乙方应按本合同合计金额的5%向甲方支付违约金。</w:t>
      </w:r>
    </w:p>
    <w:p w14:paraId="55C1043F">
      <w:pPr>
        <w:autoSpaceDE w:val="0"/>
        <w:autoSpaceDN w:val="0"/>
        <w:spacing w:line="480" w:lineRule="exact"/>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（6）</w:t>
      </w:r>
      <w:r>
        <w:rPr>
          <w:rFonts w:hint="eastAsia" w:ascii="华文楷体" w:hAnsi="华文楷体" w:eastAsia="华文楷体" w:cs="宋体"/>
          <w:kern w:val="0"/>
        </w:rPr>
        <w:t>乙方提供的产品在质量保证期内，因设计、工艺或材料的缺陷和其它质量原因造成的问题，由乙方负责，费用从履约保函中扣除，不足另补。如因乙方产品造成甲方损失的，乙方赔偿因此造成甲方的全部损失。</w:t>
      </w:r>
    </w:p>
    <w:p w14:paraId="3B2B47CD">
      <w:pPr>
        <w:autoSpaceDE w:val="0"/>
        <w:autoSpaceDN w:val="0"/>
        <w:spacing w:line="480" w:lineRule="exact"/>
        <w:ind w:firstLine="360" w:firstLineChars="150"/>
        <w:rPr>
          <w:rFonts w:ascii="华文楷体" w:hAnsi="华文楷体" w:eastAsia="华文楷体" w:cs="宋体"/>
          <w:kern w:val="0"/>
          <w:lang w:val="zh-CN"/>
        </w:rPr>
      </w:pPr>
      <w:r>
        <w:rPr>
          <w:rFonts w:hint="eastAsia" w:ascii="华文楷体" w:hAnsi="华文楷体" w:eastAsia="华文楷体" w:cs="宋体"/>
          <w:kern w:val="0"/>
          <w:lang w:val="zh-CN"/>
        </w:rPr>
        <w:t>（7）乙方其它违约行为按违约货款额5%收取违约金并赔偿经济损失。</w:t>
      </w:r>
    </w:p>
    <w:p w14:paraId="2BF3F48F">
      <w:pPr>
        <w:adjustRightInd w:val="0"/>
        <w:snapToGrid w:val="0"/>
        <w:spacing w:line="480" w:lineRule="exact"/>
        <w:ind w:firstLine="723" w:firstLineChars="300"/>
        <w:rPr>
          <w:rFonts w:ascii="华文楷体" w:hAnsi="华文楷体" w:eastAsia="华文楷体" w:cs="宋体"/>
          <w:b/>
        </w:rPr>
      </w:pPr>
      <w:r>
        <w:rPr>
          <w:rFonts w:hint="eastAsia" w:ascii="华文楷体" w:hAnsi="华文楷体" w:eastAsia="华文楷体" w:cs="宋体"/>
          <w:b/>
        </w:rPr>
        <w:t>8、不可抗力</w:t>
      </w:r>
    </w:p>
    <w:p w14:paraId="31B9A00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不可抗力使合同的某些内容有变更必要的，双方应通过协商在</w:t>
      </w:r>
      <w:r>
        <w:rPr>
          <w:rFonts w:hint="eastAsia" w:ascii="华文楷体" w:hAnsi="华文楷体" w:eastAsia="华文楷体" w:cs="宋体"/>
          <w:kern w:val="0"/>
          <w:u w:val="single"/>
        </w:rPr>
        <w:t xml:space="preserve"> 20 </w:t>
      </w:r>
      <w:r>
        <w:rPr>
          <w:rFonts w:hint="eastAsia" w:ascii="华文楷体" w:hAnsi="华文楷体" w:eastAsia="华文楷体" w:cs="宋体"/>
          <w:kern w:val="0"/>
          <w:lang w:val="zh-CN"/>
        </w:rPr>
        <w:t>天内达成进一步履行合同的协议，因不可抗力致使合同不能履行的，合同终止。</w:t>
      </w:r>
    </w:p>
    <w:p w14:paraId="56FC80FA">
      <w:pPr>
        <w:adjustRightInd w:val="0"/>
        <w:snapToGrid w:val="0"/>
        <w:spacing w:line="480" w:lineRule="exact"/>
        <w:ind w:firstLine="723" w:firstLineChars="300"/>
        <w:rPr>
          <w:rFonts w:ascii="华文楷体" w:hAnsi="华文楷体" w:eastAsia="华文楷体" w:cs="宋体"/>
          <w:bCs/>
        </w:rPr>
      </w:pPr>
      <w:r>
        <w:rPr>
          <w:rFonts w:hint="eastAsia" w:ascii="华文楷体" w:hAnsi="华文楷体" w:eastAsia="华文楷体" w:cs="宋体"/>
          <w:b/>
          <w:bCs/>
        </w:rPr>
        <w:t>9、知识产权</w:t>
      </w:r>
      <w:r>
        <w:rPr>
          <w:rFonts w:hint="eastAsia" w:ascii="华文楷体" w:hAnsi="华文楷体" w:eastAsia="华文楷体" w:cs="宋体"/>
          <w:bCs/>
        </w:rPr>
        <w:t>：详见合同通用条款</w:t>
      </w:r>
    </w:p>
    <w:p w14:paraId="57B8F830">
      <w:pPr>
        <w:adjustRightInd w:val="0"/>
        <w:snapToGrid w:val="0"/>
        <w:spacing w:line="480" w:lineRule="exact"/>
        <w:ind w:firstLine="723" w:firstLineChars="300"/>
        <w:rPr>
          <w:rFonts w:ascii="华文楷体" w:hAnsi="华文楷体" w:eastAsia="华文楷体" w:cs="宋体"/>
          <w:bCs/>
        </w:rPr>
      </w:pPr>
      <w:r>
        <w:rPr>
          <w:rFonts w:hint="eastAsia" w:ascii="华文楷体" w:hAnsi="华文楷体" w:eastAsia="华文楷体" w:cs="宋体"/>
          <w:b/>
        </w:rPr>
        <w:t>10、项目验收:</w:t>
      </w:r>
      <w:r>
        <w:rPr>
          <w:rFonts w:hint="eastAsia" w:ascii="华文楷体" w:hAnsi="华文楷体" w:eastAsia="华文楷体" w:cs="宋体"/>
          <w:bCs/>
        </w:rPr>
        <w:t>根据格尔木市消防救援支队相关要求进行验收、培训和交付使用。所交付的每一件装备，必须录入“消防装备物资管理系统”，且粘贴相应材质的 RFID 码。</w:t>
      </w:r>
    </w:p>
    <w:p w14:paraId="339089CB">
      <w:pPr>
        <w:adjustRightInd w:val="0"/>
        <w:snapToGrid w:val="0"/>
        <w:spacing w:line="480" w:lineRule="exact"/>
        <w:ind w:firstLine="723" w:firstLineChars="300"/>
        <w:rPr>
          <w:rFonts w:ascii="华文楷体" w:hAnsi="华文楷体" w:eastAsia="华文楷体" w:cs="宋体"/>
          <w:b/>
        </w:rPr>
      </w:pPr>
      <w:r>
        <w:rPr>
          <w:rFonts w:hint="eastAsia" w:ascii="华文楷体" w:hAnsi="华文楷体" w:eastAsia="华文楷体" w:cs="宋体"/>
          <w:b/>
        </w:rPr>
        <w:t>11、组成合同的文件</w:t>
      </w:r>
    </w:p>
    <w:p w14:paraId="4E0EE964">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rPr>
        <w:t>本协议书与下列文件一起构成合同文件，乙方的产品应符合下述文件的要求，如违反任一文件要求，应承担违约责任。如下述文件之间有任何抵触、矛盾或歧义，应按以下顺序解释：</w:t>
      </w:r>
    </w:p>
    <w:p w14:paraId="4049068A">
      <w:pPr>
        <w:numPr>
          <w:ilvl w:val="0"/>
          <w:numId w:val="6"/>
        </w:numPr>
        <w:adjustRightInd w:val="0"/>
        <w:snapToGrid w:val="0"/>
        <w:spacing w:line="480" w:lineRule="exact"/>
        <w:ind w:firstLine="352" w:firstLineChars="147"/>
        <w:rPr>
          <w:rFonts w:ascii="华文楷体" w:hAnsi="华文楷体" w:eastAsia="华文楷体" w:cs="宋体"/>
        </w:rPr>
      </w:pPr>
      <w:r>
        <w:rPr>
          <w:rFonts w:hint="eastAsia" w:ascii="华文楷体" w:hAnsi="华文楷体" w:eastAsia="华文楷体" w:cs="宋体"/>
        </w:rPr>
        <w:t>在采购或合同履行过程中乙方作出的承诺以及双方协商达成的变更或补充协议</w:t>
      </w:r>
    </w:p>
    <w:p w14:paraId="7FF607E5">
      <w:pPr>
        <w:numPr>
          <w:ilvl w:val="0"/>
          <w:numId w:val="6"/>
        </w:numPr>
        <w:adjustRightInd w:val="0"/>
        <w:snapToGrid w:val="0"/>
        <w:spacing w:line="480" w:lineRule="exact"/>
        <w:ind w:firstLine="352" w:firstLineChars="147"/>
        <w:rPr>
          <w:rFonts w:ascii="华文楷体" w:hAnsi="华文楷体" w:eastAsia="华文楷体" w:cs="宋体"/>
        </w:rPr>
      </w:pPr>
      <w:r>
        <w:rPr>
          <w:rFonts w:ascii="华文楷体" w:hAnsi="华文楷体" w:eastAsia="华文楷体" w:cs="Arial"/>
        </w:rPr>
        <w:t>本项目签订的采购合同</w:t>
      </w:r>
    </w:p>
    <w:p w14:paraId="7D0293BC">
      <w:pPr>
        <w:numPr>
          <w:ilvl w:val="0"/>
          <w:numId w:val="6"/>
        </w:numPr>
        <w:adjustRightInd w:val="0"/>
        <w:snapToGrid w:val="0"/>
        <w:spacing w:line="480" w:lineRule="exact"/>
        <w:ind w:firstLine="352" w:firstLineChars="147"/>
        <w:rPr>
          <w:rFonts w:ascii="华文楷体" w:hAnsi="华文楷体" w:eastAsia="华文楷体" w:cs="宋体"/>
        </w:rPr>
      </w:pPr>
      <w:r>
        <w:rPr>
          <w:rFonts w:hint="eastAsia" w:ascii="华文楷体" w:hAnsi="华文楷体" w:eastAsia="华文楷体" w:cs="宋体"/>
        </w:rPr>
        <w:t>中标通知书</w:t>
      </w:r>
    </w:p>
    <w:p w14:paraId="4FFDC758">
      <w:pPr>
        <w:numPr>
          <w:ilvl w:val="0"/>
          <w:numId w:val="6"/>
        </w:numPr>
        <w:adjustRightInd w:val="0"/>
        <w:snapToGrid w:val="0"/>
        <w:spacing w:line="480" w:lineRule="exact"/>
        <w:ind w:firstLine="352" w:firstLineChars="147"/>
        <w:rPr>
          <w:rFonts w:ascii="华文楷体" w:hAnsi="华文楷体" w:eastAsia="华文楷体" w:cs="宋体"/>
        </w:rPr>
      </w:pPr>
      <w:r>
        <w:rPr>
          <w:rFonts w:hint="eastAsia" w:ascii="华文楷体" w:hAnsi="华文楷体" w:eastAsia="华文楷体" w:cs="宋体"/>
        </w:rPr>
        <w:t>招标文件</w:t>
      </w:r>
    </w:p>
    <w:p w14:paraId="48CE354A">
      <w:pPr>
        <w:numPr>
          <w:ilvl w:val="0"/>
          <w:numId w:val="6"/>
        </w:numPr>
        <w:adjustRightInd w:val="0"/>
        <w:snapToGrid w:val="0"/>
        <w:spacing w:line="480" w:lineRule="exact"/>
        <w:ind w:firstLine="352" w:firstLineChars="147"/>
        <w:rPr>
          <w:rFonts w:ascii="华文楷体" w:hAnsi="华文楷体" w:eastAsia="华文楷体" w:cs="宋体"/>
        </w:rPr>
      </w:pPr>
      <w:r>
        <w:rPr>
          <w:rFonts w:hint="eastAsia" w:ascii="华文楷体" w:hAnsi="华文楷体" w:eastAsia="华文楷体" w:cs="宋体"/>
        </w:rPr>
        <w:t>招标文件的澄清及变更公告</w:t>
      </w:r>
    </w:p>
    <w:p w14:paraId="43D11855">
      <w:pPr>
        <w:numPr>
          <w:ilvl w:val="0"/>
          <w:numId w:val="6"/>
        </w:numPr>
        <w:adjustRightInd w:val="0"/>
        <w:snapToGrid w:val="0"/>
        <w:spacing w:line="480" w:lineRule="exact"/>
        <w:ind w:firstLine="352" w:firstLineChars="147"/>
        <w:rPr>
          <w:rFonts w:ascii="华文楷体" w:hAnsi="华文楷体" w:eastAsia="华文楷体" w:cs="宋体"/>
        </w:rPr>
      </w:pPr>
      <w:r>
        <w:rPr>
          <w:rFonts w:hint="eastAsia" w:ascii="华文楷体" w:hAnsi="华文楷体" w:eastAsia="华文楷体" w:cs="宋体"/>
        </w:rPr>
        <w:t>投标文件</w:t>
      </w:r>
    </w:p>
    <w:p w14:paraId="2B19198F">
      <w:pPr>
        <w:numPr>
          <w:ilvl w:val="0"/>
          <w:numId w:val="6"/>
        </w:numPr>
        <w:adjustRightInd w:val="0"/>
        <w:snapToGrid w:val="0"/>
        <w:spacing w:line="480" w:lineRule="exact"/>
        <w:ind w:firstLine="352" w:firstLineChars="147"/>
        <w:rPr>
          <w:rFonts w:ascii="华文楷体" w:hAnsi="华文楷体" w:eastAsia="华文楷体" w:cs="宋体"/>
        </w:rPr>
      </w:pPr>
      <w:r>
        <w:rPr>
          <w:rFonts w:hint="eastAsia" w:ascii="华文楷体" w:hAnsi="华文楷体" w:eastAsia="华文楷体" w:cs="宋体"/>
        </w:rPr>
        <w:t>政府采购合同通用条款</w:t>
      </w:r>
    </w:p>
    <w:p w14:paraId="42A4F64D">
      <w:pPr>
        <w:adjustRightInd w:val="0"/>
        <w:snapToGrid w:val="0"/>
        <w:spacing w:line="480" w:lineRule="exact"/>
        <w:ind w:firstLine="354" w:firstLineChars="147"/>
        <w:rPr>
          <w:rFonts w:ascii="华文楷体" w:hAnsi="华文楷体" w:eastAsia="华文楷体" w:cs="宋体"/>
          <w:b/>
        </w:rPr>
      </w:pPr>
      <w:r>
        <w:rPr>
          <w:rFonts w:hint="eastAsia" w:ascii="华文楷体" w:hAnsi="华文楷体" w:eastAsia="华文楷体" w:cs="宋体"/>
          <w:b/>
        </w:rPr>
        <w:t>12、合同份数</w:t>
      </w:r>
    </w:p>
    <w:p w14:paraId="6056BB70">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rPr>
        <w:t>本合同一式</w:t>
      </w:r>
      <w:r>
        <w:rPr>
          <w:rFonts w:hint="eastAsia" w:ascii="华文楷体" w:hAnsi="华文楷体" w:eastAsia="华文楷体" w:cs="宋体"/>
          <w:u w:val="single"/>
        </w:rPr>
        <w:t xml:space="preserve"> 7 </w:t>
      </w:r>
      <w:r>
        <w:rPr>
          <w:rFonts w:hint="eastAsia" w:ascii="华文楷体" w:hAnsi="华文楷体" w:eastAsia="华文楷体" w:cs="宋体"/>
        </w:rPr>
        <w:t>份，采购人执</w:t>
      </w:r>
      <w:r>
        <w:rPr>
          <w:rFonts w:hint="eastAsia" w:ascii="华文楷体" w:hAnsi="华文楷体" w:eastAsia="华文楷体" w:cs="宋体"/>
          <w:u w:val="single"/>
        </w:rPr>
        <w:t xml:space="preserve"> 3 </w:t>
      </w:r>
      <w:r>
        <w:rPr>
          <w:rFonts w:hint="eastAsia" w:ascii="华文楷体" w:hAnsi="华文楷体" w:eastAsia="华文楷体" w:cs="宋体"/>
        </w:rPr>
        <w:t>份，投标人执</w:t>
      </w:r>
      <w:r>
        <w:rPr>
          <w:rFonts w:hint="eastAsia" w:ascii="华文楷体" w:hAnsi="华文楷体" w:eastAsia="华文楷体" w:cs="宋体"/>
          <w:u w:val="single"/>
        </w:rPr>
        <w:t xml:space="preserve"> 3 </w:t>
      </w:r>
      <w:r>
        <w:rPr>
          <w:rFonts w:hint="eastAsia" w:ascii="华文楷体" w:hAnsi="华文楷体" w:eastAsia="华文楷体" w:cs="宋体"/>
        </w:rPr>
        <w:t>份，代理机构</w:t>
      </w:r>
      <w:r>
        <w:rPr>
          <w:rFonts w:hint="eastAsia" w:ascii="华文楷体" w:hAnsi="华文楷体" w:eastAsia="华文楷体" w:cs="宋体"/>
          <w:u w:val="single"/>
        </w:rPr>
        <w:t xml:space="preserve"> 1 </w:t>
      </w:r>
      <w:r>
        <w:rPr>
          <w:rFonts w:hint="eastAsia" w:ascii="华文楷体" w:hAnsi="华文楷体" w:eastAsia="华文楷体" w:cs="宋体"/>
        </w:rPr>
        <w:t>份，均具有同等法律效力。</w:t>
      </w:r>
    </w:p>
    <w:p w14:paraId="7F0ECDED">
      <w:pPr>
        <w:adjustRightInd w:val="0"/>
        <w:snapToGrid w:val="0"/>
        <w:spacing w:line="480" w:lineRule="exact"/>
        <w:rPr>
          <w:rFonts w:ascii="华文楷体" w:hAnsi="华文楷体" w:eastAsia="华文楷体" w:cs="宋体"/>
        </w:rPr>
      </w:pPr>
      <w:r>
        <w:rPr>
          <w:rFonts w:hint="eastAsia" w:ascii="华文楷体" w:hAnsi="华文楷体" w:eastAsia="华文楷体" w:cs="宋体"/>
        </w:rPr>
        <w:t>合同订立时间：</w:t>
      </w:r>
      <w:r>
        <w:rPr>
          <w:rFonts w:hint="eastAsia" w:ascii="华文楷体" w:hAnsi="华文楷体" w:eastAsia="华文楷体" w:cs="宋体"/>
          <w:u w:val="single"/>
        </w:rPr>
        <w:t xml:space="preserve">         </w:t>
      </w:r>
      <w:r>
        <w:rPr>
          <w:rFonts w:hint="eastAsia" w:ascii="华文楷体" w:hAnsi="华文楷体" w:eastAsia="华文楷体" w:cs="宋体"/>
        </w:rPr>
        <w:t>年</w:t>
      </w:r>
      <w:r>
        <w:rPr>
          <w:rFonts w:hint="eastAsia" w:ascii="华文楷体" w:hAnsi="华文楷体" w:eastAsia="华文楷体" w:cs="宋体"/>
          <w:u w:val="single"/>
        </w:rPr>
        <w:t xml:space="preserve">      </w:t>
      </w:r>
      <w:r>
        <w:rPr>
          <w:rFonts w:hint="eastAsia" w:ascii="华文楷体" w:hAnsi="华文楷体" w:eastAsia="华文楷体" w:cs="宋体"/>
        </w:rPr>
        <w:t>月</w:t>
      </w:r>
      <w:r>
        <w:rPr>
          <w:rFonts w:hint="eastAsia" w:ascii="华文楷体" w:hAnsi="华文楷体" w:eastAsia="华文楷体" w:cs="宋体"/>
          <w:u w:val="single"/>
        </w:rPr>
        <w:t xml:space="preserve">      </w:t>
      </w:r>
      <w:r>
        <w:rPr>
          <w:rFonts w:hint="eastAsia" w:ascii="华文楷体" w:hAnsi="华文楷体" w:eastAsia="华文楷体" w:cs="宋体"/>
        </w:rPr>
        <w:t>日</w:t>
      </w:r>
    </w:p>
    <w:p w14:paraId="071B537B">
      <w:pPr>
        <w:adjustRightInd w:val="0"/>
        <w:snapToGrid w:val="0"/>
        <w:spacing w:line="480" w:lineRule="exact"/>
        <w:rPr>
          <w:rFonts w:ascii="华文楷体" w:hAnsi="华文楷体" w:eastAsia="华文楷体" w:cs="宋体"/>
        </w:rPr>
      </w:pPr>
      <w:r>
        <w:rPr>
          <w:rFonts w:hint="eastAsia" w:ascii="华文楷体" w:hAnsi="华文楷体" w:eastAsia="华文楷体" w:cs="宋体"/>
        </w:rPr>
        <w:t>合同订立地点：</w:t>
      </w:r>
      <w:r>
        <w:rPr>
          <w:rFonts w:hint="eastAsia" w:ascii="华文楷体" w:hAnsi="华文楷体" w:eastAsia="华文楷体" w:cs="宋体"/>
          <w:u w:val="single"/>
        </w:rPr>
        <w:t xml:space="preserve">                           </w:t>
      </w:r>
    </w:p>
    <w:p w14:paraId="7662712B">
      <w:pPr>
        <w:adjustRightInd w:val="0"/>
        <w:snapToGrid w:val="0"/>
        <w:spacing w:line="480" w:lineRule="exact"/>
        <w:rPr>
          <w:rFonts w:ascii="华文楷体" w:hAnsi="华文楷体" w:eastAsia="华文楷体" w:cs="宋体"/>
        </w:rPr>
      </w:pPr>
      <w:r>
        <w:rPr>
          <w:rFonts w:hint="eastAsia" w:ascii="华文楷体" w:hAnsi="华文楷体" w:eastAsia="华文楷体" w:cs="宋体"/>
        </w:rPr>
        <w:t>甲      方：（公章）                    乙      方：（公章）</w:t>
      </w:r>
    </w:p>
    <w:p w14:paraId="2D83872D">
      <w:pPr>
        <w:adjustRightInd w:val="0"/>
        <w:snapToGrid w:val="0"/>
        <w:spacing w:line="480" w:lineRule="exact"/>
        <w:rPr>
          <w:rFonts w:ascii="华文楷体" w:hAnsi="华文楷体" w:eastAsia="华文楷体" w:cs="宋体"/>
        </w:rPr>
      </w:pPr>
      <w:r>
        <w:rPr>
          <w:rFonts w:hint="eastAsia" w:ascii="华文楷体" w:hAnsi="华文楷体" w:eastAsia="华文楷体" w:cs="宋体"/>
        </w:rPr>
        <w:t>法定代表人：</w:t>
      </w:r>
      <w:r>
        <w:rPr>
          <w:rFonts w:hint="eastAsia" w:ascii="华文楷体" w:hAnsi="华文楷体" w:eastAsia="华文楷体" w:cs="宋体"/>
          <w:u w:val="single"/>
        </w:rPr>
        <w:t xml:space="preserve">                   </w:t>
      </w:r>
      <w:r>
        <w:rPr>
          <w:rFonts w:hint="eastAsia" w:ascii="华文楷体" w:hAnsi="华文楷体" w:eastAsia="华文楷体" w:cs="宋体"/>
        </w:rPr>
        <w:t xml:space="preserve">         法定代表人：</w:t>
      </w:r>
      <w:r>
        <w:rPr>
          <w:rFonts w:hint="eastAsia" w:ascii="华文楷体" w:hAnsi="华文楷体" w:eastAsia="华文楷体" w:cs="宋体"/>
          <w:u w:val="single"/>
        </w:rPr>
        <w:t xml:space="preserve">                   </w:t>
      </w:r>
    </w:p>
    <w:p w14:paraId="4BFCA634">
      <w:pPr>
        <w:adjustRightInd w:val="0"/>
        <w:snapToGrid w:val="0"/>
        <w:spacing w:line="480" w:lineRule="exact"/>
        <w:rPr>
          <w:rFonts w:ascii="华文楷体" w:hAnsi="华文楷体" w:eastAsia="华文楷体" w:cs="宋体"/>
        </w:rPr>
      </w:pPr>
      <w:r>
        <w:rPr>
          <w:rFonts w:hint="eastAsia" w:ascii="华文楷体" w:hAnsi="华文楷体" w:eastAsia="华文楷体" w:cs="宋体"/>
        </w:rPr>
        <w:t>委托代理人：</w:t>
      </w:r>
      <w:r>
        <w:rPr>
          <w:rFonts w:hint="eastAsia" w:ascii="华文楷体" w:hAnsi="华文楷体" w:eastAsia="华文楷体" w:cs="宋体"/>
          <w:u w:val="single"/>
        </w:rPr>
        <w:t xml:space="preserve">                   </w:t>
      </w:r>
      <w:r>
        <w:rPr>
          <w:rFonts w:hint="eastAsia" w:ascii="华文楷体" w:hAnsi="华文楷体" w:eastAsia="华文楷体" w:cs="宋体"/>
        </w:rPr>
        <w:t xml:space="preserve">         委托代理人：</w:t>
      </w:r>
      <w:r>
        <w:rPr>
          <w:rFonts w:hint="eastAsia" w:ascii="华文楷体" w:hAnsi="华文楷体" w:eastAsia="华文楷体" w:cs="宋体"/>
          <w:u w:val="single"/>
        </w:rPr>
        <w:t xml:space="preserve">                   </w:t>
      </w:r>
    </w:p>
    <w:p w14:paraId="178A0481">
      <w:pPr>
        <w:adjustRightInd w:val="0"/>
        <w:snapToGrid w:val="0"/>
        <w:spacing w:line="480" w:lineRule="exact"/>
        <w:rPr>
          <w:rFonts w:ascii="华文楷体" w:hAnsi="华文楷体" w:eastAsia="华文楷体" w:cs="宋体"/>
        </w:rPr>
      </w:pPr>
      <w:r>
        <w:rPr>
          <w:rFonts w:hint="eastAsia" w:ascii="华文楷体" w:hAnsi="华文楷体" w:eastAsia="华文楷体" w:cs="宋体"/>
        </w:rPr>
        <w:t>电      话：</w:t>
      </w:r>
      <w:r>
        <w:rPr>
          <w:rFonts w:hint="eastAsia" w:ascii="华文楷体" w:hAnsi="华文楷体" w:eastAsia="华文楷体" w:cs="宋体"/>
          <w:u w:val="single"/>
        </w:rPr>
        <w:t xml:space="preserve">                   </w:t>
      </w:r>
      <w:r>
        <w:rPr>
          <w:rFonts w:hint="eastAsia" w:ascii="华文楷体" w:hAnsi="华文楷体" w:eastAsia="华文楷体" w:cs="宋体"/>
        </w:rPr>
        <w:t xml:space="preserve">         电      话：</w:t>
      </w:r>
      <w:r>
        <w:rPr>
          <w:rFonts w:hint="eastAsia" w:ascii="华文楷体" w:hAnsi="华文楷体" w:eastAsia="华文楷体" w:cs="宋体"/>
          <w:u w:val="single"/>
        </w:rPr>
        <w:t xml:space="preserve">                   </w:t>
      </w:r>
    </w:p>
    <w:p w14:paraId="093A306B">
      <w:pPr>
        <w:adjustRightInd w:val="0"/>
        <w:snapToGrid w:val="0"/>
        <w:spacing w:line="480" w:lineRule="exact"/>
        <w:rPr>
          <w:rFonts w:ascii="华文楷体" w:hAnsi="华文楷体" w:eastAsia="华文楷体" w:cs="宋体"/>
        </w:rPr>
      </w:pPr>
      <w:r>
        <w:rPr>
          <w:rFonts w:hint="eastAsia" w:ascii="华文楷体" w:hAnsi="华文楷体" w:eastAsia="华文楷体" w:cs="宋体"/>
        </w:rPr>
        <w:t>传      真：</w:t>
      </w:r>
      <w:r>
        <w:rPr>
          <w:rFonts w:hint="eastAsia" w:ascii="华文楷体" w:hAnsi="华文楷体" w:eastAsia="华文楷体" w:cs="宋体"/>
          <w:u w:val="single"/>
        </w:rPr>
        <w:t xml:space="preserve">                   </w:t>
      </w:r>
      <w:r>
        <w:rPr>
          <w:rFonts w:hint="eastAsia" w:ascii="华文楷体" w:hAnsi="华文楷体" w:eastAsia="华文楷体" w:cs="宋体"/>
        </w:rPr>
        <w:t xml:space="preserve">         传      真：</w:t>
      </w:r>
      <w:r>
        <w:rPr>
          <w:rFonts w:hint="eastAsia" w:ascii="华文楷体" w:hAnsi="华文楷体" w:eastAsia="华文楷体" w:cs="宋体"/>
          <w:u w:val="single"/>
        </w:rPr>
        <w:t xml:space="preserve">                   </w:t>
      </w:r>
    </w:p>
    <w:p w14:paraId="49BFA43F">
      <w:pPr>
        <w:adjustRightInd w:val="0"/>
        <w:snapToGrid w:val="0"/>
        <w:spacing w:line="480" w:lineRule="exact"/>
        <w:ind w:firstLine="480" w:firstLineChars="200"/>
        <w:rPr>
          <w:rFonts w:ascii="华文楷体" w:hAnsi="华文楷体" w:eastAsia="华文楷体" w:cs="宋体"/>
        </w:rPr>
      </w:pPr>
      <w:r>
        <w:rPr>
          <w:rFonts w:hint="eastAsia" w:ascii="华文楷体" w:hAnsi="华文楷体" w:eastAsia="华文楷体" w:cs="宋体"/>
        </w:rPr>
        <w:t xml:space="preserve">                                    开 户 银 行：</w:t>
      </w:r>
      <w:r>
        <w:rPr>
          <w:rFonts w:hint="eastAsia" w:ascii="华文楷体" w:hAnsi="华文楷体" w:eastAsia="华文楷体" w:cs="宋体"/>
          <w:u w:val="single"/>
        </w:rPr>
        <w:t xml:space="preserve">                   </w:t>
      </w:r>
    </w:p>
    <w:p w14:paraId="51FBF4AC">
      <w:pPr>
        <w:adjustRightInd w:val="0"/>
        <w:snapToGrid w:val="0"/>
        <w:spacing w:line="480" w:lineRule="exact"/>
        <w:jc w:val="center"/>
        <w:rPr>
          <w:rFonts w:ascii="华文楷体" w:hAnsi="华文楷体" w:eastAsia="华文楷体" w:cs="宋体"/>
          <w:b/>
        </w:rPr>
      </w:pPr>
      <w:r>
        <w:rPr>
          <w:rFonts w:hint="eastAsia" w:ascii="华文楷体" w:hAnsi="华文楷体" w:eastAsia="华文楷体" w:cs="宋体"/>
        </w:rPr>
        <w:t xml:space="preserve">                         帐       号：</w:t>
      </w:r>
      <w:r>
        <w:rPr>
          <w:rFonts w:hint="eastAsia" w:ascii="华文楷体" w:hAnsi="华文楷体" w:eastAsia="华文楷体" w:cs="宋体"/>
          <w:u w:val="single"/>
        </w:rPr>
        <w:t xml:space="preserve">                 </w:t>
      </w:r>
    </w:p>
    <w:p w14:paraId="5A9669D5">
      <w:pPr>
        <w:adjustRightInd w:val="0"/>
        <w:snapToGrid w:val="0"/>
        <w:spacing w:before="120" w:beforeLines="50" w:line="480" w:lineRule="exact"/>
        <w:jc w:val="center"/>
        <w:rPr>
          <w:rFonts w:ascii="华文楷体" w:hAnsi="华文楷体" w:eastAsia="华文楷体" w:cs="宋体"/>
        </w:rPr>
      </w:pPr>
      <w:r>
        <w:rPr>
          <w:rFonts w:hint="eastAsia" w:ascii="华文楷体" w:hAnsi="华文楷体" w:eastAsia="华文楷体" w:cs="宋体"/>
          <w:u w:val="single"/>
        </w:rPr>
        <w:br w:type="page"/>
      </w:r>
      <w:bookmarkStart w:id="151" w:name="_Toc81325243"/>
      <w:r>
        <w:rPr>
          <w:rFonts w:hint="eastAsia" w:ascii="华文楷体" w:hAnsi="华文楷体" w:eastAsia="华文楷体" w:cs="宋体"/>
          <w:b/>
          <w:bCs/>
        </w:rPr>
        <w:t>第二节 政府采购合同通用条款</w:t>
      </w:r>
      <w:bookmarkEnd w:id="151"/>
    </w:p>
    <w:p w14:paraId="479C7D8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根据《中华人民共和国民法典》、《中华人民共和国政府采购法》的规定，合同双方经协商达成一致，自愿订立本合同，遵循公平原则明确双方的权利、义务，确保双方诚实守信地履行合同。</w:t>
      </w:r>
    </w:p>
    <w:p w14:paraId="478B80B2">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w:t>
      </w:r>
      <w:r>
        <w:rPr>
          <w:rFonts w:hint="eastAsia" w:ascii="华文楷体" w:hAnsi="华文楷体" w:eastAsia="华文楷体" w:cs="宋体"/>
          <w:b/>
          <w:bCs/>
          <w:kern w:val="0"/>
          <w:lang w:val="zh-CN"/>
        </w:rPr>
        <w:t>定义</w:t>
      </w:r>
    </w:p>
    <w:p w14:paraId="56E52D3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本合同中的下列术语应解释为：</w:t>
      </w:r>
    </w:p>
    <w:p w14:paraId="40237837">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 </w:t>
      </w:r>
      <w:r>
        <w:rPr>
          <w:rFonts w:hint="eastAsia" w:ascii="华文楷体" w:hAnsi="华文楷体" w:eastAsia="华文楷体" w:cs="宋体"/>
          <w:kern w:val="0"/>
          <w:lang w:val="zh-CN"/>
        </w:rPr>
        <w:t>“合同”指甲乙双方签署的、载明的甲乙双方权利义务的协议，包括所有的附件、附录和上述文件所提到的构成合同的所有文件。</w:t>
      </w:r>
    </w:p>
    <w:p w14:paraId="76DD791F">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1.2 </w:t>
      </w:r>
      <w:r>
        <w:rPr>
          <w:rFonts w:hint="eastAsia" w:ascii="华文楷体" w:hAnsi="华文楷体" w:eastAsia="华文楷体" w:cs="宋体"/>
          <w:kern w:val="0"/>
          <w:lang w:val="zh-CN"/>
        </w:rPr>
        <w:t>“合同金额”指根据合同规定，乙方在正确地完全履行合同义务后甲方应付给乙方的价款。</w:t>
      </w:r>
    </w:p>
    <w:p w14:paraId="17FDFED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1.3 </w:t>
      </w:r>
      <w:r>
        <w:rPr>
          <w:rFonts w:hint="eastAsia" w:ascii="华文楷体" w:hAnsi="华文楷体" w:eastAsia="华文楷体" w:cs="宋体"/>
          <w:kern w:val="0"/>
          <w:lang w:val="zh-CN"/>
        </w:rPr>
        <w:t>“合同条款”指本合同条款。</w:t>
      </w:r>
    </w:p>
    <w:p w14:paraId="2ED6E8F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1.4 </w:t>
      </w:r>
      <w:r>
        <w:rPr>
          <w:rFonts w:hint="eastAsia" w:ascii="华文楷体" w:hAnsi="华文楷体" w:eastAsia="华文楷体" w:cs="宋体"/>
          <w:kern w:val="0"/>
          <w:lang w:val="zh-CN"/>
        </w:rPr>
        <w:t>“货物”指乙方根据合同约定须向甲方提供的一切产品、设备、机械、仪表、备件等，包括辅助工具、使用手册等相关资料。</w:t>
      </w:r>
    </w:p>
    <w:p w14:paraId="279B999F">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1.5 </w:t>
      </w:r>
      <w:r>
        <w:rPr>
          <w:rFonts w:hint="eastAsia" w:ascii="华文楷体" w:hAnsi="华文楷体" w:eastAsia="华文楷体" w:cs="宋体"/>
          <w:kern w:val="0"/>
          <w:lang w:val="zh-CN"/>
        </w:rPr>
        <w:t>“服务”指根据本合同规定乙方承担与供货有关的辅助服务，如运输、保险及安装、调试、提供技术援助、培训和合同中规定乙方应承担的其它义务。</w:t>
      </w:r>
    </w:p>
    <w:p w14:paraId="2B6B7F7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1.6 </w:t>
      </w:r>
      <w:r>
        <w:rPr>
          <w:rFonts w:hint="eastAsia" w:ascii="华文楷体" w:hAnsi="华文楷体" w:eastAsia="华文楷体" w:cs="宋体"/>
          <w:kern w:val="0"/>
          <w:lang w:val="zh-CN"/>
        </w:rPr>
        <w:t>“甲方”指购买货物和服务的单位。</w:t>
      </w:r>
    </w:p>
    <w:p w14:paraId="60C98C9F">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1.7 </w:t>
      </w:r>
      <w:r>
        <w:rPr>
          <w:rFonts w:hint="eastAsia" w:ascii="华文楷体" w:hAnsi="华文楷体" w:eastAsia="华文楷体" w:cs="宋体"/>
          <w:kern w:val="0"/>
          <w:lang w:val="zh-CN"/>
        </w:rPr>
        <w:t>“乙方”指提供本合同条款下货物和服务的公司或其他实体。</w:t>
      </w:r>
    </w:p>
    <w:p w14:paraId="2AA6F667">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1.8 </w:t>
      </w:r>
      <w:r>
        <w:rPr>
          <w:rFonts w:hint="eastAsia" w:ascii="华文楷体" w:hAnsi="华文楷体" w:eastAsia="华文楷体" w:cs="宋体"/>
          <w:kern w:val="0"/>
          <w:lang w:val="zh-CN"/>
        </w:rPr>
        <w:t>“现场”指合同规定货物将要运至和安装的地点。</w:t>
      </w:r>
    </w:p>
    <w:p w14:paraId="67B2DB0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1.9 </w:t>
      </w:r>
      <w:r>
        <w:rPr>
          <w:rFonts w:hint="eastAsia" w:ascii="华文楷体" w:hAnsi="华文楷体" w:eastAsia="华文楷体" w:cs="宋体"/>
          <w:kern w:val="0"/>
          <w:lang w:val="zh-CN"/>
        </w:rPr>
        <w:t>“验收”指合同双方依据强制性的国家技术质量规范和合同约定，确认合同条款下的货物符合合同规定的活动。</w:t>
      </w:r>
    </w:p>
    <w:p w14:paraId="1E12611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1.10 </w:t>
      </w:r>
      <w:r>
        <w:rPr>
          <w:rFonts w:hint="eastAsia" w:ascii="华文楷体" w:hAnsi="华文楷体" w:eastAsia="华文楷体" w:cs="宋体"/>
          <w:kern w:val="0"/>
          <w:lang w:val="zh-CN"/>
        </w:rPr>
        <w:t>原厂商：产品制造商或其在中国境内设立的办事或技术服务机构。除另有说明外，本合同文件所述的制造商、产品制造商、制造厂家、产品制造厂家均为原厂商。</w:t>
      </w:r>
    </w:p>
    <w:p w14:paraId="4A6A631F">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1.11 </w:t>
      </w:r>
      <w:r>
        <w:rPr>
          <w:rFonts w:hint="eastAsia" w:ascii="华文楷体" w:hAnsi="华文楷体" w:eastAsia="华文楷体" w:cs="宋体"/>
          <w:kern w:val="0"/>
          <w:lang w:val="zh-CN"/>
        </w:rPr>
        <w:t>原产地：指产品的生产地，或提供服务的来源地。</w:t>
      </w:r>
    </w:p>
    <w:p w14:paraId="3E3DC45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1.12 </w:t>
      </w:r>
      <w:r>
        <w:rPr>
          <w:rFonts w:hint="eastAsia" w:ascii="华文楷体" w:hAnsi="华文楷体" w:eastAsia="华文楷体" w:cs="宋体"/>
          <w:kern w:val="0"/>
          <w:lang w:val="zh-CN"/>
        </w:rPr>
        <w:t>“工作日”指国家法定工作日，“天”指日历天数。</w:t>
      </w:r>
    </w:p>
    <w:p w14:paraId="34CDAD93">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2.</w:t>
      </w:r>
      <w:r>
        <w:rPr>
          <w:rFonts w:hint="eastAsia" w:ascii="华文楷体" w:hAnsi="华文楷体" w:eastAsia="华文楷体" w:cs="宋体"/>
          <w:b/>
          <w:bCs/>
          <w:kern w:val="0"/>
          <w:lang w:val="zh-CN"/>
        </w:rPr>
        <w:t>技术规格要求</w:t>
      </w:r>
    </w:p>
    <w:p w14:paraId="257BF74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2.1 </w:t>
      </w:r>
      <w:r>
        <w:rPr>
          <w:rFonts w:hint="eastAsia" w:ascii="华文楷体" w:hAnsi="华文楷体" w:eastAsia="华文楷体" w:cs="宋体"/>
          <w:kern w:val="0"/>
          <w:lang w:val="zh-CN"/>
        </w:rPr>
        <w:t>本合同条款下提交货物的技术规格要求应等于或优于招投标文件技术规格要求。若技术规格要求中无相应规定，则应符合相应的国家有关部门最新颁布的相应正式标准。</w:t>
      </w:r>
    </w:p>
    <w:p w14:paraId="0975CF7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2.2 </w:t>
      </w:r>
      <w:r>
        <w:rPr>
          <w:rFonts w:hint="eastAsia" w:ascii="华文楷体" w:hAnsi="华文楷体" w:eastAsia="华文楷体" w:cs="宋体"/>
          <w:kern w:val="0"/>
          <w:lang w:val="zh-CN"/>
        </w:rPr>
        <w:t>乙方应向甲方提供货物及服务有关的标准的中文文本。</w:t>
      </w:r>
    </w:p>
    <w:p w14:paraId="7E5C4F68">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2.3 </w:t>
      </w:r>
      <w:r>
        <w:rPr>
          <w:rFonts w:hint="eastAsia" w:ascii="华文楷体" w:hAnsi="华文楷体" w:eastAsia="华文楷体" w:cs="宋体"/>
          <w:kern w:val="0"/>
          <w:lang w:val="zh-CN"/>
        </w:rPr>
        <w:t>除非技术规范中另有规定，计量单位均采用中华人民共和国法定计量单位。</w:t>
      </w:r>
    </w:p>
    <w:p w14:paraId="5E1BD9CF">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3.</w:t>
      </w:r>
      <w:r>
        <w:rPr>
          <w:rFonts w:hint="eastAsia" w:ascii="华文楷体" w:hAnsi="华文楷体" w:eastAsia="华文楷体" w:cs="宋体"/>
          <w:b/>
          <w:bCs/>
          <w:kern w:val="0"/>
          <w:lang w:val="zh-CN"/>
        </w:rPr>
        <w:t>合同范围</w:t>
      </w:r>
    </w:p>
    <w:p w14:paraId="76DCF187">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3.1 </w:t>
      </w:r>
      <w:r>
        <w:rPr>
          <w:rFonts w:hint="eastAsia" w:ascii="华文楷体" w:hAnsi="华文楷体" w:eastAsia="华文楷体" w:cs="宋体"/>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27E9E49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3.2 </w:t>
      </w:r>
      <w:r>
        <w:rPr>
          <w:rFonts w:hint="eastAsia" w:ascii="华文楷体" w:hAnsi="华文楷体" w:eastAsia="华文楷体" w:cs="宋体"/>
          <w:kern w:val="0"/>
          <w:lang w:val="zh-CN"/>
        </w:rPr>
        <w:t>乙方应负责培训甲方的技术人员。</w:t>
      </w:r>
    </w:p>
    <w:p w14:paraId="346B307F">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3.3 </w:t>
      </w:r>
      <w:r>
        <w:rPr>
          <w:rFonts w:hint="eastAsia" w:ascii="华文楷体" w:hAnsi="华文楷体" w:eastAsia="华文楷体" w:cs="宋体"/>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甲方提供合同货物大修和维护所需的配件及服务。</w:t>
      </w:r>
    </w:p>
    <w:p w14:paraId="0BA2EFCA">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4.</w:t>
      </w:r>
      <w:r>
        <w:rPr>
          <w:rFonts w:hint="eastAsia" w:ascii="华文楷体" w:hAnsi="华文楷体" w:eastAsia="华文楷体" w:cs="宋体"/>
          <w:b/>
          <w:bCs/>
          <w:kern w:val="0"/>
          <w:lang w:val="zh-CN"/>
        </w:rPr>
        <w:t>合同文件和资料</w:t>
      </w:r>
    </w:p>
    <w:p w14:paraId="0B046E4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4.1 </w:t>
      </w:r>
      <w:r>
        <w:rPr>
          <w:rFonts w:hint="eastAsia" w:ascii="华文楷体" w:hAnsi="华文楷体" w:eastAsia="华文楷体" w:cs="宋体"/>
          <w:kern w:val="0"/>
          <w:lang w:val="zh-CN"/>
        </w:rPr>
        <w:t>乙方在提供仪器设备时应同时提供中文版相关的技术资料，如目录索引、图纸、操作手册、使用指南、维修指南、服务手册等。</w:t>
      </w:r>
    </w:p>
    <w:p w14:paraId="042589E8">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4.2 </w:t>
      </w:r>
      <w:r>
        <w:rPr>
          <w:rFonts w:hint="eastAsia" w:ascii="华文楷体" w:hAnsi="华文楷体" w:eastAsia="华文楷体" w:cs="宋体"/>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547301A5">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5.</w:t>
      </w:r>
      <w:r>
        <w:rPr>
          <w:rFonts w:hint="eastAsia" w:ascii="华文楷体" w:hAnsi="华文楷体" w:eastAsia="华文楷体" w:cs="宋体"/>
          <w:b/>
          <w:bCs/>
          <w:kern w:val="0"/>
          <w:lang w:val="zh-CN"/>
        </w:rPr>
        <w:t>知识产权</w:t>
      </w:r>
    </w:p>
    <w:p w14:paraId="490CE598">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5.1 </w:t>
      </w:r>
      <w:r>
        <w:rPr>
          <w:rFonts w:hint="eastAsia" w:ascii="华文楷体" w:hAnsi="华文楷体" w:eastAsia="华文楷体" w:cs="宋体"/>
          <w:kern w:val="0"/>
          <w:lang w:val="zh-CN"/>
        </w:rPr>
        <w:t>乙方应保证甲方在使用该货物或其任何一部分时不受第三方提出的侵犯专利权、著作权、商标权和工业设计权等的起诉。</w:t>
      </w:r>
    </w:p>
    <w:p w14:paraId="63A59A9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5.2 </w:t>
      </w:r>
      <w:r>
        <w:rPr>
          <w:rFonts w:hint="eastAsia" w:ascii="华文楷体" w:hAnsi="华文楷体" w:eastAsia="华文楷体" w:cs="宋体"/>
          <w:kern w:val="0"/>
          <w:lang w:val="zh-CN"/>
        </w:rPr>
        <w:t>任何第三方提出侵权指控，乙方须与第三方交涉并承担由此产生的一切责任、费用和经济赔偿。</w:t>
      </w:r>
    </w:p>
    <w:p w14:paraId="680DCC0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5.3 </w:t>
      </w:r>
      <w:r>
        <w:rPr>
          <w:rFonts w:hint="eastAsia" w:ascii="华文楷体" w:hAnsi="华文楷体" w:eastAsia="华文楷体" w:cs="宋体"/>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54920C2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5.4 </w:t>
      </w:r>
      <w:r>
        <w:rPr>
          <w:rFonts w:hint="eastAsia" w:ascii="华文楷体" w:hAnsi="华文楷体" w:eastAsia="华文楷体" w:cs="宋体"/>
          <w:kern w:val="0"/>
          <w:lang w:val="zh-CN"/>
        </w:rPr>
        <w:t>在本合同生效时已经存在并为各方合法拥有或使用的所有技术、资料和信息的知识产权，仍应属于其各自的原权利人所有或享有，另有约定的除外。</w:t>
      </w:r>
    </w:p>
    <w:p w14:paraId="77C86F5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5.5 </w:t>
      </w:r>
      <w:r>
        <w:rPr>
          <w:rFonts w:hint="eastAsia" w:ascii="华文楷体" w:hAnsi="华文楷体" w:eastAsia="华文楷体" w:cs="宋体"/>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不得转让其他使用方。乙方承诺并保证甲方除本协议的付款义务外无需支付任何其它的许可使用费，以非独家的、永久的、全球的、不可撤销的方式使用本合同条款下软件产品。</w:t>
      </w:r>
    </w:p>
    <w:p w14:paraId="2143B468">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6.</w:t>
      </w:r>
      <w:r>
        <w:rPr>
          <w:rFonts w:hint="eastAsia" w:ascii="华文楷体" w:hAnsi="华文楷体" w:eastAsia="华文楷体" w:cs="宋体"/>
          <w:b/>
          <w:bCs/>
          <w:kern w:val="0"/>
          <w:lang w:val="zh-CN"/>
        </w:rPr>
        <w:t>保密</w:t>
      </w:r>
    </w:p>
    <w:p w14:paraId="2851AD6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6.1 </w:t>
      </w:r>
      <w:r>
        <w:rPr>
          <w:rFonts w:hint="eastAsia" w:ascii="华文楷体" w:hAnsi="华文楷体" w:eastAsia="华文楷体" w:cs="宋体"/>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0EABC903">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6.2 </w:t>
      </w:r>
      <w:r>
        <w:rPr>
          <w:rFonts w:hint="eastAsia" w:ascii="华文楷体" w:hAnsi="华文楷体" w:eastAsia="华文楷体" w:cs="宋体"/>
          <w:kern w:val="0"/>
          <w:lang w:val="zh-CN"/>
        </w:rPr>
        <w:t>保密信息指任何一方因履行本合同所知悉的任何以口头、书面、图表或电子形式存在的对方信息，具体包括：</w:t>
      </w:r>
    </w:p>
    <w:p w14:paraId="59D24092">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6.2.1 </w:t>
      </w:r>
      <w:r>
        <w:rPr>
          <w:rFonts w:hint="eastAsia" w:ascii="华文楷体" w:hAnsi="华文楷体" w:eastAsia="华文楷体" w:cs="宋体"/>
          <w:kern w:val="0"/>
          <w:lang w:val="zh-CN"/>
        </w:rPr>
        <w:t>任何涉及对方过去、现在或将来的商业计划、规章制度、操作规程、处理手段、财务信息；</w:t>
      </w:r>
    </w:p>
    <w:p w14:paraId="45F336E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6.2.2 </w:t>
      </w:r>
      <w:r>
        <w:rPr>
          <w:rFonts w:hint="eastAsia" w:ascii="华文楷体" w:hAnsi="华文楷体" w:eastAsia="华文楷体" w:cs="宋体"/>
          <w:kern w:val="0"/>
          <w:lang w:val="zh-CN"/>
        </w:rPr>
        <w:t>任何对方的技术措施、技术方案、软件应用及开发，硬件设备的品种、质量、数量、品牌等；</w:t>
      </w:r>
    </w:p>
    <w:p w14:paraId="6C0DBA1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6.2.3 </w:t>
      </w:r>
      <w:r>
        <w:rPr>
          <w:rFonts w:hint="eastAsia" w:ascii="华文楷体" w:hAnsi="华文楷体" w:eastAsia="华文楷体" w:cs="宋体"/>
          <w:kern w:val="0"/>
          <w:lang w:val="zh-CN"/>
        </w:rPr>
        <w:t>任何对方的技术秘密或专有知识、文件</w:t>
      </w:r>
      <w:r>
        <w:rPr>
          <w:rFonts w:hint="eastAsia" w:ascii="华文楷体" w:hAnsi="华文楷体" w:eastAsia="华文楷体" w:cs="宋体"/>
          <w:kern w:val="0"/>
        </w:rPr>
        <w:t>、</w:t>
      </w:r>
      <w:r>
        <w:rPr>
          <w:rFonts w:hint="eastAsia" w:ascii="华文楷体" w:hAnsi="华文楷体" w:eastAsia="华文楷体" w:cs="宋体"/>
          <w:kern w:val="0"/>
          <w:lang w:val="zh-CN"/>
        </w:rPr>
        <w:t>报告、数据、客户软件、流程图、数据库、发明、知识、贸易秘密。</w:t>
      </w:r>
    </w:p>
    <w:p w14:paraId="7334367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6.3 </w:t>
      </w:r>
      <w:r>
        <w:rPr>
          <w:rFonts w:hint="eastAsia" w:ascii="华文楷体" w:hAnsi="华文楷体" w:eastAsia="华文楷体" w:cs="宋体"/>
          <w:kern w:val="0"/>
          <w:lang w:val="zh-CN"/>
        </w:rPr>
        <w:t>乙方应根据甲方的要求签署相应的保密协议，保密协议与本条款存在不一致的，以保密协议为准。</w:t>
      </w:r>
    </w:p>
    <w:p w14:paraId="7966A6A9">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 xml:space="preserve">7. </w:t>
      </w:r>
      <w:r>
        <w:rPr>
          <w:rFonts w:hint="eastAsia" w:ascii="华文楷体" w:hAnsi="华文楷体" w:eastAsia="华文楷体" w:cs="宋体"/>
          <w:b/>
          <w:bCs/>
          <w:kern w:val="0"/>
          <w:lang w:val="zh-CN"/>
        </w:rPr>
        <w:t>质量保证</w:t>
      </w:r>
    </w:p>
    <w:p w14:paraId="1840FBB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7.1 </w:t>
      </w:r>
      <w:r>
        <w:rPr>
          <w:rFonts w:hint="eastAsia" w:ascii="华文楷体" w:hAnsi="华文楷体" w:eastAsia="华文楷体" w:cs="宋体"/>
          <w:kern w:val="0"/>
          <w:lang w:val="zh-CN"/>
        </w:rPr>
        <w:t>货物质量保证</w:t>
      </w:r>
    </w:p>
    <w:p w14:paraId="43E0FE1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7.1.1 </w:t>
      </w:r>
      <w:r>
        <w:rPr>
          <w:rFonts w:hint="eastAsia" w:ascii="华文楷体" w:hAnsi="华文楷体" w:eastAsia="华文楷体" w:cs="宋体"/>
          <w:kern w:val="0"/>
          <w:lang w:val="zh-CN"/>
        </w:rPr>
        <w:t>乙方必须保证货物是全新、未使用过的，并完全符合强制性的国家技术质量规范和合同规定的质量、规格、性能和技术规范等的要求。</w:t>
      </w:r>
    </w:p>
    <w:p w14:paraId="5292A83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7.1.2 </w:t>
      </w:r>
      <w:r>
        <w:rPr>
          <w:rFonts w:hint="eastAsia" w:ascii="华文楷体" w:hAnsi="华文楷体" w:eastAsia="华文楷体" w:cs="宋体"/>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4101D2C2">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7.1.3 </w:t>
      </w:r>
      <w:r>
        <w:rPr>
          <w:rFonts w:hint="eastAsia" w:ascii="华文楷体" w:hAnsi="华文楷体" w:eastAsia="华文楷体" w:cs="宋体"/>
          <w:kern w:val="0"/>
          <w:lang w:val="zh-CN"/>
        </w:rPr>
        <w:t>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4C8D693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7.1.4 </w:t>
      </w:r>
      <w:r>
        <w:rPr>
          <w:rFonts w:hint="eastAsia" w:ascii="华文楷体" w:hAnsi="华文楷体" w:eastAsia="华文楷体" w:cs="宋体"/>
          <w:kern w:val="0"/>
          <w:lang w:val="zh-CN"/>
        </w:rPr>
        <w:t>乙方在收到通知后虽答复，但没有弥补缺陷，甲方可采取必要的补救措施，但由此引发的风险和费用将由乙方承担。甲方可从合同款或乙方提交的履约保函中扣款，不足部分，甲方有权要求乙方赔偿。甲方根据合同规定对乙方行使的其他权力不受影响。</w:t>
      </w:r>
    </w:p>
    <w:p w14:paraId="67F35954">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7.1.5 </w:t>
      </w:r>
      <w:r>
        <w:rPr>
          <w:rFonts w:hint="eastAsia" w:ascii="华文楷体" w:hAnsi="华文楷体" w:eastAsia="华文楷体" w:cs="宋体"/>
          <w:kern w:val="0"/>
          <w:lang w:val="zh-CN"/>
        </w:rPr>
        <w:t>合同条款下货物的质量保证期自货物通过最终验收起算，合同另行规定除外。</w:t>
      </w:r>
    </w:p>
    <w:p w14:paraId="4235CF5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7.2 </w:t>
      </w:r>
      <w:r>
        <w:rPr>
          <w:rFonts w:hint="eastAsia" w:ascii="华文楷体" w:hAnsi="华文楷体" w:eastAsia="华文楷体" w:cs="宋体"/>
          <w:kern w:val="0"/>
          <w:lang w:val="zh-CN"/>
        </w:rPr>
        <w:t>辅助服务质量保证</w:t>
      </w:r>
    </w:p>
    <w:p w14:paraId="72EAD500">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7.2.1 </w:t>
      </w:r>
      <w:r>
        <w:rPr>
          <w:rFonts w:hint="eastAsia" w:ascii="华文楷体" w:hAnsi="华文楷体" w:eastAsia="华文楷体" w:cs="宋体"/>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23A4464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7.2.2 </w:t>
      </w:r>
      <w:r>
        <w:rPr>
          <w:rFonts w:hint="eastAsia" w:ascii="华文楷体" w:hAnsi="华文楷体" w:eastAsia="华文楷体" w:cs="宋体"/>
          <w:kern w:val="0"/>
          <w:lang w:val="zh-CN"/>
        </w:rPr>
        <w:t>乙方应保证合同条款下所提供的服务包括培训、安装指导、单机调试、系统联调和试验等，按合同规定方式进行，并保证不存在因乙方工作人员的过失、错误或疏忽而产生的缺陷。</w:t>
      </w:r>
    </w:p>
    <w:p w14:paraId="7E7B0A7E">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8.</w:t>
      </w:r>
      <w:r>
        <w:rPr>
          <w:rFonts w:hint="eastAsia" w:ascii="华文楷体" w:hAnsi="华文楷体" w:eastAsia="华文楷体" w:cs="宋体"/>
          <w:b/>
          <w:bCs/>
          <w:kern w:val="0"/>
          <w:lang w:val="zh-CN"/>
        </w:rPr>
        <w:t>包装要求</w:t>
      </w:r>
    </w:p>
    <w:p w14:paraId="6D2F6E5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8.1 </w:t>
      </w:r>
      <w:r>
        <w:rPr>
          <w:rFonts w:hint="eastAsia" w:ascii="华文楷体" w:hAnsi="华文楷体" w:eastAsia="华文楷体" w:cs="宋体"/>
          <w:kern w:val="0"/>
          <w:lang w:val="zh-CN"/>
        </w:rPr>
        <w:t>除合同另有约定外</w:t>
      </w:r>
      <w:r>
        <w:rPr>
          <w:rFonts w:hint="eastAsia" w:ascii="华文楷体" w:hAnsi="华文楷体" w:eastAsia="华文楷体" w:cs="宋体"/>
          <w:kern w:val="0"/>
        </w:rPr>
        <w:t>，</w:t>
      </w:r>
      <w:r>
        <w:rPr>
          <w:rFonts w:hint="eastAsia" w:ascii="华文楷体" w:hAnsi="华文楷体" w:eastAsia="华文楷体" w:cs="宋体"/>
          <w:kern w:val="0"/>
          <w:lang w:val="zh-CN"/>
        </w:rPr>
        <w:t>乙方提供的全部货物</w:t>
      </w:r>
      <w:r>
        <w:rPr>
          <w:rFonts w:hint="eastAsia" w:ascii="华文楷体" w:hAnsi="华文楷体" w:eastAsia="华文楷体" w:cs="宋体"/>
          <w:kern w:val="0"/>
        </w:rPr>
        <w:t>，</w:t>
      </w:r>
      <w:r>
        <w:rPr>
          <w:rFonts w:hint="eastAsia" w:ascii="华文楷体" w:hAnsi="华文楷体" w:eastAsia="华文楷体" w:cs="宋体"/>
          <w:kern w:val="0"/>
          <w:lang w:val="zh-CN"/>
        </w:rPr>
        <w:t>均应采用本行业通用的方式进行包装，且该包装应符合国家有关包装的法律、法规的规定。</w:t>
      </w:r>
    </w:p>
    <w:p w14:paraId="6500E39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8.2 </w:t>
      </w:r>
      <w:r>
        <w:rPr>
          <w:rFonts w:hint="eastAsia" w:ascii="华文楷体" w:hAnsi="华文楷体" w:eastAsia="华文楷体" w:cs="宋体"/>
          <w:kern w:val="0"/>
          <w:lang w:val="zh-CN"/>
        </w:rPr>
        <w:t>包装应适应于远距离运输，并有良好的防潮、防震、防锈和防粗暴装卸等保护措施，以确保货物安全运抵现场。由于包装不善所引起的货物锈蚀、损坏和损失均由乙方承担。乙方应提供货物运至合同规定的最终目的地所需要的包装，以防止货物在转运中损坏或变质。</w:t>
      </w:r>
    </w:p>
    <w:p w14:paraId="40439E2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8.3 </w:t>
      </w:r>
      <w:r>
        <w:rPr>
          <w:rFonts w:hint="eastAsia" w:ascii="华文楷体" w:hAnsi="华文楷体" w:eastAsia="华文楷体" w:cs="宋体"/>
          <w:kern w:val="0"/>
          <w:lang w:val="zh-CN"/>
        </w:rPr>
        <w:t>乙方所提供的货物包装均为出厂时原包装。</w:t>
      </w:r>
    </w:p>
    <w:p w14:paraId="5FA31D7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8.4 </w:t>
      </w:r>
      <w:r>
        <w:rPr>
          <w:rFonts w:hint="eastAsia" w:ascii="华文楷体" w:hAnsi="华文楷体" w:eastAsia="华文楷体" w:cs="宋体"/>
          <w:kern w:val="0"/>
          <w:lang w:val="zh-CN"/>
        </w:rPr>
        <w:t>乙方所提供货物必须附有质量合格证，装箱清单，主机、附件、各种零部件和消耗品，有清楚的与装箱单相对应的名称和编号。</w:t>
      </w:r>
    </w:p>
    <w:p w14:paraId="7FEB1680">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8.5 </w:t>
      </w:r>
      <w:r>
        <w:rPr>
          <w:rFonts w:hint="eastAsia" w:ascii="华文楷体" w:hAnsi="华文楷体" w:eastAsia="华文楷体" w:cs="宋体"/>
          <w:kern w:val="0"/>
          <w:lang w:val="zh-CN"/>
        </w:rPr>
        <w:t>货物运输中的运输费用和保险费用均由乙方承担。运输过程中的一切损失、损坏均由乙方负责。</w:t>
      </w:r>
    </w:p>
    <w:p w14:paraId="2A72BB6E">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9.</w:t>
      </w:r>
      <w:r>
        <w:rPr>
          <w:rFonts w:hint="eastAsia" w:ascii="华文楷体" w:hAnsi="华文楷体" w:eastAsia="华文楷体" w:cs="宋体"/>
          <w:b/>
          <w:bCs/>
          <w:kern w:val="0"/>
          <w:lang w:val="zh-CN"/>
        </w:rPr>
        <w:t>价格</w:t>
      </w:r>
    </w:p>
    <w:p w14:paraId="5E1B65D6">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9.1 </w:t>
      </w:r>
      <w:r>
        <w:rPr>
          <w:rFonts w:hint="eastAsia" w:ascii="华文楷体" w:hAnsi="华文楷体" w:eastAsia="华文楷体" w:cs="宋体"/>
          <w:kern w:val="0"/>
          <w:lang w:val="zh-CN"/>
        </w:rPr>
        <w:t>乙方履行合同所必须的所有费用，包括但不限于货物及部件的设计、检测与试验、制造、运输、装卸、保险、单机调试、安装调试指导、技术资料、培训、交通、人员、差旅、质量保证期服务费、其他管理费用、所有的检验、测试、调试、验收、试运行费用等均已包括在合同价格中。</w:t>
      </w:r>
    </w:p>
    <w:p w14:paraId="27DB1A0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9.2 </w:t>
      </w:r>
      <w:r>
        <w:rPr>
          <w:rFonts w:hint="eastAsia" w:ascii="华文楷体" w:hAnsi="华文楷体" w:eastAsia="华文楷体" w:cs="宋体"/>
          <w:kern w:val="0"/>
          <w:lang w:val="zh-CN"/>
        </w:rPr>
        <w:t>本合同价格为固定价格，包括了乙方履行合同全过程产生的所有成本和费用以及乙方应承担的一切税费。</w:t>
      </w:r>
    </w:p>
    <w:p w14:paraId="6D687D0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9.3 </w:t>
      </w:r>
      <w:r>
        <w:rPr>
          <w:rFonts w:hint="eastAsia" w:ascii="华文楷体" w:hAnsi="华文楷体" w:eastAsia="华文楷体" w:cs="宋体"/>
          <w:kern w:val="0"/>
          <w:lang w:val="zh-CN"/>
        </w:rPr>
        <w:t>检验费用</w:t>
      </w:r>
    </w:p>
    <w:p w14:paraId="50AD8C2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9.3.1 </w:t>
      </w:r>
      <w:r>
        <w:rPr>
          <w:rFonts w:hint="eastAsia" w:ascii="华文楷体" w:hAnsi="华文楷体" w:eastAsia="华文楷体" w:cs="宋体"/>
          <w:kern w:val="0"/>
          <w:lang w:val="zh-CN"/>
        </w:rPr>
        <w:t>乙方必须负担本条款下属于乙方负责的检验、测试、调试、试运行和验收的所有费用，并负责乙方派往甲方组织的检验、测试和验收人员的所有费用。</w:t>
      </w:r>
    </w:p>
    <w:p w14:paraId="61C539B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9.3.2 </w:t>
      </w:r>
      <w:r>
        <w:rPr>
          <w:rFonts w:hint="eastAsia" w:ascii="华文楷体" w:hAnsi="华文楷体" w:eastAsia="华文楷体" w:cs="宋体"/>
          <w:kern w:val="0"/>
          <w:lang w:val="zh-CN"/>
        </w:rPr>
        <w:t>甲方按合同计划参加在乙方工厂所在地检验、测试和验收的费用全部由乙方负责并已包含在合同总价中。</w:t>
      </w:r>
    </w:p>
    <w:p w14:paraId="0DED380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9.3.3 </w:t>
      </w:r>
      <w:r>
        <w:rPr>
          <w:rFonts w:hint="eastAsia" w:ascii="华文楷体" w:hAnsi="华文楷体" w:eastAsia="华文楷体" w:cs="宋体"/>
          <w:kern w:val="0"/>
          <w:lang w:val="zh-CN"/>
        </w:rPr>
        <w:t>甲方检验人员已到乙方所在地，测试无法依照合同进行，</w:t>
      </w:r>
      <w:r>
        <w:rPr>
          <w:rFonts w:hint="eastAsia" w:ascii="华文楷体" w:hAnsi="华文楷体" w:eastAsia="华文楷体" w:cs="宋体"/>
          <w:kern w:val="0"/>
        </w:rPr>
        <w:t xml:space="preserve"> </w:t>
      </w:r>
      <w:r>
        <w:rPr>
          <w:rFonts w:hint="eastAsia" w:ascii="华文楷体" w:hAnsi="华文楷体" w:eastAsia="华文楷体" w:cs="宋体"/>
          <w:kern w:val="0"/>
          <w:lang w:val="zh-CN"/>
        </w:rPr>
        <w:t>而引起甲方人员延长逗留时间，所有由此产生的包括甲方人员在内的直接费用及成本由乙方承担。</w:t>
      </w:r>
    </w:p>
    <w:p w14:paraId="3AA01109">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10.</w:t>
      </w:r>
      <w:r>
        <w:rPr>
          <w:rFonts w:hint="eastAsia" w:ascii="华文楷体" w:hAnsi="华文楷体" w:eastAsia="华文楷体" w:cs="宋体"/>
          <w:b/>
          <w:bCs/>
          <w:kern w:val="0"/>
          <w:lang w:val="zh-CN"/>
        </w:rPr>
        <w:t>交货方式及交货日期</w:t>
      </w:r>
    </w:p>
    <w:p w14:paraId="35103C88">
      <w:pPr>
        <w:autoSpaceDE w:val="0"/>
        <w:autoSpaceDN w:val="0"/>
        <w:spacing w:line="480" w:lineRule="exact"/>
        <w:ind w:firstLine="480"/>
        <w:rPr>
          <w:rFonts w:ascii="华文楷体" w:hAnsi="华文楷体" w:eastAsia="华文楷体" w:cs="宋体"/>
          <w:kern w:val="0"/>
          <w:lang w:val="zh-CN"/>
        </w:rPr>
      </w:pPr>
      <w:r>
        <w:rPr>
          <w:rFonts w:hint="eastAsia" w:ascii="华文楷体" w:hAnsi="华文楷体" w:eastAsia="华文楷体" w:cs="宋体"/>
          <w:kern w:val="0"/>
          <w:lang w:val="zh-CN"/>
        </w:rPr>
        <w:t>交货方式：现场交货，乙方负责办理运输和保险，将货物运抵现场。</w:t>
      </w:r>
    </w:p>
    <w:p w14:paraId="4DC184B2">
      <w:pPr>
        <w:autoSpaceDE w:val="0"/>
        <w:autoSpaceDN w:val="0"/>
        <w:spacing w:line="480" w:lineRule="exact"/>
        <w:ind w:firstLine="480"/>
        <w:rPr>
          <w:rFonts w:ascii="华文楷体" w:hAnsi="华文楷体" w:eastAsia="华文楷体" w:cs="宋体"/>
          <w:kern w:val="0"/>
          <w:lang w:val="zh-CN"/>
        </w:rPr>
      </w:pPr>
      <w:r>
        <w:rPr>
          <w:rFonts w:hint="eastAsia" w:ascii="华文楷体" w:hAnsi="华文楷体" w:eastAsia="华文楷体" w:cs="宋体"/>
          <w:kern w:val="0"/>
          <w:lang w:val="zh-CN"/>
        </w:rPr>
        <w:t>交货期应根据产品的特点实事求是填写。特殊产品交货期需说明。</w:t>
      </w:r>
    </w:p>
    <w:p w14:paraId="36C7A98F">
      <w:pPr>
        <w:autoSpaceDE w:val="0"/>
        <w:autoSpaceDN w:val="0"/>
        <w:spacing w:line="480" w:lineRule="exact"/>
        <w:ind w:firstLine="480"/>
        <w:rPr>
          <w:rFonts w:ascii="华文楷体" w:hAnsi="华文楷体" w:eastAsia="华文楷体" w:cs="宋体"/>
          <w:kern w:val="0"/>
          <w:lang w:val="zh-CN"/>
        </w:rPr>
      </w:pPr>
      <w:r>
        <w:rPr>
          <w:rFonts w:hint="eastAsia" w:ascii="华文楷体" w:hAnsi="华文楷体" w:eastAsia="华文楷体" w:cs="宋体"/>
          <w:kern w:val="0"/>
          <w:lang w:val="zh-CN"/>
        </w:rPr>
        <w:t>交货日期：所有货物运抵现场并经双方开箱验收合格之日。</w:t>
      </w:r>
    </w:p>
    <w:p w14:paraId="4C5FAAC8">
      <w:pPr>
        <w:autoSpaceDE w:val="0"/>
        <w:autoSpaceDN w:val="0"/>
        <w:spacing w:line="480" w:lineRule="exact"/>
        <w:ind w:firstLine="482"/>
        <w:rPr>
          <w:rFonts w:ascii="华文楷体" w:hAnsi="华文楷体" w:eastAsia="华文楷体" w:cs="宋体"/>
          <w:kern w:val="0"/>
          <w:lang w:val="zh-CN"/>
        </w:rPr>
      </w:pPr>
      <w:r>
        <w:rPr>
          <w:rFonts w:hint="eastAsia" w:ascii="华文楷体" w:hAnsi="华文楷体" w:eastAsia="华文楷体" w:cs="宋体"/>
          <w:b/>
          <w:bCs/>
          <w:kern w:val="0"/>
          <w:lang w:val="zh-CN"/>
        </w:rPr>
        <w:t>11.检验和验收</w:t>
      </w:r>
    </w:p>
    <w:p w14:paraId="25A0B141">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11.1 </w:t>
      </w:r>
      <w:r>
        <w:rPr>
          <w:rFonts w:hint="eastAsia" w:ascii="华文楷体" w:hAnsi="华文楷体" w:eastAsia="华文楷体" w:cs="宋体"/>
          <w:kern w:val="0"/>
          <w:lang w:val="zh-CN"/>
        </w:rPr>
        <w:t>开箱验收</w:t>
      </w:r>
    </w:p>
    <w:p w14:paraId="4AA8E23F">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11.1.1 </w:t>
      </w:r>
      <w:r>
        <w:rPr>
          <w:rFonts w:hint="eastAsia" w:ascii="华文楷体" w:hAnsi="华文楷体" w:eastAsia="华文楷体" w:cs="宋体"/>
          <w:kern w:val="0"/>
          <w:lang w:val="zh-CN"/>
        </w:rPr>
        <w:t>货物运抵现场后，双方应及时开箱验收，并制作验收记录，以确认与本合同约定的数量、型号等是否一致。</w:t>
      </w:r>
    </w:p>
    <w:p w14:paraId="0254DEB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11.1.2 </w:t>
      </w:r>
      <w:r>
        <w:rPr>
          <w:rFonts w:hint="eastAsia" w:ascii="华文楷体" w:hAnsi="华文楷体" w:eastAsia="华文楷体" w:cs="宋体"/>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6F656D7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11.1.3 </w:t>
      </w:r>
      <w:r>
        <w:rPr>
          <w:rFonts w:hint="eastAsia" w:ascii="华文楷体" w:hAnsi="华文楷体" w:eastAsia="华文楷体" w:cs="宋体"/>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60727532">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11.2 </w:t>
      </w:r>
      <w:r>
        <w:rPr>
          <w:rFonts w:hint="eastAsia" w:ascii="华文楷体" w:hAnsi="华文楷体" w:eastAsia="华文楷体" w:cs="宋体"/>
          <w:kern w:val="0"/>
          <w:lang w:val="zh-CN"/>
        </w:rPr>
        <w:t>检验验收</w:t>
      </w:r>
    </w:p>
    <w:p w14:paraId="07B3B83E">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11.2.1 </w:t>
      </w:r>
      <w:r>
        <w:rPr>
          <w:rFonts w:hint="eastAsia" w:ascii="华文楷体" w:hAnsi="华文楷体" w:eastAsia="华文楷体" w:cs="宋体"/>
          <w:kern w:val="0"/>
          <w:lang w:val="zh-CN"/>
        </w:rPr>
        <w:t>交货完成后，乙方应及时组装、调试、试运行，按照合同专用条款规定的试运行完成后，双方及时组织对货物检验验收。合同双方均须派人参加合同要求双方参加的试验、检验。</w:t>
      </w:r>
    </w:p>
    <w:p w14:paraId="76961248">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11.2.2 </w:t>
      </w:r>
      <w:r>
        <w:rPr>
          <w:rFonts w:hint="eastAsia" w:ascii="华文楷体" w:hAnsi="华文楷体" w:eastAsia="华文楷体" w:cs="宋体"/>
          <w:kern w:val="0"/>
          <w:lang w:val="zh-CN"/>
        </w:rPr>
        <w:t>在具体实施合同规定的检验验收之前，乙方需提前提交相应的测试计划（包括测试程序、测试内容和检验标准、试验时间安排等）供甲方确认。</w:t>
      </w:r>
    </w:p>
    <w:p w14:paraId="06D1A73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11.2.3 </w:t>
      </w:r>
      <w:r>
        <w:rPr>
          <w:rFonts w:hint="eastAsia" w:ascii="华文楷体" w:hAnsi="华文楷体" w:eastAsia="华文楷体" w:cs="宋体"/>
          <w:kern w:val="0"/>
          <w:lang w:val="zh-CN"/>
        </w:rPr>
        <w:t>除需甲方确认的试验验收外，乙方还应对所有检验验收测试的结果、步骤、原始数据等作妥善记录。如甲方要求，乙方应提供这些记录给甲方。</w:t>
      </w:r>
    </w:p>
    <w:p w14:paraId="545D057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11.2.4 </w:t>
      </w:r>
      <w:r>
        <w:rPr>
          <w:rFonts w:hint="eastAsia" w:ascii="华文楷体" w:hAnsi="华文楷体" w:eastAsia="华文楷体" w:cs="宋体"/>
          <w:kern w:val="0"/>
          <w:lang w:val="zh-CN"/>
        </w:rPr>
        <w:t>检验测试出现全部或部分未达到本合同所约定的技术指标，甲方有权选择下列任一处理方式：</w:t>
      </w:r>
    </w:p>
    <w:p w14:paraId="31FC12C2">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a.</w:t>
      </w:r>
      <w:r>
        <w:rPr>
          <w:rFonts w:hint="eastAsia" w:ascii="华文楷体" w:hAnsi="华文楷体" w:eastAsia="华文楷体" w:cs="宋体"/>
          <w:kern w:val="0"/>
          <w:lang w:val="zh-CN"/>
        </w:rPr>
        <w:t>重新测试直至合格为止；</w:t>
      </w:r>
    </w:p>
    <w:p w14:paraId="3589D42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b.</w:t>
      </w:r>
      <w:r>
        <w:rPr>
          <w:rFonts w:hint="eastAsia" w:ascii="华文楷体" w:hAnsi="华文楷体" w:eastAsia="华文楷体" w:cs="宋体"/>
          <w:kern w:val="0"/>
          <w:lang w:val="zh-CN"/>
        </w:rPr>
        <w:t>要求乙方对货物进行免费更换，然后重新测试直至合格为止；</w:t>
      </w:r>
    </w:p>
    <w:p w14:paraId="1B8A7981">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无论选择何种方式，甲方因此而发生的因乙方原因引起的所有费用均由乙方负担。</w:t>
      </w:r>
    </w:p>
    <w:p w14:paraId="0B9D1BDE">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11.3 </w:t>
      </w:r>
      <w:r>
        <w:rPr>
          <w:rFonts w:hint="eastAsia" w:ascii="华文楷体" w:hAnsi="华文楷体" w:eastAsia="华文楷体" w:cs="宋体"/>
          <w:kern w:val="0"/>
          <w:lang w:val="zh-CN"/>
        </w:rPr>
        <w:t>使用过程检验</w:t>
      </w:r>
    </w:p>
    <w:p w14:paraId="00093D7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11.3.1 </w:t>
      </w:r>
      <w:r>
        <w:rPr>
          <w:rFonts w:hint="eastAsia" w:ascii="华文楷体" w:hAnsi="华文楷体" w:eastAsia="华文楷体" w:cs="宋体"/>
          <w:kern w:val="0"/>
          <w:lang w:val="zh-CN"/>
        </w:rPr>
        <w:t>在合同规定的质量保证期内，发现货物的质量或规格与合同规定不符，或证明货物有缺陷，包括潜在的缺陷或使用不合适的原材料等，由甲方组织质检（相关检测费用由乙方承担），据质检报告及质量保证条款向乙方提出索赔，此索赔并不免除乙方应承担的合同义务。</w:t>
      </w:r>
    </w:p>
    <w:p w14:paraId="6AE008B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11.3.2 </w:t>
      </w:r>
      <w:r>
        <w:rPr>
          <w:rFonts w:hint="eastAsia" w:ascii="华文楷体" w:hAnsi="华文楷体" w:eastAsia="华文楷体" w:cs="宋体"/>
          <w:kern w:val="0"/>
          <w:lang w:val="zh-CN"/>
        </w:rPr>
        <w:t>如果合同双方对乙方提供的上述试验结果报告的解释有分歧，双方须于出现分歧后</w:t>
      </w:r>
      <w:r>
        <w:rPr>
          <w:rFonts w:hint="eastAsia" w:ascii="华文楷体" w:hAnsi="华文楷体" w:eastAsia="华文楷体" w:cs="宋体"/>
          <w:kern w:val="0"/>
        </w:rPr>
        <w:t>10</w:t>
      </w:r>
      <w:r>
        <w:rPr>
          <w:rFonts w:hint="eastAsia" w:ascii="华文楷体" w:hAnsi="华文楷体" w:eastAsia="华文楷体" w:cs="宋体"/>
          <w:kern w:val="0"/>
          <w:lang w:val="zh-CN"/>
        </w:rPr>
        <w:t>天内给对方声明，以陈述己方的观点。声明须附有关证据。分歧应通过协商解决。</w:t>
      </w:r>
    </w:p>
    <w:p w14:paraId="5B230EEA">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12.</w:t>
      </w:r>
      <w:r>
        <w:rPr>
          <w:rFonts w:hint="eastAsia" w:ascii="华文楷体" w:hAnsi="华文楷体" w:eastAsia="华文楷体" w:cs="宋体"/>
          <w:b/>
          <w:bCs/>
          <w:kern w:val="0"/>
          <w:lang w:val="zh-CN"/>
        </w:rPr>
        <w:t>付款方法和条件</w:t>
      </w:r>
    </w:p>
    <w:p w14:paraId="3C153D2E">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本合同条款下的付款方法和条件在招标文件中具体规定。</w:t>
      </w:r>
    </w:p>
    <w:p w14:paraId="4D2EB533">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13.</w:t>
      </w:r>
      <w:r>
        <w:rPr>
          <w:rFonts w:hint="eastAsia" w:ascii="华文楷体" w:hAnsi="华文楷体" w:eastAsia="华文楷体" w:cs="宋体"/>
          <w:b/>
          <w:bCs/>
          <w:kern w:val="0"/>
          <w:lang w:val="zh-CN"/>
        </w:rPr>
        <w:t>履约保函</w:t>
      </w:r>
    </w:p>
    <w:p w14:paraId="4FA35EBF">
      <w:pPr>
        <w:autoSpaceDE w:val="0"/>
        <w:autoSpaceDN w:val="0"/>
        <w:spacing w:line="480" w:lineRule="exact"/>
        <w:ind w:firstLine="480"/>
        <w:rPr>
          <w:rFonts w:ascii="华文楷体" w:hAnsi="华文楷体" w:eastAsia="华文楷体" w:cs="宋体"/>
        </w:rPr>
      </w:pPr>
      <w:r>
        <w:rPr>
          <w:rFonts w:hint="eastAsia" w:ascii="华文楷体" w:hAnsi="华文楷体" w:eastAsia="华文楷体" w:cs="宋体"/>
          <w:kern w:val="0"/>
        </w:rPr>
        <w:t xml:space="preserve">13.1 </w:t>
      </w:r>
      <w:r>
        <w:rPr>
          <w:rFonts w:hint="eastAsia" w:ascii="华文楷体" w:hAnsi="华文楷体" w:eastAsia="华文楷体" w:cs="宋体"/>
          <w:kern w:val="0"/>
          <w:lang w:val="zh-CN"/>
        </w:rPr>
        <w:t>在签订合同后30</w:t>
      </w:r>
      <w:r>
        <w:rPr>
          <w:rFonts w:hint="eastAsia" w:ascii="华文楷体" w:hAnsi="华文楷体" w:eastAsia="华文楷体" w:cs="宋体"/>
          <w:kern w:val="0"/>
        </w:rPr>
        <w:t>个日历日</w:t>
      </w:r>
      <w:r>
        <w:rPr>
          <w:rFonts w:hint="eastAsia" w:ascii="华文楷体" w:hAnsi="华文楷体" w:eastAsia="华文楷体" w:cs="宋体"/>
          <w:kern w:val="0"/>
          <w:lang w:val="zh-CN"/>
        </w:rPr>
        <w:t>内，中标人（乙方）应当以支票、汇票、本票或者金融机构、担保机构出具的保函等非现金形式向采购人（甲方）缴纳履约保证金。履约保证金的数额为合同金额的10%，履约保证金的有效期为中标通知书收到之日起455个日历日。</w:t>
      </w:r>
    </w:p>
    <w:p w14:paraId="0A44C63A">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13.2 </w:t>
      </w:r>
      <w:r>
        <w:rPr>
          <w:rFonts w:hint="eastAsia" w:ascii="华文楷体" w:hAnsi="华文楷体" w:eastAsia="华文楷体" w:cs="宋体"/>
          <w:kern w:val="0"/>
          <w:lang w:val="zh-CN"/>
        </w:rPr>
        <w:t>履约保函用于补偿甲方因乙方不能履行其合同义务而蒙受的损失。</w:t>
      </w:r>
    </w:p>
    <w:p w14:paraId="1499B99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13.3 </w:t>
      </w:r>
      <w:r>
        <w:rPr>
          <w:rFonts w:hint="eastAsia" w:ascii="华文楷体" w:hAnsi="华文楷体" w:eastAsia="华文楷体" w:cs="宋体"/>
          <w:kern w:val="0"/>
          <w:lang w:val="zh-CN"/>
        </w:rPr>
        <w:t>履约保函应使用本合同货币，按下述方式之一提交（招标文件中另有约定的除外）：</w:t>
      </w:r>
    </w:p>
    <w:p w14:paraId="00DD74FE">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13.3.1 </w:t>
      </w:r>
      <w:r>
        <w:rPr>
          <w:rFonts w:hint="eastAsia" w:ascii="华文楷体" w:hAnsi="华文楷体" w:eastAsia="华文楷体" w:cs="宋体"/>
          <w:kern w:val="0"/>
          <w:lang w:val="zh-CN"/>
        </w:rPr>
        <w:t>甲方可接受的在中华人民共和国注册和营业的银行出具的履约保函；</w:t>
      </w:r>
    </w:p>
    <w:p w14:paraId="4BDD8F6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13.3.2 </w:t>
      </w:r>
      <w:r>
        <w:rPr>
          <w:rFonts w:hint="eastAsia" w:ascii="华文楷体" w:hAnsi="华文楷体" w:eastAsia="华文楷体" w:cs="宋体"/>
          <w:kern w:val="0"/>
          <w:lang w:val="zh-CN"/>
        </w:rPr>
        <w:t>乙方未能按合同规定履行其义务，甲方有权从履约保函中取得补偿</w:t>
      </w:r>
      <w:r>
        <w:rPr>
          <w:rFonts w:hint="eastAsia" w:ascii="华文楷体" w:hAnsi="华文楷体" w:eastAsia="华文楷体" w:cs="宋体"/>
          <w:kern w:val="0"/>
        </w:rPr>
        <w:t>,</w:t>
      </w:r>
      <w:r>
        <w:rPr>
          <w:rFonts w:hint="eastAsia" w:ascii="华文楷体" w:hAnsi="华文楷体" w:eastAsia="华文楷体" w:cs="宋体"/>
          <w:lang w:val="zh-CN"/>
        </w:rPr>
        <w:t>验收合格满1年且乙方履行合同义务，凭乙方合同总金额有效发票复印件、等额有效收据、拨款申请及甲方签署的意见，甲方向乙方退还履约保函，但是乙方需要继续履行质保义务</w:t>
      </w:r>
      <w:r>
        <w:rPr>
          <w:rFonts w:hint="eastAsia" w:ascii="华文楷体" w:hAnsi="华文楷体" w:eastAsia="华文楷体" w:cs="宋体"/>
          <w:kern w:val="0"/>
          <w:lang w:val="zh-CN"/>
        </w:rPr>
        <w:t>。</w:t>
      </w:r>
    </w:p>
    <w:p w14:paraId="519F3976">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14.</w:t>
      </w:r>
      <w:r>
        <w:rPr>
          <w:rFonts w:hint="eastAsia" w:ascii="华文楷体" w:hAnsi="华文楷体" w:eastAsia="华文楷体" w:cs="宋体"/>
          <w:b/>
          <w:bCs/>
          <w:kern w:val="0"/>
          <w:lang w:val="zh-CN"/>
        </w:rPr>
        <w:t>索赔</w:t>
      </w:r>
    </w:p>
    <w:p w14:paraId="16130C2F">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14.1 </w:t>
      </w:r>
      <w:r>
        <w:rPr>
          <w:rFonts w:hint="eastAsia" w:ascii="华文楷体" w:hAnsi="华文楷体" w:eastAsia="华文楷体" w:cs="宋体"/>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3713766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14.2 </w:t>
      </w:r>
      <w:r>
        <w:rPr>
          <w:rFonts w:hint="eastAsia" w:ascii="华文楷体" w:hAnsi="华文楷体" w:eastAsia="华文楷体" w:cs="宋体"/>
          <w:kern w:val="0"/>
          <w:lang w:val="zh-CN"/>
        </w:rPr>
        <w:t>在履约保证期和检验期内，乙方对甲方提出的索赔负有责任，乙方应按照甲方同意的下列一种或多种方式解决索赔事宜：</w:t>
      </w:r>
    </w:p>
    <w:p w14:paraId="6ADBEE7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14.2.1 </w:t>
      </w:r>
      <w:r>
        <w:rPr>
          <w:rFonts w:hint="eastAsia" w:ascii="华文楷体" w:hAnsi="华文楷体" w:eastAsia="华文楷体" w:cs="宋体"/>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3524513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14.2.2 </w:t>
      </w:r>
      <w:r>
        <w:rPr>
          <w:rFonts w:hint="eastAsia" w:ascii="华文楷体" w:hAnsi="华文楷体" w:eastAsia="华文楷体" w:cs="宋体"/>
          <w:kern w:val="0"/>
          <w:lang w:val="zh-CN"/>
        </w:rPr>
        <w:t>根据货物低劣程度、损坏程度以及甲方所遭受损失的数额，经甲乙双方商定降低货物的价格，或由有资质的中介机构评估，以降低后的价格或评估价格为准。</w:t>
      </w:r>
    </w:p>
    <w:p w14:paraId="49CE76A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14.2.3 </w:t>
      </w:r>
      <w:r>
        <w:rPr>
          <w:rFonts w:hint="eastAsia" w:ascii="华文楷体" w:hAnsi="华文楷体" w:eastAsia="华文楷体" w:cs="宋体"/>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2F5A168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14.3 </w:t>
      </w:r>
      <w:r>
        <w:rPr>
          <w:rFonts w:hint="eastAsia" w:ascii="华文楷体" w:hAnsi="华文楷体" w:eastAsia="华文楷体" w:cs="宋体"/>
          <w:kern w:val="0"/>
          <w:lang w:val="zh-CN"/>
        </w:rPr>
        <w:t>乙方收到甲方发出的索赔通知之日起</w:t>
      </w:r>
      <w:r>
        <w:rPr>
          <w:rFonts w:hint="eastAsia" w:ascii="华文楷体" w:hAnsi="华文楷体" w:eastAsia="华文楷体" w:cs="宋体"/>
          <w:kern w:val="0"/>
        </w:rPr>
        <w:t>5</w:t>
      </w:r>
      <w:r>
        <w:rPr>
          <w:rFonts w:hint="eastAsia" w:ascii="华文楷体" w:hAnsi="华文楷体" w:eastAsia="华文楷体" w:cs="宋体"/>
          <w:kern w:val="0"/>
          <w:lang w:val="zh-CN"/>
        </w:rPr>
        <w:t>个工作日内未作答复的，甲方可从合同款或履约保函中扣回索赔金额，如金额不足以补偿索赔金额，乙方应补足差额部分。</w:t>
      </w:r>
    </w:p>
    <w:p w14:paraId="0A54FFCD">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15.</w:t>
      </w:r>
      <w:r>
        <w:rPr>
          <w:rFonts w:hint="eastAsia" w:ascii="华文楷体" w:hAnsi="华文楷体" w:eastAsia="华文楷体" w:cs="宋体"/>
          <w:b/>
          <w:bCs/>
          <w:kern w:val="0"/>
          <w:lang w:val="zh-CN"/>
        </w:rPr>
        <w:t>迟延交货</w:t>
      </w:r>
    </w:p>
    <w:p w14:paraId="6576D9A1">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15.1 </w:t>
      </w:r>
      <w:r>
        <w:rPr>
          <w:rFonts w:hint="eastAsia" w:ascii="华文楷体" w:hAnsi="华文楷体" w:eastAsia="华文楷体" w:cs="宋体"/>
          <w:kern w:val="0"/>
          <w:lang w:val="zh-CN"/>
        </w:rPr>
        <w:t>乙方应按照合同约定的时间交货和提供服务。</w:t>
      </w:r>
    </w:p>
    <w:p w14:paraId="74146B46">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15.2 </w:t>
      </w:r>
      <w:r>
        <w:rPr>
          <w:rFonts w:hint="eastAsia" w:ascii="华文楷体" w:hAnsi="华文楷体" w:eastAsia="华文楷体" w:cs="宋体"/>
          <w:kern w:val="0"/>
          <w:lang w:val="zh-CN"/>
        </w:rPr>
        <w:t>除不可抗力因素外，乙方迟延交货，甲方有权提出违约损失赔偿或解除合同。</w:t>
      </w:r>
    </w:p>
    <w:p w14:paraId="1D4604D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15.3 </w:t>
      </w:r>
      <w:r>
        <w:rPr>
          <w:rFonts w:hint="eastAsia" w:ascii="华文楷体" w:hAnsi="华文楷体" w:eastAsia="华文楷体" w:cs="宋体"/>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7CEFE460">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16.</w:t>
      </w:r>
      <w:r>
        <w:rPr>
          <w:rFonts w:hint="eastAsia" w:ascii="华文楷体" w:hAnsi="华文楷体" w:eastAsia="华文楷体" w:cs="宋体"/>
          <w:b/>
          <w:bCs/>
          <w:kern w:val="0"/>
          <w:lang w:val="zh-CN"/>
        </w:rPr>
        <w:t>违约赔偿</w:t>
      </w:r>
    </w:p>
    <w:p w14:paraId="78999B8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除不可抗力因素外，乙方没有按照合同规定的时间交货和提供服务，甲方可要求乙方支付违约金。</w:t>
      </w:r>
    </w:p>
    <w:p w14:paraId="0C8D4FED">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17.</w:t>
      </w:r>
      <w:r>
        <w:rPr>
          <w:rFonts w:hint="eastAsia" w:ascii="华文楷体" w:hAnsi="华文楷体" w:eastAsia="华文楷体" w:cs="宋体"/>
          <w:b/>
          <w:bCs/>
          <w:kern w:val="0"/>
          <w:lang w:val="zh-CN"/>
        </w:rPr>
        <w:t>不可抗力</w:t>
      </w:r>
    </w:p>
    <w:p w14:paraId="440D7639">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17.1 </w:t>
      </w:r>
      <w:r>
        <w:rPr>
          <w:rFonts w:hint="eastAsia" w:ascii="华文楷体" w:hAnsi="华文楷体" w:eastAsia="华文楷体" w:cs="宋体"/>
          <w:kern w:val="0"/>
          <w:lang w:val="zh-CN"/>
        </w:rPr>
        <w:t>双方中任何一方遭遇法律规定的不可抗力，致使合同履行受阻时，履行合同的期限应予延长，延长的期限应相当于不可抗力所影响的时间。</w:t>
      </w:r>
    </w:p>
    <w:p w14:paraId="031CBB3B">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17.2 </w:t>
      </w:r>
      <w:r>
        <w:rPr>
          <w:rFonts w:hint="eastAsia" w:ascii="华文楷体" w:hAnsi="华文楷体" w:eastAsia="华文楷体" w:cs="宋体"/>
          <w:kern w:val="0"/>
          <w:lang w:val="zh-CN"/>
        </w:rPr>
        <w:t>受事故影响的一方应在不可抗力的事故发生后以书面形式通知另一方。</w:t>
      </w:r>
    </w:p>
    <w:p w14:paraId="428071D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17.3 </w:t>
      </w:r>
      <w:r>
        <w:rPr>
          <w:rFonts w:hint="eastAsia" w:ascii="华文楷体" w:hAnsi="华文楷体" w:eastAsia="华文楷体" w:cs="宋体"/>
          <w:kern w:val="0"/>
          <w:lang w:val="zh-CN"/>
        </w:rPr>
        <w:t>不可抗力使合同的某些内容有变更必要的，双方应通过协商达成进一步履行合同的协议，因不可抗力致使合同不能履行的，合同终止。</w:t>
      </w:r>
    </w:p>
    <w:p w14:paraId="40567B0F">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18.</w:t>
      </w:r>
      <w:r>
        <w:rPr>
          <w:rFonts w:hint="eastAsia" w:ascii="华文楷体" w:hAnsi="华文楷体" w:eastAsia="华文楷体" w:cs="宋体"/>
          <w:b/>
          <w:bCs/>
          <w:kern w:val="0"/>
          <w:lang w:val="zh-CN"/>
        </w:rPr>
        <w:t>税费</w:t>
      </w:r>
    </w:p>
    <w:p w14:paraId="7BA85ED3">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与本合同有关的一切税费均由乙方承担。</w:t>
      </w:r>
    </w:p>
    <w:p w14:paraId="13C2358E">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19.</w:t>
      </w:r>
      <w:r>
        <w:rPr>
          <w:rFonts w:hint="eastAsia" w:ascii="华文楷体" w:hAnsi="华文楷体" w:eastAsia="华文楷体" w:cs="宋体"/>
          <w:b/>
          <w:bCs/>
          <w:kern w:val="0"/>
          <w:lang w:val="zh-CN"/>
        </w:rPr>
        <w:t>合同争议的解决</w:t>
      </w:r>
    </w:p>
    <w:p w14:paraId="5F44F40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19.1 </w:t>
      </w:r>
      <w:r>
        <w:rPr>
          <w:rFonts w:hint="eastAsia" w:ascii="华文楷体" w:hAnsi="华文楷体" w:eastAsia="华文楷体" w:cs="宋体"/>
          <w:kern w:val="0"/>
          <w:lang w:val="zh-CN"/>
        </w:rPr>
        <w:t>甲方和乙方由于本合同的履行而发生任何争议时，双方可先通过协商解决。</w:t>
      </w:r>
    </w:p>
    <w:p w14:paraId="6D344B4D">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19.2 </w:t>
      </w:r>
      <w:r>
        <w:rPr>
          <w:rFonts w:hint="eastAsia" w:ascii="华文楷体" w:hAnsi="华文楷体" w:eastAsia="华文楷体" w:cs="宋体"/>
          <w:kern w:val="0"/>
          <w:lang w:val="zh-CN"/>
        </w:rPr>
        <w:t>任何一方不愿通过协商或通过协商仍不能解决争议，则双方中任何一方均应向甲方所在地人民法院起诉。</w:t>
      </w:r>
    </w:p>
    <w:p w14:paraId="0829CD07">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20.</w:t>
      </w:r>
      <w:r>
        <w:rPr>
          <w:rFonts w:hint="eastAsia" w:ascii="华文楷体" w:hAnsi="华文楷体" w:eastAsia="华文楷体" w:cs="宋体"/>
          <w:b/>
          <w:bCs/>
          <w:kern w:val="0"/>
          <w:lang w:val="zh-CN"/>
        </w:rPr>
        <w:t>违约解除合同</w:t>
      </w:r>
    </w:p>
    <w:p w14:paraId="0F7EF7C4">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20.1 </w:t>
      </w:r>
      <w:r>
        <w:rPr>
          <w:rFonts w:hint="eastAsia" w:ascii="华文楷体" w:hAnsi="华文楷体" w:eastAsia="华文楷体" w:cs="宋体"/>
          <w:kern w:val="0"/>
          <w:lang w:val="zh-CN"/>
        </w:rPr>
        <w:t>出现下列情形之一的，视为乙方违约。甲方可向乙方发出书面通知，部分或全部终止合同，同时保留向乙方索赔的权利。</w:t>
      </w:r>
    </w:p>
    <w:p w14:paraId="3F19267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20.1.1 </w:t>
      </w:r>
      <w:r>
        <w:rPr>
          <w:rFonts w:hint="eastAsia" w:ascii="华文楷体" w:hAnsi="华文楷体" w:eastAsia="华文楷体" w:cs="宋体"/>
          <w:kern w:val="0"/>
          <w:lang w:val="zh-CN"/>
        </w:rPr>
        <w:t>乙方未能在合同规定的限期或甲方同意延长的限期内，提供全部或部分货物的；</w:t>
      </w:r>
    </w:p>
    <w:p w14:paraId="460EEA7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20.1.2 </w:t>
      </w:r>
      <w:r>
        <w:rPr>
          <w:rFonts w:hint="eastAsia" w:ascii="华文楷体" w:hAnsi="华文楷体" w:eastAsia="华文楷体" w:cs="宋体"/>
          <w:kern w:val="0"/>
          <w:lang w:val="zh-CN"/>
        </w:rPr>
        <w:t>乙方未能履行合同规定的其它主要义务的；</w:t>
      </w:r>
    </w:p>
    <w:p w14:paraId="158CF865">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20.1.3 </w:t>
      </w:r>
      <w:r>
        <w:rPr>
          <w:rFonts w:hint="eastAsia" w:ascii="华文楷体" w:hAnsi="华文楷体" w:eastAsia="华文楷体" w:cs="宋体"/>
          <w:kern w:val="0"/>
          <w:lang w:val="zh-CN"/>
        </w:rPr>
        <w:t>乙方在本合同履行过程中有欺诈行为的。</w:t>
      </w:r>
    </w:p>
    <w:p w14:paraId="3A443C81">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20.2 </w:t>
      </w:r>
      <w:r>
        <w:rPr>
          <w:rFonts w:hint="eastAsia" w:ascii="华文楷体" w:hAnsi="华文楷体" w:eastAsia="华文楷体" w:cs="宋体"/>
          <w:kern w:val="0"/>
          <w:lang w:val="zh-CN"/>
        </w:rPr>
        <w:t>甲方全部或部分解除合同之后，应当遵循诚实信用原则购买与未交付的货物类似的货物或服务，乙方应承担甲方购买类似货物或服务而产生的额外支出。部分解除合同的，乙方应继续履行合同中未解除的部分。</w:t>
      </w:r>
    </w:p>
    <w:p w14:paraId="24C6904F">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21.</w:t>
      </w:r>
      <w:r>
        <w:rPr>
          <w:rFonts w:hint="eastAsia" w:ascii="华文楷体" w:hAnsi="华文楷体" w:eastAsia="华文楷体" w:cs="宋体"/>
          <w:b/>
          <w:bCs/>
          <w:kern w:val="0"/>
          <w:lang w:val="zh-CN"/>
        </w:rPr>
        <w:t>破产终止合同</w:t>
      </w:r>
    </w:p>
    <w:p w14:paraId="2ED4227E">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5C658E45">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22.</w:t>
      </w:r>
      <w:r>
        <w:rPr>
          <w:rFonts w:hint="eastAsia" w:ascii="华文楷体" w:hAnsi="华文楷体" w:eastAsia="华文楷体" w:cs="宋体"/>
          <w:b/>
          <w:bCs/>
          <w:kern w:val="0"/>
          <w:lang w:val="zh-CN"/>
        </w:rPr>
        <w:t>转让和分包</w:t>
      </w:r>
    </w:p>
    <w:p w14:paraId="78FE2791">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22.1 </w:t>
      </w:r>
      <w:r>
        <w:rPr>
          <w:rFonts w:hint="eastAsia" w:ascii="华文楷体" w:hAnsi="华文楷体" w:eastAsia="华文楷体" w:cs="宋体"/>
          <w:kern w:val="0"/>
          <w:lang w:val="zh-CN"/>
        </w:rPr>
        <w:t>政府采购合同不能转让。</w:t>
      </w:r>
    </w:p>
    <w:p w14:paraId="0822B83E">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 xml:space="preserve">22.2 </w:t>
      </w:r>
      <w:r>
        <w:rPr>
          <w:rFonts w:hint="eastAsia" w:ascii="华文楷体" w:hAnsi="华文楷体" w:eastAsia="华文楷体" w:cs="宋体"/>
          <w:kern w:val="0"/>
          <w:lang w:val="zh-CN"/>
        </w:rPr>
        <w:t>本项目不允许分包。</w:t>
      </w:r>
    </w:p>
    <w:p w14:paraId="1C1B3F6C">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23.</w:t>
      </w:r>
      <w:r>
        <w:rPr>
          <w:rFonts w:hint="eastAsia" w:ascii="华文楷体" w:hAnsi="华文楷体" w:eastAsia="华文楷体" w:cs="宋体"/>
          <w:b/>
          <w:bCs/>
          <w:kern w:val="0"/>
          <w:lang w:val="zh-CN"/>
        </w:rPr>
        <w:t>合同修改</w:t>
      </w:r>
    </w:p>
    <w:p w14:paraId="04CE2F6F">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rPr>
        <w:t>政府采购合同的双方当事人不得擅自变更、中止或者终止合同。</w:t>
      </w:r>
    </w:p>
    <w:p w14:paraId="2AA585B0">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24.</w:t>
      </w:r>
      <w:r>
        <w:rPr>
          <w:rFonts w:hint="eastAsia" w:ascii="华文楷体" w:hAnsi="华文楷体" w:eastAsia="华文楷体" w:cs="宋体"/>
          <w:b/>
          <w:bCs/>
          <w:kern w:val="0"/>
          <w:lang w:val="zh-CN"/>
        </w:rPr>
        <w:t>通知</w:t>
      </w:r>
    </w:p>
    <w:p w14:paraId="15BD82A0">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本合同任何一方给另一方的通知，都应以书面形式发送，而另一方也应以书面形式确认并发送到对方明确的地址。</w:t>
      </w:r>
    </w:p>
    <w:p w14:paraId="456F0FC6">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25.</w:t>
      </w:r>
      <w:r>
        <w:rPr>
          <w:rFonts w:hint="eastAsia" w:ascii="华文楷体" w:hAnsi="华文楷体" w:eastAsia="华文楷体" w:cs="宋体"/>
          <w:b/>
          <w:bCs/>
          <w:kern w:val="0"/>
          <w:lang w:val="zh-CN"/>
        </w:rPr>
        <w:t>计量单位</w:t>
      </w:r>
    </w:p>
    <w:p w14:paraId="453D444C">
      <w:pPr>
        <w:autoSpaceDE w:val="0"/>
        <w:autoSpaceDN w:val="0"/>
        <w:spacing w:line="480" w:lineRule="exact"/>
        <w:ind w:firstLine="480"/>
        <w:rPr>
          <w:rFonts w:ascii="华文楷体" w:hAnsi="华文楷体" w:eastAsia="华文楷体" w:cs="宋体"/>
          <w:kern w:val="0"/>
        </w:rPr>
      </w:pPr>
      <w:r>
        <w:rPr>
          <w:rFonts w:hint="eastAsia" w:ascii="华文楷体" w:hAnsi="华文楷体" w:eastAsia="华文楷体" w:cs="宋体"/>
          <w:kern w:val="0"/>
          <w:lang w:val="zh-CN"/>
        </w:rPr>
        <w:t>除技术规范中另有规定外</w:t>
      </w:r>
      <w:r>
        <w:rPr>
          <w:rFonts w:hint="eastAsia" w:ascii="华文楷体" w:hAnsi="华文楷体" w:eastAsia="华文楷体" w:cs="宋体"/>
          <w:kern w:val="0"/>
        </w:rPr>
        <w:t>，</w:t>
      </w:r>
      <w:r>
        <w:rPr>
          <w:rFonts w:hint="eastAsia" w:ascii="华文楷体" w:hAnsi="华文楷体" w:eastAsia="华文楷体" w:cs="宋体"/>
          <w:kern w:val="0"/>
          <w:lang w:val="zh-CN"/>
        </w:rPr>
        <w:t>计量单位均使用国家法定计量单位。</w:t>
      </w:r>
    </w:p>
    <w:p w14:paraId="0C3369F3">
      <w:pPr>
        <w:autoSpaceDE w:val="0"/>
        <w:autoSpaceDN w:val="0"/>
        <w:spacing w:line="480" w:lineRule="exact"/>
        <w:ind w:firstLine="482"/>
        <w:rPr>
          <w:rFonts w:ascii="华文楷体" w:hAnsi="华文楷体" w:eastAsia="华文楷体" w:cs="宋体"/>
          <w:b/>
          <w:bCs/>
          <w:kern w:val="0"/>
        </w:rPr>
      </w:pPr>
      <w:r>
        <w:rPr>
          <w:rFonts w:hint="eastAsia" w:ascii="华文楷体" w:hAnsi="华文楷体" w:eastAsia="华文楷体" w:cs="宋体"/>
          <w:b/>
          <w:bCs/>
          <w:kern w:val="0"/>
        </w:rPr>
        <w:t>26.</w:t>
      </w:r>
      <w:r>
        <w:rPr>
          <w:rFonts w:hint="eastAsia" w:ascii="华文楷体" w:hAnsi="华文楷体" w:eastAsia="华文楷体" w:cs="宋体"/>
          <w:b/>
          <w:bCs/>
          <w:kern w:val="0"/>
          <w:lang w:val="zh-CN"/>
        </w:rPr>
        <w:t>适用法律</w:t>
      </w:r>
    </w:p>
    <w:p w14:paraId="69D1CA95">
      <w:pPr>
        <w:adjustRightInd w:val="0"/>
        <w:snapToGrid w:val="0"/>
        <w:spacing w:line="480" w:lineRule="exact"/>
        <w:ind w:firstLine="480" w:firstLineChars="200"/>
        <w:rPr>
          <w:rFonts w:ascii="华文楷体" w:hAnsi="华文楷体" w:eastAsia="华文楷体" w:cs="宋体"/>
          <w:lang w:val="zh-CN"/>
        </w:rPr>
      </w:pPr>
      <w:r>
        <w:rPr>
          <w:rFonts w:hint="eastAsia" w:ascii="华文楷体" w:hAnsi="华文楷体" w:eastAsia="华文楷体" w:cs="宋体"/>
          <w:lang w:val="zh-CN"/>
        </w:rPr>
        <w:t>本合同按照中华人民共和国的相关法律进行解释。</w:t>
      </w:r>
    </w:p>
    <w:p w14:paraId="1193E440">
      <w:pPr>
        <w:pStyle w:val="25"/>
        <w:spacing w:before="0" w:after="0" w:line="360" w:lineRule="auto"/>
        <w:rPr>
          <w:rFonts w:ascii="华文楷体" w:hAnsi="华文楷体" w:eastAsia="华文楷体" w:cs="宋体"/>
          <w:szCs w:val="36"/>
          <w:lang w:val="zh-CN"/>
        </w:rPr>
      </w:pPr>
    </w:p>
    <w:p w14:paraId="2D4453CB">
      <w:pPr>
        <w:pStyle w:val="25"/>
        <w:spacing w:before="0" w:after="0" w:line="360" w:lineRule="auto"/>
        <w:rPr>
          <w:rFonts w:ascii="华文楷体" w:hAnsi="华文楷体" w:eastAsia="华文楷体" w:cs="宋体"/>
          <w:szCs w:val="36"/>
          <w:lang w:val="zh-CN"/>
        </w:rPr>
      </w:pPr>
    </w:p>
    <w:p w14:paraId="4EB4EC16">
      <w:pPr>
        <w:pStyle w:val="25"/>
        <w:spacing w:before="0" w:after="0" w:line="360" w:lineRule="auto"/>
        <w:rPr>
          <w:rFonts w:ascii="华文楷体" w:hAnsi="华文楷体" w:eastAsia="华文楷体" w:cs="宋体"/>
          <w:szCs w:val="36"/>
          <w:lang w:val="zh-CN"/>
        </w:rPr>
      </w:pPr>
    </w:p>
    <w:p w14:paraId="19E59700">
      <w:pPr>
        <w:pStyle w:val="25"/>
        <w:spacing w:before="0" w:after="0" w:line="360" w:lineRule="auto"/>
        <w:rPr>
          <w:rFonts w:ascii="华文楷体" w:hAnsi="华文楷体" w:eastAsia="华文楷体" w:cs="宋体"/>
          <w:szCs w:val="36"/>
          <w:lang w:val="zh-CN"/>
        </w:rPr>
      </w:pPr>
    </w:p>
    <w:p w14:paraId="14B0DB18">
      <w:pPr>
        <w:pStyle w:val="25"/>
        <w:spacing w:before="0" w:after="0" w:line="360" w:lineRule="auto"/>
        <w:rPr>
          <w:rFonts w:ascii="华文楷体" w:hAnsi="华文楷体" w:eastAsia="华文楷体" w:cs="宋体"/>
          <w:szCs w:val="36"/>
          <w:lang w:val="zh-CN"/>
        </w:rPr>
      </w:pPr>
    </w:p>
    <w:p w14:paraId="784536C0">
      <w:pPr>
        <w:pStyle w:val="25"/>
        <w:spacing w:before="0" w:after="0" w:line="360" w:lineRule="auto"/>
        <w:rPr>
          <w:rFonts w:ascii="华文楷体" w:hAnsi="华文楷体" w:eastAsia="华文楷体" w:cs="宋体"/>
          <w:szCs w:val="36"/>
          <w:lang w:val="zh-CN"/>
        </w:rPr>
      </w:pPr>
    </w:p>
    <w:p w14:paraId="402828FF">
      <w:pPr>
        <w:pStyle w:val="25"/>
        <w:spacing w:before="0" w:after="0" w:line="360" w:lineRule="auto"/>
        <w:rPr>
          <w:rFonts w:ascii="华文楷体" w:hAnsi="华文楷体" w:eastAsia="华文楷体" w:cs="宋体"/>
          <w:szCs w:val="36"/>
          <w:lang w:val="zh-CN"/>
        </w:rPr>
      </w:pPr>
    </w:p>
    <w:p w14:paraId="70BE32D5">
      <w:pPr>
        <w:pStyle w:val="25"/>
        <w:spacing w:before="0" w:after="0" w:line="360" w:lineRule="auto"/>
        <w:rPr>
          <w:rFonts w:ascii="华文楷体" w:hAnsi="华文楷体" w:eastAsia="华文楷体" w:cs="宋体"/>
          <w:szCs w:val="36"/>
          <w:lang w:val="zh-CN"/>
        </w:rPr>
      </w:pPr>
    </w:p>
    <w:p w14:paraId="2D4C0E0F">
      <w:pPr>
        <w:pStyle w:val="25"/>
        <w:spacing w:before="0" w:after="0" w:line="360" w:lineRule="auto"/>
        <w:rPr>
          <w:rFonts w:ascii="华文楷体" w:hAnsi="华文楷体" w:eastAsia="华文楷体" w:cs="宋体"/>
          <w:szCs w:val="36"/>
          <w:lang w:val="zh-CN"/>
        </w:rPr>
      </w:pPr>
    </w:p>
    <w:p w14:paraId="3598D5AB">
      <w:pPr>
        <w:pStyle w:val="25"/>
        <w:spacing w:before="0" w:after="0" w:line="360" w:lineRule="auto"/>
        <w:rPr>
          <w:rFonts w:ascii="华文楷体" w:hAnsi="华文楷体" w:eastAsia="华文楷体" w:cs="宋体"/>
          <w:szCs w:val="36"/>
          <w:lang w:val="zh-CN"/>
        </w:rPr>
      </w:pPr>
    </w:p>
    <w:p w14:paraId="42B6F6FA">
      <w:pPr>
        <w:pStyle w:val="25"/>
        <w:spacing w:before="0" w:after="0" w:line="360" w:lineRule="auto"/>
        <w:rPr>
          <w:rFonts w:ascii="华文楷体" w:hAnsi="华文楷体" w:eastAsia="华文楷体" w:cs="宋体"/>
          <w:szCs w:val="36"/>
          <w:lang w:val="zh-CN"/>
        </w:rPr>
      </w:pPr>
    </w:p>
    <w:p w14:paraId="605C7D90">
      <w:pPr>
        <w:pStyle w:val="25"/>
        <w:spacing w:before="0" w:after="0" w:line="360" w:lineRule="auto"/>
        <w:rPr>
          <w:rFonts w:ascii="华文楷体" w:hAnsi="华文楷体" w:eastAsia="华文楷体" w:cs="宋体"/>
          <w:szCs w:val="36"/>
          <w:lang w:val="zh-CN"/>
        </w:rPr>
      </w:pPr>
    </w:p>
    <w:p w14:paraId="14DDF033">
      <w:pPr>
        <w:pStyle w:val="25"/>
        <w:spacing w:before="0" w:after="0" w:line="360" w:lineRule="auto"/>
        <w:rPr>
          <w:rFonts w:ascii="华文楷体" w:hAnsi="华文楷体" w:eastAsia="华文楷体" w:cs="宋体"/>
          <w:szCs w:val="36"/>
          <w:lang w:val="zh-CN"/>
        </w:rPr>
      </w:pPr>
    </w:p>
    <w:p w14:paraId="25304BE7">
      <w:pPr>
        <w:pStyle w:val="25"/>
        <w:spacing w:before="0" w:after="0" w:line="360" w:lineRule="auto"/>
        <w:rPr>
          <w:rFonts w:ascii="华文楷体" w:hAnsi="华文楷体" w:eastAsia="华文楷体" w:cs="宋体"/>
          <w:szCs w:val="36"/>
          <w:lang w:val="zh-CN"/>
        </w:rPr>
      </w:pPr>
    </w:p>
    <w:p w14:paraId="62AAAD94">
      <w:pPr>
        <w:pStyle w:val="25"/>
        <w:spacing w:before="0" w:after="0" w:line="360" w:lineRule="auto"/>
        <w:rPr>
          <w:rFonts w:ascii="华文楷体" w:hAnsi="华文楷体" w:eastAsia="华文楷体" w:cs="宋体"/>
          <w:szCs w:val="36"/>
          <w:lang w:val="zh-CN"/>
        </w:rPr>
      </w:pPr>
    </w:p>
    <w:p w14:paraId="0C2DD36E">
      <w:pPr>
        <w:pStyle w:val="25"/>
        <w:spacing w:before="0" w:after="0" w:line="360" w:lineRule="auto"/>
        <w:rPr>
          <w:rFonts w:ascii="华文楷体" w:hAnsi="华文楷体" w:eastAsia="华文楷体" w:cs="宋体"/>
          <w:szCs w:val="36"/>
          <w:lang w:val="zh-CN"/>
        </w:rPr>
      </w:pPr>
    </w:p>
    <w:p w14:paraId="190B6EE1">
      <w:pPr>
        <w:pStyle w:val="25"/>
        <w:spacing w:before="0" w:after="0" w:line="360" w:lineRule="auto"/>
        <w:rPr>
          <w:rFonts w:ascii="华文楷体" w:hAnsi="华文楷体" w:eastAsia="华文楷体" w:cs="宋体"/>
          <w:lang w:val="zh-CN"/>
        </w:rPr>
      </w:pPr>
      <w:bookmarkStart w:id="152" w:name="_Toc184345924"/>
      <w:r>
        <w:rPr>
          <w:rFonts w:hint="eastAsia" w:ascii="华文楷体" w:hAnsi="华文楷体" w:eastAsia="华文楷体" w:cs="宋体"/>
          <w:szCs w:val="36"/>
          <w:lang w:val="zh-CN"/>
        </w:rPr>
        <w:t>第四部分  投标文件格式</w:t>
      </w:r>
      <w:bookmarkEnd w:id="150"/>
      <w:bookmarkEnd w:id="152"/>
    </w:p>
    <w:p w14:paraId="0DCA5C95">
      <w:pPr>
        <w:pStyle w:val="25"/>
        <w:spacing w:before="0" w:after="0" w:line="360" w:lineRule="auto"/>
        <w:jc w:val="left"/>
        <w:outlineLvl w:val="1"/>
        <w:rPr>
          <w:rFonts w:ascii="华文楷体" w:hAnsi="华文楷体" w:eastAsia="华文楷体" w:cs="宋体"/>
        </w:rPr>
      </w:pPr>
      <w:bookmarkStart w:id="153" w:name="_Toc11851"/>
      <w:bookmarkStart w:id="154" w:name="_Toc17645"/>
      <w:bookmarkStart w:id="155" w:name="_Toc515908207"/>
      <w:bookmarkStart w:id="156" w:name="_Toc5121"/>
      <w:bookmarkStart w:id="157" w:name="_Toc184345925"/>
      <w:r>
        <w:rPr>
          <w:rFonts w:hint="eastAsia" w:ascii="华文楷体" w:hAnsi="华文楷体" w:eastAsia="华文楷体" w:cs="宋体"/>
          <w:sz w:val="30"/>
          <w:szCs w:val="30"/>
          <w:lang w:val="zh-CN"/>
        </w:rPr>
        <w:t>封面</w:t>
      </w:r>
      <w:bookmarkEnd w:id="153"/>
      <w:r>
        <w:rPr>
          <w:rFonts w:hint="eastAsia" w:ascii="华文楷体" w:hAnsi="华文楷体" w:eastAsia="华文楷体" w:cs="宋体"/>
          <w:sz w:val="30"/>
          <w:szCs w:val="30"/>
          <w:lang w:val="zh-CN"/>
        </w:rPr>
        <w:t>（上册）</w:t>
      </w:r>
      <w:bookmarkEnd w:id="154"/>
      <w:bookmarkEnd w:id="155"/>
      <w:bookmarkEnd w:id="156"/>
      <w:bookmarkEnd w:id="157"/>
    </w:p>
    <w:p w14:paraId="5A67A9CA">
      <w:pPr>
        <w:autoSpaceDE w:val="0"/>
        <w:autoSpaceDN w:val="0"/>
        <w:spacing w:line="360" w:lineRule="auto"/>
        <w:jc w:val="center"/>
        <w:rPr>
          <w:rFonts w:ascii="华文楷体" w:hAnsi="华文楷体" w:eastAsia="华文楷体" w:cs="宋体"/>
          <w:kern w:val="0"/>
          <w:sz w:val="36"/>
          <w:szCs w:val="36"/>
        </w:rPr>
      </w:pPr>
      <w:r>
        <w:rPr>
          <w:rFonts w:hint="eastAsia" w:ascii="华文楷体" w:hAnsi="华文楷体" w:eastAsia="华文楷体" w:cs="宋体"/>
          <w:b/>
          <w:bCs/>
          <w:kern w:val="0"/>
          <w:sz w:val="52"/>
          <w:szCs w:val="52"/>
          <w:lang w:val="zh-CN"/>
        </w:rPr>
        <w:t>青海省政府采购项目</w:t>
      </w:r>
    </w:p>
    <w:p w14:paraId="571BA456">
      <w:pPr>
        <w:autoSpaceDE w:val="0"/>
        <w:autoSpaceDN w:val="0"/>
        <w:spacing w:line="360" w:lineRule="auto"/>
        <w:jc w:val="center"/>
        <w:rPr>
          <w:rFonts w:ascii="华文楷体" w:hAnsi="华文楷体" w:eastAsia="华文楷体" w:cs="宋体"/>
          <w:b/>
          <w:bCs/>
          <w:kern w:val="0"/>
          <w:sz w:val="72"/>
          <w:szCs w:val="72"/>
          <w:lang w:val="zh-CN"/>
        </w:rPr>
      </w:pPr>
      <w:r>
        <w:rPr>
          <w:rFonts w:hint="eastAsia" w:ascii="华文楷体" w:hAnsi="华文楷体" w:eastAsia="华文楷体" w:cs="宋体"/>
          <w:b/>
          <w:bCs/>
          <w:kern w:val="0"/>
          <w:sz w:val="72"/>
          <w:szCs w:val="72"/>
          <w:lang w:val="zh-CN"/>
        </w:rPr>
        <w:t>投标文件</w:t>
      </w:r>
    </w:p>
    <w:p w14:paraId="4FA0AFA3">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sz w:val="36"/>
          <w:szCs w:val="36"/>
          <w:lang w:val="zh-CN"/>
        </w:rPr>
        <w:t>（上册）</w:t>
      </w:r>
    </w:p>
    <w:p w14:paraId="304608CA">
      <w:pPr>
        <w:autoSpaceDE w:val="0"/>
        <w:autoSpaceDN w:val="0"/>
        <w:spacing w:line="360" w:lineRule="auto"/>
        <w:jc w:val="center"/>
        <w:rPr>
          <w:rFonts w:ascii="华文楷体" w:hAnsi="华文楷体" w:eastAsia="华文楷体" w:cs="宋体"/>
          <w:kern w:val="0"/>
          <w:sz w:val="36"/>
          <w:szCs w:val="36"/>
        </w:rPr>
      </w:pPr>
      <w:r>
        <w:rPr>
          <w:rFonts w:hint="eastAsia" w:ascii="华文楷体" w:hAnsi="华文楷体" w:eastAsia="华文楷体" w:cs="宋体"/>
          <w:b/>
          <w:bCs/>
          <w:sz w:val="36"/>
          <w:szCs w:val="36"/>
          <w:lang w:val="zh-CN"/>
        </w:rPr>
        <w:t>（资格审查文件）</w:t>
      </w:r>
    </w:p>
    <w:p w14:paraId="46FCC2BE">
      <w:pPr>
        <w:autoSpaceDE w:val="0"/>
        <w:autoSpaceDN w:val="0"/>
        <w:spacing w:line="360" w:lineRule="auto"/>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采购项目编号：</w:t>
      </w:r>
    </w:p>
    <w:p w14:paraId="6CD9B022">
      <w:pPr>
        <w:autoSpaceDE w:val="0"/>
        <w:autoSpaceDN w:val="0"/>
        <w:spacing w:line="360" w:lineRule="auto"/>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采购项目名称</w:t>
      </w:r>
      <w:r>
        <w:rPr>
          <w:rFonts w:hint="eastAsia" w:ascii="华文楷体" w:hAnsi="华文楷体" w:eastAsia="华文楷体" w:cs="宋体"/>
          <w:b/>
          <w:bCs/>
          <w:kern w:val="0"/>
          <w:sz w:val="36"/>
          <w:szCs w:val="36"/>
        </w:rPr>
        <w:t>：</w:t>
      </w:r>
    </w:p>
    <w:p w14:paraId="39F72A5B">
      <w:pPr>
        <w:autoSpaceDE w:val="0"/>
        <w:autoSpaceDN w:val="0"/>
        <w:spacing w:line="360" w:lineRule="auto"/>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36"/>
          <w:szCs w:val="36"/>
          <w:lang w:val="zh-CN"/>
        </w:rPr>
        <w:t>投标包号：</w:t>
      </w:r>
    </w:p>
    <w:p w14:paraId="55F53BF2">
      <w:pPr>
        <w:autoSpaceDE w:val="0"/>
        <w:autoSpaceDN w:val="0"/>
        <w:spacing w:line="360" w:lineRule="auto"/>
        <w:rPr>
          <w:rFonts w:ascii="华文楷体" w:hAnsi="华文楷体" w:eastAsia="华文楷体" w:cs="宋体"/>
          <w:b/>
          <w:bCs/>
          <w:kern w:val="0"/>
          <w:sz w:val="36"/>
          <w:szCs w:val="36"/>
        </w:rPr>
      </w:pPr>
    </w:p>
    <w:p w14:paraId="7700EE7C">
      <w:pPr>
        <w:autoSpaceDE w:val="0"/>
        <w:autoSpaceDN w:val="0"/>
        <w:spacing w:line="360" w:lineRule="auto"/>
        <w:ind w:firstLine="2891" w:firstLineChars="800"/>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 xml:space="preserve">投标人：    </w:t>
      </w:r>
      <w:r>
        <w:rPr>
          <w:rFonts w:hint="eastAsia" w:ascii="华文楷体" w:hAnsi="华文楷体" w:eastAsia="华文楷体" w:cs="宋体"/>
          <w:b/>
          <w:bCs/>
          <w:kern w:val="0"/>
          <w:sz w:val="36"/>
          <w:szCs w:val="36"/>
        </w:rPr>
        <w:t>（</w:t>
      </w:r>
      <w:r>
        <w:rPr>
          <w:rFonts w:hint="eastAsia" w:ascii="华文楷体" w:hAnsi="华文楷体" w:eastAsia="华文楷体" w:cs="宋体"/>
          <w:b/>
          <w:bCs/>
          <w:kern w:val="0"/>
          <w:sz w:val="36"/>
          <w:szCs w:val="36"/>
          <w:lang w:val="zh-CN"/>
        </w:rPr>
        <w:t>公章）</w:t>
      </w:r>
    </w:p>
    <w:p w14:paraId="12F0D175">
      <w:pPr>
        <w:autoSpaceDE w:val="0"/>
        <w:autoSpaceDN w:val="0"/>
        <w:spacing w:line="360" w:lineRule="auto"/>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法定代表人或委托代理人：    （签字或盖章）</w:t>
      </w:r>
    </w:p>
    <w:p w14:paraId="77D37020">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36"/>
          <w:szCs w:val="36"/>
          <w:lang w:val="zh-CN"/>
        </w:rPr>
        <w:t>年</w:t>
      </w:r>
      <w:r>
        <w:rPr>
          <w:rFonts w:ascii="华文楷体" w:hAnsi="华文楷体" w:eastAsia="华文楷体" w:cs="宋体"/>
          <w:b/>
          <w:bCs/>
          <w:kern w:val="0"/>
          <w:sz w:val="36"/>
          <w:szCs w:val="36"/>
        </w:rPr>
        <w:t xml:space="preserve">   </w:t>
      </w:r>
      <w:r>
        <w:rPr>
          <w:rFonts w:hint="eastAsia" w:ascii="华文楷体" w:hAnsi="华文楷体" w:eastAsia="华文楷体" w:cs="宋体"/>
          <w:b/>
          <w:bCs/>
          <w:kern w:val="0"/>
          <w:sz w:val="36"/>
          <w:szCs w:val="36"/>
          <w:lang w:val="zh-CN"/>
        </w:rPr>
        <w:t>月</w:t>
      </w:r>
      <w:r>
        <w:rPr>
          <w:rFonts w:ascii="华文楷体" w:hAnsi="华文楷体" w:eastAsia="华文楷体" w:cs="宋体"/>
          <w:b/>
          <w:bCs/>
          <w:kern w:val="0"/>
          <w:sz w:val="36"/>
          <w:szCs w:val="36"/>
        </w:rPr>
        <w:t xml:space="preserve">   </w:t>
      </w:r>
      <w:r>
        <w:rPr>
          <w:rFonts w:hint="eastAsia" w:ascii="华文楷体" w:hAnsi="华文楷体" w:eastAsia="华文楷体" w:cs="宋体"/>
          <w:b/>
          <w:bCs/>
          <w:kern w:val="0"/>
          <w:sz w:val="36"/>
          <w:szCs w:val="36"/>
          <w:lang w:val="zh-CN"/>
        </w:rPr>
        <w:t>日</w:t>
      </w:r>
    </w:p>
    <w:p w14:paraId="435D78DC">
      <w:pPr>
        <w:pStyle w:val="25"/>
        <w:spacing w:before="0" w:after="0" w:line="360" w:lineRule="auto"/>
        <w:jc w:val="left"/>
        <w:outlineLvl w:val="1"/>
        <w:rPr>
          <w:rFonts w:ascii="华文楷体" w:hAnsi="华文楷体" w:eastAsia="华文楷体" w:cs="宋体"/>
          <w:lang w:val="zh-CN"/>
        </w:rPr>
      </w:pPr>
      <w:r>
        <w:rPr>
          <w:rFonts w:hint="eastAsia" w:ascii="华文楷体" w:hAnsi="华文楷体" w:eastAsia="华文楷体" w:cs="宋体"/>
          <w:b w:val="0"/>
          <w:bCs w:val="0"/>
          <w:kern w:val="0"/>
          <w:lang w:val="zh-CN"/>
        </w:rPr>
        <w:br w:type="page"/>
      </w:r>
      <w:bookmarkStart w:id="158" w:name="_Toc8733"/>
      <w:bookmarkStart w:id="159" w:name="_Toc184345926"/>
      <w:bookmarkStart w:id="160" w:name="_Toc515908208"/>
      <w:bookmarkStart w:id="161" w:name="_Toc30202"/>
      <w:bookmarkStart w:id="162" w:name="_Toc8514"/>
      <w:bookmarkStart w:id="163" w:name="_Toc29902"/>
      <w:r>
        <w:rPr>
          <w:rFonts w:hint="eastAsia" w:ascii="华文楷体" w:hAnsi="华文楷体" w:eastAsia="华文楷体" w:cs="宋体"/>
          <w:sz w:val="30"/>
          <w:szCs w:val="30"/>
          <w:lang w:val="zh-CN"/>
        </w:rPr>
        <w:t>目录（上册）</w:t>
      </w:r>
      <w:bookmarkEnd w:id="158"/>
      <w:bookmarkEnd w:id="159"/>
      <w:bookmarkEnd w:id="160"/>
      <w:bookmarkEnd w:id="161"/>
    </w:p>
    <w:p w14:paraId="4C21C505">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投标函……………………………………………………………所在页码</w:t>
      </w:r>
    </w:p>
    <w:p w14:paraId="7CD6D6AA">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法定代表人证明书………………………………………………所在页码</w:t>
      </w:r>
    </w:p>
    <w:p w14:paraId="54C36354">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法定代表人授权书………………………………………………所在页码</w:t>
      </w:r>
    </w:p>
    <w:p w14:paraId="2280F886">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投标人承诺函……………………………………………………所在页码</w:t>
      </w:r>
    </w:p>
    <w:p w14:paraId="57B59F48">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投标人诚信承诺书………………………………………………所在页码</w:t>
      </w:r>
    </w:p>
    <w:p w14:paraId="5C61673B">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资格证明材料……………………………………………………所在页码</w:t>
      </w:r>
    </w:p>
    <w:p w14:paraId="3B88F42B">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财务状况报告，依法缴纳税收和社会保障资金的相关材料…所在页码</w:t>
      </w:r>
    </w:p>
    <w:p w14:paraId="7F511BFF">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具备履行合同所必需的设备和专业技术能力的证明材料……所在页码</w:t>
      </w:r>
    </w:p>
    <w:p w14:paraId="717FFC06">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无重大违法记录声明……………………………………………所在页码</w:t>
      </w:r>
    </w:p>
    <w:p w14:paraId="6845F89F">
      <w:pPr>
        <w:numPr>
          <w:ilvl w:val="0"/>
          <w:numId w:val="7"/>
        </w:num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投标保证金证明…………………………………………………所在页码</w:t>
      </w:r>
    </w:p>
    <w:p w14:paraId="47EFD8C9">
      <w:pPr>
        <w:numPr>
          <w:ilvl w:val="0"/>
          <w:numId w:val="7"/>
        </w:numPr>
        <w:autoSpaceDE w:val="0"/>
        <w:autoSpaceDN w:val="0"/>
        <w:spacing w:line="360" w:lineRule="auto"/>
        <w:rPr>
          <w:rFonts w:ascii="华文楷体" w:hAnsi="华文楷体" w:eastAsia="华文楷体" w:cs="宋体"/>
          <w:spacing w:val="-1"/>
        </w:rPr>
      </w:pPr>
      <w:r>
        <w:rPr>
          <w:rFonts w:hint="eastAsia" w:ascii="华文楷体" w:hAnsi="华文楷体" w:eastAsia="华文楷体" w:cs="宋体"/>
          <w:spacing w:val="-1"/>
        </w:rPr>
        <w:t>中小企业声明函…………………………………………………所在页码</w:t>
      </w:r>
    </w:p>
    <w:p w14:paraId="3EE4BDDE">
      <w:pPr>
        <w:numPr>
          <w:ilvl w:val="0"/>
          <w:numId w:val="7"/>
        </w:numPr>
        <w:autoSpaceDE w:val="0"/>
        <w:autoSpaceDN w:val="0"/>
        <w:spacing w:line="360" w:lineRule="auto"/>
        <w:rPr>
          <w:rFonts w:ascii="华文楷体" w:hAnsi="华文楷体" w:eastAsia="华文楷体" w:cs="宋体"/>
          <w:spacing w:val="-1"/>
        </w:rPr>
      </w:pPr>
      <w:r>
        <w:rPr>
          <w:rFonts w:hint="eastAsia" w:ascii="华文楷体" w:hAnsi="华文楷体" w:eastAsia="华文楷体" w:cs="宋体"/>
          <w:spacing w:val="-1"/>
        </w:rPr>
        <w:t>残疾人福利性单位声明函………………………………………所在页码</w:t>
      </w:r>
    </w:p>
    <w:p w14:paraId="16DEFF20">
      <w:pPr>
        <w:numPr>
          <w:ilvl w:val="0"/>
          <w:numId w:val="7"/>
        </w:numPr>
        <w:autoSpaceDE w:val="0"/>
        <w:autoSpaceDN w:val="0"/>
        <w:spacing w:line="360" w:lineRule="auto"/>
        <w:rPr>
          <w:rFonts w:ascii="华文楷体" w:hAnsi="华文楷体" w:eastAsia="华文楷体" w:cs="宋体"/>
          <w:spacing w:val="-1"/>
          <w:lang w:val="zh-CN"/>
        </w:rPr>
      </w:pPr>
      <w:r>
        <w:rPr>
          <w:rFonts w:hint="eastAsia" w:ascii="华文楷体" w:hAnsi="华文楷体" w:eastAsia="华文楷体" w:cs="宋体"/>
          <w:spacing w:val="-1"/>
        </w:rPr>
        <w:t>监狱企业证明资料………………………………………………所在页码</w:t>
      </w:r>
    </w:p>
    <w:bookmarkEnd w:id="162"/>
    <w:bookmarkEnd w:id="163"/>
    <w:p w14:paraId="60F327A3">
      <w:pPr>
        <w:pStyle w:val="25"/>
        <w:spacing w:before="0" w:after="0" w:line="360" w:lineRule="auto"/>
        <w:jc w:val="left"/>
        <w:outlineLvl w:val="1"/>
        <w:rPr>
          <w:rFonts w:ascii="华文楷体" w:hAnsi="华文楷体" w:eastAsia="华文楷体" w:cs="宋体"/>
          <w:b w:val="0"/>
          <w:bCs w:val="0"/>
          <w:kern w:val="0"/>
          <w:sz w:val="28"/>
          <w:szCs w:val="28"/>
          <w:lang w:val="zh-CN"/>
        </w:rPr>
      </w:pPr>
      <w:bookmarkStart w:id="164" w:name="_Toc19582"/>
      <w:r>
        <w:rPr>
          <w:rFonts w:hint="eastAsia" w:ascii="华文楷体" w:hAnsi="华文楷体" w:eastAsia="华文楷体" w:cs="宋体"/>
          <w:sz w:val="30"/>
          <w:szCs w:val="30"/>
          <w:lang w:val="zh-CN"/>
        </w:rPr>
        <w:br w:type="page"/>
      </w:r>
      <w:bookmarkStart w:id="165" w:name="_Toc184345927"/>
      <w:bookmarkStart w:id="166" w:name="_Toc515908209"/>
      <w:bookmarkStart w:id="167" w:name="_Toc10038"/>
      <w:r>
        <w:rPr>
          <w:rFonts w:hint="eastAsia" w:ascii="华文楷体" w:hAnsi="华文楷体" w:eastAsia="华文楷体" w:cs="宋体"/>
          <w:sz w:val="30"/>
          <w:szCs w:val="30"/>
        </w:rPr>
        <w:t>（1）</w:t>
      </w:r>
      <w:r>
        <w:rPr>
          <w:rFonts w:hint="eastAsia" w:ascii="华文楷体" w:hAnsi="华文楷体" w:eastAsia="华文楷体" w:cs="宋体"/>
          <w:sz w:val="30"/>
          <w:szCs w:val="30"/>
          <w:lang w:val="zh-CN"/>
        </w:rPr>
        <w:t>投标函</w:t>
      </w:r>
      <w:bookmarkEnd w:id="164"/>
      <w:bookmarkEnd w:id="165"/>
      <w:bookmarkEnd w:id="166"/>
      <w:bookmarkEnd w:id="167"/>
    </w:p>
    <w:p w14:paraId="1D41DAD7">
      <w:pPr>
        <w:autoSpaceDE w:val="0"/>
        <w:autoSpaceDN w:val="0"/>
        <w:spacing w:line="360" w:lineRule="auto"/>
        <w:jc w:val="center"/>
        <w:rPr>
          <w:rFonts w:ascii="华文楷体" w:hAnsi="华文楷体" w:eastAsia="华文楷体" w:cs="宋体"/>
          <w:b/>
          <w:bCs/>
          <w:kern w:val="0"/>
          <w:sz w:val="28"/>
          <w:szCs w:val="28"/>
          <w:lang w:val="zh-CN"/>
        </w:rPr>
      </w:pPr>
      <w:r>
        <w:rPr>
          <w:rFonts w:hint="eastAsia" w:ascii="华文楷体" w:hAnsi="华文楷体" w:eastAsia="华文楷体" w:cs="宋体"/>
          <w:b/>
          <w:bCs/>
          <w:kern w:val="0"/>
          <w:sz w:val="28"/>
          <w:szCs w:val="28"/>
          <w:lang w:val="zh-CN"/>
        </w:rPr>
        <w:t>投标函</w:t>
      </w:r>
    </w:p>
    <w:p w14:paraId="09FAF90C">
      <w:pPr>
        <w:autoSpaceDE w:val="0"/>
        <w:autoSpaceDN w:val="0"/>
        <w:spacing w:line="360" w:lineRule="auto"/>
        <w:rPr>
          <w:rFonts w:ascii="华文楷体" w:hAnsi="华文楷体" w:eastAsia="华文楷体" w:cs="宋体"/>
          <w:kern w:val="0"/>
        </w:rPr>
      </w:pPr>
      <w:r>
        <w:rPr>
          <w:rFonts w:hint="eastAsia" w:ascii="华文楷体" w:hAnsi="华文楷体" w:eastAsia="华文楷体" w:cs="宋体"/>
          <w:b/>
          <w:bCs/>
          <w:kern w:val="0"/>
          <w:lang w:val="zh-CN"/>
        </w:rPr>
        <w:t>致：采购人或者采购代理机构</w:t>
      </w:r>
    </w:p>
    <w:p w14:paraId="18464BFB">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我们收到</w:t>
      </w:r>
      <w:r>
        <w:rPr>
          <w:rFonts w:hint="eastAsia" w:ascii="华文楷体" w:hAnsi="华文楷体" w:eastAsia="华文楷体" w:cs="宋体"/>
          <w:kern w:val="0"/>
          <w:u w:val="single"/>
          <w:lang w:val="zh-CN"/>
        </w:rPr>
        <w:t>采购项目名称（采购项目编号</w:t>
      </w:r>
      <w:r>
        <w:rPr>
          <w:rFonts w:hint="eastAsia" w:ascii="华文楷体" w:hAnsi="华文楷体" w:eastAsia="华文楷体" w:cs="宋体"/>
          <w:kern w:val="0"/>
          <w:u w:val="single"/>
        </w:rPr>
        <w:t>/包号</w:t>
      </w:r>
      <w:r>
        <w:rPr>
          <w:rFonts w:hint="eastAsia" w:ascii="华文楷体" w:hAnsi="华文楷体" w:eastAsia="华文楷体" w:cs="宋体"/>
          <w:kern w:val="0"/>
          <w:u w:val="single"/>
          <w:lang w:val="zh-CN"/>
        </w:rPr>
        <w:t>）</w:t>
      </w:r>
      <w:r>
        <w:rPr>
          <w:rFonts w:hint="eastAsia" w:ascii="华文楷体" w:hAnsi="华文楷体" w:eastAsia="华文楷体" w:cs="宋体"/>
          <w:kern w:val="0"/>
          <w:lang w:val="zh-CN"/>
        </w:rPr>
        <w:t>招标文件，经研究，法定代表人（</w:t>
      </w:r>
      <w:r>
        <w:rPr>
          <w:rFonts w:hint="eastAsia" w:ascii="华文楷体" w:hAnsi="华文楷体" w:eastAsia="华文楷体" w:cs="宋体"/>
          <w:kern w:val="0"/>
          <w:u w:val="single"/>
          <w:lang w:val="zh-CN"/>
        </w:rPr>
        <w:t>姓名、职务</w:t>
      </w:r>
      <w:r>
        <w:rPr>
          <w:rFonts w:hint="eastAsia" w:ascii="华文楷体" w:hAnsi="华文楷体" w:eastAsia="华文楷体" w:cs="宋体"/>
          <w:kern w:val="0"/>
          <w:lang w:val="zh-CN"/>
        </w:rPr>
        <w:t>）正式授权（</w:t>
      </w:r>
      <w:r>
        <w:rPr>
          <w:rFonts w:hint="eastAsia" w:ascii="华文楷体" w:hAnsi="华文楷体" w:eastAsia="华文楷体" w:cs="宋体"/>
          <w:kern w:val="0"/>
          <w:u w:val="single"/>
          <w:lang w:val="zh-CN"/>
        </w:rPr>
        <w:t>委托代理人姓名、职务</w:t>
      </w:r>
      <w:r>
        <w:rPr>
          <w:rFonts w:hint="eastAsia" w:ascii="华文楷体" w:hAnsi="华文楷体" w:eastAsia="华文楷体" w:cs="宋体"/>
          <w:kern w:val="0"/>
          <w:lang w:val="zh-CN"/>
        </w:rPr>
        <w:t>）代表投标人（</w:t>
      </w:r>
      <w:r>
        <w:rPr>
          <w:rFonts w:hint="eastAsia" w:ascii="华文楷体" w:hAnsi="华文楷体" w:eastAsia="华文楷体" w:cs="宋体"/>
          <w:kern w:val="0"/>
          <w:u w:val="single"/>
          <w:lang w:val="zh-CN"/>
        </w:rPr>
        <w:t>投标人名称、地址</w:t>
      </w:r>
      <w:r>
        <w:rPr>
          <w:rFonts w:hint="eastAsia" w:ascii="华文楷体" w:hAnsi="华文楷体" w:eastAsia="华文楷体" w:cs="宋体"/>
          <w:kern w:val="0"/>
          <w:lang w:val="zh-CN"/>
        </w:rPr>
        <w:t>）提交投标文件。</w:t>
      </w:r>
    </w:p>
    <w:p w14:paraId="5FE8E057">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据此函，签字代表宣布同意如下：</w:t>
      </w:r>
    </w:p>
    <w:p w14:paraId="3BDF0F25">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1.我方已详阅招标文件的全部内容，包括澄清、修改条款等有关附件，承诺对其完全理解并接受。</w:t>
      </w:r>
    </w:p>
    <w:p w14:paraId="623A787B">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2.投标有效期：</w:t>
      </w:r>
      <w:r>
        <w:rPr>
          <w:rFonts w:hint="eastAsia" w:ascii="华文楷体" w:hAnsi="华文楷体" w:eastAsia="华文楷体" w:cs="宋体"/>
          <w:shd w:val="clear" w:color="auto" w:fill="FFFFFF"/>
        </w:rPr>
        <w:t>从提交投标文件的截止之日起</w:t>
      </w:r>
      <w:r>
        <w:rPr>
          <w:rFonts w:hint="eastAsia" w:ascii="华文楷体" w:hAnsi="华文楷体" w:eastAsia="华文楷体" w:cs="宋体"/>
          <w:u w:val="single"/>
          <w:shd w:val="clear" w:color="auto" w:fill="FFFFFF"/>
        </w:rPr>
        <w:t xml:space="preserve">    </w:t>
      </w:r>
      <w:r>
        <w:rPr>
          <w:rFonts w:hint="eastAsia" w:ascii="华文楷体" w:hAnsi="华文楷体" w:eastAsia="华文楷体" w:cs="宋体"/>
          <w:kern w:val="0"/>
          <w:lang w:val="zh-CN"/>
        </w:rPr>
        <w:t>日历日内有效。如果我方在投标有效期内撤回投标或中标后不签约的，投标保证金将被贵方没收。</w:t>
      </w:r>
    </w:p>
    <w:p w14:paraId="2326995A">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3.我方同意按照贵方要求提供与投标有关的一切数据或资料，理解并接受贵方制定的评标办法。</w:t>
      </w:r>
    </w:p>
    <w:p w14:paraId="34F54486">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4.与本投标有关的一切正式往来通讯请寄：</w:t>
      </w:r>
    </w:p>
    <w:p w14:paraId="1145D7DF">
      <w:pPr>
        <w:autoSpaceDE w:val="0"/>
        <w:autoSpaceDN w:val="0"/>
        <w:spacing w:line="360" w:lineRule="auto"/>
        <w:rPr>
          <w:rFonts w:ascii="华文楷体" w:hAnsi="华文楷体" w:eastAsia="华文楷体" w:cs="宋体"/>
          <w:kern w:val="0"/>
          <w:lang w:val="zh-CN"/>
        </w:rPr>
      </w:pPr>
    </w:p>
    <w:p w14:paraId="16861A70">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地址：_______________          邮编：______________</w:t>
      </w:r>
    </w:p>
    <w:p w14:paraId="29D8B891">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电话：_______________          传真：______________</w:t>
      </w:r>
    </w:p>
    <w:p w14:paraId="79BA25B2">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法定代表人姓名： ___________   职务：____________</w:t>
      </w:r>
    </w:p>
    <w:p w14:paraId="39A7DE22">
      <w:pPr>
        <w:autoSpaceDE w:val="0"/>
        <w:autoSpaceDN w:val="0"/>
        <w:spacing w:line="360" w:lineRule="auto"/>
        <w:rPr>
          <w:rFonts w:ascii="华文楷体" w:hAnsi="华文楷体" w:eastAsia="华文楷体" w:cs="宋体"/>
          <w:kern w:val="0"/>
          <w:lang w:val="zh-CN"/>
        </w:rPr>
      </w:pPr>
    </w:p>
    <w:p w14:paraId="34D56C19">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3584CAFC">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11BC17D4">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618F8A69">
      <w:pPr>
        <w:pStyle w:val="25"/>
        <w:spacing w:before="0" w:after="0" w:line="360" w:lineRule="auto"/>
        <w:jc w:val="left"/>
        <w:outlineLvl w:val="1"/>
        <w:rPr>
          <w:rFonts w:ascii="华文楷体" w:hAnsi="华文楷体" w:eastAsia="华文楷体" w:cs="宋体"/>
        </w:rPr>
      </w:pPr>
      <w:r>
        <w:rPr>
          <w:rFonts w:hint="eastAsia" w:ascii="华文楷体" w:hAnsi="华文楷体" w:eastAsia="华文楷体" w:cs="宋体"/>
          <w:b w:val="0"/>
          <w:bCs w:val="0"/>
          <w:kern w:val="0"/>
          <w:sz w:val="24"/>
          <w:lang w:val="zh-CN"/>
        </w:rPr>
        <w:br w:type="page"/>
      </w:r>
      <w:bookmarkStart w:id="168" w:name="_Toc26460"/>
      <w:bookmarkStart w:id="169" w:name="_Toc184345928"/>
      <w:bookmarkStart w:id="170" w:name="_Toc515908210"/>
      <w:bookmarkStart w:id="171" w:name="_Toc29944"/>
      <w:r>
        <w:rPr>
          <w:rFonts w:hint="eastAsia" w:ascii="华文楷体" w:hAnsi="华文楷体" w:eastAsia="华文楷体" w:cs="宋体"/>
          <w:kern w:val="0"/>
          <w:sz w:val="30"/>
          <w:szCs w:val="30"/>
          <w:lang w:val="zh-CN"/>
        </w:rPr>
        <w:t>（</w:t>
      </w:r>
      <w:r>
        <w:rPr>
          <w:rFonts w:hint="eastAsia" w:ascii="华文楷体" w:hAnsi="华文楷体" w:eastAsia="华文楷体" w:cs="宋体"/>
          <w:kern w:val="0"/>
          <w:sz w:val="30"/>
          <w:szCs w:val="30"/>
        </w:rPr>
        <w:t>2</w:t>
      </w:r>
      <w:r>
        <w:rPr>
          <w:rFonts w:hint="eastAsia" w:ascii="华文楷体" w:hAnsi="华文楷体" w:eastAsia="华文楷体" w:cs="宋体"/>
          <w:kern w:val="0"/>
          <w:sz w:val="30"/>
          <w:szCs w:val="30"/>
          <w:lang w:val="zh-CN"/>
        </w:rPr>
        <w:t>）</w:t>
      </w:r>
      <w:r>
        <w:rPr>
          <w:rFonts w:hint="eastAsia" w:ascii="华文楷体" w:hAnsi="华文楷体" w:eastAsia="华文楷体" w:cs="宋体"/>
          <w:sz w:val="30"/>
          <w:szCs w:val="30"/>
        </w:rPr>
        <w:t>法定代表人证明书</w:t>
      </w:r>
      <w:bookmarkEnd w:id="168"/>
      <w:bookmarkEnd w:id="169"/>
      <w:bookmarkEnd w:id="170"/>
    </w:p>
    <w:p w14:paraId="48CDCD4E">
      <w:pPr>
        <w:autoSpaceDE w:val="0"/>
        <w:autoSpaceDN w:val="0"/>
        <w:spacing w:line="360" w:lineRule="auto"/>
        <w:rPr>
          <w:rFonts w:ascii="华文楷体" w:hAnsi="华文楷体" w:eastAsia="华文楷体" w:cs="宋体"/>
          <w:kern w:val="0"/>
          <w:sz w:val="28"/>
          <w:szCs w:val="28"/>
          <w:lang w:val="zh-CN"/>
        </w:rPr>
      </w:pPr>
    </w:p>
    <w:p w14:paraId="6A957608">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法定代表人证明书</w:t>
      </w:r>
    </w:p>
    <w:p w14:paraId="04B71062">
      <w:pPr>
        <w:autoSpaceDE w:val="0"/>
        <w:autoSpaceDN w:val="0"/>
        <w:spacing w:line="360" w:lineRule="auto"/>
        <w:rPr>
          <w:rFonts w:ascii="华文楷体" w:hAnsi="华文楷体" w:eastAsia="华文楷体" w:cs="宋体"/>
          <w:b/>
          <w:bCs/>
          <w:kern w:val="0"/>
          <w:sz w:val="28"/>
          <w:szCs w:val="28"/>
          <w:lang w:val="zh-CN"/>
        </w:rPr>
      </w:pPr>
    </w:p>
    <w:p w14:paraId="3E3C5DAE">
      <w:pPr>
        <w:autoSpaceDE w:val="0"/>
        <w:autoSpaceDN w:val="0"/>
        <w:spacing w:line="360" w:lineRule="auto"/>
        <w:rPr>
          <w:rFonts w:ascii="华文楷体" w:hAnsi="华文楷体" w:eastAsia="华文楷体" w:cs="宋体"/>
          <w:kern w:val="0"/>
        </w:rPr>
      </w:pPr>
      <w:r>
        <w:rPr>
          <w:rFonts w:hint="eastAsia" w:ascii="华文楷体" w:hAnsi="华文楷体" w:eastAsia="华文楷体" w:cs="宋体"/>
          <w:b/>
          <w:bCs/>
          <w:kern w:val="0"/>
          <w:lang w:val="zh-CN"/>
        </w:rPr>
        <w:t>致：采购人或者采购代理机构</w:t>
      </w:r>
    </w:p>
    <w:p w14:paraId="386ADA63">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u w:val="single"/>
          <w:lang w:val="zh-CN"/>
        </w:rPr>
        <w:t>（法定代表人姓名）</w:t>
      </w:r>
      <w:r>
        <w:rPr>
          <w:rFonts w:hint="eastAsia" w:ascii="华文楷体" w:hAnsi="华文楷体" w:eastAsia="华文楷体" w:cs="宋体"/>
          <w:kern w:val="0"/>
          <w:lang w:val="zh-CN"/>
        </w:rPr>
        <w:t>现任我单位职务，为法定代表人，特此证明。</w:t>
      </w:r>
    </w:p>
    <w:p w14:paraId="2B3C6EF5">
      <w:pPr>
        <w:autoSpaceDE w:val="0"/>
        <w:autoSpaceDN w:val="0"/>
        <w:spacing w:line="360" w:lineRule="auto"/>
        <w:rPr>
          <w:rFonts w:ascii="华文楷体" w:hAnsi="华文楷体" w:eastAsia="华文楷体" w:cs="宋体"/>
          <w:kern w:val="0"/>
          <w:lang w:val="zh-CN"/>
        </w:rPr>
      </w:pPr>
    </w:p>
    <w:p w14:paraId="0FE2977E">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法定代表人基本情况：</w:t>
      </w:r>
    </w:p>
    <w:p w14:paraId="3EDE5727">
      <w:pPr>
        <w:autoSpaceDE w:val="0"/>
        <w:autoSpaceDN w:val="0"/>
        <w:spacing w:line="360" w:lineRule="auto"/>
        <w:rPr>
          <w:rFonts w:ascii="华文楷体" w:hAnsi="华文楷体" w:eastAsia="华文楷体" w:cs="宋体"/>
          <w:kern w:val="0"/>
          <w:u w:val="single"/>
          <w:lang w:val="zh-CN"/>
        </w:rPr>
      </w:pPr>
      <w:r>
        <w:rPr>
          <w:rFonts w:hint="eastAsia" w:ascii="华文楷体" w:hAnsi="华文楷体" w:eastAsia="华文楷体" w:cs="宋体"/>
          <w:kern w:val="0"/>
          <w:lang w:val="zh-CN"/>
        </w:rPr>
        <w:t>性别：    年龄：    民族：</w:t>
      </w:r>
    </w:p>
    <w:p w14:paraId="6C834F88">
      <w:pPr>
        <w:autoSpaceDE w:val="0"/>
        <w:autoSpaceDN w:val="0"/>
        <w:spacing w:line="360" w:lineRule="auto"/>
        <w:rPr>
          <w:rFonts w:ascii="华文楷体" w:hAnsi="华文楷体" w:eastAsia="华文楷体" w:cs="宋体"/>
          <w:kern w:val="0"/>
          <w:u w:val="single"/>
          <w:lang w:val="zh-CN"/>
        </w:rPr>
      </w:pPr>
      <w:r>
        <w:rPr>
          <w:rFonts w:hint="eastAsia" w:ascii="华文楷体" w:hAnsi="华文楷体" w:eastAsia="华文楷体" w:cs="宋体"/>
          <w:kern w:val="0"/>
          <w:lang w:val="zh-CN"/>
        </w:rPr>
        <w:t>地址：</w:t>
      </w:r>
    </w:p>
    <w:p w14:paraId="7BBAA534">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身份证号码：</w:t>
      </w:r>
    </w:p>
    <w:p w14:paraId="481490CA">
      <w:pPr>
        <w:autoSpaceDE w:val="0"/>
        <w:autoSpaceDN w:val="0"/>
        <w:spacing w:line="360" w:lineRule="auto"/>
        <w:rPr>
          <w:rFonts w:ascii="华文楷体" w:hAnsi="华文楷体" w:eastAsia="华文楷体" w:cs="宋体"/>
          <w:kern w:val="0"/>
          <w:lang w:val="zh-CN"/>
        </w:rPr>
      </w:pPr>
    </w:p>
    <w:p w14:paraId="222445CF">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附法定代表人第二代身份证双面扫描（或复印）件</w:t>
      </w:r>
    </w:p>
    <w:p w14:paraId="3631C9E4">
      <w:pPr>
        <w:autoSpaceDE w:val="0"/>
        <w:autoSpaceDN w:val="0"/>
        <w:spacing w:line="360" w:lineRule="auto"/>
        <w:rPr>
          <w:rFonts w:ascii="华文楷体" w:hAnsi="华文楷体" w:eastAsia="华文楷体" w:cs="宋体"/>
          <w:kern w:val="0"/>
          <w:lang w:val="zh-CN"/>
        </w:rPr>
      </w:pPr>
    </w:p>
    <w:p w14:paraId="1AD67940">
      <w:pPr>
        <w:autoSpaceDE w:val="0"/>
        <w:autoSpaceDN w:val="0"/>
        <w:spacing w:line="360" w:lineRule="auto"/>
        <w:rPr>
          <w:rFonts w:ascii="华文楷体" w:hAnsi="华文楷体" w:eastAsia="华文楷体" w:cs="宋体"/>
          <w:kern w:val="0"/>
          <w:lang w:val="zh-CN"/>
        </w:rPr>
      </w:pPr>
    </w:p>
    <w:p w14:paraId="562AA8D2">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778DD379">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42D1E240">
      <w:pPr>
        <w:pStyle w:val="25"/>
        <w:spacing w:before="0" w:after="0" w:line="360" w:lineRule="auto"/>
        <w:jc w:val="left"/>
        <w:outlineLvl w:val="1"/>
        <w:rPr>
          <w:rFonts w:ascii="华文楷体" w:hAnsi="华文楷体" w:eastAsia="华文楷体" w:cs="宋体"/>
          <w:sz w:val="28"/>
          <w:szCs w:val="28"/>
          <w:lang w:val="zh-CN"/>
        </w:rPr>
      </w:pPr>
      <w:r>
        <w:rPr>
          <w:rFonts w:hint="eastAsia" w:ascii="华文楷体" w:hAnsi="华文楷体" w:eastAsia="华文楷体" w:cs="宋体"/>
          <w:lang w:val="zh-CN"/>
        </w:rPr>
        <w:br w:type="page"/>
      </w:r>
      <w:bookmarkEnd w:id="171"/>
      <w:bookmarkStart w:id="172" w:name="_Toc184345929"/>
      <w:bookmarkStart w:id="173" w:name="_Toc515908211"/>
      <w:bookmarkStart w:id="174" w:name="_Toc2123"/>
      <w:bookmarkStart w:id="175" w:name="_Toc17284"/>
      <w:r>
        <w:rPr>
          <w:rFonts w:hint="eastAsia" w:ascii="华文楷体" w:hAnsi="华文楷体" w:eastAsia="华文楷体" w:cs="宋体"/>
          <w:sz w:val="30"/>
          <w:szCs w:val="30"/>
        </w:rPr>
        <w:t>（3）</w:t>
      </w:r>
      <w:r>
        <w:rPr>
          <w:rFonts w:hint="eastAsia" w:ascii="华文楷体" w:hAnsi="华文楷体" w:eastAsia="华文楷体" w:cs="宋体"/>
          <w:sz w:val="30"/>
          <w:szCs w:val="30"/>
          <w:lang w:val="zh-CN"/>
        </w:rPr>
        <w:t>法定代表人授权书</w:t>
      </w:r>
      <w:bookmarkEnd w:id="172"/>
      <w:bookmarkEnd w:id="173"/>
      <w:bookmarkEnd w:id="174"/>
    </w:p>
    <w:p w14:paraId="20BEBEA4">
      <w:pPr>
        <w:autoSpaceDE w:val="0"/>
        <w:autoSpaceDN w:val="0"/>
        <w:spacing w:line="360" w:lineRule="auto"/>
        <w:jc w:val="center"/>
        <w:rPr>
          <w:rFonts w:ascii="华文楷体" w:hAnsi="华文楷体" w:eastAsia="华文楷体" w:cs="宋体"/>
          <w:b/>
          <w:bCs/>
          <w:kern w:val="0"/>
          <w:sz w:val="28"/>
          <w:szCs w:val="28"/>
          <w:lang w:val="zh-CN"/>
        </w:rPr>
      </w:pPr>
      <w:r>
        <w:rPr>
          <w:rFonts w:hint="eastAsia" w:ascii="华文楷体" w:hAnsi="华文楷体" w:eastAsia="华文楷体" w:cs="宋体"/>
          <w:b/>
          <w:bCs/>
          <w:kern w:val="0"/>
          <w:sz w:val="28"/>
          <w:szCs w:val="28"/>
          <w:lang w:val="zh-CN"/>
        </w:rPr>
        <w:t>法定代表人授权书</w:t>
      </w:r>
    </w:p>
    <w:p w14:paraId="1903B6FD">
      <w:pPr>
        <w:autoSpaceDE w:val="0"/>
        <w:autoSpaceDN w:val="0"/>
        <w:spacing w:line="360" w:lineRule="auto"/>
        <w:rPr>
          <w:rFonts w:ascii="华文楷体" w:hAnsi="华文楷体" w:eastAsia="华文楷体" w:cs="宋体"/>
          <w:b/>
          <w:bCs/>
          <w:kern w:val="0"/>
        </w:rPr>
      </w:pPr>
      <w:r>
        <w:rPr>
          <w:rFonts w:hint="eastAsia" w:ascii="华文楷体" w:hAnsi="华文楷体" w:eastAsia="华文楷体" w:cs="宋体"/>
          <w:b/>
          <w:bCs/>
          <w:kern w:val="0"/>
          <w:lang w:val="zh-CN"/>
        </w:rPr>
        <w:t>致：采购人或者采购代理机构</w:t>
      </w:r>
    </w:p>
    <w:p w14:paraId="6A447A2E">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u w:val="single"/>
          <w:lang w:val="zh-CN"/>
        </w:rPr>
        <w:t>（投标人名称）</w:t>
      </w:r>
      <w:r>
        <w:rPr>
          <w:rFonts w:hint="eastAsia" w:ascii="华文楷体" w:hAnsi="华文楷体" w:eastAsia="华文楷体" w:cs="宋体"/>
          <w:kern w:val="0"/>
          <w:lang w:val="zh-CN"/>
        </w:rPr>
        <w:t>系中华人民共和国合法企业，法定地址</w:t>
      </w:r>
      <w:r>
        <w:rPr>
          <w:rFonts w:hint="eastAsia" w:ascii="华文楷体" w:hAnsi="华文楷体" w:eastAsia="华文楷体" w:cs="宋体"/>
          <w:kern w:val="0"/>
          <w:u w:val="single"/>
          <w:lang w:val="zh-CN"/>
        </w:rPr>
        <w:t xml:space="preserve">              </w:t>
      </w:r>
      <w:r>
        <w:rPr>
          <w:rFonts w:hint="eastAsia" w:ascii="华文楷体" w:hAnsi="华文楷体" w:eastAsia="华文楷体" w:cs="宋体"/>
          <w:kern w:val="0"/>
          <w:lang w:val="zh-CN"/>
        </w:rPr>
        <w:t>。</w:t>
      </w:r>
    </w:p>
    <w:p w14:paraId="06FE1CDF">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u w:val="single"/>
          <w:lang w:val="zh-CN"/>
        </w:rPr>
        <w:t>（法定代表人姓名）</w:t>
      </w:r>
      <w:r>
        <w:rPr>
          <w:rFonts w:hint="eastAsia" w:ascii="华文楷体" w:hAnsi="华文楷体" w:eastAsia="华文楷体" w:cs="宋体"/>
          <w:kern w:val="0"/>
          <w:lang w:val="zh-CN"/>
        </w:rPr>
        <w:t>特授权</w:t>
      </w:r>
      <w:r>
        <w:rPr>
          <w:rFonts w:hint="eastAsia" w:ascii="华文楷体" w:hAnsi="华文楷体" w:eastAsia="华文楷体" w:cs="宋体"/>
          <w:kern w:val="0"/>
          <w:u w:val="single"/>
          <w:lang w:val="zh-CN"/>
        </w:rPr>
        <w:t>（委托代理人姓名）</w:t>
      </w:r>
      <w:r>
        <w:rPr>
          <w:rFonts w:hint="eastAsia" w:ascii="华文楷体" w:hAnsi="华文楷体" w:eastAsia="华文楷体" w:cs="宋体"/>
          <w:kern w:val="0"/>
          <w:lang w:val="zh-CN"/>
        </w:rPr>
        <w:t>代表我单位全权办理</w:t>
      </w:r>
      <w:r>
        <w:rPr>
          <w:rFonts w:hint="eastAsia" w:ascii="华文楷体" w:hAnsi="华文楷体" w:eastAsia="华文楷体" w:cs="宋体"/>
          <w:kern w:val="0"/>
          <w:u w:val="single"/>
          <w:lang w:val="en-US" w:eastAsia="zh-CN"/>
        </w:rPr>
        <w:t xml:space="preserve"> （项目名称） </w:t>
      </w:r>
      <w:r>
        <w:rPr>
          <w:rFonts w:hint="eastAsia" w:ascii="华文楷体" w:hAnsi="华文楷体" w:eastAsia="华文楷体" w:cs="宋体"/>
          <w:kern w:val="0"/>
          <w:lang w:val="zh-CN"/>
        </w:rPr>
        <w:t>项目的投标、答疑等具体工作，并签署全部有关的文件、资料。</w:t>
      </w:r>
      <w:bookmarkStart w:id="299" w:name="_GoBack"/>
      <w:bookmarkEnd w:id="299"/>
    </w:p>
    <w:p w14:paraId="1BE64BA1">
      <w:pPr>
        <w:autoSpaceDE w:val="0"/>
        <w:autoSpaceDN w:val="0"/>
        <w:spacing w:line="360" w:lineRule="auto"/>
        <w:ind w:firstLine="480" w:firstLineChars="200"/>
        <w:rPr>
          <w:rFonts w:ascii="华文楷体" w:hAnsi="华文楷体" w:eastAsia="华文楷体" w:cs="宋体"/>
          <w:u w:val="single"/>
        </w:rPr>
      </w:pPr>
      <w:r>
        <w:rPr>
          <w:rFonts w:hint="eastAsia" w:ascii="华文楷体" w:hAnsi="华文楷体" w:eastAsia="华文楷体" w:cs="宋体"/>
          <w:kern w:val="0"/>
        </w:rPr>
        <w:t>授权期限：</w:t>
      </w:r>
      <w:r>
        <w:rPr>
          <w:rFonts w:hint="eastAsia" w:ascii="华文楷体" w:hAnsi="华文楷体" w:eastAsia="华文楷体" w:cs="宋体"/>
        </w:rPr>
        <w:t>自</w:t>
      </w:r>
      <w:r>
        <w:rPr>
          <w:rFonts w:hint="eastAsia" w:ascii="华文楷体" w:hAnsi="华文楷体" w:eastAsia="华文楷体" w:cs="宋体"/>
          <w:u w:val="single"/>
        </w:rPr>
        <w:t xml:space="preserve"> </w:t>
      </w:r>
      <w:r>
        <w:rPr>
          <w:rFonts w:hint="eastAsia" w:ascii="华文楷体" w:hAnsi="华文楷体" w:eastAsia="华文楷体" w:cs="宋体"/>
          <w:u w:val="single"/>
          <w:lang w:val="en-US" w:eastAsia="zh-CN"/>
        </w:rPr>
        <w:t xml:space="preserve"> </w:t>
      </w:r>
      <w:r>
        <w:rPr>
          <w:rFonts w:hint="eastAsia" w:ascii="华文楷体" w:hAnsi="华文楷体" w:eastAsia="华文楷体" w:cs="宋体"/>
          <w:u w:val="single"/>
        </w:rPr>
        <w:t xml:space="preserve">  </w:t>
      </w:r>
      <w:r>
        <w:rPr>
          <w:rFonts w:hint="eastAsia" w:ascii="华文楷体" w:hAnsi="华文楷体" w:eastAsia="华文楷体" w:cs="宋体"/>
        </w:rPr>
        <w:t>年</w:t>
      </w:r>
      <w:r>
        <w:rPr>
          <w:rFonts w:hint="eastAsia" w:ascii="华文楷体" w:hAnsi="华文楷体" w:eastAsia="华文楷体" w:cs="宋体"/>
          <w:u w:val="single"/>
        </w:rPr>
        <w:t xml:space="preserve">  </w:t>
      </w:r>
      <w:r>
        <w:rPr>
          <w:rFonts w:hint="eastAsia" w:ascii="华文楷体" w:hAnsi="华文楷体" w:eastAsia="华文楷体" w:cs="宋体"/>
          <w:u w:val="single"/>
          <w:lang w:val="en-US" w:eastAsia="zh-CN"/>
        </w:rPr>
        <w:t xml:space="preserve"> </w:t>
      </w:r>
      <w:r>
        <w:rPr>
          <w:rFonts w:hint="eastAsia" w:ascii="华文楷体" w:hAnsi="华文楷体" w:eastAsia="华文楷体" w:cs="宋体"/>
          <w:u w:val="single"/>
        </w:rPr>
        <w:t xml:space="preserve"> </w:t>
      </w:r>
      <w:r>
        <w:rPr>
          <w:rFonts w:hint="eastAsia" w:ascii="华文楷体" w:hAnsi="华文楷体" w:eastAsia="华文楷体" w:cs="宋体"/>
        </w:rPr>
        <w:t>月</w:t>
      </w:r>
      <w:r>
        <w:rPr>
          <w:rFonts w:hint="eastAsia" w:ascii="华文楷体" w:hAnsi="华文楷体" w:eastAsia="华文楷体" w:cs="宋体"/>
          <w:u w:val="single"/>
        </w:rPr>
        <w:t xml:space="preserve">  </w:t>
      </w:r>
      <w:r>
        <w:rPr>
          <w:rFonts w:hint="eastAsia" w:ascii="华文楷体" w:hAnsi="华文楷体" w:eastAsia="华文楷体" w:cs="宋体"/>
          <w:u w:val="single"/>
          <w:lang w:val="en-US" w:eastAsia="zh-CN"/>
        </w:rPr>
        <w:t xml:space="preserve"> </w:t>
      </w:r>
      <w:r>
        <w:rPr>
          <w:rFonts w:hint="eastAsia" w:ascii="华文楷体" w:hAnsi="华文楷体" w:eastAsia="华文楷体" w:cs="宋体"/>
          <w:u w:val="single"/>
        </w:rPr>
        <w:t xml:space="preserve"> </w:t>
      </w:r>
      <w:r>
        <w:rPr>
          <w:rFonts w:hint="eastAsia" w:ascii="华文楷体" w:hAnsi="华文楷体" w:eastAsia="华文楷体" w:cs="宋体"/>
        </w:rPr>
        <w:t>日起至</w:t>
      </w:r>
      <w:r>
        <w:rPr>
          <w:rFonts w:hint="eastAsia" w:ascii="华文楷体" w:hAnsi="华文楷体" w:eastAsia="华文楷体" w:cs="宋体"/>
          <w:u w:val="single"/>
        </w:rPr>
        <w:t xml:space="preserve">   </w:t>
      </w:r>
      <w:r>
        <w:rPr>
          <w:rFonts w:hint="eastAsia" w:ascii="华文楷体" w:hAnsi="华文楷体" w:eastAsia="华文楷体" w:cs="宋体"/>
          <w:u w:val="single"/>
          <w:lang w:val="en-US" w:eastAsia="zh-CN"/>
        </w:rPr>
        <w:t xml:space="preserve"> </w:t>
      </w:r>
      <w:r>
        <w:rPr>
          <w:rFonts w:hint="eastAsia" w:ascii="华文楷体" w:hAnsi="华文楷体" w:eastAsia="华文楷体" w:cs="宋体"/>
        </w:rPr>
        <w:t>年</w:t>
      </w:r>
      <w:r>
        <w:rPr>
          <w:rFonts w:hint="eastAsia" w:ascii="华文楷体" w:hAnsi="华文楷体" w:eastAsia="华文楷体" w:cs="宋体"/>
          <w:u w:val="single"/>
        </w:rPr>
        <w:t xml:space="preserve">   </w:t>
      </w:r>
      <w:r>
        <w:rPr>
          <w:rFonts w:hint="eastAsia" w:ascii="华文楷体" w:hAnsi="华文楷体" w:eastAsia="华文楷体" w:cs="宋体"/>
          <w:u w:val="single"/>
          <w:lang w:val="en-US" w:eastAsia="zh-CN"/>
        </w:rPr>
        <w:t xml:space="preserve"> </w:t>
      </w:r>
      <w:r>
        <w:rPr>
          <w:rFonts w:hint="eastAsia" w:ascii="华文楷体" w:hAnsi="华文楷体" w:eastAsia="华文楷体" w:cs="宋体"/>
        </w:rPr>
        <w:t>月</w:t>
      </w:r>
      <w:r>
        <w:rPr>
          <w:rFonts w:hint="eastAsia" w:ascii="华文楷体" w:hAnsi="华文楷体" w:eastAsia="华文楷体" w:cs="宋体"/>
          <w:u w:val="single"/>
        </w:rPr>
        <w:t xml:space="preserve">  </w:t>
      </w:r>
      <w:r>
        <w:rPr>
          <w:rFonts w:hint="eastAsia" w:ascii="华文楷体" w:hAnsi="华文楷体" w:eastAsia="华文楷体" w:cs="宋体"/>
          <w:u w:val="single"/>
          <w:lang w:val="en-US" w:eastAsia="zh-CN"/>
        </w:rPr>
        <w:t xml:space="preserve"> </w:t>
      </w:r>
      <w:r>
        <w:rPr>
          <w:rFonts w:hint="eastAsia" w:ascii="华文楷体" w:hAnsi="华文楷体" w:eastAsia="华文楷体" w:cs="宋体"/>
          <w:u w:val="single"/>
        </w:rPr>
        <w:t xml:space="preserve"> </w:t>
      </w:r>
      <w:r>
        <w:rPr>
          <w:rFonts w:hint="eastAsia" w:ascii="华文楷体" w:hAnsi="华文楷体" w:eastAsia="华文楷体" w:cs="宋体"/>
        </w:rPr>
        <w:t>日止。</w:t>
      </w:r>
    </w:p>
    <w:p w14:paraId="775903F8">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我单位对被授权人的签名负全部责任。</w:t>
      </w:r>
    </w:p>
    <w:p w14:paraId="53F4C51C">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被授权人联系电话：</w:t>
      </w:r>
      <w:r>
        <w:rPr>
          <w:rFonts w:hint="eastAsia" w:ascii="华文楷体" w:hAnsi="华文楷体" w:eastAsia="华文楷体" w:cs="宋体"/>
          <w:kern w:val="0"/>
          <w:u w:val="single"/>
          <w:lang w:val="zh-CN"/>
        </w:rPr>
        <w:t xml:space="preserve">                 </w:t>
      </w:r>
      <w:r>
        <w:rPr>
          <w:rFonts w:hint="eastAsia" w:ascii="华文楷体" w:hAnsi="华文楷体" w:eastAsia="华文楷体" w:cs="宋体"/>
          <w:kern w:val="0"/>
          <w:lang w:val="zh-CN"/>
        </w:rPr>
        <w:t>.</w:t>
      </w:r>
    </w:p>
    <w:p w14:paraId="1D46C18B">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lang w:val="zh-CN"/>
        </w:rPr>
        <w:t>被授权人（委托代理人）签字</w:t>
      </w:r>
      <w:r>
        <w:rPr>
          <w:rFonts w:hint="eastAsia" w:ascii="华文楷体" w:hAnsi="华文楷体" w:eastAsia="华文楷体" w:cs="宋体"/>
          <w:kern w:val="0"/>
        </w:rPr>
        <w:t>或盖章</w:t>
      </w:r>
      <w:r>
        <w:rPr>
          <w:rFonts w:hint="eastAsia" w:ascii="华文楷体" w:hAnsi="华文楷体" w:eastAsia="华文楷体" w:cs="宋体"/>
          <w:kern w:val="0"/>
          <w:lang w:val="zh-CN"/>
        </w:rPr>
        <w:t>：</w:t>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r>
        <w:rPr>
          <w:rFonts w:hint="eastAsia" w:ascii="华文楷体" w:hAnsi="华文楷体" w:eastAsia="华文楷体" w:cs="宋体"/>
          <w:kern w:val="0"/>
          <w:u w:val="single"/>
        </w:rPr>
        <w:t xml:space="preserve">   </w:t>
      </w:r>
    </w:p>
    <w:p w14:paraId="13B0EEB7">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职务：</w:t>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p>
    <w:p w14:paraId="22ECF1A0">
      <w:pPr>
        <w:autoSpaceDE w:val="0"/>
        <w:autoSpaceDN w:val="0"/>
        <w:spacing w:line="360" w:lineRule="auto"/>
        <w:ind w:firstLine="480" w:firstLineChars="200"/>
        <w:rPr>
          <w:rFonts w:ascii="华文楷体" w:hAnsi="华文楷体" w:eastAsia="华文楷体" w:cs="宋体"/>
          <w:kern w:val="0"/>
          <w:u w:val="single"/>
          <w:lang w:val="zh-CN"/>
        </w:rPr>
      </w:pPr>
      <w:r>
        <w:rPr>
          <w:rFonts w:hint="eastAsia" w:ascii="华文楷体" w:hAnsi="华文楷体" w:eastAsia="华文楷体" w:cs="宋体"/>
          <w:kern w:val="0"/>
          <w:lang w:val="zh-CN"/>
        </w:rPr>
        <w:t>授权人（法定代表人）签字</w:t>
      </w:r>
      <w:r>
        <w:rPr>
          <w:rFonts w:hint="eastAsia" w:ascii="华文楷体" w:hAnsi="华文楷体" w:eastAsia="华文楷体" w:cs="宋体"/>
          <w:kern w:val="0"/>
        </w:rPr>
        <w:t>或盖章</w:t>
      </w:r>
      <w:r>
        <w:rPr>
          <w:rFonts w:hint="eastAsia" w:ascii="华文楷体" w:hAnsi="华文楷体" w:eastAsia="华文楷体" w:cs="宋体"/>
          <w:kern w:val="0"/>
          <w:lang w:val="zh-CN"/>
        </w:rPr>
        <w:t>：</w:t>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p>
    <w:p w14:paraId="152AEEB3">
      <w:pPr>
        <w:autoSpaceDE w:val="0"/>
        <w:autoSpaceDN w:val="0"/>
        <w:spacing w:line="360" w:lineRule="auto"/>
        <w:ind w:firstLine="480" w:firstLineChars="200"/>
        <w:rPr>
          <w:rFonts w:ascii="华文楷体" w:hAnsi="华文楷体" w:eastAsia="华文楷体" w:cs="宋体"/>
          <w:kern w:val="0"/>
          <w:u w:val="single"/>
          <w:lang w:val="zh-CN"/>
        </w:rPr>
      </w:pPr>
      <w:r>
        <w:rPr>
          <w:rFonts w:hint="eastAsia" w:ascii="华文楷体" w:hAnsi="华文楷体" w:eastAsia="华文楷体" w:cs="宋体"/>
          <w:kern w:val="0"/>
          <w:lang w:val="zh-CN"/>
        </w:rPr>
        <w:t>职务：</w:t>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r>
        <w:rPr>
          <w:rFonts w:hint="eastAsia" w:ascii="华文楷体" w:hAnsi="华文楷体" w:eastAsia="华文楷体" w:cs="宋体"/>
          <w:kern w:val="0"/>
          <w:u w:val="single"/>
        </w:rPr>
        <w:tab/>
      </w:r>
    </w:p>
    <w:p w14:paraId="11883326">
      <w:pPr>
        <w:autoSpaceDE w:val="0"/>
        <w:autoSpaceDN w:val="0"/>
        <w:spacing w:line="360" w:lineRule="auto"/>
        <w:rPr>
          <w:rFonts w:ascii="华文楷体" w:hAnsi="华文楷体" w:eastAsia="华文楷体" w:cs="宋体"/>
          <w:kern w:val="0"/>
          <w:lang w:val="zh-CN"/>
        </w:rPr>
      </w:pPr>
    </w:p>
    <w:p w14:paraId="1BA6542A">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附被授权人第二代身份证双面扫描（或复印）件</w:t>
      </w:r>
    </w:p>
    <w:p w14:paraId="2ED232EA">
      <w:pPr>
        <w:autoSpaceDE w:val="0"/>
        <w:autoSpaceDN w:val="0"/>
        <w:spacing w:line="360" w:lineRule="auto"/>
        <w:rPr>
          <w:rFonts w:ascii="华文楷体" w:hAnsi="华文楷体" w:eastAsia="华文楷体" w:cs="宋体"/>
          <w:kern w:val="0"/>
          <w:lang w:val="zh-CN"/>
        </w:rPr>
      </w:pPr>
    </w:p>
    <w:p w14:paraId="0BBBAEEC">
      <w:pPr>
        <w:autoSpaceDE w:val="0"/>
        <w:autoSpaceDN w:val="0"/>
        <w:spacing w:line="360" w:lineRule="auto"/>
        <w:rPr>
          <w:rFonts w:ascii="华文楷体" w:hAnsi="华文楷体" w:eastAsia="华文楷体" w:cs="宋体"/>
          <w:kern w:val="0"/>
          <w:lang w:val="zh-CN"/>
        </w:rPr>
      </w:pPr>
    </w:p>
    <w:p w14:paraId="06E6C5B8">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219C7D51">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467A2051">
      <w:pPr>
        <w:autoSpaceDE w:val="0"/>
        <w:autoSpaceDN w:val="0"/>
        <w:spacing w:line="360" w:lineRule="auto"/>
        <w:rPr>
          <w:rFonts w:ascii="华文楷体" w:hAnsi="华文楷体" w:eastAsia="华文楷体" w:cs="宋体"/>
          <w:kern w:val="0"/>
          <w:lang w:val="zh-CN"/>
        </w:rPr>
      </w:pPr>
    </w:p>
    <w:p w14:paraId="1537DEA6">
      <w:pPr>
        <w:pStyle w:val="25"/>
        <w:spacing w:before="0" w:after="0" w:line="360" w:lineRule="auto"/>
        <w:jc w:val="left"/>
        <w:outlineLvl w:val="1"/>
        <w:rPr>
          <w:rFonts w:ascii="华文楷体" w:hAnsi="华文楷体" w:eastAsia="华文楷体" w:cs="宋体"/>
          <w:kern w:val="0"/>
          <w:sz w:val="28"/>
          <w:szCs w:val="28"/>
          <w:lang w:val="zh-CN"/>
        </w:rPr>
      </w:pPr>
      <w:r>
        <w:rPr>
          <w:rFonts w:hint="eastAsia" w:ascii="华文楷体" w:hAnsi="华文楷体" w:eastAsia="华文楷体" w:cs="宋体"/>
          <w:lang w:val="zh-CN"/>
        </w:rPr>
        <w:br w:type="page"/>
      </w:r>
      <w:bookmarkStart w:id="176" w:name="_Toc515908212"/>
      <w:bookmarkStart w:id="177" w:name="_Toc184345930"/>
      <w:bookmarkStart w:id="178" w:name="_Toc21071"/>
      <w:r>
        <w:rPr>
          <w:rFonts w:hint="eastAsia" w:ascii="华文楷体" w:hAnsi="华文楷体" w:eastAsia="华文楷体" w:cs="宋体"/>
          <w:sz w:val="30"/>
          <w:szCs w:val="30"/>
        </w:rPr>
        <w:t>（4）</w:t>
      </w:r>
      <w:r>
        <w:rPr>
          <w:rFonts w:hint="eastAsia" w:ascii="华文楷体" w:hAnsi="华文楷体" w:eastAsia="华文楷体" w:cs="宋体"/>
          <w:sz w:val="30"/>
          <w:szCs w:val="30"/>
          <w:lang w:val="zh-CN"/>
        </w:rPr>
        <w:t>投标人承诺函</w:t>
      </w:r>
      <w:bookmarkEnd w:id="176"/>
      <w:bookmarkEnd w:id="177"/>
      <w:bookmarkEnd w:id="178"/>
    </w:p>
    <w:p w14:paraId="5CEE055F">
      <w:pPr>
        <w:autoSpaceDE w:val="0"/>
        <w:autoSpaceDN w:val="0"/>
        <w:spacing w:line="360" w:lineRule="auto"/>
        <w:jc w:val="center"/>
        <w:rPr>
          <w:rFonts w:ascii="华文楷体" w:hAnsi="华文楷体" w:eastAsia="华文楷体" w:cs="宋体"/>
          <w:b/>
          <w:bCs/>
          <w:kern w:val="0"/>
          <w:sz w:val="28"/>
          <w:szCs w:val="28"/>
          <w:lang w:val="zh-CN"/>
        </w:rPr>
      </w:pPr>
      <w:r>
        <w:rPr>
          <w:rFonts w:hint="eastAsia" w:ascii="华文楷体" w:hAnsi="华文楷体" w:eastAsia="华文楷体" w:cs="宋体"/>
          <w:b/>
          <w:bCs/>
          <w:kern w:val="0"/>
          <w:sz w:val="28"/>
          <w:szCs w:val="28"/>
          <w:lang w:val="zh-CN"/>
        </w:rPr>
        <w:t>投标人承诺函</w:t>
      </w:r>
    </w:p>
    <w:p w14:paraId="1213332D">
      <w:pPr>
        <w:autoSpaceDE w:val="0"/>
        <w:autoSpaceDN w:val="0"/>
        <w:spacing w:line="360" w:lineRule="auto"/>
        <w:rPr>
          <w:rFonts w:ascii="华文楷体" w:hAnsi="华文楷体" w:eastAsia="华文楷体" w:cs="宋体"/>
          <w:b/>
          <w:bCs/>
          <w:kern w:val="0"/>
        </w:rPr>
      </w:pPr>
      <w:r>
        <w:rPr>
          <w:rFonts w:hint="eastAsia" w:ascii="华文楷体" w:hAnsi="华文楷体" w:eastAsia="华文楷体" w:cs="宋体"/>
          <w:b/>
          <w:bCs/>
          <w:kern w:val="0"/>
          <w:lang w:val="zh-CN"/>
        </w:rPr>
        <w:t>致：采购人或者采购代理机构</w:t>
      </w:r>
    </w:p>
    <w:p w14:paraId="26C80E51">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关于贵方20</w:t>
      </w:r>
      <w:r>
        <w:rPr>
          <w:rFonts w:hint="eastAsia" w:ascii="华文楷体" w:hAnsi="华文楷体" w:eastAsia="华文楷体" w:cs="宋体"/>
          <w:kern w:val="0"/>
        </w:rPr>
        <w:t>25</w:t>
      </w:r>
      <w:r>
        <w:rPr>
          <w:rFonts w:hint="eastAsia" w:ascii="华文楷体" w:hAnsi="华文楷体" w:eastAsia="华文楷体" w:cs="宋体"/>
          <w:kern w:val="0"/>
          <w:lang w:val="zh-CN"/>
        </w:rPr>
        <w:t>年</w:t>
      </w:r>
      <w:r>
        <w:rPr>
          <w:rFonts w:hint="eastAsia" w:ascii="华文楷体" w:hAnsi="华文楷体" w:eastAsia="华文楷体" w:cs="宋体"/>
          <w:kern w:val="0"/>
          <w:u w:val="single"/>
          <w:lang w:val="zh-CN"/>
        </w:rPr>
        <w:t xml:space="preserve">   </w:t>
      </w:r>
      <w:r>
        <w:rPr>
          <w:rFonts w:hint="eastAsia" w:ascii="华文楷体" w:hAnsi="华文楷体" w:eastAsia="华文楷体" w:cs="宋体"/>
          <w:kern w:val="0"/>
          <w:lang w:val="zh-CN"/>
        </w:rPr>
        <w:t>月</w:t>
      </w:r>
      <w:r>
        <w:rPr>
          <w:rFonts w:hint="eastAsia" w:ascii="华文楷体" w:hAnsi="华文楷体" w:eastAsia="华文楷体" w:cs="宋体"/>
          <w:kern w:val="0"/>
          <w:u w:val="single"/>
          <w:lang w:val="zh-CN"/>
        </w:rPr>
        <w:t xml:space="preserve">   </w:t>
      </w:r>
      <w:r>
        <w:rPr>
          <w:rFonts w:hint="eastAsia" w:ascii="华文楷体" w:hAnsi="华文楷体" w:eastAsia="华文楷体" w:cs="宋体"/>
          <w:kern w:val="0"/>
          <w:lang w:val="zh-CN"/>
        </w:rPr>
        <w:t>日</w:t>
      </w:r>
      <w:r>
        <w:rPr>
          <w:rFonts w:hint="eastAsia" w:ascii="华文楷体" w:hAnsi="华文楷体" w:eastAsia="华文楷体" w:cs="宋体"/>
          <w:kern w:val="0"/>
          <w:u w:val="single"/>
          <w:lang w:val="zh-CN"/>
        </w:rPr>
        <w:t xml:space="preserve">          (项目名称</w:t>
      </w:r>
      <w:r>
        <w:rPr>
          <w:rFonts w:hint="eastAsia" w:ascii="华文楷体" w:hAnsi="华文楷体" w:eastAsia="华文楷体" w:cs="宋体"/>
          <w:kern w:val="0"/>
          <w:u w:val="single"/>
        </w:rPr>
        <w:t>/包号</w:t>
      </w:r>
      <w:r>
        <w:rPr>
          <w:rFonts w:hint="eastAsia" w:ascii="华文楷体" w:hAnsi="华文楷体" w:eastAsia="华文楷体" w:cs="宋体"/>
          <w:kern w:val="0"/>
          <w:u w:val="single"/>
          <w:lang w:val="zh-CN"/>
        </w:rPr>
        <w:t>)</w:t>
      </w:r>
      <w:r>
        <w:rPr>
          <w:rFonts w:hint="eastAsia" w:ascii="华文楷体" w:hAnsi="华文楷体" w:eastAsia="华文楷体" w:cs="宋体"/>
          <w:kern w:val="0"/>
          <w:lang w:val="zh-CN"/>
        </w:rPr>
        <w:t>采购项目，本签字人愿意参加投标，提供采购一览表中要求的所有产品，并证实提交的所有资料是准确的和真实的。同时，我代表</w:t>
      </w:r>
      <w:r>
        <w:rPr>
          <w:rFonts w:hint="eastAsia" w:ascii="华文楷体" w:hAnsi="华文楷体" w:eastAsia="华文楷体" w:cs="宋体"/>
          <w:kern w:val="0"/>
          <w:u w:val="single"/>
          <w:lang w:val="zh-CN"/>
        </w:rPr>
        <w:t>（投标人名称）</w:t>
      </w:r>
      <w:r>
        <w:rPr>
          <w:rFonts w:hint="eastAsia" w:ascii="华文楷体" w:hAnsi="华文楷体" w:eastAsia="华文楷体" w:cs="宋体"/>
          <w:kern w:val="0"/>
          <w:lang w:val="zh-CN"/>
        </w:rPr>
        <w:t>，在此作如下承诺：</w:t>
      </w:r>
    </w:p>
    <w:p w14:paraId="2F32DD59">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1.完全理解和接受招标文件的一切规定和要求；</w:t>
      </w:r>
    </w:p>
    <w:p w14:paraId="51775B1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若中标，我方将按照招标文件的具体规定和投标文件的响应及承诺与采购人签订采购合同，并且严格履行合同义务，按时交货，提供优质的产品和服务。如果在合同执行过程中，发现质量、数量出现问题，我方一定尽快更换或补退货，并承担相应的经济责任；</w:t>
      </w:r>
    </w:p>
    <w:p w14:paraId="67B75B1C">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3、我方保证甲方在使用该产品或其任何一部分时，不受第三方提出的侵犯专利权、著作权、商标权和工业设计权等知识产权的起诉，若有违犯，愿承担相应的一切责任。</w:t>
      </w:r>
    </w:p>
    <w:p w14:paraId="01539E21">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4、我方承诺，除招标文件中规定的进口产品外，所投的产品均为国产产品，且均符合国家强制性标准。若有不实，愿承担相应的责任。</w:t>
      </w:r>
    </w:p>
    <w:p w14:paraId="53C52A69">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5、在整个招标过程中我方若有违规行为，贵方可按招标文件之规定给予处罚，我方完全接受。</w:t>
      </w:r>
    </w:p>
    <w:p w14:paraId="2A4029CD">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6、若中标，本承诺将成为合同不可分割的一部分，与合同具有同等的法律效力。</w:t>
      </w:r>
    </w:p>
    <w:p w14:paraId="7EFC926F">
      <w:pPr>
        <w:autoSpaceDE w:val="0"/>
        <w:autoSpaceDN w:val="0"/>
        <w:spacing w:line="360" w:lineRule="auto"/>
        <w:rPr>
          <w:rFonts w:ascii="华文楷体" w:hAnsi="华文楷体" w:eastAsia="华文楷体" w:cs="宋体"/>
          <w:kern w:val="0"/>
          <w:lang w:val="zh-CN"/>
        </w:rPr>
      </w:pPr>
    </w:p>
    <w:p w14:paraId="6D91275E">
      <w:pPr>
        <w:autoSpaceDE w:val="0"/>
        <w:autoSpaceDN w:val="0"/>
        <w:spacing w:line="360" w:lineRule="auto"/>
        <w:rPr>
          <w:rFonts w:ascii="华文楷体" w:hAnsi="华文楷体" w:eastAsia="华文楷体" w:cs="宋体"/>
          <w:kern w:val="0"/>
          <w:lang w:val="zh-CN"/>
        </w:rPr>
      </w:pPr>
    </w:p>
    <w:p w14:paraId="57183E82">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310592BD">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6767B222">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1718C3E3">
      <w:pPr>
        <w:pStyle w:val="25"/>
        <w:spacing w:before="0" w:after="0" w:line="360" w:lineRule="auto"/>
        <w:jc w:val="left"/>
        <w:outlineLvl w:val="1"/>
        <w:rPr>
          <w:rFonts w:ascii="华文楷体" w:hAnsi="华文楷体" w:eastAsia="华文楷体" w:cs="宋体"/>
          <w:sz w:val="28"/>
          <w:szCs w:val="28"/>
          <w:lang w:val="zh-CN"/>
        </w:rPr>
      </w:pPr>
      <w:r>
        <w:rPr>
          <w:rFonts w:hint="eastAsia" w:ascii="华文楷体" w:hAnsi="华文楷体" w:eastAsia="华文楷体" w:cs="宋体"/>
          <w:lang w:val="zh-CN"/>
        </w:rPr>
        <w:br w:type="page"/>
      </w:r>
      <w:bookmarkStart w:id="179" w:name="_Toc184345931"/>
      <w:bookmarkStart w:id="180" w:name="_Toc515908213"/>
      <w:bookmarkStart w:id="181" w:name="_Toc15101"/>
      <w:r>
        <w:rPr>
          <w:rFonts w:hint="eastAsia" w:ascii="华文楷体" w:hAnsi="华文楷体" w:eastAsia="华文楷体" w:cs="宋体"/>
          <w:sz w:val="30"/>
          <w:szCs w:val="30"/>
        </w:rPr>
        <w:t>（5）</w:t>
      </w:r>
      <w:r>
        <w:rPr>
          <w:rFonts w:hint="eastAsia" w:ascii="华文楷体" w:hAnsi="华文楷体" w:eastAsia="华文楷体" w:cs="宋体"/>
          <w:sz w:val="30"/>
          <w:szCs w:val="30"/>
          <w:lang w:val="zh-CN"/>
        </w:rPr>
        <w:t>投标人诚信承诺书</w:t>
      </w:r>
      <w:bookmarkEnd w:id="179"/>
      <w:bookmarkEnd w:id="180"/>
      <w:bookmarkEnd w:id="181"/>
    </w:p>
    <w:p w14:paraId="098BD731">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投标人诚信承诺书</w:t>
      </w:r>
    </w:p>
    <w:p w14:paraId="43C0EF05">
      <w:pPr>
        <w:autoSpaceDE w:val="0"/>
        <w:autoSpaceDN w:val="0"/>
        <w:spacing w:line="360" w:lineRule="auto"/>
        <w:rPr>
          <w:rFonts w:ascii="华文楷体" w:hAnsi="华文楷体" w:eastAsia="华文楷体" w:cs="宋体"/>
          <w:kern w:val="0"/>
        </w:rPr>
      </w:pPr>
      <w:r>
        <w:rPr>
          <w:rFonts w:hint="eastAsia" w:ascii="华文楷体" w:hAnsi="华文楷体" w:eastAsia="华文楷体" w:cs="宋体"/>
          <w:b/>
          <w:bCs/>
          <w:kern w:val="0"/>
          <w:lang w:val="zh-CN"/>
        </w:rPr>
        <w:t>致：采购人或者采购代理机构</w:t>
      </w:r>
    </w:p>
    <w:p w14:paraId="5F361E21">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为了诚实、客观、有序地参与青海省政府采购活动，愿就以下内容作出承诺：</w:t>
      </w:r>
    </w:p>
    <w:p w14:paraId="6D403A1B">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一、自觉遵守各项法律、法规、规章、制度以及社会公德，维护廉洁环境，与同场竞争的其他投标人平等参加政府采购活动。</w:t>
      </w:r>
    </w:p>
    <w:p w14:paraId="67CA694F">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二、参加采购代理机构组织的政府采购活动时，严格按照招标文件的规定和要求提供所需的相关材料，并对所提供的各类资料的真实性负责，不虚假应标，不虚列业绩。</w:t>
      </w:r>
    </w:p>
    <w:p w14:paraId="2BDFAD75">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三、尊重参与政府采购活动各相关方的合法行为，接受政府采购活动依法形成的意见、结果。</w:t>
      </w:r>
    </w:p>
    <w:p w14:paraId="19531FF2">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四、依法参加政府采购活动，不围标、串标，维护市场秩序，不提供“三无”产品、以次充好。</w:t>
      </w:r>
    </w:p>
    <w:p w14:paraId="11664707">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五、积极推动政府采购活动健康开展，对采购活动有疑问、异议时，按法律规定的程序实名反映情况，不恶意中伤、无事生非，以和谐、平等的心态参加政府采购活动。</w:t>
      </w:r>
    </w:p>
    <w:p w14:paraId="0F42F207">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六、认真履行中标人应承担的责任和义务，全面执行采购合同规定的各项内容，保质保量地按时提供采购物品。</w:t>
      </w:r>
    </w:p>
    <w:p w14:paraId="1C9F8CEF">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若本企业（单位）发生有悖于上述承诺的行为，愿意接受《中华人民共和国政府采购法》和《政府采购法实施条例》中对投标人的相关处理。</w:t>
      </w:r>
    </w:p>
    <w:p w14:paraId="453AF38B">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本承诺是采购项目投标文件的组成部分。</w:t>
      </w:r>
    </w:p>
    <w:p w14:paraId="75EF0094">
      <w:pPr>
        <w:autoSpaceDE w:val="0"/>
        <w:autoSpaceDN w:val="0"/>
        <w:spacing w:line="360" w:lineRule="auto"/>
        <w:rPr>
          <w:rFonts w:ascii="华文楷体" w:hAnsi="华文楷体" w:eastAsia="华文楷体" w:cs="宋体"/>
          <w:kern w:val="0"/>
          <w:lang w:val="zh-CN"/>
        </w:rPr>
      </w:pPr>
    </w:p>
    <w:p w14:paraId="63277C5E">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2A02D973">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3CDF5505">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65488ABF">
      <w:pPr>
        <w:pStyle w:val="25"/>
        <w:spacing w:before="0" w:after="0" w:line="360" w:lineRule="auto"/>
        <w:jc w:val="left"/>
        <w:outlineLvl w:val="1"/>
        <w:rPr>
          <w:rFonts w:ascii="华文楷体" w:hAnsi="华文楷体" w:eastAsia="华文楷体" w:cs="宋体"/>
          <w:sz w:val="28"/>
          <w:szCs w:val="28"/>
          <w:lang w:val="zh-CN"/>
        </w:rPr>
      </w:pPr>
      <w:r>
        <w:rPr>
          <w:rFonts w:hint="eastAsia" w:ascii="华文楷体" w:hAnsi="华文楷体" w:eastAsia="华文楷体" w:cs="宋体"/>
          <w:kern w:val="0"/>
          <w:sz w:val="24"/>
          <w:lang w:val="zh-CN"/>
        </w:rPr>
        <w:br w:type="page"/>
      </w:r>
      <w:bookmarkEnd w:id="175"/>
      <w:bookmarkStart w:id="182" w:name="_Toc1328"/>
      <w:bookmarkStart w:id="183" w:name="_Toc184345932"/>
      <w:bookmarkStart w:id="184" w:name="_Toc515908214"/>
      <w:bookmarkStart w:id="185" w:name="_Toc8344"/>
      <w:r>
        <w:rPr>
          <w:rFonts w:hint="eastAsia" w:ascii="华文楷体" w:hAnsi="华文楷体" w:eastAsia="华文楷体" w:cs="宋体"/>
          <w:sz w:val="30"/>
          <w:szCs w:val="30"/>
        </w:rPr>
        <w:t>（6）</w:t>
      </w:r>
      <w:r>
        <w:rPr>
          <w:rFonts w:hint="eastAsia" w:ascii="华文楷体" w:hAnsi="华文楷体" w:eastAsia="华文楷体" w:cs="宋体"/>
          <w:sz w:val="30"/>
          <w:szCs w:val="30"/>
          <w:lang w:val="zh-CN"/>
        </w:rPr>
        <w:t>资格证明材料</w:t>
      </w:r>
      <w:bookmarkEnd w:id="182"/>
      <w:bookmarkEnd w:id="183"/>
      <w:bookmarkEnd w:id="184"/>
    </w:p>
    <w:p w14:paraId="63A12776">
      <w:pPr>
        <w:autoSpaceDE w:val="0"/>
        <w:autoSpaceDN w:val="0"/>
        <w:spacing w:line="360" w:lineRule="auto"/>
        <w:jc w:val="center"/>
        <w:rPr>
          <w:rFonts w:ascii="华文楷体" w:hAnsi="华文楷体" w:eastAsia="华文楷体" w:cs="宋体"/>
          <w:kern w:val="0"/>
          <w:sz w:val="28"/>
          <w:szCs w:val="28"/>
          <w:lang w:val="zh-CN"/>
        </w:rPr>
      </w:pPr>
      <w:r>
        <w:rPr>
          <w:rFonts w:hint="eastAsia" w:ascii="华文楷体" w:hAnsi="华文楷体" w:eastAsia="华文楷体" w:cs="宋体"/>
          <w:b/>
          <w:bCs/>
          <w:kern w:val="0"/>
          <w:sz w:val="28"/>
          <w:szCs w:val="28"/>
          <w:lang w:val="zh-CN"/>
        </w:rPr>
        <w:t>资格证明材料</w:t>
      </w:r>
    </w:p>
    <w:p w14:paraId="74F3AA87">
      <w:pPr>
        <w:spacing w:line="360" w:lineRule="auto"/>
        <w:ind w:firstLine="480" w:firstLineChars="200"/>
        <w:rPr>
          <w:rFonts w:ascii="华文楷体" w:hAnsi="华文楷体" w:eastAsia="华文楷体" w:cs="宋体"/>
        </w:rPr>
      </w:pPr>
      <w:r>
        <w:rPr>
          <w:rFonts w:hint="eastAsia" w:ascii="华文楷体" w:hAnsi="华文楷体" w:eastAsia="华文楷体" w:cs="宋体"/>
        </w:rPr>
        <w:t>资格证明材料包括：</w:t>
      </w:r>
    </w:p>
    <w:p w14:paraId="419A99E1">
      <w:pPr>
        <w:numPr>
          <w:ilvl w:val="0"/>
          <w:numId w:val="8"/>
        </w:numPr>
        <w:spacing w:line="360" w:lineRule="auto"/>
        <w:ind w:firstLine="480"/>
        <w:rPr>
          <w:rFonts w:ascii="华文楷体" w:hAnsi="华文楷体" w:eastAsia="华文楷体" w:cs="宋体"/>
        </w:rPr>
      </w:pPr>
      <w:r>
        <w:rPr>
          <w:rFonts w:hint="eastAsia" w:ascii="华文楷体" w:hAnsi="华文楷体" w:eastAsia="华文楷体" w:cs="宋体"/>
        </w:rPr>
        <w:t>提供有效的营业执照、税务登记证、机构代码证或三证（五证）合一统一社会代码证及其他资格证明文件（扫描或复印件）；</w:t>
      </w:r>
    </w:p>
    <w:p w14:paraId="1B84EB15">
      <w:pPr>
        <w:spacing w:line="360" w:lineRule="auto"/>
        <w:ind w:firstLine="480" w:firstLineChars="200"/>
        <w:rPr>
          <w:rFonts w:ascii="华文楷体" w:hAnsi="华文楷体" w:eastAsia="华文楷体" w:cs="宋体"/>
        </w:rPr>
      </w:pPr>
      <w:r>
        <w:rPr>
          <w:rFonts w:hint="eastAsia" w:ascii="华文楷体" w:hAnsi="华文楷体" w:eastAsia="华文楷体" w:cs="宋体"/>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BAFF064">
      <w:pPr>
        <w:spacing w:line="360" w:lineRule="auto"/>
        <w:ind w:firstLine="480" w:firstLineChars="200"/>
        <w:rPr>
          <w:rFonts w:ascii="华文楷体" w:hAnsi="华文楷体" w:eastAsia="华文楷体" w:cs="宋体"/>
        </w:rPr>
      </w:pPr>
      <w:r>
        <w:rPr>
          <w:rFonts w:hint="eastAsia" w:ascii="华文楷体" w:hAnsi="华文楷体" w:eastAsia="华文楷体" w:cs="宋体"/>
        </w:rPr>
        <w:t>（2）招标文件规定的有关资格证书、许可证书、认证等；</w:t>
      </w:r>
    </w:p>
    <w:p w14:paraId="52463EA4">
      <w:pPr>
        <w:spacing w:line="360" w:lineRule="auto"/>
        <w:ind w:firstLine="480" w:firstLineChars="200"/>
        <w:rPr>
          <w:rFonts w:ascii="华文楷体" w:hAnsi="华文楷体" w:eastAsia="华文楷体" w:cs="宋体"/>
        </w:rPr>
      </w:pPr>
      <w:r>
        <w:rPr>
          <w:rFonts w:hint="eastAsia" w:ascii="华文楷体" w:hAnsi="华文楷体" w:eastAsia="华文楷体" w:cs="宋体"/>
        </w:rPr>
        <w:t>（3）投标人认为有必要提供的其他资格证明文件。</w:t>
      </w:r>
    </w:p>
    <w:p w14:paraId="5F7FDD91">
      <w:pPr>
        <w:pStyle w:val="25"/>
        <w:spacing w:before="0" w:after="0" w:line="360" w:lineRule="auto"/>
        <w:jc w:val="left"/>
        <w:outlineLvl w:val="1"/>
        <w:rPr>
          <w:rFonts w:ascii="华文楷体" w:hAnsi="华文楷体" w:eastAsia="华文楷体" w:cs="宋体"/>
        </w:rPr>
      </w:pPr>
      <w:r>
        <w:rPr>
          <w:rFonts w:hint="eastAsia" w:ascii="华文楷体" w:hAnsi="华文楷体" w:eastAsia="华文楷体" w:cs="宋体"/>
          <w:kern w:val="0"/>
          <w:sz w:val="24"/>
          <w:lang w:val="zh-CN"/>
        </w:rPr>
        <w:br w:type="page"/>
      </w:r>
      <w:bookmarkStart w:id="186" w:name="_Toc20621"/>
      <w:bookmarkStart w:id="187" w:name="_Toc184345933"/>
      <w:bookmarkStart w:id="188" w:name="_Toc515908215"/>
      <w:r>
        <w:rPr>
          <w:rFonts w:hint="eastAsia" w:ascii="华文楷体" w:hAnsi="华文楷体" w:eastAsia="华文楷体" w:cs="宋体"/>
          <w:sz w:val="30"/>
          <w:szCs w:val="30"/>
        </w:rPr>
        <w:t>（7）</w:t>
      </w:r>
      <w:r>
        <w:rPr>
          <w:rFonts w:hint="eastAsia" w:ascii="华文楷体" w:hAnsi="华文楷体" w:eastAsia="华文楷体" w:cs="宋体"/>
          <w:sz w:val="30"/>
          <w:szCs w:val="30"/>
          <w:lang w:val="zh-CN"/>
        </w:rPr>
        <w:t>财务状况报告，依法缴纳税收和社会保障资金的相关材料</w:t>
      </w:r>
      <w:bookmarkEnd w:id="186"/>
      <w:bookmarkEnd w:id="187"/>
      <w:bookmarkEnd w:id="188"/>
    </w:p>
    <w:p w14:paraId="02368471">
      <w:pPr>
        <w:autoSpaceDE w:val="0"/>
        <w:autoSpaceDN w:val="0"/>
        <w:spacing w:line="360" w:lineRule="auto"/>
        <w:rPr>
          <w:rFonts w:ascii="华文楷体" w:hAnsi="华文楷体" w:eastAsia="华文楷体" w:cs="宋体"/>
          <w:kern w:val="0"/>
          <w:sz w:val="28"/>
          <w:szCs w:val="28"/>
          <w:lang w:val="zh-CN"/>
        </w:rPr>
      </w:pPr>
    </w:p>
    <w:p w14:paraId="1CDEB22F">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财务状况报告，依法缴纳税收和社会保障资金的相关材料</w:t>
      </w:r>
    </w:p>
    <w:p w14:paraId="574A5170">
      <w:pPr>
        <w:autoSpaceDE w:val="0"/>
        <w:autoSpaceDN w:val="0"/>
        <w:spacing w:line="360" w:lineRule="auto"/>
        <w:rPr>
          <w:rFonts w:ascii="华文楷体" w:hAnsi="华文楷体" w:eastAsia="华文楷体" w:cs="宋体"/>
          <w:kern w:val="0"/>
          <w:lang w:val="zh-CN"/>
        </w:rPr>
      </w:pPr>
    </w:p>
    <w:p w14:paraId="13B1F423">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1、投标人是法人的，提供基本开户银行近三个月内出具的资信证明（同时提供基本存款账户开户许可证</w:t>
      </w:r>
      <w:r>
        <w:rPr>
          <w:rFonts w:hint="eastAsia" w:ascii="华文楷体" w:hAnsi="华文楷体" w:eastAsia="华文楷体" w:cs="宋体"/>
          <w:kern w:val="0"/>
        </w:rPr>
        <w:t>或基本存款账户信息</w:t>
      </w:r>
      <w:r>
        <w:rPr>
          <w:rFonts w:hint="eastAsia" w:ascii="华文楷体" w:hAnsi="华文楷体" w:eastAsia="华文楷体" w:cs="宋体"/>
          <w:kern w:val="0"/>
          <w:lang w:val="zh-CN"/>
        </w:rPr>
        <w:t>）或</w:t>
      </w:r>
      <w:r>
        <w:rPr>
          <w:rFonts w:hint="eastAsia" w:ascii="华文楷体" w:hAnsi="华文楷体" w:eastAsia="华文楷体" w:cs="宋体"/>
          <w:kern w:val="0"/>
        </w:rPr>
        <w:t>2023年度</w:t>
      </w:r>
      <w:r>
        <w:rPr>
          <w:rFonts w:hint="eastAsia" w:ascii="华文楷体" w:hAnsi="华文楷体" w:eastAsia="华文楷体" w:cs="宋体"/>
        </w:rPr>
        <w:t>经第三方审计的财务状况报告</w:t>
      </w:r>
      <w:r>
        <w:rPr>
          <w:rFonts w:hint="eastAsia" w:ascii="华文楷体" w:hAnsi="华文楷体" w:eastAsia="华文楷体" w:cs="宋体"/>
          <w:kern w:val="0"/>
          <w:lang w:val="zh-CN"/>
        </w:rPr>
        <w:t>（扫描或复印件应全面、完整、清晰），包括资产负债表、现金流量表、利润表和财务（会计）报表附注</w:t>
      </w:r>
      <w:r>
        <w:rPr>
          <w:rFonts w:hint="eastAsia" w:ascii="华文楷体" w:hAnsi="华文楷体" w:eastAsia="华文楷体" w:cs="宋体"/>
          <w:kern w:val="0"/>
        </w:rPr>
        <w:t>，</w:t>
      </w:r>
      <w:r>
        <w:rPr>
          <w:rFonts w:hint="eastAsia" w:ascii="华文楷体" w:hAnsi="华文楷体" w:eastAsia="华文楷体" w:cs="宋体"/>
          <w:kern w:val="0"/>
          <w:lang w:val="zh-CN"/>
        </w:rPr>
        <w:t>并提供第三方机构的营业执照、执业证书。</w:t>
      </w:r>
      <w:r>
        <w:rPr>
          <w:rFonts w:hint="eastAsia" w:ascii="华文楷体" w:hAnsi="华文楷体" w:eastAsia="华文楷体" w:cs="宋体"/>
        </w:rPr>
        <w:t>投标人是其他组织和自然人，没有经审计的财务报告，可以提供基本开户银行出具的资信证明（同时提供基本存款账户开户许可证</w:t>
      </w:r>
      <w:r>
        <w:rPr>
          <w:rFonts w:hint="eastAsia" w:ascii="华文楷体" w:hAnsi="华文楷体" w:eastAsia="华文楷体" w:cs="宋体"/>
          <w:kern w:val="0"/>
        </w:rPr>
        <w:t>或基本存款账户信息</w:t>
      </w:r>
      <w:r>
        <w:rPr>
          <w:rFonts w:hint="eastAsia" w:ascii="华文楷体" w:hAnsi="华文楷体" w:eastAsia="华文楷体" w:cs="宋体"/>
        </w:rPr>
        <w:t>）。</w:t>
      </w:r>
    </w:p>
    <w:p w14:paraId="25F26D0F">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2、投标人须提</w:t>
      </w:r>
      <w:r>
        <w:rPr>
          <w:rFonts w:hint="eastAsia" w:ascii="华文楷体" w:hAnsi="华文楷体" w:eastAsia="华文楷体" w:cs="宋体"/>
          <w:color w:val="auto"/>
          <w:kern w:val="0"/>
          <w:highlight w:val="none"/>
          <w:lang w:val="zh-CN"/>
        </w:rPr>
        <w:t>供（</w:t>
      </w:r>
      <w:r>
        <w:rPr>
          <w:rFonts w:hint="eastAsia" w:ascii="华文楷体" w:hAnsi="华文楷体" w:eastAsia="华文楷体" w:cs="宋体"/>
          <w:color w:val="auto"/>
          <w:kern w:val="0"/>
          <w:highlight w:val="none"/>
        </w:rPr>
        <w:t>2024年</w:t>
      </w:r>
      <w:r>
        <w:rPr>
          <w:rFonts w:hint="eastAsia" w:ascii="华文楷体" w:hAnsi="华文楷体" w:eastAsia="华文楷体" w:cs="宋体"/>
          <w:color w:val="auto"/>
          <w:kern w:val="0"/>
          <w:highlight w:val="none"/>
          <w:lang w:val="en-US" w:eastAsia="zh-CN"/>
        </w:rPr>
        <w:t>10</w:t>
      </w:r>
      <w:r>
        <w:rPr>
          <w:rFonts w:hint="eastAsia" w:ascii="华文楷体" w:hAnsi="华文楷体" w:eastAsia="华文楷体" w:cs="宋体"/>
          <w:color w:val="auto"/>
          <w:kern w:val="0"/>
          <w:highlight w:val="none"/>
        </w:rPr>
        <w:t>月-2025年0</w:t>
      </w:r>
      <w:r>
        <w:rPr>
          <w:rFonts w:hint="eastAsia" w:ascii="华文楷体" w:hAnsi="华文楷体" w:eastAsia="华文楷体" w:cs="宋体"/>
          <w:color w:val="auto"/>
          <w:kern w:val="0"/>
          <w:highlight w:val="none"/>
          <w:lang w:val="en-US" w:eastAsia="zh-CN"/>
        </w:rPr>
        <w:t>3</w:t>
      </w:r>
      <w:r>
        <w:rPr>
          <w:rFonts w:hint="eastAsia" w:ascii="华文楷体" w:hAnsi="华文楷体" w:eastAsia="华文楷体" w:cs="宋体"/>
          <w:color w:val="auto"/>
          <w:kern w:val="0"/>
          <w:highlight w:val="none"/>
        </w:rPr>
        <w:t>月）任意三个月依法缴纳税收和社会保障资金记录的证明材料；依法免税或不需要缴纳</w:t>
      </w:r>
      <w:r>
        <w:rPr>
          <w:rFonts w:hint="eastAsia" w:ascii="华文楷体" w:hAnsi="华文楷体" w:eastAsia="华文楷体" w:cs="宋体"/>
          <w:kern w:val="0"/>
        </w:rPr>
        <w:t>社会保障资金的投标人须提供相应文件证明其依法免税或不需要缴纳社会保障资金；新成立企业时间不满足上述时间要求的，按成立时限提供，如还没有经营无法提供已缴纳税收证明材料的作出说明和承诺（格式自拟）；当月或新成立的企业，未有缴纳社保和税收证明材料的作出说明和承诺（格式自拟）。</w:t>
      </w:r>
    </w:p>
    <w:p w14:paraId="7732198C">
      <w:pPr>
        <w:autoSpaceDE w:val="0"/>
        <w:autoSpaceDN w:val="0"/>
        <w:spacing w:line="360" w:lineRule="auto"/>
        <w:ind w:firstLine="480"/>
        <w:rPr>
          <w:rFonts w:ascii="华文楷体" w:hAnsi="华文楷体" w:eastAsia="华文楷体" w:cs="宋体"/>
          <w:kern w:val="0"/>
        </w:rPr>
      </w:pPr>
    </w:p>
    <w:p w14:paraId="11686002">
      <w:pPr>
        <w:pStyle w:val="25"/>
        <w:spacing w:before="0" w:after="0" w:line="360" w:lineRule="auto"/>
        <w:jc w:val="left"/>
        <w:outlineLvl w:val="1"/>
        <w:rPr>
          <w:rFonts w:ascii="华文楷体" w:hAnsi="华文楷体" w:eastAsia="华文楷体" w:cs="宋体"/>
        </w:rPr>
      </w:pPr>
      <w:r>
        <w:rPr>
          <w:rFonts w:hint="eastAsia" w:ascii="华文楷体" w:hAnsi="华文楷体" w:eastAsia="华文楷体" w:cs="宋体"/>
          <w:kern w:val="0"/>
          <w:sz w:val="24"/>
          <w:lang w:val="zh-CN"/>
        </w:rPr>
        <w:br w:type="page"/>
      </w:r>
      <w:bookmarkEnd w:id="185"/>
      <w:bookmarkStart w:id="189" w:name="_Toc184345934"/>
      <w:bookmarkStart w:id="190" w:name="_Toc3204"/>
      <w:bookmarkStart w:id="191" w:name="_Toc515908216"/>
      <w:bookmarkStart w:id="192" w:name="_Toc21530"/>
      <w:r>
        <w:rPr>
          <w:rFonts w:hint="eastAsia" w:ascii="华文楷体" w:hAnsi="华文楷体" w:eastAsia="华文楷体" w:cs="宋体"/>
          <w:sz w:val="30"/>
          <w:szCs w:val="30"/>
        </w:rPr>
        <w:t>（8）</w:t>
      </w:r>
      <w:r>
        <w:rPr>
          <w:rFonts w:hint="eastAsia" w:ascii="华文楷体" w:hAnsi="华文楷体" w:eastAsia="华文楷体" w:cs="宋体"/>
          <w:sz w:val="30"/>
          <w:szCs w:val="30"/>
          <w:lang w:val="zh-CN"/>
        </w:rPr>
        <w:t>具备履行合同所必需的设备和专业技术能力的证明材料</w:t>
      </w:r>
      <w:bookmarkEnd w:id="189"/>
      <w:bookmarkEnd w:id="190"/>
      <w:bookmarkEnd w:id="191"/>
    </w:p>
    <w:p w14:paraId="0128FD0F">
      <w:pPr>
        <w:autoSpaceDE w:val="0"/>
        <w:autoSpaceDN w:val="0"/>
        <w:spacing w:line="360" w:lineRule="auto"/>
        <w:rPr>
          <w:rFonts w:ascii="华文楷体" w:hAnsi="华文楷体" w:eastAsia="华文楷体" w:cs="宋体"/>
          <w:kern w:val="0"/>
          <w:sz w:val="28"/>
          <w:szCs w:val="28"/>
          <w:lang w:val="zh-CN"/>
        </w:rPr>
      </w:pPr>
    </w:p>
    <w:p w14:paraId="03392E8E">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具备履行合同所必需的设备和专业技术能力的证明材料</w:t>
      </w:r>
    </w:p>
    <w:p w14:paraId="47991603">
      <w:pPr>
        <w:autoSpaceDE w:val="0"/>
        <w:autoSpaceDN w:val="0"/>
        <w:spacing w:line="360" w:lineRule="auto"/>
        <w:ind w:firstLine="480"/>
        <w:rPr>
          <w:rFonts w:ascii="华文楷体" w:hAnsi="华文楷体" w:eastAsia="华文楷体" w:cs="宋体"/>
          <w:kern w:val="0"/>
          <w:lang w:val="zh-CN"/>
        </w:rPr>
      </w:pPr>
    </w:p>
    <w:p w14:paraId="707FDC50">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为保证本项目合同的顺利履行，投标人必须具备履行合同的设备或专业技术能力，须提供必须具备履行合同的设备和专业技术能力的承诺函（格式自拟），并提供相关设备的购置发票或相关人员的职称证书</w:t>
      </w:r>
      <w:r>
        <w:rPr>
          <w:rFonts w:hint="eastAsia" w:ascii="华文楷体" w:hAnsi="华文楷体" w:eastAsia="华文楷体" w:cs="宋体"/>
          <w:kern w:val="0"/>
        </w:rPr>
        <w:t>或</w:t>
      </w:r>
      <w:r>
        <w:rPr>
          <w:rFonts w:hint="eastAsia" w:ascii="华文楷体" w:hAnsi="华文楷体" w:eastAsia="华文楷体" w:cs="宋体"/>
          <w:kern w:val="0"/>
          <w:lang w:val="zh-CN"/>
        </w:rPr>
        <w:t>用工合同等证明材料。</w:t>
      </w:r>
    </w:p>
    <w:p w14:paraId="51AED736">
      <w:pPr>
        <w:pStyle w:val="25"/>
        <w:spacing w:before="0" w:after="0" w:line="360" w:lineRule="auto"/>
        <w:jc w:val="left"/>
        <w:outlineLvl w:val="1"/>
        <w:rPr>
          <w:rFonts w:ascii="华文楷体" w:hAnsi="华文楷体" w:eastAsia="华文楷体" w:cs="宋体"/>
        </w:rPr>
      </w:pPr>
      <w:r>
        <w:rPr>
          <w:rFonts w:hint="eastAsia" w:ascii="华文楷体" w:hAnsi="华文楷体" w:eastAsia="华文楷体" w:cs="宋体"/>
          <w:kern w:val="0"/>
          <w:sz w:val="24"/>
          <w:lang w:val="zh-CN"/>
        </w:rPr>
        <w:br w:type="page"/>
      </w:r>
      <w:bookmarkStart w:id="193" w:name="_Toc515908217"/>
      <w:bookmarkStart w:id="194" w:name="_Toc27303"/>
      <w:bookmarkStart w:id="195" w:name="_Toc184345935"/>
      <w:r>
        <w:rPr>
          <w:rFonts w:hint="eastAsia" w:ascii="华文楷体" w:hAnsi="华文楷体" w:eastAsia="华文楷体" w:cs="宋体"/>
          <w:sz w:val="30"/>
          <w:szCs w:val="30"/>
        </w:rPr>
        <w:t>（9）</w:t>
      </w:r>
      <w:r>
        <w:rPr>
          <w:rFonts w:hint="eastAsia" w:ascii="华文楷体" w:hAnsi="华文楷体" w:eastAsia="华文楷体" w:cs="宋体"/>
          <w:sz w:val="30"/>
          <w:szCs w:val="30"/>
          <w:lang w:val="zh-CN"/>
        </w:rPr>
        <w:t>无重大违法记录声明</w:t>
      </w:r>
      <w:bookmarkEnd w:id="193"/>
      <w:bookmarkEnd w:id="194"/>
      <w:bookmarkEnd w:id="195"/>
    </w:p>
    <w:p w14:paraId="7C6B2A3C">
      <w:pPr>
        <w:autoSpaceDE w:val="0"/>
        <w:autoSpaceDN w:val="0"/>
        <w:spacing w:line="360" w:lineRule="auto"/>
        <w:rPr>
          <w:rFonts w:ascii="华文楷体" w:hAnsi="华文楷体" w:eastAsia="华文楷体" w:cs="宋体"/>
          <w:kern w:val="0"/>
          <w:sz w:val="28"/>
          <w:szCs w:val="28"/>
          <w:lang w:val="zh-CN"/>
        </w:rPr>
      </w:pPr>
    </w:p>
    <w:p w14:paraId="0B61FE94">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无重大违法记录声明</w:t>
      </w:r>
    </w:p>
    <w:p w14:paraId="65512627">
      <w:pPr>
        <w:spacing w:line="360" w:lineRule="auto"/>
        <w:rPr>
          <w:rFonts w:ascii="华文楷体" w:hAnsi="华文楷体" w:eastAsia="华文楷体" w:cs="宋体"/>
          <w:b/>
          <w:bCs/>
          <w:sz w:val="28"/>
          <w:szCs w:val="28"/>
        </w:rPr>
      </w:pPr>
    </w:p>
    <w:p w14:paraId="5E430C62">
      <w:pPr>
        <w:spacing w:line="360" w:lineRule="auto"/>
        <w:rPr>
          <w:rFonts w:ascii="华文楷体" w:hAnsi="华文楷体" w:eastAsia="华文楷体" w:cs="宋体"/>
          <w:b/>
          <w:bCs/>
        </w:rPr>
      </w:pPr>
      <w:r>
        <w:rPr>
          <w:rFonts w:hint="eastAsia" w:ascii="华文楷体" w:hAnsi="华文楷体" w:eastAsia="华文楷体" w:cs="宋体"/>
          <w:b/>
          <w:bCs/>
        </w:rPr>
        <w:t>致：</w:t>
      </w:r>
      <w:r>
        <w:rPr>
          <w:rFonts w:hint="eastAsia" w:ascii="华文楷体" w:hAnsi="华文楷体" w:eastAsia="华文楷体" w:cs="宋体"/>
          <w:b/>
          <w:bCs/>
          <w:kern w:val="0"/>
          <w:lang w:val="zh-CN"/>
        </w:rPr>
        <w:t>采购人或者采购代理机构</w:t>
      </w:r>
    </w:p>
    <w:p w14:paraId="0D5FA9EC">
      <w:pPr>
        <w:spacing w:line="360" w:lineRule="auto"/>
        <w:ind w:firstLine="480" w:firstLineChars="200"/>
        <w:rPr>
          <w:rFonts w:ascii="华文楷体" w:hAnsi="华文楷体" w:eastAsia="华文楷体" w:cs="宋体"/>
          <w:shd w:val="clear" w:color="auto" w:fill="FFFFFF"/>
        </w:rPr>
      </w:pPr>
      <w:r>
        <w:rPr>
          <w:rFonts w:hint="eastAsia" w:ascii="华文楷体" w:hAnsi="华文楷体" w:eastAsia="华文楷体" w:cs="宋体"/>
        </w:rPr>
        <w:t>我单位参加本次政府采购项目活动前三年内，在经营活动中无重大违法活动记录，符合《政府采购法》规定的投标人资格条</w:t>
      </w:r>
      <w:r>
        <w:rPr>
          <w:rFonts w:hint="eastAsia" w:ascii="华文楷体" w:hAnsi="华文楷体" w:eastAsia="华文楷体" w:cs="宋体"/>
          <w:shd w:val="clear" w:color="auto" w:fill="FFFFFF"/>
        </w:rPr>
        <w:t>件。我方对此声明负全部法律责任。</w:t>
      </w:r>
    </w:p>
    <w:p w14:paraId="78D392AB">
      <w:pPr>
        <w:spacing w:line="360" w:lineRule="auto"/>
        <w:ind w:firstLine="480" w:firstLineChars="200"/>
        <w:rPr>
          <w:rFonts w:ascii="华文楷体" w:hAnsi="华文楷体" w:eastAsia="华文楷体" w:cs="宋体"/>
        </w:rPr>
      </w:pPr>
      <w:r>
        <w:rPr>
          <w:rFonts w:hint="eastAsia" w:ascii="华文楷体" w:hAnsi="华文楷体" w:eastAsia="华文楷体" w:cs="宋体"/>
        </w:rPr>
        <w:t>特此声明。</w:t>
      </w:r>
    </w:p>
    <w:p w14:paraId="083B22F5">
      <w:pPr>
        <w:autoSpaceDE w:val="0"/>
        <w:autoSpaceDN w:val="0"/>
        <w:spacing w:line="360" w:lineRule="auto"/>
        <w:jc w:val="left"/>
        <w:rPr>
          <w:rFonts w:ascii="华文楷体" w:hAnsi="华文楷体" w:eastAsia="华文楷体" w:cs="宋体"/>
          <w:kern w:val="0"/>
          <w:lang w:val="zh-CN"/>
        </w:rPr>
      </w:pPr>
    </w:p>
    <w:p w14:paraId="0DA9DE0B">
      <w:pPr>
        <w:autoSpaceDE w:val="0"/>
        <w:autoSpaceDN w:val="0"/>
        <w:spacing w:line="360" w:lineRule="auto"/>
        <w:jc w:val="left"/>
        <w:rPr>
          <w:rFonts w:ascii="华文楷体" w:hAnsi="华文楷体" w:eastAsia="华文楷体" w:cs="宋体"/>
          <w:kern w:val="0"/>
          <w:lang w:val="zh-CN"/>
        </w:rPr>
      </w:pPr>
    </w:p>
    <w:p w14:paraId="0E4428FB">
      <w:pPr>
        <w:autoSpaceDE w:val="0"/>
        <w:autoSpaceDN w:val="0"/>
        <w:spacing w:line="360" w:lineRule="auto"/>
        <w:jc w:val="left"/>
        <w:rPr>
          <w:rFonts w:ascii="华文楷体" w:hAnsi="华文楷体" w:eastAsia="华文楷体" w:cs="宋体"/>
          <w:kern w:val="0"/>
          <w:lang w:val="zh-CN"/>
        </w:rPr>
      </w:pPr>
    </w:p>
    <w:p w14:paraId="6640DB33">
      <w:pPr>
        <w:autoSpaceDE w:val="0"/>
        <w:autoSpaceDN w:val="0"/>
        <w:spacing w:line="360" w:lineRule="auto"/>
        <w:jc w:val="left"/>
        <w:rPr>
          <w:rFonts w:ascii="华文楷体" w:hAnsi="华文楷体" w:eastAsia="华文楷体" w:cs="宋体"/>
          <w:kern w:val="0"/>
          <w:lang w:val="zh-CN"/>
        </w:rPr>
      </w:pPr>
    </w:p>
    <w:p w14:paraId="24CF8A37">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43CFE919">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72D3C8B5">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70D45869">
      <w:pPr>
        <w:pStyle w:val="25"/>
        <w:spacing w:before="0" w:after="0" w:line="360" w:lineRule="auto"/>
        <w:jc w:val="left"/>
        <w:outlineLvl w:val="1"/>
        <w:rPr>
          <w:rFonts w:ascii="华文楷体" w:hAnsi="华文楷体" w:eastAsia="华文楷体" w:cs="宋体"/>
          <w:lang w:val="zh-CN"/>
        </w:rPr>
      </w:pPr>
      <w:r>
        <w:rPr>
          <w:rFonts w:hint="eastAsia" w:ascii="华文楷体" w:hAnsi="华文楷体" w:eastAsia="华文楷体" w:cs="宋体"/>
          <w:lang w:val="zh-CN"/>
        </w:rPr>
        <w:br w:type="page"/>
      </w:r>
      <w:bookmarkStart w:id="196" w:name="_Toc184345936"/>
      <w:bookmarkStart w:id="197" w:name="_Toc515908218"/>
      <w:bookmarkStart w:id="198" w:name="_Toc29764"/>
      <w:bookmarkStart w:id="199" w:name="_Toc5528"/>
      <w:r>
        <w:rPr>
          <w:rFonts w:hint="eastAsia" w:ascii="华文楷体" w:hAnsi="华文楷体" w:eastAsia="华文楷体" w:cs="宋体"/>
          <w:sz w:val="30"/>
          <w:szCs w:val="30"/>
        </w:rPr>
        <w:t>（10）</w:t>
      </w:r>
      <w:r>
        <w:rPr>
          <w:rFonts w:hint="eastAsia" w:ascii="华文楷体" w:hAnsi="华文楷体" w:eastAsia="华文楷体" w:cs="宋体"/>
          <w:sz w:val="30"/>
          <w:szCs w:val="30"/>
          <w:lang w:val="zh-CN"/>
        </w:rPr>
        <w:t>投标保证金证明</w:t>
      </w:r>
      <w:bookmarkEnd w:id="196"/>
      <w:bookmarkEnd w:id="197"/>
      <w:bookmarkEnd w:id="198"/>
      <w:bookmarkEnd w:id="199"/>
    </w:p>
    <w:p w14:paraId="11C9AE42">
      <w:pPr>
        <w:spacing w:line="360" w:lineRule="auto"/>
        <w:rPr>
          <w:rFonts w:ascii="华文楷体" w:hAnsi="华文楷体" w:eastAsia="华文楷体" w:cs="宋体"/>
          <w:sz w:val="28"/>
          <w:szCs w:val="28"/>
          <w:lang w:val="zh-CN"/>
        </w:rPr>
      </w:pPr>
    </w:p>
    <w:p w14:paraId="02A05E69">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投标保证金证明</w:t>
      </w:r>
    </w:p>
    <w:p w14:paraId="7270DAD7">
      <w:pPr>
        <w:autoSpaceDE w:val="0"/>
        <w:autoSpaceDN w:val="0"/>
        <w:spacing w:line="360" w:lineRule="auto"/>
        <w:rPr>
          <w:rFonts w:ascii="华文楷体" w:hAnsi="华文楷体" w:eastAsia="华文楷体" w:cs="宋体"/>
          <w:b/>
          <w:bCs/>
          <w:kern w:val="0"/>
          <w:sz w:val="28"/>
          <w:szCs w:val="28"/>
          <w:lang w:val="zh-CN"/>
        </w:rPr>
      </w:pPr>
    </w:p>
    <w:p w14:paraId="39EE2114">
      <w:pPr>
        <w:autoSpaceDE w:val="0"/>
        <w:autoSpaceDN w:val="0"/>
        <w:spacing w:line="360" w:lineRule="auto"/>
        <w:rPr>
          <w:rFonts w:ascii="华文楷体" w:hAnsi="华文楷体" w:eastAsia="华文楷体" w:cs="宋体"/>
          <w:b/>
          <w:bCs/>
          <w:kern w:val="0"/>
        </w:rPr>
      </w:pPr>
      <w:r>
        <w:rPr>
          <w:rFonts w:hint="eastAsia" w:ascii="华文楷体" w:hAnsi="华文楷体" w:eastAsia="华文楷体" w:cs="宋体"/>
          <w:b/>
          <w:bCs/>
          <w:kern w:val="0"/>
          <w:lang w:val="zh-CN"/>
        </w:rPr>
        <w:t>致：采购人或者采购代理机构</w:t>
      </w:r>
    </w:p>
    <w:p w14:paraId="0A07B970">
      <w:pPr>
        <w:autoSpaceDE w:val="0"/>
        <w:autoSpaceDN w:val="0"/>
        <w:spacing w:line="360" w:lineRule="auto"/>
        <w:ind w:firstLine="360"/>
        <w:rPr>
          <w:rFonts w:ascii="华文楷体" w:hAnsi="华文楷体" w:eastAsia="华文楷体" w:cs="宋体"/>
          <w:kern w:val="0"/>
          <w:lang w:val="zh-CN"/>
        </w:rPr>
      </w:pPr>
      <w:r>
        <w:rPr>
          <w:rFonts w:hint="eastAsia" w:ascii="华文楷体" w:hAnsi="华文楷体" w:eastAsia="华文楷体" w:cs="宋体"/>
          <w:kern w:val="0"/>
          <w:lang w:val="zh-CN"/>
        </w:rPr>
        <w:t>我方为（</w:t>
      </w:r>
      <w:r>
        <w:rPr>
          <w:rFonts w:hint="eastAsia" w:ascii="华文楷体" w:hAnsi="华文楷体" w:eastAsia="华文楷体" w:cs="宋体"/>
          <w:kern w:val="0"/>
          <w:u w:val="single"/>
          <w:lang w:val="zh-CN"/>
        </w:rPr>
        <w:t>采购项目名称</w:t>
      </w:r>
      <w:r>
        <w:rPr>
          <w:rFonts w:hint="eastAsia" w:ascii="华文楷体" w:hAnsi="华文楷体" w:eastAsia="华文楷体" w:cs="宋体"/>
          <w:kern w:val="0"/>
          <w:u w:val="single"/>
        </w:rPr>
        <w:t>/包号</w:t>
      </w:r>
      <w:r>
        <w:rPr>
          <w:rFonts w:hint="eastAsia" w:ascii="华文楷体" w:hAnsi="华文楷体" w:eastAsia="华文楷体" w:cs="宋体"/>
          <w:kern w:val="0"/>
          <w:lang w:val="zh-CN"/>
        </w:rPr>
        <w:t>）项目（采购项目编号为：</w:t>
      </w:r>
      <w:r>
        <w:rPr>
          <w:rFonts w:hint="eastAsia" w:ascii="华文楷体" w:hAnsi="华文楷体" w:eastAsia="华文楷体" w:cs="宋体"/>
          <w:kern w:val="0"/>
          <w:u w:val="single"/>
          <w:lang w:val="zh-CN"/>
        </w:rPr>
        <w:t xml:space="preserve">        </w:t>
      </w:r>
      <w:r>
        <w:rPr>
          <w:rFonts w:hint="eastAsia" w:ascii="华文楷体" w:hAnsi="华文楷体" w:eastAsia="华文楷体" w:cs="宋体"/>
          <w:kern w:val="0"/>
          <w:lang w:val="zh-CN"/>
        </w:rPr>
        <w:t>）递交保证金人民币（大写：人民币</w:t>
      </w:r>
      <w:r>
        <w:rPr>
          <w:rFonts w:hint="eastAsia" w:ascii="华文楷体" w:hAnsi="华文楷体" w:eastAsia="华文楷体" w:cs="宋体"/>
          <w:kern w:val="0"/>
          <w:u w:val="single"/>
          <w:lang w:val="zh-CN"/>
        </w:rPr>
        <w:t xml:space="preserve">        </w:t>
      </w:r>
      <w:r>
        <w:rPr>
          <w:rFonts w:hint="eastAsia" w:ascii="华文楷体" w:hAnsi="华文楷体" w:eastAsia="华文楷体" w:cs="宋体"/>
          <w:kern w:val="0"/>
          <w:lang w:val="zh-CN"/>
        </w:rPr>
        <w:t>元）已于</w:t>
      </w:r>
      <w:r>
        <w:rPr>
          <w:rFonts w:hint="eastAsia" w:ascii="华文楷体" w:hAnsi="华文楷体" w:eastAsia="华文楷体" w:cs="宋体"/>
          <w:kern w:val="0"/>
          <w:u w:val="single"/>
          <w:lang w:val="zh-CN"/>
        </w:rPr>
        <w:t xml:space="preserve">     </w:t>
      </w:r>
      <w:r>
        <w:rPr>
          <w:rFonts w:ascii="华文楷体" w:hAnsi="华文楷体" w:eastAsia="华文楷体" w:cs="宋体"/>
          <w:kern w:val="0"/>
          <w:u w:val="single"/>
        </w:rPr>
        <w:t xml:space="preserve"> </w:t>
      </w:r>
      <w:r>
        <w:rPr>
          <w:rFonts w:hint="eastAsia" w:ascii="华文楷体" w:hAnsi="华文楷体" w:eastAsia="华文楷体" w:cs="宋体"/>
          <w:kern w:val="0"/>
          <w:lang w:val="zh-CN"/>
        </w:rPr>
        <w:t>年</w:t>
      </w:r>
      <w:r>
        <w:rPr>
          <w:rFonts w:hint="eastAsia" w:ascii="华文楷体" w:hAnsi="华文楷体" w:eastAsia="华文楷体" w:cs="宋体"/>
          <w:kern w:val="0"/>
          <w:u w:val="single"/>
          <w:lang w:val="zh-CN"/>
        </w:rPr>
        <w:t xml:space="preserve">    </w:t>
      </w:r>
      <w:r>
        <w:rPr>
          <w:rFonts w:ascii="华文楷体" w:hAnsi="华文楷体" w:eastAsia="华文楷体" w:cs="宋体"/>
          <w:kern w:val="0"/>
          <w:u w:val="single"/>
        </w:rPr>
        <w:t xml:space="preserve">  </w:t>
      </w:r>
      <w:r>
        <w:rPr>
          <w:rFonts w:hint="eastAsia" w:ascii="华文楷体" w:hAnsi="华文楷体" w:eastAsia="华文楷体" w:cs="宋体"/>
          <w:kern w:val="0"/>
          <w:lang w:val="zh-CN"/>
        </w:rPr>
        <w:t>月</w:t>
      </w:r>
      <w:r>
        <w:rPr>
          <w:rFonts w:hint="eastAsia" w:ascii="华文楷体" w:hAnsi="华文楷体" w:eastAsia="华文楷体" w:cs="宋体"/>
          <w:kern w:val="0"/>
          <w:u w:val="single"/>
          <w:lang w:val="zh-CN"/>
        </w:rPr>
        <w:t xml:space="preserve">    </w:t>
      </w:r>
      <w:r>
        <w:rPr>
          <w:rFonts w:ascii="华文楷体" w:hAnsi="华文楷体" w:eastAsia="华文楷体" w:cs="宋体"/>
          <w:kern w:val="0"/>
          <w:u w:val="single"/>
        </w:rPr>
        <w:t xml:space="preserve">  </w:t>
      </w:r>
      <w:r>
        <w:rPr>
          <w:rFonts w:hint="eastAsia" w:ascii="华文楷体" w:hAnsi="华文楷体" w:eastAsia="华文楷体" w:cs="宋体"/>
          <w:kern w:val="0"/>
          <w:lang w:val="zh-CN"/>
        </w:rPr>
        <w:t>日以转账方式汇入你方账户。</w:t>
      </w:r>
    </w:p>
    <w:p w14:paraId="098B1B5E">
      <w:pPr>
        <w:autoSpaceDE w:val="0"/>
        <w:autoSpaceDN w:val="0"/>
        <w:spacing w:line="360" w:lineRule="auto"/>
        <w:ind w:firstLine="360"/>
        <w:rPr>
          <w:rFonts w:ascii="华文楷体" w:hAnsi="华文楷体" w:eastAsia="华文楷体" w:cs="宋体"/>
          <w:kern w:val="0"/>
          <w:lang w:val="zh-CN"/>
        </w:rPr>
      </w:pPr>
      <w:r>
        <w:rPr>
          <w:rFonts w:hint="eastAsia" w:ascii="华文楷体" w:hAnsi="华文楷体" w:eastAsia="华文楷体" w:cs="宋体"/>
          <w:kern w:val="0"/>
          <w:lang w:val="zh-CN"/>
        </w:rPr>
        <w:t>附件：保证金交款证明复印件（加盖公章）</w:t>
      </w:r>
    </w:p>
    <w:p w14:paraId="6B5D13DB">
      <w:pPr>
        <w:autoSpaceDE w:val="0"/>
        <w:autoSpaceDN w:val="0"/>
        <w:spacing w:line="360" w:lineRule="auto"/>
        <w:ind w:firstLine="360"/>
        <w:rPr>
          <w:rFonts w:ascii="华文楷体" w:hAnsi="华文楷体" w:eastAsia="华文楷体" w:cs="宋体"/>
          <w:kern w:val="0"/>
          <w:lang w:val="zh-CN"/>
        </w:rPr>
      </w:pPr>
      <w:r>
        <w:rPr>
          <w:rFonts w:hint="eastAsia" w:ascii="华文楷体" w:hAnsi="华文楷体" w:eastAsia="华文楷体" w:cs="宋体"/>
          <w:kern w:val="0"/>
          <w:lang w:val="zh-CN"/>
        </w:rPr>
        <w:t>退还保证金时请按以下内容汇入至我方账户（同递交保证金账户）。若因提供内容不全、错误等原因导致该项目保证金未能及时退还或退还过程中发生错误，我方将承担全部责任和损失。</w:t>
      </w:r>
    </w:p>
    <w:p w14:paraId="6B749937">
      <w:pPr>
        <w:autoSpaceDE w:val="0"/>
        <w:autoSpaceDN w:val="0"/>
        <w:spacing w:line="360" w:lineRule="auto"/>
        <w:ind w:firstLine="360"/>
        <w:rPr>
          <w:rFonts w:ascii="华文楷体" w:hAnsi="华文楷体" w:eastAsia="华文楷体" w:cs="宋体"/>
          <w:kern w:val="0"/>
          <w:lang w:val="zh-CN"/>
        </w:rPr>
      </w:pPr>
      <w:r>
        <w:rPr>
          <w:rFonts w:hint="eastAsia" w:ascii="华文楷体" w:hAnsi="华文楷体" w:eastAsia="华文楷体" w:cs="宋体"/>
          <w:kern w:val="0"/>
          <w:lang w:val="zh-CN"/>
        </w:rPr>
        <w:t>户    名：</w:t>
      </w:r>
    </w:p>
    <w:p w14:paraId="5BD50F53">
      <w:pPr>
        <w:autoSpaceDE w:val="0"/>
        <w:autoSpaceDN w:val="0"/>
        <w:spacing w:line="360" w:lineRule="auto"/>
        <w:ind w:firstLine="360"/>
        <w:rPr>
          <w:rFonts w:ascii="华文楷体" w:hAnsi="华文楷体" w:eastAsia="华文楷体" w:cs="宋体"/>
          <w:kern w:val="0"/>
          <w:lang w:val="zh-CN"/>
        </w:rPr>
      </w:pPr>
      <w:r>
        <w:rPr>
          <w:rFonts w:hint="eastAsia" w:ascii="华文楷体" w:hAnsi="华文楷体" w:eastAsia="华文楷体" w:cs="宋体"/>
          <w:kern w:val="0"/>
          <w:lang w:val="zh-CN"/>
        </w:rPr>
        <w:t>开户银行：</w:t>
      </w:r>
    </w:p>
    <w:p w14:paraId="59A6F941">
      <w:pPr>
        <w:autoSpaceDE w:val="0"/>
        <w:autoSpaceDN w:val="0"/>
        <w:spacing w:line="360" w:lineRule="auto"/>
        <w:ind w:firstLine="360"/>
        <w:rPr>
          <w:rFonts w:ascii="华文楷体" w:hAnsi="华文楷体" w:eastAsia="华文楷体" w:cs="宋体"/>
          <w:lang w:val="zh-CN"/>
        </w:rPr>
      </w:pPr>
      <w:r>
        <w:rPr>
          <w:rFonts w:hint="eastAsia" w:ascii="华文楷体" w:hAnsi="华文楷体" w:eastAsia="华文楷体" w:cs="宋体"/>
          <w:kern w:val="0"/>
          <w:lang w:val="zh-CN"/>
        </w:rPr>
        <w:t>开户帐号：</w:t>
      </w:r>
    </w:p>
    <w:p w14:paraId="21A2C4F3">
      <w:pPr>
        <w:autoSpaceDE w:val="0"/>
        <w:autoSpaceDN w:val="0"/>
        <w:spacing w:line="360" w:lineRule="auto"/>
        <w:rPr>
          <w:rFonts w:ascii="华文楷体" w:hAnsi="华文楷体" w:eastAsia="华文楷体" w:cs="宋体"/>
          <w:kern w:val="0"/>
          <w:lang w:val="zh-CN"/>
        </w:rPr>
      </w:pPr>
    </w:p>
    <w:p w14:paraId="50F41EE4">
      <w:pPr>
        <w:autoSpaceDE w:val="0"/>
        <w:autoSpaceDN w:val="0"/>
        <w:spacing w:line="360" w:lineRule="auto"/>
        <w:ind w:firstLine="360"/>
        <w:rPr>
          <w:rFonts w:ascii="华文楷体" w:hAnsi="华文楷体" w:eastAsia="华文楷体" w:cs="宋体"/>
          <w:kern w:val="0"/>
          <w:lang w:val="zh-CN"/>
        </w:rPr>
      </w:pPr>
    </w:p>
    <w:p w14:paraId="163F3310">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047280CE">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71511986">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617C0ADC">
      <w:pPr>
        <w:autoSpaceDE w:val="0"/>
        <w:autoSpaceDN w:val="0"/>
        <w:spacing w:line="360" w:lineRule="auto"/>
        <w:rPr>
          <w:rFonts w:ascii="华文楷体" w:hAnsi="华文楷体" w:eastAsia="华文楷体" w:cs="宋体"/>
          <w:b/>
          <w:bCs/>
          <w:kern w:val="0"/>
          <w:sz w:val="21"/>
          <w:szCs w:val="21"/>
          <w:lang w:val="zh-CN"/>
        </w:rPr>
      </w:pPr>
    </w:p>
    <w:bookmarkEnd w:id="192"/>
    <w:p w14:paraId="5279ACA1">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注：提供保函保单的投标人不受此格式限制，须提供保函或保单的彩色扫描件。</w:t>
      </w:r>
    </w:p>
    <w:p w14:paraId="3DF026BF">
      <w:pPr>
        <w:rPr>
          <w:rFonts w:ascii="华文楷体" w:hAnsi="华文楷体" w:eastAsia="华文楷体" w:cs="宋体"/>
          <w:b/>
          <w:sz w:val="36"/>
          <w:szCs w:val="36"/>
          <w:lang w:val="zh-CN"/>
        </w:rPr>
      </w:pPr>
    </w:p>
    <w:p w14:paraId="1E9E914C">
      <w:pPr>
        <w:rPr>
          <w:rFonts w:ascii="华文楷体" w:hAnsi="华文楷体" w:eastAsia="华文楷体" w:cs="宋体"/>
          <w:sz w:val="30"/>
          <w:szCs w:val="30"/>
          <w:lang w:val="zh-CN"/>
        </w:rPr>
      </w:pPr>
      <w:bookmarkStart w:id="200" w:name="_Toc21146"/>
      <w:r>
        <w:rPr>
          <w:rFonts w:hint="eastAsia" w:ascii="华文楷体" w:hAnsi="华文楷体" w:eastAsia="华文楷体" w:cs="宋体"/>
          <w:sz w:val="30"/>
          <w:szCs w:val="30"/>
          <w:lang w:val="zh-CN"/>
        </w:rPr>
        <w:br w:type="page"/>
      </w:r>
    </w:p>
    <w:p w14:paraId="4EC1D277">
      <w:pPr>
        <w:pStyle w:val="25"/>
        <w:spacing w:before="0" w:after="0" w:line="360" w:lineRule="auto"/>
        <w:jc w:val="left"/>
        <w:outlineLvl w:val="1"/>
        <w:rPr>
          <w:rFonts w:ascii="华文楷体" w:hAnsi="华文楷体" w:eastAsia="华文楷体" w:cs="宋体"/>
          <w:sz w:val="30"/>
          <w:szCs w:val="30"/>
          <w:lang w:val="zh-CN"/>
        </w:rPr>
      </w:pPr>
      <w:bookmarkStart w:id="201" w:name="_Toc184345937"/>
      <w:r>
        <w:rPr>
          <w:rFonts w:hint="eastAsia" w:ascii="华文楷体" w:hAnsi="华文楷体" w:eastAsia="华文楷体" w:cs="宋体"/>
          <w:sz w:val="30"/>
          <w:szCs w:val="30"/>
          <w:lang w:val="zh-CN"/>
        </w:rPr>
        <w:t>（</w:t>
      </w:r>
      <w:bookmarkStart w:id="202" w:name="_Toc10010"/>
      <w:bookmarkStart w:id="203" w:name="_Toc515908226"/>
      <w:r>
        <w:rPr>
          <w:rFonts w:hint="eastAsia" w:ascii="华文楷体" w:hAnsi="华文楷体" w:eastAsia="华文楷体" w:cs="宋体"/>
          <w:sz w:val="30"/>
          <w:szCs w:val="30"/>
          <w:lang w:val="zh-CN"/>
        </w:rPr>
        <w:t>1</w:t>
      </w:r>
      <w:bookmarkEnd w:id="202"/>
      <w:bookmarkEnd w:id="203"/>
      <w:r>
        <w:rPr>
          <w:rFonts w:hint="eastAsia" w:ascii="华文楷体" w:hAnsi="华文楷体" w:eastAsia="华文楷体" w:cs="宋体"/>
          <w:sz w:val="30"/>
          <w:szCs w:val="30"/>
        </w:rPr>
        <w:t>1</w:t>
      </w:r>
      <w:r>
        <w:rPr>
          <w:rFonts w:hint="eastAsia" w:ascii="华文楷体" w:hAnsi="华文楷体" w:eastAsia="华文楷体" w:cs="宋体"/>
          <w:sz w:val="30"/>
          <w:szCs w:val="30"/>
          <w:lang w:val="zh-CN"/>
        </w:rPr>
        <w:t>）中小企业声明函（货物）</w:t>
      </w:r>
      <w:bookmarkEnd w:id="200"/>
      <w:bookmarkEnd w:id="201"/>
    </w:p>
    <w:p w14:paraId="09A665E1">
      <w:pPr>
        <w:jc w:val="center"/>
        <w:rPr>
          <w:rFonts w:ascii="华文楷体" w:hAnsi="华文楷体" w:eastAsia="华文楷体"/>
          <w:b/>
          <w:sz w:val="30"/>
          <w:szCs w:val="30"/>
          <w:lang w:val="zh-CN"/>
        </w:rPr>
      </w:pPr>
      <w:bookmarkStart w:id="204" w:name="_Toc5591"/>
      <w:bookmarkStart w:id="205" w:name="_Toc13495"/>
      <w:bookmarkStart w:id="206" w:name="_Toc22937"/>
      <w:r>
        <w:rPr>
          <w:rFonts w:hint="eastAsia" w:ascii="华文楷体" w:hAnsi="华文楷体" w:eastAsia="华文楷体"/>
          <w:b/>
          <w:sz w:val="30"/>
          <w:szCs w:val="30"/>
          <w:lang w:val="zh-CN"/>
        </w:rPr>
        <w:t>中小企业声明函（货物）</w:t>
      </w:r>
      <w:bookmarkEnd w:id="204"/>
      <w:bookmarkEnd w:id="205"/>
      <w:bookmarkEnd w:id="206"/>
    </w:p>
    <w:p w14:paraId="4612A816">
      <w:pPr>
        <w:spacing w:line="460" w:lineRule="exact"/>
        <w:ind w:firstLine="480" w:firstLineChars="200"/>
        <w:rPr>
          <w:rFonts w:ascii="华文楷体" w:hAnsi="华文楷体" w:eastAsia="华文楷体"/>
        </w:rPr>
      </w:pPr>
      <w:bookmarkStart w:id="207" w:name="_Toc23502"/>
      <w:r>
        <w:rPr>
          <w:rFonts w:hint="eastAsia" w:ascii="华文楷体" w:hAnsi="华文楷体" w:eastAsia="华文楷体"/>
        </w:rPr>
        <w:t>本公司郑重声明，根据《政府采购促进中小企业发展管理办法》（财库﹝2020﹞46 号）的规定，本公司参加（</w:t>
      </w:r>
      <w:r>
        <w:rPr>
          <w:rFonts w:hint="eastAsia" w:ascii="华文楷体" w:hAnsi="华文楷体" w:eastAsia="华文楷体"/>
          <w:u w:val="single"/>
        </w:rPr>
        <w:t>单位名称</w:t>
      </w:r>
      <w:r>
        <w:rPr>
          <w:rFonts w:hint="eastAsia" w:ascii="华文楷体" w:hAnsi="华文楷体" w:eastAsia="华文楷体"/>
        </w:rPr>
        <w:t>）的（</w:t>
      </w:r>
      <w:r>
        <w:rPr>
          <w:rFonts w:hint="eastAsia" w:ascii="华文楷体" w:hAnsi="华文楷体" w:eastAsia="华文楷体"/>
          <w:u w:val="single"/>
        </w:rPr>
        <w:t>项目名称</w:t>
      </w:r>
      <w:r>
        <w:rPr>
          <w:rFonts w:hint="eastAsia" w:ascii="华文楷体" w:hAnsi="华文楷体" w:eastAsia="华文楷体"/>
        </w:rPr>
        <w:t>）采购活动，提供的货物全部由符合政策要求的中小企业制造。相关企业的具体情况如下：</w:t>
      </w:r>
    </w:p>
    <w:p w14:paraId="1486780A">
      <w:pPr>
        <w:spacing w:line="460" w:lineRule="exact"/>
        <w:ind w:firstLine="480" w:firstLineChars="200"/>
        <w:rPr>
          <w:rFonts w:ascii="华文楷体" w:hAnsi="华文楷体" w:eastAsia="华文楷体"/>
          <w:lang w:val="zh-CN"/>
        </w:rPr>
      </w:pPr>
      <w:bookmarkStart w:id="208" w:name="_Toc22993"/>
      <w:bookmarkStart w:id="209" w:name="_Toc20679"/>
      <w:r>
        <w:rPr>
          <w:rFonts w:hint="eastAsia" w:ascii="华文楷体" w:hAnsi="华文楷体" w:eastAsia="华文楷体"/>
          <w:lang w:val="zh-CN"/>
        </w:rPr>
        <w:t xml:space="preserve">1. </w:t>
      </w:r>
      <w:r>
        <w:rPr>
          <w:rFonts w:hint="eastAsia" w:ascii="华文楷体" w:hAnsi="华文楷体" w:eastAsia="华文楷体"/>
          <w:u w:val="single"/>
          <w:lang w:val="zh-CN"/>
        </w:rPr>
        <w:t xml:space="preserve">（标的名称） </w:t>
      </w:r>
      <w:r>
        <w:rPr>
          <w:rFonts w:hint="eastAsia" w:ascii="华文楷体" w:hAnsi="华文楷体" w:eastAsia="华文楷体"/>
          <w:lang w:val="zh-CN"/>
        </w:rPr>
        <w:t>，属于</w:t>
      </w:r>
      <w:r>
        <w:rPr>
          <w:rFonts w:hint="eastAsia" w:ascii="华文楷体" w:hAnsi="华文楷体" w:eastAsia="华文楷体"/>
          <w:u w:val="single"/>
          <w:lang w:val="zh-CN"/>
        </w:rPr>
        <w:t>（采购文件中明确的所属行业）</w:t>
      </w:r>
      <w:r>
        <w:rPr>
          <w:rFonts w:hint="eastAsia" w:ascii="华文楷体" w:hAnsi="华文楷体" w:eastAsia="华文楷体"/>
          <w:lang w:val="zh-CN"/>
        </w:rPr>
        <w:t>行业；制造商为</w:t>
      </w:r>
      <w:r>
        <w:rPr>
          <w:rFonts w:hint="eastAsia" w:ascii="华文楷体" w:hAnsi="华文楷体" w:eastAsia="华文楷体"/>
          <w:u w:val="single"/>
          <w:lang w:val="zh-CN"/>
        </w:rPr>
        <w:t>（企业名称）</w:t>
      </w:r>
      <w:r>
        <w:rPr>
          <w:rFonts w:hint="eastAsia" w:ascii="华文楷体" w:hAnsi="华文楷体" w:eastAsia="华文楷体"/>
          <w:lang w:val="zh-CN"/>
        </w:rPr>
        <w:t>，从业人员</w:t>
      </w:r>
      <w:r>
        <w:rPr>
          <w:rFonts w:hint="eastAsia" w:ascii="华文楷体" w:hAnsi="华文楷体" w:eastAsia="华文楷体"/>
          <w:u w:val="single"/>
          <w:lang w:val="zh-CN"/>
        </w:rPr>
        <w:t xml:space="preserve">     </w:t>
      </w:r>
      <w:r>
        <w:rPr>
          <w:rFonts w:hint="eastAsia" w:ascii="华文楷体" w:hAnsi="华文楷体" w:eastAsia="华文楷体"/>
          <w:lang w:val="zh-CN"/>
        </w:rPr>
        <w:t>人，营业收入为</w:t>
      </w:r>
      <w:r>
        <w:rPr>
          <w:rFonts w:hint="eastAsia" w:ascii="华文楷体" w:hAnsi="华文楷体" w:eastAsia="华文楷体"/>
          <w:u w:val="single"/>
          <w:lang w:val="zh-CN"/>
        </w:rPr>
        <w:t xml:space="preserve">     </w:t>
      </w:r>
      <w:r>
        <w:rPr>
          <w:rFonts w:hint="eastAsia" w:ascii="华文楷体" w:hAnsi="华文楷体" w:eastAsia="华文楷体"/>
          <w:lang w:val="zh-CN"/>
        </w:rPr>
        <w:t>万元，资产总额为</w:t>
      </w:r>
      <w:r>
        <w:rPr>
          <w:rFonts w:hint="eastAsia" w:ascii="华文楷体" w:hAnsi="华文楷体" w:eastAsia="华文楷体"/>
          <w:u w:val="single"/>
          <w:lang w:val="zh-CN"/>
        </w:rPr>
        <w:t xml:space="preserve">     </w:t>
      </w:r>
      <w:r>
        <w:rPr>
          <w:rFonts w:hint="eastAsia" w:ascii="华文楷体" w:hAnsi="华文楷体" w:eastAsia="华文楷体"/>
          <w:lang w:val="zh-CN"/>
        </w:rPr>
        <w:t>万元 ，属于</w:t>
      </w:r>
      <w:r>
        <w:rPr>
          <w:rFonts w:hint="eastAsia" w:ascii="华文楷体" w:hAnsi="华文楷体" w:eastAsia="华文楷体"/>
          <w:u w:val="single"/>
          <w:lang w:val="zh-CN"/>
        </w:rPr>
        <w:t>（中型企业、小型企业、微型企业）</w:t>
      </w:r>
      <w:r>
        <w:rPr>
          <w:rFonts w:hint="eastAsia" w:ascii="华文楷体" w:hAnsi="华文楷体" w:eastAsia="华文楷体"/>
          <w:lang w:val="zh-CN"/>
        </w:rPr>
        <w:t>；</w:t>
      </w:r>
      <w:bookmarkEnd w:id="207"/>
      <w:bookmarkEnd w:id="208"/>
      <w:bookmarkEnd w:id="209"/>
    </w:p>
    <w:p w14:paraId="7D8E7182">
      <w:pPr>
        <w:spacing w:line="460" w:lineRule="exact"/>
        <w:ind w:firstLine="480" w:firstLineChars="200"/>
        <w:rPr>
          <w:rFonts w:ascii="华文楷体" w:hAnsi="华文楷体" w:eastAsia="华文楷体"/>
          <w:lang w:val="zh-CN"/>
        </w:rPr>
      </w:pPr>
      <w:bookmarkStart w:id="210" w:name="_Toc18131"/>
      <w:bookmarkStart w:id="211" w:name="_Toc24993"/>
      <w:bookmarkStart w:id="212" w:name="_Toc28872"/>
      <w:r>
        <w:rPr>
          <w:rFonts w:hint="eastAsia" w:ascii="华文楷体" w:hAnsi="华文楷体" w:eastAsia="华文楷体"/>
          <w:lang w:val="zh-CN"/>
        </w:rPr>
        <w:t xml:space="preserve">2. </w:t>
      </w:r>
      <w:r>
        <w:rPr>
          <w:rFonts w:hint="eastAsia" w:ascii="华文楷体" w:hAnsi="华文楷体" w:eastAsia="华文楷体"/>
          <w:u w:val="single"/>
          <w:lang w:val="zh-CN"/>
        </w:rPr>
        <w:t xml:space="preserve">（标的名称） </w:t>
      </w:r>
      <w:r>
        <w:rPr>
          <w:rFonts w:hint="eastAsia" w:ascii="华文楷体" w:hAnsi="华文楷体" w:eastAsia="华文楷体"/>
          <w:lang w:val="zh-CN"/>
        </w:rPr>
        <w:t>，属于</w:t>
      </w:r>
      <w:r>
        <w:rPr>
          <w:rFonts w:hint="eastAsia" w:ascii="华文楷体" w:hAnsi="华文楷体" w:eastAsia="华文楷体"/>
          <w:u w:val="single"/>
          <w:lang w:val="zh-CN"/>
        </w:rPr>
        <w:t>（采购文件中明确的所属行业）</w:t>
      </w:r>
      <w:r>
        <w:rPr>
          <w:rFonts w:hint="eastAsia" w:ascii="华文楷体" w:hAnsi="华文楷体" w:eastAsia="华文楷体"/>
          <w:lang w:val="zh-CN"/>
        </w:rPr>
        <w:t>行业；制造商为</w:t>
      </w:r>
      <w:r>
        <w:rPr>
          <w:rFonts w:hint="eastAsia" w:ascii="华文楷体" w:hAnsi="华文楷体" w:eastAsia="华文楷体"/>
          <w:u w:val="single"/>
          <w:lang w:val="zh-CN"/>
        </w:rPr>
        <w:t>（企业名称）</w:t>
      </w:r>
      <w:r>
        <w:rPr>
          <w:rFonts w:hint="eastAsia" w:ascii="华文楷体" w:hAnsi="华文楷体" w:eastAsia="华文楷体"/>
          <w:lang w:val="zh-CN"/>
        </w:rPr>
        <w:t>，从业人员</w:t>
      </w:r>
      <w:r>
        <w:rPr>
          <w:rFonts w:hint="eastAsia" w:ascii="华文楷体" w:hAnsi="华文楷体" w:eastAsia="华文楷体"/>
          <w:u w:val="single"/>
          <w:lang w:val="zh-CN"/>
        </w:rPr>
        <w:t xml:space="preserve">    </w:t>
      </w:r>
      <w:r>
        <w:rPr>
          <w:rFonts w:hint="eastAsia" w:ascii="华文楷体" w:hAnsi="华文楷体" w:eastAsia="华文楷体"/>
          <w:lang w:val="zh-CN"/>
        </w:rPr>
        <w:t>人，营业收入为</w:t>
      </w:r>
      <w:r>
        <w:rPr>
          <w:rFonts w:hint="eastAsia" w:ascii="华文楷体" w:hAnsi="华文楷体" w:eastAsia="华文楷体"/>
          <w:u w:val="single"/>
          <w:lang w:val="zh-CN"/>
        </w:rPr>
        <w:t xml:space="preserve">    </w:t>
      </w:r>
      <w:r>
        <w:rPr>
          <w:rFonts w:hint="eastAsia" w:ascii="华文楷体" w:hAnsi="华文楷体" w:eastAsia="华文楷体"/>
          <w:lang w:val="zh-CN"/>
        </w:rPr>
        <w:t>万元，资产总额为</w:t>
      </w:r>
      <w:r>
        <w:rPr>
          <w:rFonts w:hint="eastAsia" w:ascii="华文楷体" w:hAnsi="华文楷体" w:eastAsia="华文楷体"/>
          <w:u w:val="single"/>
          <w:lang w:val="zh-CN"/>
        </w:rPr>
        <w:t xml:space="preserve">    </w:t>
      </w:r>
      <w:r>
        <w:rPr>
          <w:rFonts w:hint="eastAsia" w:ascii="华文楷体" w:hAnsi="华文楷体" w:eastAsia="华文楷体"/>
          <w:lang w:val="zh-CN"/>
        </w:rPr>
        <w:t>万元，属于</w:t>
      </w:r>
      <w:r>
        <w:rPr>
          <w:rFonts w:hint="eastAsia" w:ascii="华文楷体" w:hAnsi="华文楷体" w:eastAsia="华文楷体"/>
          <w:u w:val="single"/>
          <w:lang w:val="zh-CN"/>
        </w:rPr>
        <w:t>（中型企业、小型 企业、微型企业）</w:t>
      </w:r>
      <w:r>
        <w:rPr>
          <w:rFonts w:hint="eastAsia" w:ascii="华文楷体" w:hAnsi="华文楷体" w:eastAsia="华文楷体"/>
          <w:lang w:val="zh-CN"/>
        </w:rPr>
        <w:t>；</w:t>
      </w:r>
      <w:bookmarkEnd w:id="210"/>
      <w:bookmarkEnd w:id="211"/>
      <w:bookmarkEnd w:id="212"/>
    </w:p>
    <w:p w14:paraId="55DF63F7">
      <w:pPr>
        <w:spacing w:line="460" w:lineRule="exact"/>
        <w:ind w:firstLine="480" w:firstLineChars="200"/>
        <w:rPr>
          <w:rFonts w:ascii="华文楷体" w:hAnsi="华文楷体" w:eastAsia="华文楷体"/>
          <w:lang w:val="zh-CN"/>
        </w:rPr>
      </w:pPr>
      <w:bookmarkStart w:id="213" w:name="_Toc22908"/>
      <w:bookmarkStart w:id="214" w:name="_Toc21862"/>
      <w:r>
        <w:rPr>
          <w:rFonts w:hint="eastAsia" w:ascii="华文楷体" w:hAnsi="华文楷体" w:eastAsia="华文楷体"/>
          <w:lang w:val="zh-CN"/>
        </w:rPr>
        <w:t>以上企业，不属于大企业的分支机构，不存在控股股东为大企业的情形，也不存在与大企业的负责人为同一人的情形。</w:t>
      </w:r>
      <w:bookmarkEnd w:id="213"/>
      <w:bookmarkEnd w:id="214"/>
    </w:p>
    <w:p w14:paraId="143967A1">
      <w:pPr>
        <w:spacing w:line="460" w:lineRule="exact"/>
        <w:ind w:firstLine="480" w:firstLineChars="200"/>
        <w:rPr>
          <w:rFonts w:ascii="华文楷体" w:hAnsi="华文楷体" w:eastAsia="华文楷体"/>
          <w:lang w:val="zh-CN"/>
        </w:rPr>
      </w:pPr>
      <w:bookmarkStart w:id="215" w:name="_Toc22246"/>
      <w:bookmarkStart w:id="216" w:name="_Toc8362"/>
      <w:r>
        <w:rPr>
          <w:rFonts w:hint="eastAsia" w:ascii="华文楷体" w:hAnsi="华文楷体" w:eastAsia="华文楷体"/>
          <w:lang w:val="zh-CN"/>
        </w:rPr>
        <w:t>本企业对上述声明内容的真实性负责。如有虚假，将依法承担相应责任。</w:t>
      </w:r>
      <w:bookmarkEnd w:id="215"/>
      <w:bookmarkEnd w:id="216"/>
    </w:p>
    <w:p w14:paraId="390A3806">
      <w:pPr>
        <w:spacing w:line="460" w:lineRule="exact"/>
        <w:ind w:firstLine="482" w:firstLineChars="200"/>
        <w:rPr>
          <w:rFonts w:ascii="华文楷体" w:hAnsi="华文楷体" w:eastAsia="华文楷体"/>
          <w:b/>
          <w:lang w:val="zh-CN"/>
        </w:rPr>
      </w:pPr>
      <w:bookmarkStart w:id="217" w:name="_Toc12948"/>
      <w:bookmarkStart w:id="218" w:name="_Toc17157"/>
      <w:r>
        <w:rPr>
          <w:rFonts w:ascii="华文楷体" w:hAnsi="华文楷体" w:eastAsia="华文楷体"/>
          <w:b/>
          <w:lang w:val="zh-CN"/>
        </w:rPr>
        <w:t>……</w:t>
      </w:r>
    </w:p>
    <w:bookmarkEnd w:id="217"/>
    <w:bookmarkEnd w:id="218"/>
    <w:p w14:paraId="073797FC">
      <w:pPr>
        <w:spacing w:line="360" w:lineRule="exact"/>
        <w:ind w:left="480" w:leftChars="200"/>
        <w:rPr>
          <w:rFonts w:ascii="华文楷体" w:hAnsi="华文楷体" w:eastAsia="华文楷体"/>
          <w:lang w:val="zh-CN"/>
        </w:rPr>
      </w:pPr>
      <w:r>
        <w:rPr>
          <w:rFonts w:ascii="华文楷体" w:hAnsi="华文楷体" w:eastAsia="华文楷体"/>
          <w:lang w:val="zh-CN"/>
        </w:rPr>
        <w:t>1.本项目采购标的物所属行业为： 工业。</w:t>
      </w:r>
      <w:r>
        <w:rPr>
          <w:rFonts w:hint="eastAsia" w:ascii="华文楷体" w:hAnsi="华文楷体" w:eastAsia="华文楷体"/>
          <w:lang w:val="zh-CN"/>
        </w:rPr>
        <w:br w:type="textWrapping"/>
      </w:r>
      <w:r>
        <w:rPr>
          <w:rFonts w:ascii="华文楷体" w:hAnsi="华文楷体" w:eastAsia="华文楷体"/>
          <w:lang w:val="zh-CN"/>
        </w:rPr>
        <w:t>2.供应商应按照本项目采购标的物所属行业根据《中小企业划型标准规定》规定的划型标准来判定企业规模。</w:t>
      </w:r>
      <w:r>
        <w:rPr>
          <w:rFonts w:hint="eastAsia" w:ascii="华文楷体" w:hAnsi="华文楷体" w:eastAsia="华文楷体"/>
          <w:lang w:val="zh-CN"/>
        </w:rPr>
        <w:br w:type="textWrapping"/>
      </w:r>
      <w:r>
        <w:rPr>
          <w:rFonts w:ascii="华文楷体" w:hAnsi="华文楷体" w:eastAsia="华文楷体"/>
          <w:lang w:val="zh-CN"/>
        </w:rPr>
        <w:t>3.附：工业中小企业划型标准：从业人员1000人以下或营业收入40000万元以下的为中小微型企业。其中，从业人员 300 人及以上，且营业收入2000万元及以上的为中型企业；从业人员 20人及以上，且营业收入300万元及以上的为小型企业；从业人员 20 人以下或营业收入 300万元以下的为微型企业。</w:t>
      </w:r>
    </w:p>
    <w:p w14:paraId="16297A8A">
      <w:pPr>
        <w:spacing w:line="360" w:lineRule="exact"/>
        <w:ind w:left="360" w:leftChars="150" w:firstLine="120" w:firstLineChars="50"/>
        <w:rPr>
          <w:rFonts w:ascii="华文楷体" w:hAnsi="华文楷体" w:eastAsia="华文楷体"/>
          <w:lang w:val="zh-CN"/>
        </w:rPr>
      </w:pPr>
      <w:r>
        <w:rPr>
          <w:rFonts w:ascii="华文楷体" w:hAnsi="华文楷体" w:eastAsia="华文楷体"/>
          <w:lang w:val="zh-CN"/>
        </w:rPr>
        <w:t>4.温馨提示：供应商可根据上文载明的“中小企业划型标准”确定企业类型。</w:t>
      </w:r>
      <w:r>
        <w:rPr>
          <w:rFonts w:hint="eastAsia" w:ascii="华文楷体" w:hAnsi="华文楷体" w:eastAsia="华文楷体"/>
          <w:lang w:val="zh-CN"/>
        </w:rPr>
        <w:br w:type="textWrapping"/>
      </w:r>
      <w:r>
        <w:rPr>
          <w:rFonts w:ascii="华文楷体" w:hAnsi="华文楷体" w:eastAsia="华文楷体"/>
          <w:lang w:val="zh-CN"/>
        </w:rPr>
        <w:t>5.特别说明：（1）对于多标的的采购项目，供应商应充分、准确地了解所投产品制造企业信息，按照实际投标产品分别填写每一个产品的所属行业、制造商、从业人员、营业收入、资产总额、企业类型信息。即便所有产品为一个制造商，仍须分品目逐个填写。所有投标产品制造商均为小、微企业方可享受中小企业扶持政策。</w:t>
      </w:r>
    </w:p>
    <w:p w14:paraId="7DB5BDFA">
      <w:pPr>
        <w:spacing w:line="360" w:lineRule="auto"/>
        <w:rPr>
          <w:rFonts w:ascii="华文楷体" w:hAnsi="华文楷体" w:eastAsia="华文楷体"/>
        </w:rPr>
      </w:pPr>
      <w:bookmarkStart w:id="219" w:name="_Toc16038"/>
    </w:p>
    <w:bookmarkEnd w:id="219"/>
    <w:p w14:paraId="1B330E2F">
      <w:pPr>
        <w:spacing w:line="360" w:lineRule="auto"/>
        <w:ind w:right="480"/>
        <w:jc w:val="center"/>
        <w:rPr>
          <w:rFonts w:ascii="华文楷体" w:hAnsi="华文楷体" w:eastAsia="华文楷体"/>
          <w:b/>
          <w:bCs/>
        </w:rPr>
      </w:pPr>
      <w:r>
        <w:rPr>
          <w:rFonts w:hint="eastAsia" w:ascii="华文楷体" w:hAnsi="华文楷体" w:eastAsia="华文楷体"/>
          <w:b/>
          <w:bCs/>
        </w:rPr>
        <w:t>企业名称：</w:t>
      </w:r>
      <w:r>
        <w:rPr>
          <w:rFonts w:hint="eastAsia" w:ascii="华文楷体" w:hAnsi="华文楷体" w:eastAsia="华文楷体"/>
          <w:b/>
          <w:bCs/>
          <w:u w:val="single"/>
        </w:rPr>
        <w:t xml:space="preserve">           </w:t>
      </w:r>
      <w:r>
        <w:rPr>
          <w:rFonts w:hint="eastAsia" w:ascii="华文楷体" w:hAnsi="华文楷体" w:eastAsia="华文楷体"/>
          <w:b/>
          <w:bCs/>
        </w:rPr>
        <w:t>（公章）</w:t>
      </w:r>
    </w:p>
    <w:p w14:paraId="11DE3172">
      <w:pPr>
        <w:spacing w:line="360" w:lineRule="auto"/>
        <w:ind w:firstLine="3188" w:firstLineChars="1323"/>
        <w:rPr>
          <w:rFonts w:ascii="华文楷体" w:hAnsi="华文楷体" w:eastAsia="华文楷体" w:cs="宋体"/>
          <w:sz w:val="28"/>
          <w:szCs w:val="28"/>
        </w:rPr>
      </w:pPr>
      <w:bookmarkStart w:id="220" w:name="_Toc16151"/>
      <w:bookmarkStart w:id="221" w:name="_Toc28863"/>
      <w:bookmarkStart w:id="222" w:name="_Toc11107"/>
      <w:r>
        <w:rPr>
          <w:rFonts w:hint="eastAsia" w:ascii="华文楷体" w:hAnsi="华文楷体" w:eastAsia="华文楷体"/>
          <w:b/>
          <w:bCs/>
          <w:lang w:val="zh-CN"/>
        </w:rPr>
        <w:t>日 期：</w:t>
      </w:r>
      <w:bookmarkEnd w:id="220"/>
      <w:bookmarkEnd w:id="221"/>
      <w:bookmarkEnd w:id="222"/>
      <w:bookmarkStart w:id="223" w:name="_Toc515908228"/>
      <w:r>
        <w:rPr>
          <w:rFonts w:hint="eastAsia" w:ascii="华文楷体" w:hAnsi="华文楷体" w:eastAsia="华文楷体" w:cs="宋体"/>
          <w:kern w:val="0"/>
          <w:lang w:val="zh-CN"/>
        </w:rPr>
        <w:br w:type="page"/>
      </w:r>
      <w:bookmarkStart w:id="224" w:name="_Toc184345938"/>
      <w:bookmarkStart w:id="225" w:name="_Toc22595"/>
      <w:r>
        <w:rPr>
          <w:rFonts w:hint="eastAsia" w:ascii="华文楷体" w:hAnsi="华文楷体" w:eastAsia="华文楷体" w:cs="宋体"/>
          <w:b/>
          <w:bCs/>
          <w:kern w:val="2"/>
          <w:sz w:val="30"/>
          <w:szCs w:val="30"/>
          <w:lang w:val="zh-CN" w:eastAsia="zh-CN" w:bidi="ar-SA"/>
        </w:rPr>
        <w:t>（12）残疾人福利性单位声明函</w:t>
      </w:r>
      <w:bookmarkEnd w:id="223"/>
      <w:bookmarkEnd w:id="224"/>
      <w:bookmarkEnd w:id="225"/>
    </w:p>
    <w:p w14:paraId="7FAD8F3B">
      <w:pPr>
        <w:jc w:val="center"/>
        <w:rPr>
          <w:rFonts w:ascii="华文楷体" w:hAnsi="华文楷体" w:eastAsia="华文楷体" w:cs="宋体"/>
          <w:b/>
        </w:rPr>
      </w:pPr>
      <w:bookmarkStart w:id="226" w:name="OLE_LINK14"/>
      <w:bookmarkStart w:id="227" w:name="OLE_LINK13"/>
    </w:p>
    <w:p w14:paraId="584922AE">
      <w:pPr>
        <w:jc w:val="center"/>
        <w:rPr>
          <w:rFonts w:ascii="华文楷体" w:hAnsi="华文楷体" w:eastAsia="华文楷体" w:cs="宋体"/>
          <w:b/>
        </w:rPr>
      </w:pPr>
      <w:r>
        <w:rPr>
          <w:rFonts w:hint="eastAsia" w:ascii="华文楷体" w:hAnsi="华文楷体" w:eastAsia="华文楷体" w:cs="宋体"/>
          <w:b/>
        </w:rPr>
        <w:t>残疾人福利性单位声明函</w:t>
      </w:r>
    </w:p>
    <w:bookmarkEnd w:id="226"/>
    <w:bookmarkEnd w:id="227"/>
    <w:p w14:paraId="3859A07E">
      <w:pPr>
        <w:spacing w:after="120" w:afterLines="50"/>
        <w:rPr>
          <w:rFonts w:ascii="华文楷体" w:hAnsi="华文楷体" w:eastAsia="华文楷体" w:cs="宋体"/>
          <w:b/>
          <w:bCs/>
        </w:rPr>
      </w:pPr>
    </w:p>
    <w:p w14:paraId="73B880B6">
      <w:pPr>
        <w:spacing w:line="360" w:lineRule="auto"/>
        <w:ind w:firstLine="480"/>
        <w:rPr>
          <w:rFonts w:ascii="华文楷体" w:hAnsi="华文楷体" w:eastAsia="华文楷体" w:cs="宋体"/>
        </w:rPr>
      </w:pPr>
      <w:r>
        <w:rPr>
          <w:rFonts w:hint="eastAsia" w:ascii="华文楷体" w:hAnsi="华文楷体" w:eastAsia="华文楷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华文楷体" w:hAnsi="华文楷体" w:eastAsia="华文楷体" w:cs="宋体"/>
          <w:u w:val="single"/>
        </w:rPr>
        <w:t xml:space="preserve">      </w:t>
      </w:r>
      <w:r>
        <w:rPr>
          <w:rFonts w:hint="eastAsia" w:ascii="华文楷体" w:hAnsi="华文楷体" w:eastAsia="华文楷体" w:cs="宋体"/>
        </w:rPr>
        <w:t>人，安置的残疾人人数</w:t>
      </w:r>
      <w:r>
        <w:rPr>
          <w:rFonts w:hint="eastAsia" w:ascii="华文楷体" w:hAnsi="华文楷体" w:eastAsia="华文楷体" w:cs="宋体"/>
          <w:u w:val="single"/>
        </w:rPr>
        <w:t xml:space="preserve">      </w:t>
      </w:r>
      <w:r>
        <w:rPr>
          <w:rFonts w:hint="eastAsia" w:ascii="华文楷体" w:hAnsi="华文楷体" w:eastAsia="华文楷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14:paraId="7859BAC1">
      <w:pPr>
        <w:spacing w:line="360" w:lineRule="auto"/>
        <w:ind w:firstLine="480"/>
        <w:rPr>
          <w:rFonts w:ascii="华文楷体" w:hAnsi="华文楷体" w:eastAsia="华文楷体" w:cs="宋体"/>
        </w:rPr>
      </w:pPr>
      <w:r>
        <w:rPr>
          <w:rFonts w:hint="eastAsia" w:ascii="华文楷体" w:hAnsi="华文楷体" w:eastAsia="华文楷体" w:cs="宋体"/>
        </w:rPr>
        <w:t>本单位对上述声明的真实性负责。如有虚假，将依法承担相应责任。</w:t>
      </w:r>
    </w:p>
    <w:p w14:paraId="56987DA6">
      <w:pPr>
        <w:spacing w:line="360" w:lineRule="auto"/>
        <w:ind w:firstLine="480"/>
        <w:rPr>
          <w:rFonts w:ascii="华文楷体" w:hAnsi="华文楷体" w:eastAsia="华文楷体" w:cs="宋体"/>
        </w:rPr>
      </w:pPr>
    </w:p>
    <w:p w14:paraId="7AFE82AC">
      <w:pPr>
        <w:spacing w:line="360" w:lineRule="auto"/>
        <w:ind w:firstLine="480"/>
        <w:rPr>
          <w:rFonts w:ascii="华文楷体" w:hAnsi="华文楷体" w:eastAsia="华文楷体" w:cs="宋体"/>
        </w:rPr>
      </w:pPr>
    </w:p>
    <w:p w14:paraId="142B1808">
      <w:pPr>
        <w:spacing w:line="360" w:lineRule="auto"/>
        <w:jc w:val="center"/>
        <w:rPr>
          <w:rFonts w:ascii="华文楷体" w:hAnsi="华文楷体" w:eastAsia="华文楷体" w:cs="宋体"/>
          <w:b/>
        </w:rPr>
      </w:pPr>
      <w:r>
        <w:rPr>
          <w:rFonts w:hint="eastAsia" w:ascii="华文楷体" w:hAnsi="华文楷体" w:eastAsia="华文楷体" w:cs="宋体"/>
          <w:b/>
        </w:rPr>
        <w:t xml:space="preserve">    单位名称：</w:t>
      </w:r>
      <w:r>
        <w:rPr>
          <w:rFonts w:hint="eastAsia" w:ascii="华文楷体" w:hAnsi="华文楷体" w:eastAsia="华文楷体" w:cs="宋体"/>
          <w:b/>
          <w:u w:val="single"/>
        </w:rPr>
        <w:t xml:space="preserve">            </w:t>
      </w:r>
      <w:r>
        <w:rPr>
          <w:rFonts w:hint="eastAsia" w:ascii="华文楷体" w:hAnsi="华文楷体" w:eastAsia="华文楷体" w:cs="宋体"/>
          <w:b/>
        </w:rPr>
        <w:t>（公章）</w:t>
      </w:r>
    </w:p>
    <w:p w14:paraId="6D0DB3EF">
      <w:pPr>
        <w:ind w:firstLine="3855" w:firstLineChars="1600"/>
        <w:rPr>
          <w:rFonts w:ascii="华文楷体" w:hAnsi="华文楷体" w:eastAsia="华文楷体" w:cs="宋体"/>
          <w:b/>
        </w:rPr>
      </w:pPr>
      <w:r>
        <w:rPr>
          <w:rFonts w:hint="eastAsia" w:ascii="华文楷体" w:hAnsi="华文楷体" w:eastAsia="华文楷体" w:cs="宋体"/>
          <w:b/>
        </w:rPr>
        <w:t>年   月   日</w:t>
      </w:r>
    </w:p>
    <w:p w14:paraId="659D090A">
      <w:pPr>
        <w:spacing w:line="360" w:lineRule="auto"/>
        <w:rPr>
          <w:rFonts w:ascii="华文楷体" w:hAnsi="华文楷体" w:eastAsia="华文楷体" w:cs="宋体"/>
          <w:b/>
          <w:bCs/>
        </w:rPr>
      </w:pPr>
      <w:r>
        <w:rPr>
          <w:rFonts w:hint="eastAsia" w:ascii="华文楷体" w:hAnsi="华文楷体" w:eastAsia="华文楷体" w:cs="宋体"/>
          <w:b/>
          <w:bCs/>
        </w:rPr>
        <w:t xml:space="preserve"> </w:t>
      </w:r>
    </w:p>
    <w:p w14:paraId="672E7B01">
      <w:pPr>
        <w:spacing w:line="360" w:lineRule="auto"/>
        <w:rPr>
          <w:rFonts w:ascii="华文楷体" w:hAnsi="华文楷体" w:eastAsia="华文楷体" w:cs="宋体"/>
        </w:rPr>
      </w:pPr>
      <w:r>
        <w:rPr>
          <w:rFonts w:hint="eastAsia" w:ascii="华文楷体" w:hAnsi="华文楷体" w:eastAsia="华文楷体" w:cs="宋体"/>
          <w:b/>
          <w:bCs/>
        </w:rPr>
        <w:t>注：投标人为非残疾人福利性单位的，可不提供此函。</w:t>
      </w:r>
    </w:p>
    <w:p w14:paraId="74554FF1">
      <w:pPr>
        <w:pStyle w:val="25"/>
        <w:jc w:val="left"/>
        <w:rPr>
          <w:rFonts w:ascii="华文楷体" w:hAnsi="华文楷体" w:eastAsia="华文楷体" w:cs="宋体"/>
          <w:b/>
          <w:bCs/>
        </w:rPr>
      </w:pPr>
      <w:r>
        <w:rPr>
          <w:rFonts w:hint="eastAsia" w:ascii="华文楷体" w:hAnsi="华文楷体" w:eastAsia="华文楷体" w:cs="宋体"/>
          <w:lang w:val="zh-CN"/>
        </w:rPr>
        <w:br w:type="page"/>
      </w:r>
      <w:bookmarkStart w:id="228" w:name="_Toc184345939"/>
      <w:r>
        <w:rPr>
          <w:rFonts w:hint="eastAsia" w:ascii="华文楷体" w:hAnsi="华文楷体" w:eastAsia="华文楷体" w:cs="宋体"/>
          <w:sz w:val="30"/>
          <w:szCs w:val="30"/>
          <w:lang w:val="zh-CN"/>
        </w:rPr>
        <w:t>（</w:t>
      </w:r>
      <w:r>
        <w:rPr>
          <w:rFonts w:hint="eastAsia" w:ascii="华文楷体" w:hAnsi="华文楷体" w:eastAsia="华文楷体" w:cs="宋体"/>
          <w:sz w:val="30"/>
          <w:szCs w:val="30"/>
        </w:rPr>
        <w:t>13</w:t>
      </w:r>
      <w:r>
        <w:rPr>
          <w:rFonts w:hint="eastAsia" w:ascii="华文楷体" w:hAnsi="华文楷体" w:eastAsia="华文楷体" w:cs="宋体"/>
          <w:sz w:val="30"/>
          <w:szCs w:val="30"/>
          <w:lang w:val="zh-CN"/>
        </w:rPr>
        <w:t>）监狱企业证明资料</w:t>
      </w:r>
      <w:bookmarkEnd w:id="228"/>
    </w:p>
    <w:p w14:paraId="1951B732">
      <w:pPr>
        <w:spacing w:line="360" w:lineRule="auto"/>
        <w:jc w:val="center"/>
        <w:rPr>
          <w:rFonts w:ascii="华文楷体" w:hAnsi="华文楷体" w:eastAsia="华文楷体" w:cs="宋体"/>
        </w:rPr>
      </w:pPr>
      <w:r>
        <w:rPr>
          <w:rFonts w:hint="eastAsia" w:ascii="华文楷体" w:hAnsi="华文楷体" w:eastAsia="华文楷体" w:cs="宋体"/>
          <w:b/>
          <w:bCs/>
        </w:rPr>
        <w:t>监狱企业证明资料</w:t>
      </w:r>
    </w:p>
    <w:p w14:paraId="2D4D5758">
      <w:pPr>
        <w:spacing w:line="360" w:lineRule="auto"/>
        <w:ind w:firstLine="480"/>
        <w:rPr>
          <w:rFonts w:ascii="华文楷体" w:hAnsi="华文楷体" w:eastAsia="华文楷体" w:cs="宋体"/>
        </w:rPr>
      </w:pPr>
      <w:r>
        <w:rPr>
          <w:rFonts w:hint="eastAsia" w:ascii="华文楷体" w:hAnsi="华文楷体" w:eastAsia="华文楷体" w:cs="宋体"/>
        </w:rPr>
        <w:t>备注：按《财政部 司法部关于政府采购支持监狱企业发展有关问题的通知》（财库〔2014〕68号）文件规定提供证明文件（复印件）。</w:t>
      </w:r>
    </w:p>
    <w:p w14:paraId="4AC83236">
      <w:pPr>
        <w:spacing w:line="360" w:lineRule="auto"/>
        <w:ind w:firstLine="480"/>
        <w:rPr>
          <w:rFonts w:ascii="华文楷体" w:hAnsi="华文楷体" w:eastAsia="华文楷体" w:cs="宋体"/>
        </w:rPr>
      </w:pPr>
      <w:r>
        <w:rPr>
          <w:rFonts w:hint="eastAsia" w:ascii="华文楷体" w:hAnsi="华文楷体" w:eastAsia="华文楷体" w:cs="宋体"/>
        </w:rPr>
        <w:t>说明：①监狱企业参加政府采购活动时，应当提供由省级以上监狱管理局、戒毒管理局(含新疆生产建设兵团)出具的属于监狱企业的证明文件。</w:t>
      </w:r>
    </w:p>
    <w:p w14:paraId="7F318248">
      <w:pPr>
        <w:spacing w:line="360" w:lineRule="auto"/>
        <w:ind w:firstLine="480"/>
        <w:rPr>
          <w:rFonts w:ascii="华文楷体" w:hAnsi="华文楷体" w:eastAsia="华文楷体" w:cs="宋体"/>
        </w:rPr>
      </w:pPr>
      <w:r>
        <w:rPr>
          <w:rFonts w:hint="eastAsia" w:ascii="华文楷体" w:hAnsi="华文楷体" w:eastAsia="华文楷体" w:cs="宋体"/>
        </w:rPr>
        <w:t>②如未提供监狱企业相关证明材料的，则其评审中的监狱企业不能享受招标文件规定的价格扣除，但不影响供应投标文件的有效性。</w:t>
      </w:r>
    </w:p>
    <w:p w14:paraId="73C2D51D">
      <w:pPr>
        <w:spacing w:line="360" w:lineRule="auto"/>
        <w:ind w:firstLine="480"/>
        <w:rPr>
          <w:rFonts w:ascii="华文楷体" w:hAnsi="华文楷体" w:eastAsia="华文楷体" w:cs="宋体"/>
        </w:rPr>
      </w:pPr>
      <w:r>
        <w:rPr>
          <w:rFonts w:hint="eastAsia" w:ascii="华文楷体" w:hAnsi="华文楷体" w:eastAsia="华文楷体" w:cs="宋体"/>
        </w:rPr>
        <w:t>③非监狱企业无需提供证明材料。</w:t>
      </w:r>
    </w:p>
    <w:p w14:paraId="33A65BEC">
      <w:pPr>
        <w:spacing w:line="360" w:lineRule="auto"/>
        <w:ind w:firstLine="480"/>
        <w:rPr>
          <w:rFonts w:ascii="华文楷体" w:hAnsi="华文楷体" w:eastAsia="华文楷体" w:cs="宋体"/>
        </w:rPr>
      </w:pPr>
      <w:r>
        <w:rPr>
          <w:rFonts w:hint="eastAsia" w:ascii="华文楷体" w:hAnsi="华文楷体" w:eastAsia="华文楷体" w:cs="宋体"/>
          <w:b/>
          <w:bCs/>
        </w:rPr>
        <w:t>注：投标人参加本次采购活动时，提供虚假监狱企业证明资料的，以提供虚假材料谋取</w:t>
      </w:r>
      <w:r>
        <w:rPr>
          <w:rFonts w:hint="eastAsia" w:ascii="华文楷体" w:hAnsi="华文楷体" w:eastAsia="华文楷体" w:cs="宋体"/>
          <w:b/>
          <w:bCs/>
          <w:lang w:val="en-US" w:eastAsia="zh-CN"/>
        </w:rPr>
        <w:t>中标</w:t>
      </w:r>
      <w:r>
        <w:rPr>
          <w:rFonts w:hint="eastAsia" w:ascii="华文楷体" w:hAnsi="华文楷体" w:eastAsia="华文楷体" w:cs="宋体"/>
          <w:b/>
          <w:bCs/>
        </w:rPr>
        <w:t>处理；若无此项内容可不提供。</w:t>
      </w:r>
    </w:p>
    <w:p w14:paraId="1CDDD8A3">
      <w:pPr>
        <w:spacing w:line="360" w:lineRule="auto"/>
        <w:ind w:firstLine="480"/>
        <w:rPr>
          <w:rFonts w:ascii="华文楷体" w:hAnsi="华文楷体" w:eastAsia="华文楷体" w:cs="宋体"/>
          <w:sz w:val="28"/>
          <w:szCs w:val="28"/>
        </w:rPr>
      </w:pPr>
      <w:bookmarkStart w:id="229" w:name="_Toc22071_WPSOffice_Level3"/>
    </w:p>
    <w:bookmarkEnd w:id="229"/>
    <w:p w14:paraId="15564885">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rPr>
        <w:t xml:space="preserve">        单位名称</w:t>
      </w:r>
      <w:r>
        <w:rPr>
          <w:rFonts w:hint="eastAsia" w:ascii="华文楷体" w:hAnsi="华文楷体" w:eastAsia="华文楷体" w:cs="宋体"/>
          <w:b/>
          <w:bCs/>
          <w:kern w:val="0"/>
          <w:lang w:val="zh-CN"/>
        </w:rPr>
        <w:t>：</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41A4EDF2">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0A3327FE">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kern w:val="0"/>
          <w:lang w:val="zh-CN"/>
        </w:rPr>
        <w:t>____</w:t>
      </w:r>
      <w:r>
        <w:rPr>
          <w:rFonts w:hint="eastAsia" w:ascii="华文楷体" w:hAnsi="华文楷体" w:eastAsia="华文楷体" w:cs="宋体"/>
          <w:b/>
          <w:bCs/>
          <w:kern w:val="0"/>
          <w:lang w:val="zh-CN"/>
        </w:rPr>
        <w:t>年</w:t>
      </w:r>
      <w:r>
        <w:rPr>
          <w:rFonts w:hint="eastAsia" w:ascii="华文楷体" w:hAnsi="华文楷体" w:eastAsia="华文楷体" w:cs="宋体"/>
          <w:kern w:val="0"/>
          <w:lang w:val="zh-CN"/>
        </w:rPr>
        <w:t>____</w:t>
      </w:r>
      <w:r>
        <w:rPr>
          <w:rFonts w:hint="eastAsia" w:ascii="华文楷体" w:hAnsi="华文楷体" w:eastAsia="华文楷体" w:cs="宋体"/>
          <w:b/>
          <w:bCs/>
          <w:kern w:val="0"/>
          <w:lang w:val="zh-CN"/>
        </w:rPr>
        <w:t>月</w:t>
      </w:r>
      <w:r>
        <w:rPr>
          <w:rFonts w:hint="eastAsia" w:ascii="华文楷体" w:hAnsi="华文楷体" w:eastAsia="华文楷体" w:cs="宋体"/>
          <w:kern w:val="0"/>
          <w:lang w:val="zh-CN"/>
        </w:rPr>
        <w:t>____</w:t>
      </w:r>
      <w:r>
        <w:rPr>
          <w:rFonts w:hint="eastAsia" w:ascii="华文楷体" w:hAnsi="华文楷体" w:eastAsia="华文楷体" w:cs="宋体"/>
          <w:b/>
          <w:bCs/>
          <w:kern w:val="0"/>
          <w:lang w:val="zh-CN"/>
        </w:rPr>
        <w:t>日</w:t>
      </w:r>
    </w:p>
    <w:p w14:paraId="74C027B9">
      <w:pPr>
        <w:rPr>
          <w:rFonts w:ascii="华文楷体" w:hAnsi="华文楷体" w:eastAsia="华文楷体" w:cs="宋体"/>
          <w:b/>
          <w:sz w:val="36"/>
          <w:szCs w:val="36"/>
          <w:lang w:val="zh-CN"/>
        </w:rPr>
      </w:pPr>
      <w:r>
        <w:rPr>
          <w:rFonts w:hint="eastAsia" w:ascii="华文楷体" w:hAnsi="华文楷体" w:eastAsia="华文楷体" w:cs="宋体"/>
          <w:b/>
          <w:sz w:val="36"/>
          <w:szCs w:val="36"/>
          <w:lang w:val="zh-CN"/>
        </w:rPr>
        <w:br w:type="page"/>
      </w:r>
    </w:p>
    <w:p w14:paraId="30ED4BC6">
      <w:pPr>
        <w:rPr>
          <w:rFonts w:ascii="华文楷体" w:hAnsi="华文楷体" w:eastAsia="华文楷体" w:cs="宋体"/>
          <w:b/>
          <w:sz w:val="36"/>
          <w:szCs w:val="36"/>
        </w:rPr>
      </w:pPr>
      <w:r>
        <w:rPr>
          <w:rFonts w:hint="eastAsia" w:ascii="华文楷体" w:hAnsi="华文楷体" w:eastAsia="华文楷体" w:cs="宋体"/>
          <w:b/>
          <w:sz w:val="36"/>
          <w:szCs w:val="36"/>
          <w:lang w:val="zh-CN"/>
        </w:rPr>
        <w:t>（下册）</w:t>
      </w:r>
    </w:p>
    <w:p w14:paraId="73C38DBB">
      <w:pPr>
        <w:autoSpaceDE w:val="0"/>
        <w:autoSpaceDN w:val="0"/>
        <w:spacing w:line="360" w:lineRule="auto"/>
        <w:jc w:val="center"/>
        <w:rPr>
          <w:rFonts w:ascii="华文楷体" w:hAnsi="华文楷体" w:eastAsia="华文楷体" w:cs="宋体"/>
          <w:b/>
          <w:bCs/>
          <w:kern w:val="0"/>
          <w:sz w:val="52"/>
          <w:szCs w:val="52"/>
          <w:lang w:val="zh-CN"/>
        </w:rPr>
      </w:pPr>
      <w:r>
        <w:rPr>
          <w:rFonts w:hint="eastAsia" w:ascii="华文楷体" w:hAnsi="华文楷体" w:eastAsia="华文楷体" w:cs="宋体"/>
          <w:b/>
          <w:bCs/>
          <w:kern w:val="0"/>
          <w:sz w:val="52"/>
          <w:szCs w:val="52"/>
          <w:lang w:val="zh-CN"/>
        </w:rPr>
        <w:t>青海省政府采购项目</w:t>
      </w:r>
    </w:p>
    <w:p w14:paraId="43E186D3">
      <w:pPr>
        <w:autoSpaceDE w:val="0"/>
        <w:autoSpaceDN w:val="0"/>
        <w:spacing w:line="360" w:lineRule="auto"/>
        <w:rPr>
          <w:rFonts w:ascii="华文楷体" w:hAnsi="华文楷体" w:eastAsia="华文楷体" w:cs="宋体"/>
          <w:kern w:val="0"/>
          <w:sz w:val="36"/>
          <w:szCs w:val="36"/>
        </w:rPr>
      </w:pPr>
    </w:p>
    <w:p w14:paraId="3BBBF814">
      <w:pPr>
        <w:autoSpaceDE w:val="0"/>
        <w:autoSpaceDN w:val="0"/>
        <w:spacing w:line="360" w:lineRule="auto"/>
        <w:jc w:val="center"/>
        <w:rPr>
          <w:rFonts w:ascii="华文楷体" w:hAnsi="华文楷体" w:eastAsia="华文楷体" w:cs="宋体"/>
          <w:b/>
          <w:bCs/>
          <w:kern w:val="0"/>
          <w:sz w:val="72"/>
          <w:szCs w:val="72"/>
        </w:rPr>
      </w:pPr>
      <w:r>
        <w:rPr>
          <w:rFonts w:hint="eastAsia" w:ascii="华文楷体" w:hAnsi="华文楷体" w:eastAsia="华文楷体" w:cs="宋体"/>
          <w:b/>
          <w:bCs/>
          <w:kern w:val="0"/>
          <w:sz w:val="72"/>
          <w:szCs w:val="72"/>
          <w:lang w:val="zh-CN"/>
        </w:rPr>
        <w:t>投标文件</w:t>
      </w:r>
    </w:p>
    <w:p w14:paraId="3ABE1EE4">
      <w:pPr>
        <w:autoSpaceDE w:val="0"/>
        <w:autoSpaceDN w:val="0"/>
        <w:spacing w:line="360" w:lineRule="auto"/>
        <w:jc w:val="center"/>
        <w:rPr>
          <w:rFonts w:ascii="华文楷体" w:hAnsi="华文楷体" w:eastAsia="华文楷体" w:cs="宋体"/>
          <w:kern w:val="0"/>
          <w:sz w:val="36"/>
          <w:szCs w:val="36"/>
        </w:rPr>
      </w:pPr>
      <w:r>
        <w:rPr>
          <w:rFonts w:hint="eastAsia" w:ascii="华文楷体" w:hAnsi="华文楷体" w:eastAsia="华文楷体" w:cs="宋体"/>
          <w:b/>
          <w:bCs/>
          <w:sz w:val="44"/>
          <w:szCs w:val="44"/>
          <w:lang w:val="zh-CN"/>
        </w:rPr>
        <w:t>（下册）</w:t>
      </w:r>
    </w:p>
    <w:p w14:paraId="6A21D940">
      <w:pPr>
        <w:autoSpaceDE w:val="0"/>
        <w:autoSpaceDN w:val="0"/>
        <w:spacing w:line="360" w:lineRule="auto"/>
        <w:jc w:val="center"/>
        <w:rPr>
          <w:rFonts w:ascii="华文楷体" w:hAnsi="华文楷体" w:eastAsia="华文楷体" w:cs="宋体"/>
          <w:kern w:val="0"/>
          <w:sz w:val="36"/>
          <w:szCs w:val="36"/>
        </w:rPr>
      </w:pPr>
      <w:r>
        <w:rPr>
          <w:rFonts w:hint="eastAsia" w:ascii="华文楷体" w:hAnsi="华文楷体" w:eastAsia="华文楷体" w:cs="宋体"/>
          <w:b/>
          <w:bCs/>
          <w:sz w:val="36"/>
          <w:szCs w:val="36"/>
          <w:lang w:val="zh-CN"/>
        </w:rPr>
        <w:t>（</w:t>
      </w:r>
      <w:r>
        <w:rPr>
          <w:rFonts w:hint="eastAsia" w:ascii="华文楷体" w:hAnsi="华文楷体" w:eastAsia="华文楷体" w:cs="宋体"/>
          <w:b/>
          <w:bCs/>
          <w:sz w:val="36"/>
          <w:szCs w:val="36"/>
        </w:rPr>
        <w:t>商务技术响应</w:t>
      </w:r>
      <w:r>
        <w:rPr>
          <w:rFonts w:hint="eastAsia" w:ascii="华文楷体" w:hAnsi="华文楷体" w:eastAsia="华文楷体" w:cs="宋体"/>
          <w:b/>
          <w:bCs/>
          <w:sz w:val="36"/>
          <w:szCs w:val="36"/>
          <w:lang w:val="zh-CN"/>
        </w:rPr>
        <w:t>文件）</w:t>
      </w:r>
    </w:p>
    <w:p w14:paraId="14D5F676">
      <w:pPr>
        <w:autoSpaceDE w:val="0"/>
        <w:autoSpaceDN w:val="0"/>
        <w:spacing w:line="360" w:lineRule="auto"/>
        <w:rPr>
          <w:rFonts w:ascii="华文楷体" w:hAnsi="华文楷体" w:eastAsia="华文楷体" w:cs="宋体"/>
          <w:kern w:val="0"/>
          <w:sz w:val="36"/>
          <w:szCs w:val="36"/>
        </w:rPr>
      </w:pPr>
    </w:p>
    <w:p w14:paraId="500C383F">
      <w:pPr>
        <w:autoSpaceDE w:val="0"/>
        <w:autoSpaceDN w:val="0"/>
        <w:spacing w:line="360" w:lineRule="auto"/>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采购项目编号：</w:t>
      </w:r>
    </w:p>
    <w:p w14:paraId="5DBAC8AB">
      <w:pPr>
        <w:autoSpaceDE w:val="0"/>
        <w:autoSpaceDN w:val="0"/>
        <w:spacing w:line="360" w:lineRule="auto"/>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采购项目名称</w:t>
      </w:r>
      <w:r>
        <w:rPr>
          <w:rFonts w:hint="eastAsia" w:ascii="华文楷体" w:hAnsi="华文楷体" w:eastAsia="华文楷体" w:cs="宋体"/>
          <w:b/>
          <w:bCs/>
          <w:kern w:val="0"/>
          <w:sz w:val="36"/>
          <w:szCs w:val="36"/>
        </w:rPr>
        <w:t>：</w:t>
      </w:r>
    </w:p>
    <w:p w14:paraId="59EE4AFD">
      <w:pPr>
        <w:autoSpaceDE w:val="0"/>
        <w:autoSpaceDN w:val="0"/>
        <w:spacing w:line="360" w:lineRule="auto"/>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36"/>
          <w:szCs w:val="36"/>
          <w:lang w:val="zh-CN"/>
        </w:rPr>
        <w:t>投标包号：</w:t>
      </w:r>
    </w:p>
    <w:p w14:paraId="6C7E1B82">
      <w:pPr>
        <w:autoSpaceDE w:val="0"/>
        <w:autoSpaceDN w:val="0"/>
        <w:spacing w:line="360" w:lineRule="auto"/>
        <w:rPr>
          <w:rFonts w:ascii="华文楷体" w:hAnsi="华文楷体" w:eastAsia="华文楷体" w:cs="宋体"/>
          <w:b/>
          <w:bCs/>
          <w:kern w:val="0"/>
          <w:sz w:val="36"/>
          <w:szCs w:val="36"/>
        </w:rPr>
      </w:pPr>
    </w:p>
    <w:p w14:paraId="6F5462CE">
      <w:pPr>
        <w:autoSpaceDE w:val="0"/>
        <w:autoSpaceDN w:val="0"/>
        <w:spacing w:line="360" w:lineRule="auto"/>
        <w:jc w:val="center"/>
        <w:rPr>
          <w:rFonts w:ascii="华文楷体" w:hAnsi="华文楷体" w:eastAsia="华文楷体" w:cs="宋体"/>
          <w:b/>
          <w:bCs/>
          <w:kern w:val="0"/>
          <w:sz w:val="36"/>
          <w:szCs w:val="36"/>
        </w:rPr>
      </w:pPr>
      <w:r>
        <w:rPr>
          <w:rFonts w:ascii="华文楷体" w:hAnsi="华文楷体" w:eastAsia="华文楷体" w:cs="宋体"/>
          <w:b/>
          <w:bCs/>
          <w:kern w:val="0"/>
          <w:sz w:val="36"/>
          <w:szCs w:val="36"/>
        </w:rPr>
        <w:t xml:space="preserve">    </w:t>
      </w:r>
      <w:r>
        <w:rPr>
          <w:rFonts w:hint="eastAsia" w:ascii="华文楷体" w:hAnsi="华文楷体" w:eastAsia="华文楷体" w:cs="宋体"/>
          <w:b/>
          <w:bCs/>
          <w:kern w:val="0"/>
          <w:sz w:val="36"/>
          <w:szCs w:val="36"/>
        </w:rPr>
        <w:t xml:space="preserve">     </w:t>
      </w:r>
      <w:r>
        <w:rPr>
          <w:rFonts w:ascii="华文楷体" w:hAnsi="华文楷体" w:eastAsia="华文楷体" w:cs="宋体"/>
          <w:b/>
          <w:bCs/>
          <w:kern w:val="0"/>
          <w:sz w:val="36"/>
          <w:szCs w:val="36"/>
        </w:rPr>
        <w:t xml:space="preserve">  </w:t>
      </w:r>
      <w:r>
        <w:rPr>
          <w:rFonts w:hint="eastAsia" w:ascii="华文楷体" w:hAnsi="华文楷体" w:eastAsia="华文楷体" w:cs="宋体"/>
          <w:b/>
          <w:bCs/>
          <w:kern w:val="0"/>
          <w:sz w:val="36"/>
          <w:szCs w:val="36"/>
          <w:lang w:val="zh-CN"/>
        </w:rPr>
        <w:t>投标人：</w:t>
      </w:r>
      <w:r>
        <w:rPr>
          <w:rFonts w:ascii="华文楷体" w:hAnsi="华文楷体" w:eastAsia="华文楷体" w:cs="宋体"/>
          <w:b/>
          <w:bCs/>
          <w:kern w:val="0"/>
          <w:sz w:val="36"/>
          <w:szCs w:val="36"/>
          <w:u w:val="single"/>
        </w:rPr>
        <w:t xml:space="preserve">  </w:t>
      </w:r>
      <w:r>
        <w:rPr>
          <w:rFonts w:hint="eastAsia" w:ascii="华文楷体" w:hAnsi="华文楷体" w:eastAsia="华文楷体" w:cs="宋体"/>
          <w:b/>
          <w:bCs/>
          <w:kern w:val="0"/>
          <w:sz w:val="36"/>
          <w:szCs w:val="36"/>
          <w:u w:val="single"/>
        </w:rPr>
        <w:t xml:space="preserve">      </w:t>
      </w:r>
      <w:r>
        <w:rPr>
          <w:rFonts w:ascii="华文楷体" w:hAnsi="华文楷体" w:eastAsia="华文楷体" w:cs="宋体"/>
          <w:b/>
          <w:bCs/>
          <w:kern w:val="0"/>
          <w:sz w:val="36"/>
          <w:szCs w:val="36"/>
          <w:u w:val="single"/>
        </w:rPr>
        <w:t xml:space="preserve"> </w:t>
      </w:r>
      <w:r>
        <w:rPr>
          <w:rFonts w:hint="eastAsia" w:ascii="华文楷体" w:hAnsi="华文楷体" w:eastAsia="华文楷体" w:cs="宋体"/>
          <w:b/>
          <w:bCs/>
          <w:kern w:val="0"/>
          <w:sz w:val="36"/>
          <w:szCs w:val="36"/>
        </w:rPr>
        <w:t>（</w:t>
      </w:r>
      <w:r>
        <w:rPr>
          <w:rFonts w:hint="eastAsia" w:ascii="华文楷体" w:hAnsi="华文楷体" w:eastAsia="华文楷体" w:cs="宋体"/>
          <w:b/>
          <w:bCs/>
          <w:kern w:val="0"/>
          <w:sz w:val="36"/>
          <w:szCs w:val="36"/>
          <w:lang w:val="zh-CN"/>
        </w:rPr>
        <w:t>公章）</w:t>
      </w:r>
    </w:p>
    <w:p w14:paraId="40289485">
      <w:pPr>
        <w:autoSpaceDE w:val="0"/>
        <w:autoSpaceDN w:val="0"/>
        <w:spacing w:line="360" w:lineRule="auto"/>
        <w:rPr>
          <w:rFonts w:ascii="华文楷体" w:hAnsi="华文楷体" w:eastAsia="华文楷体" w:cs="宋体"/>
          <w:b/>
          <w:bCs/>
          <w:kern w:val="0"/>
          <w:sz w:val="36"/>
          <w:szCs w:val="36"/>
        </w:rPr>
      </w:pPr>
      <w:r>
        <w:rPr>
          <w:rFonts w:hint="eastAsia" w:ascii="华文楷体" w:hAnsi="华文楷体" w:eastAsia="华文楷体" w:cs="宋体"/>
          <w:b/>
          <w:bCs/>
          <w:kern w:val="0"/>
          <w:sz w:val="36"/>
          <w:szCs w:val="36"/>
          <w:lang w:val="zh-CN"/>
        </w:rPr>
        <w:t>法定代表人或委托代理人：</w:t>
      </w:r>
      <w:r>
        <w:rPr>
          <w:rFonts w:hint="eastAsia" w:ascii="华文楷体" w:hAnsi="华文楷体" w:eastAsia="华文楷体" w:cs="宋体"/>
          <w:b/>
          <w:bCs/>
          <w:kern w:val="0"/>
          <w:sz w:val="36"/>
          <w:szCs w:val="36"/>
          <w:u w:val="single"/>
          <w:lang w:val="zh-CN"/>
        </w:rPr>
        <w:t xml:space="preserve">          </w:t>
      </w:r>
      <w:r>
        <w:rPr>
          <w:rFonts w:hint="eastAsia" w:ascii="华文楷体" w:hAnsi="华文楷体" w:eastAsia="华文楷体" w:cs="宋体"/>
          <w:b/>
          <w:bCs/>
          <w:kern w:val="0"/>
          <w:sz w:val="36"/>
          <w:szCs w:val="36"/>
          <w:lang w:val="zh-CN"/>
        </w:rPr>
        <w:t>（签字或盖章）</w:t>
      </w:r>
    </w:p>
    <w:p w14:paraId="2E2784A5">
      <w:pPr>
        <w:autoSpaceDE w:val="0"/>
        <w:autoSpaceDN w:val="0"/>
        <w:spacing w:line="360" w:lineRule="auto"/>
        <w:jc w:val="center"/>
        <w:rPr>
          <w:rFonts w:ascii="华文楷体" w:hAnsi="华文楷体" w:eastAsia="华文楷体" w:cs="宋体"/>
          <w:sz w:val="30"/>
          <w:szCs w:val="30"/>
          <w:lang w:val="zh-CN"/>
        </w:rPr>
      </w:pPr>
      <w:r>
        <w:rPr>
          <w:rFonts w:hint="eastAsia" w:ascii="华文楷体" w:hAnsi="华文楷体" w:eastAsia="华文楷体" w:cs="宋体"/>
          <w:b/>
          <w:bCs/>
          <w:kern w:val="0"/>
          <w:sz w:val="36"/>
          <w:szCs w:val="36"/>
          <w:lang w:val="zh-CN"/>
        </w:rPr>
        <w:t>年</w:t>
      </w:r>
      <w:r>
        <w:rPr>
          <w:rFonts w:ascii="华文楷体" w:hAnsi="华文楷体" w:eastAsia="华文楷体" w:cs="宋体"/>
          <w:b/>
          <w:bCs/>
          <w:kern w:val="0"/>
          <w:sz w:val="36"/>
          <w:szCs w:val="36"/>
        </w:rPr>
        <w:t xml:space="preserve">   </w:t>
      </w:r>
      <w:r>
        <w:rPr>
          <w:rFonts w:hint="eastAsia" w:ascii="华文楷体" w:hAnsi="华文楷体" w:eastAsia="华文楷体" w:cs="宋体"/>
          <w:b/>
          <w:bCs/>
          <w:kern w:val="0"/>
          <w:sz w:val="36"/>
          <w:szCs w:val="36"/>
          <w:lang w:val="zh-CN"/>
        </w:rPr>
        <w:t>月</w:t>
      </w:r>
      <w:r>
        <w:rPr>
          <w:rFonts w:ascii="华文楷体" w:hAnsi="华文楷体" w:eastAsia="华文楷体" w:cs="宋体"/>
          <w:b/>
          <w:bCs/>
          <w:kern w:val="0"/>
          <w:sz w:val="36"/>
          <w:szCs w:val="36"/>
        </w:rPr>
        <w:t xml:space="preserve">   </w:t>
      </w:r>
      <w:r>
        <w:rPr>
          <w:rFonts w:hint="eastAsia" w:ascii="华文楷体" w:hAnsi="华文楷体" w:eastAsia="华文楷体" w:cs="宋体"/>
          <w:b/>
          <w:bCs/>
          <w:kern w:val="0"/>
          <w:sz w:val="36"/>
          <w:szCs w:val="36"/>
          <w:lang w:val="zh-CN"/>
        </w:rPr>
        <w:t>日</w:t>
      </w:r>
      <w:bookmarkStart w:id="230" w:name="_Toc515908219"/>
      <w:bookmarkStart w:id="231" w:name="_Toc4391"/>
    </w:p>
    <w:p w14:paraId="6AC9084C">
      <w:pPr>
        <w:rPr>
          <w:rFonts w:ascii="华文楷体" w:hAnsi="华文楷体" w:eastAsia="华文楷体" w:cs="宋体"/>
          <w:sz w:val="30"/>
          <w:szCs w:val="30"/>
          <w:lang w:val="zh-CN"/>
        </w:rPr>
      </w:pPr>
      <w:bookmarkStart w:id="232" w:name="_Toc4718"/>
      <w:r>
        <w:rPr>
          <w:rFonts w:hint="eastAsia" w:ascii="华文楷体" w:hAnsi="华文楷体" w:eastAsia="华文楷体" w:cs="宋体"/>
          <w:sz w:val="30"/>
          <w:szCs w:val="30"/>
          <w:lang w:val="zh-CN"/>
        </w:rPr>
        <w:br w:type="page"/>
      </w:r>
    </w:p>
    <w:p w14:paraId="5123640E">
      <w:pPr>
        <w:jc w:val="left"/>
        <w:rPr>
          <w:lang w:val="zh-CN"/>
        </w:rPr>
      </w:pPr>
    </w:p>
    <w:p w14:paraId="011FB908">
      <w:pPr>
        <w:pStyle w:val="25"/>
        <w:spacing w:before="0" w:after="0" w:line="360" w:lineRule="auto"/>
        <w:jc w:val="left"/>
        <w:rPr>
          <w:rFonts w:ascii="华文楷体" w:hAnsi="华文楷体" w:eastAsia="华文楷体" w:cs="宋体"/>
          <w:lang w:val="zh-CN"/>
        </w:rPr>
      </w:pPr>
      <w:bookmarkStart w:id="233" w:name="_Toc184345940"/>
      <w:r>
        <w:rPr>
          <w:rFonts w:hint="eastAsia" w:ascii="华文楷体" w:hAnsi="华文楷体" w:eastAsia="华文楷体" w:cs="宋体"/>
          <w:sz w:val="30"/>
          <w:szCs w:val="30"/>
          <w:lang w:val="zh-CN"/>
        </w:rPr>
        <w:t>目录（下册）</w:t>
      </w:r>
      <w:bookmarkEnd w:id="230"/>
      <w:bookmarkEnd w:id="231"/>
      <w:bookmarkEnd w:id="232"/>
      <w:bookmarkEnd w:id="233"/>
    </w:p>
    <w:p w14:paraId="2F87678C">
      <w:pPr>
        <w:spacing w:before="216" w:line="220" w:lineRule="auto"/>
        <w:rPr>
          <w:rFonts w:ascii="华文楷体" w:hAnsi="华文楷体" w:eastAsia="华文楷体" w:cs="宋体"/>
        </w:rPr>
      </w:pPr>
      <w:r>
        <w:rPr>
          <w:rFonts w:hint="eastAsia" w:ascii="华文楷体" w:hAnsi="华文楷体" w:eastAsia="华文楷体" w:cs="宋体"/>
          <w:spacing w:val="-1"/>
        </w:rPr>
        <w:t>（14）评分对照表………………………………………………………所在页码</w:t>
      </w:r>
    </w:p>
    <w:p w14:paraId="60E6F456">
      <w:pPr>
        <w:spacing w:before="179" w:line="218" w:lineRule="auto"/>
        <w:rPr>
          <w:rFonts w:ascii="华文楷体" w:hAnsi="华文楷体" w:eastAsia="华文楷体" w:cs="宋体"/>
        </w:rPr>
      </w:pPr>
      <w:r>
        <w:rPr>
          <w:rFonts w:hint="eastAsia" w:ascii="华文楷体" w:hAnsi="华文楷体" w:eastAsia="华文楷体" w:cs="宋体"/>
          <w:spacing w:val="-1"/>
        </w:rPr>
        <w:t>（15）开标一览表（报价表）…………………………………………所在页码</w:t>
      </w:r>
    </w:p>
    <w:p w14:paraId="78E660EF">
      <w:pPr>
        <w:spacing w:before="184" w:line="218" w:lineRule="auto"/>
        <w:rPr>
          <w:rFonts w:ascii="华文楷体" w:hAnsi="华文楷体" w:eastAsia="华文楷体" w:cs="宋体"/>
        </w:rPr>
      </w:pPr>
      <w:r>
        <w:rPr>
          <w:rFonts w:hint="eastAsia" w:ascii="华文楷体" w:hAnsi="华文楷体" w:eastAsia="华文楷体" w:cs="宋体"/>
          <w:spacing w:val="-1"/>
        </w:rPr>
        <w:t>（16）分项报价表………………………………………………………所在页码</w:t>
      </w:r>
    </w:p>
    <w:p w14:paraId="66953A0F">
      <w:pPr>
        <w:spacing w:before="185" w:line="219" w:lineRule="auto"/>
        <w:rPr>
          <w:rFonts w:ascii="华文楷体" w:hAnsi="华文楷体" w:eastAsia="华文楷体" w:cs="宋体"/>
        </w:rPr>
      </w:pPr>
      <w:r>
        <w:rPr>
          <w:rFonts w:hint="eastAsia" w:ascii="华文楷体" w:hAnsi="华文楷体" w:eastAsia="华文楷体" w:cs="宋体"/>
          <w:spacing w:val="-1"/>
        </w:rPr>
        <w:t>（17）技术规格响应表…………………………………………………所在页码</w:t>
      </w:r>
    </w:p>
    <w:p w14:paraId="2082BDE8">
      <w:pPr>
        <w:spacing w:before="180" w:line="219" w:lineRule="auto"/>
        <w:rPr>
          <w:rFonts w:ascii="华文楷体" w:hAnsi="华文楷体" w:eastAsia="华文楷体" w:cs="宋体"/>
        </w:rPr>
      </w:pPr>
      <w:r>
        <w:rPr>
          <w:rFonts w:hint="eastAsia" w:ascii="华文楷体" w:hAnsi="华文楷体" w:eastAsia="华文楷体" w:cs="宋体"/>
          <w:spacing w:val="-1"/>
        </w:rPr>
        <w:t>（18）投标产品相关资料………………………………………………所在页码</w:t>
      </w:r>
    </w:p>
    <w:p w14:paraId="143BEEDC">
      <w:pPr>
        <w:spacing w:before="180" w:line="219" w:lineRule="auto"/>
        <w:rPr>
          <w:rFonts w:ascii="华文楷体" w:hAnsi="华文楷体" w:eastAsia="华文楷体" w:cs="宋体"/>
          <w:spacing w:val="-1"/>
        </w:rPr>
      </w:pPr>
      <w:r>
        <w:rPr>
          <w:rFonts w:hint="eastAsia" w:ascii="华文楷体" w:hAnsi="华文楷体" w:eastAsia="华文楷体" w:cs="宋体"/>
          <w:spacing w:val="-1"/>
        </w:rPr>
        <w:t>（19）技术方案…………………………………………………………所在页码</w:t>
      </w:r>
    </w:p>
    <w:p w14:paraId="2E05F5ED">
      <w:pPr>
        <w:spacing w:before="180" w:line="219" w:lineRule="auto"/>
        <w:rPr>
          <w:rFonts w:ascii="华文楷体" w:hAnsi="华文楷体" w:eastAsia="华文楷体" w:cs="宋体"/>
          <w:spacing w:val="-1"/>
        </w:rPr>
      </w:pPr>
      <w:r>
        <w:rPr>
          <w:rFonts w:hint="eastAsia" w:ascii="华文楷体" w:hAnsi="华文楷体" w:eastAsia="华文楷体" w:cs="宋体"/>
          <w:spacing w:val="-1"/>
        </w:rPr>
        <w:t>（20）中小企业声明函…………………………………………………所在页码</w:t>
      </w:r>
    </w:p>
    <w:p w14:paraId="26667620">
      <w:pPr>
        <w:spacing w:before="180" w:line="219" w:lineRule="auto"/>
        <w:rPr>
          <w:rFonts w:ascii="华文楷体" w:hAnsi="华文楷体" w:eastAsia="华文楷体" w:cs="宋体"/>
          <w:spacing w:val="-1"/>
        </w:rPr>
      </w:pPr>
      <w:r>
        <w:rPr>
          <w:rFonts w:hint="eastAsia" w:ascii="华文楷体" w:hAnsi="华文楷体" w:eastAsia="华文楷体" w:cs="宋体"/>
          <w:spacing w:val="-1"/>
        </w:rPr>
        <w:t>（21）残疾人福利性单位声明函………………………………………所在页码</w:t>
      </w:r>
    </w:p>
    <w:p w14:paraId="4C9C7D88">
      <w:pPr>
        <w:spacing w:before="180" w:line="219" w:lineRule="auto"/>
        <w:rPr>
          <w:rFonts w:ascii="华文楷体" w:hAnsi="华文楷体" w:eastAsia="华文楷体" w:cs="宋体"/>
          <w:spacing w:val="-1"/>
        </w:rPr>
      </w:pPr>
      <w:r>
        <w:rPr>
          <w:rFonts w:hint="eastAsia" w:ascii="华文楷体" w:hAnsi="华文楷体" w:eastAsia="华文楷体" w:cs="宋体"/>
          <w:spacing w:val="-1"/>
        </w:rPr>
        <w:t>（22）监狱企业证明资料………………………………………………所在页码</w:t>
      </w:r>
    </w:p>
    <w:p w14:paraId="37D392EC">
      <w:pPr>
        <w:spacing w:before="182" w:line="219" w:lineRule="auto"/>
        <w:rPr>
          <w:rFonts w:ascii="华文楷体" w:hAnsi="华文楷体" w:eastAsia="华文楷体" w:cs="宋体"/>
        </w:rPr>
      </w:pPr>
      <w:r>
        <w:rPr>
          <w:rFonts w:hint="eastAsia" w:ascii="华文楷体" w:hAnsi="华文楷体" w:eastAsia="华文楷体" w:cs="宋体"/>
          <w:spacing w:val="-1"/>
        </w:rPr>
        <w:t>（23）投标人的类似业绩证明材料……………………………………所在页码</w:t>
      </w:r>
    </w:p>
    <w:p w14:paraId="0FC19381">
      <w:pPr>
        <w:spacing w:before="181" w:line="219" w:lineRule="auto"/>
        <w:rPr>
          <w:rFonts w:ascii="华文楷体" w:hAnsi="华文楷体" w:eastAsia="华文楷体" w:cs="宋体"/>
        </w:rPr>
      </w:pPr>
      <w:r>
        <w:rPr>
          <w:rFonts w:hint="eastAsia" w:ascii="华文楷体" w:hAnsi="华文楷体" w:eastAsia="华文楷体" w:cs="宋体"/>
          <w:spacing w:val="-1"/>
        </w:rPr>
        <w:t>（24）投标人认为在其他方面有必要说明的事项……………………所在页码</w:t>
      </w:r>
    </w:p>
    <w:p w14:paraId="094B9D85">
      <w:pPr>
        <w:pStyle w:val="25"/>
        <w:spacing w:before="0" w:after="0" w:line="360" w:lineRule="auto"/>
        <w:jc w:val="left"/>
        <w:outlineLvl w:val="1"/>
        <w:rPr>
          <w:rFonts w:ascii="华文楷体" w:hAnsi="华文楷体" w:eastAsia="华文楷体" w:cs="宋体"/>
          <w:sz w:val="30"/>
          <w:szCs w:val="30"/>
          <w:lang w:val="zh-CN"/>
        </w:rPr>
      </w:pPr>
      <w:r>
        <w:rPr>
          <w:rFonts w:hint="eastAsia" w:ascii="华文楷体" w:hAnsi="华文楷体" w:eastAsia="华文楷体" w:cs="宋体"/>
          <w:lang w:val="zh-CN"/>
        </w:rPr>
        <w:br w:type="page"/>
      </w:r>
      <w:bookmarkStart w:id="234" w:name="_Toc184345941"/>
      <w:bookmarkStart w:id="235" w:name="_Toc515908220"/>
      <w:bookmarkStart w:id="236" w:name="_Toc31201"/>
      <w:r>
        <w:rPr>
          <w:rFonts w:hint="eastAsia" w:ascii="华文楷体" w:hAnsi="华文楷体" w:eastAsia="华文楷体" w:cs="宋体"/>
          <w:sz w:val="30"/>
          <w:szCs w:val="30"/>
        </w:rPr>
        <w:t>（14）</w:t>
      </w:r>
      <w:r>
        <w:rPr>
          <w:rFonts w:hint="eastAsia" w:ascii="华文楷体" w:hAnsi="华文楷体" w:eastAsia="华文楷体" w:cs="宋体"/>
          <w:sz w:val="30"/>
          <w:szCs w:val="30"/>
          <w:lang w:val="zh-CN"/>
        </w:rPr>
        <w:t>评分对照表</w:t>
      </w:r>
      <w:bookmarkEnd w:id="234"/>
      <w:bookmarkEnd w:id="235"/>
      <w:bookmarkEnd w:id="236"/>
    </w:p>
    <w:p w14:paraId="526196DB">
      <w:pPr>
        <w:spacing w:line="360" w:lineRule="auto"/>
        <w:rPr>
          <w:rFonts w:ascii="华文楷体" w:hAnsi="华文楷体" w:eastAsia="华文楷体" w:cs="宋体"/>
          <w:sz w:val="28"/>
          <w:szCs w:val="28"/>
        </w:rPr>
      </w:pPr>
    </w:p>
    <w:p w14:paraId="32D69F52">
      <w:pPr>
        <w:spacing w:line="360" w:lineRule="auto"/>
        <w:jc w:val="center"/>
        <w:rPr>
          <w:rFonts w:ascii="华文楷体" w:hAnsi="华文楷体" w:eastAsia="华文楷体" w:cs="宋体"/>
        </w:rPr>
      </w:pPr>
      <w:r>
        <w:rPr>
          <w:rFonts w:hint="eastAsia" w:ascii="华文楷体" w:hAnsi="华文楷体" w:eastAsia="华文楷体" w:cs="宋体"/>
          <w:b/>
          <w:bCs/>
          <w:sz w:val="28"/>
          <w:szCs w:val="28"/>
        </w:rPr>
        <w:t>评分对照表</w:t>
      </w:r>
    </w:p>
    <w:p w14:paraId="12CC3436">
      <w:pPr>
        <w:spacing w:line="360" w:lineRule="auto"/>
        <w:rPr>
          <w:rFonts w:ascii="华文楷体" w:hAnsi="华文楷体" w:eastAsia="华文楷体" w:cs="宋体"/>
          <w:sz w:val="28"/>
          <w:szCs w:val="28"/>
        </w:rPr>
      </w:pPr>
    </w:p>
    <w:tbl>
      <w:tblPr>
        <w:tblStyle w:val="26"/>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871"/>
        <w:gridCol w:w="2514"/>
        <w:gridCol w:w="2266"/>
        <w:gridCol w:w="2966"/>
      </w:tblGrid>
      <w:tr w14:paraId="2EB17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552AF4D8">
            <w:pPr>
              <w:pStyle w:val="11"/>
              <w:spacing w:line="360" w:lineRule="auto"/>
              <w:ind w:firstLine="0"/>
              <w:jc w:val="center"/>
              <w:rPr>
                <w:rFonts w:ascii="华文楷体" w:hAnsi="华文楷体" w:eastAsia="华文楷体" w:cs="宋体"/>
                <w:szCs w:val="24"/>
              </w:rPr>
            </w:pPr>
            <w:r>
              <w:rPr>
                <w:rFonts w:hint="eastAsia" w:ascii="华文楷体" w:hAnsi="华文楷体" w:eastAsia="华文楷体" w:cs="宋体"/>
                <w:szCs w:val="24"/>
              </w:rPr>
              <w:t>序号</w:t>
            </w:r>
          </w:p>
        </w:tc>
        <w:tc>
          <w:tcPr>
            <w:tcW w:w="2514" w:type="dxa"/>
            <w:vAlign w:val="center"/>
          </w:tcPr>
          <w:p w14:paraId="619588F4">
            <w:pPr>
              <w:pStyle w:val="11"/>
              <w:spacing w:line="360" w:lineRule="auto"/>
              <w:ind w:firstLine="0"/>
              <w:jc w:val="center"/>
              <w:rPr>
                <w:rFonts w:ascii="华文楷体" w:hAnsi="华文楷体" w:eastAsia="华文楷体" w:cs="宋体"/>
                <w:szCs w:val="24"/>
              </w:rPr>
            </w:pPr>
            <w:r>
              <w:rPr>
                <w:rFonts w:hint="eastAsia" w:ascii="华文楷体" w:hAnsi="华文楷体" w:eastAsia="华文楷体" w:cs="宋体"/>
                <w:szCs w:val="24"/>
              </w:rPr>
              <w:t>招标文件评分标准</w:t>
            </w:r>
          </w:p>
        </w:tc>
        <w:tc>
          <w:tcPr>
            <w:tcW w:w="2266" w:type="dxa"/>
            <w:vAlign w:val="center"/>
          </w:tcPr>
          <w:p w14:paraId="1D74C986">
            <w:pPr>
              <w:pStyle w:val="11"/>
              <w:spacing w:line="360" w:lineRule="auto"/>
              <w:ind w:firstLine="0"/>
              <w:jc w:val="center"/>
              <w:rPr>
                <w:rFonts w:ascii="华文楷体" w:hAnsi="华文楷体" w:eastAsia="华文楷体" w:cs="宋体"/>
                <w:szCs w:val="24"/>
              </w:rPr>
            </w:pPr>
            <w:r>
              <w:rPr>
                <w:rFonts w:hint="eastAsia" w:ascii="华文楷体" w:hAnsi="华文楷体" w:eastAsia="华文楷体" w:cs="宋体"/>
                <w:szCs w:val="24"/>
              </w:rPr>
              <w:t>投标响应部分</w:t>
            </w:r>
          </w:p>
        </w:tc>
        <w:tc>
          <w:tcPr>
            <w:tcW w:w="2966" w:type="dxa"/>
            <w:vAlign w:val="center"/>
          </w:tcPr>
          <w:p w14:paraId="1F928D4A">
            <w:pPr>
              <w:pStyle w:val="11"/>
              <w:spacing w:line="360" w:lineRule="auto"/>
              <w:ind w:firstLine="0"/>
              <w:jc w:val="center"/>
              <w:rPr>
                <w:rFonts w:ascii="华文楷体" w:hAnsi="华文楷体" w:eastAsia="华文楷体" w:cs="宋体"/>
                <w:szCs w:val="24"/>
              </w:rPr>
            </w:pPr>
            <w:r>
              <w:rPr>
                <w:rFonts w:hint="eastAsia" w:ascii="华文楷体" w:hAnsi="华文楷体" w:eastAsia="华文楷体" w:cs="宋体"/>
                <w:szCs w:val="24"/>
              </w:rPr>
              <w:t>投标文件中对应页码</w:t>
            </w:r>
          </w:p>
        </w:tc>
      </w:tr>
      <w:tr w14:paraId="48375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613248D2">
            <w:pPr>
              <w:pStyle w:val="11"/>
              <w:spacing w:line="360" w:lineRule="auto"/>
              <w:ind w:firstLine="0"/>
              <w:jc w:val="center"/>
              <w:rPr>
                <w:rFonts w:ascii="华文楷体" w:hAnsi="华文楷体" w:eastAsia="华文楷体" w:cs="宋体"/>
                <w:szCs w:val="24"/>
              </w:rPr>
            </w:pPr>
          </w:p>
        </w:tc>
        <w:tc>
          <w:tcPr>
            <w:tcW w:w="2514" w:type="dxa"/>
            <w:vAlign w:val="center"/>
          </w:tcPr>
          <w:p w14:paraId="5AB6A41D">
            <w:pPr>
              <w:pStyle w:val="11"/>
              <w:spacing w:line="360" w:lineRule="auto"/>
              <w:ind w:firstLine="0"/>
              <w:jc w:val="center"/>
              <w:rPr>
                <w:rFonts w:ascii="华文楷体" w:hAnsi="华文楷体" w:eastAsia="华文楷体" w:cs="宋体"/>
                <w:szCs w:val="24"/>
              </w:rPr>
            </w:pPr>
          </w:p>
        </w:tc>
        <w:tc>
          <w:tcPr>
            <w:tcW w:w="2266" w:type="dxa"/>
            <w:vAlign w:val="center"/>
          </w:tcPr>
          <w:p w14:paraId="19CE855A">
            <w:pPr>
              <w:pStyle w:val="11"/>
              <w:spacing w:line="360" w:lineRule="auto"/>
              <w:ind w:firstLine="0"/>
              <w:jc w:val="center"/>
              <w:rPr>
                <w:rFonts w:ascii="华文楷体" w:hAnsi="华文楷体" w:eastAsia="华文楷体" w:cs="宋体"/>
                <w:szCs w:val="24"/>
              </w:rPr>
            </w:pPr>
          </w:p>
        </w:tc>
        <w:tc>
          <w:tcPr>
            <w:tcW w:w="2966" w:type="dxa"/>
            <w:vAlign w:val="center"/>
          </w:tcPr>
          <w:p w14:paraId="2AA045CE">
            <w:pPr>
              <w:pStyle w:val="11"/>
              <w:spacing w:line="360" w:lineRule="auto"/>
              <w:ind w:firstLine="0"/>
              <w:jc w:val="center"/>
              <w:rPr>
                <w:rFonts w:ascii="华文楷体" w:hAnsi="华文楷体" w:eastAsia="华文楷体" w:cs="宋体"/>
                <w:szCs w:val="24"/>
              </w:rPr>
            </w:pPr>
          </w:p>
        </w:tc>
      </w:tr>
      <w:tr w14:paraId="7D0B3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71048D03">
            <w:pPr>
              <w:pStyle w:val="11"/>
              <w:spacing w:line="360" w:lineRule="auto"/>
              <w:ind w:firstLine="0"/>
              <w:jc w:val="center"/>
              <w:rPr>
                <w:rFonts w:ascii="华文楷体" w:hAnsi="华文楷体" w:eastAsia="华文楷体" w:cs="宋体"/>
                <w:szCs w:val="24"/>
              </w:rPr>
            </w:pPr>
          </w:p>
        </w:tc>
        <w:tc>
          <w:tcPr>
            <w:tcW w:w="2514" w:type="dxa"/>
            <w:vAlign w:val="center"/>
          </w:tcPr>
          <w:p w14:paraId="34704FEB">
            <w:pPr>
              <w:pStyle w:val="11"/>
              <w:spacing w:line="360" w:lineRule="auto"/>
              <w:ind w:firstLine="0"/>
              <w:jc w:val="center"/>
              <w:rPr>
                <w:rFonts w:ascii="华文楷体" w:hAnsi="华文楷体" w:eastAsia="华文楷体" w:cs="宋体"/>
                <w:szCs w:val="24"/>
              </w:rPr>
            </w:pPr>
          </w:p>
        </w:tc>
        <w:tc>
          <w:tcPr>
            <w:tcW w:w="2266" w:type="dxa"/>
            <w:vAlign w:val="center"/>
          </w:tcPr>
          <w:p w14:paraId="19B707BC">
            <w:pPr>
              <w:pStyle w:val="11"/>
              <w:spacing w:line="360" w:lineRule="auto"/>
              <w:ind w:firstLine="0"/>
              <w:jc w:val="center"/>
              <w:rPr>
                <w:rFonts w:ascii="华文楷体" w:hAnsi="华文楷体" w:eastAsia="华文楷体" w:cs="宋体"/>
                <w:szCs w:val="24"/>
              </w:rPr>
            </w:pPr>
          </w:p>
        </w:tc>
        <w:tc>
          <w:tcPr>
            <w:tcW w:w="2966" w:type="dxa"/>
            <w:vAlign w:val="center"/>
          </w:tcPr>
          <w:p w14:paraId="5A711391">
            <w:pPr>
              <w:pStyle w:val="11"/>
              <w:spacing w:line="360" w:lineRule="auto"/>
              <w:ind w:firstLine="0"/>
              <w:jc w:val="center"/>
              <w:rPr>
                <w:rFonts w:ascii="华文楷体" w:hAnsi="华文楷体" w:eastAsia="华文楷体" w:cs="宋体"/>
                <w:szCs w:val="24"/>
              </w:rPr>
            </w:pPr>
          </w:p>
        </w:tc>
      </w:tr>
      <w:tr w14:paraId="61311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03757FC8">
            <w:pPr>
              <w:pStyle w:val="11"/>
              <w:spacing w:line="360" w:lineRule="auto"/>
              <w:ind w:firstLine="0"/>
              <w:jc w:val="center"/>
              <w:rPr>
                <w:rFonts w:ascii="华文楷体" w:hAnsi="华文楷体" w:eastAsia="华文楷体" w:cs="宋体"/>
                <w:szCs w:val="24"/>
              </w:rPr>
            </w:pPr>
          </w:p>
        </w:tc>
        <w:tc>
          <w:tcPr>
            <w:tcW w:w="2514" w:type="dxa"/>
            <w:vAlign w:val="center"/>
          </w:tcPr>
          <w:p w14:paraId="4D9CC102">
            <w:pPr>
              <w:pStyle w:val="11"/>
              <w:spacing w:line="360" w:lineRule="auto"/>
              <w:ind w:firstLine="0"/>
              <w:jc w:val="center"/>
              <w:rPr>
                <w:rFonts w:ascii="华文楷体" w:hAnsi="华文楷体" w:eastAsia="华文楷体" w:cs="宋体"/>
                <w:szCs w:val="24"/>
              </w:rPr>
            </w:pPr>
          </w:p>
        </w:tc>
        <w:tc>
          <w:tcPr>
            <w:tcW w:w="2266" w:type="dxa"/>
            <w:vAlign w:val="center"/>
          </w:tcPr>
          <w:p w14:paraId="50A00A92">
            <w:pPr>
              <w:pStyle w:val="11"/>
              <w:spacing w:line="360" w:lineRule="auto"/>
              <w:ind w:firstLine="0"/>
              <w:jc w:val="center"/>
              <w:rPr>
                <w:rFonts w:ascii="华文楷体" w:hAnsi="华文楷体" w:eastAsia="华文楷体" w:cs="宋体"/>
                <w:szCs w:val="24"/>
              </w:rPr>
            </w:pPr>
          </w:p>
        </w:tc>
        <w:tc>
          <w:tcPr>
            <w:tcW w:w="2966" w:type="dxa"/>
            <w:vAlign w:val="center"/>
          </w:tcPr>
          <w:p w14:paraId="4F7ED7CE">
            <w:pPr>
              <w:pStyle w:val="11"/>
              <w:spacing w:line="360" w:lineRule="auto"/>
              <w:ind w:firstLine="0"/>
              <w:jc w:val="center"/>
              <w:rPr>
                <w:rFonts w:ascii="华文楷体" w:hAnsi="华文楷体" w:eastAsia="华文楷体" w:cs="宋体"/>
                <w:szCs w:val="24"/>
              </w:rPr>
            </w:pPr>
          </w:p>
        </w:tc>
      </w:tr>
      <w:tr w14:paraId="2F960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34B08227">
            <w:pPr>
              <w:pStyle w:val="11"/>
              <w:spacing w:line="360" w:lineRule="auto"/>
              <w:ind w:firstLine="0"/>
              <w:jc w:val="center"/>
              <w:rPr>
                <w:rFonts w:ascii="华文楷体" w:hAnsi="华文楷体" w:eastAsia="华文楷体" w:cs="宋体"/>
                <w:szCs w:val="24"/>
              </w:rPr>
            </w:pPr>
          </w:p>
        </w:tc>
        <w:tc>
          <w:tcPr>
            <w:tcW w:w="2514" w:type="dxa"/>
            <w:vAlign w:val="center"/>
          </w:tcPr>
          <w:p w14:paraId="6D8B5860">
            <w:pPr>
              <w:pStyle w:val="11"/>
              <w:spacing w:line="360" w:lineRule="auto"/>
              <w:ind w:firstLine="0"/>
              <w:jc w:val="center"/>
              <w:rPr>
                <w:rFonts w:ascii="华文楷体" w:hAnsi="华文楷体" w:eastAsia="华文楷体" w:cs="宋体"/>
                <w:szCs w:val="24"/>
              </w:rPr>
            </w:pPr>
          </w:p>
        </w:tc>
        <w:tc>
          <w:tcPr>
            <w:tcW w:w="2266" w:type="dxa"/>
            <w:vAlign w:val="center"/>
          </w:tcPr>
          <w:p w14:paraId="649643F8">
            <w:pPr>
              <w:pStyle w:val="11"/>
              <w:spacing w:line="360" w:lineRule="auto"/>
              <w:ind w:firstLine="0"/>
              <w:jc w:val="center"/>
              <w:rPr>
                <w:rFonts w:ascii="华文楷体" w:hAnsi="华文楷体" w:eastAsia="华文楷体" w:cs="宋体"/>
                <w:szCs w:val="24"/>
              </w:rPr>
            </w:pPr>
          </w:p>
        </w:tc>
        <w:tc>
          <w:tcPr>
            <w:tcW w:w="2966" w:type="dxa"/>
            <w:vAlign w:val="center"/>
          </w:tcPr>
          <w:p w14:paraId="52FDFB64">
            <w:pPr>
              <w:pStyle w:val="11"/>
              <w:spacing w:line="360" w:lineRule="auto"/>
              <w:ind w:firstLine="0"/>
              <w:jc w:val="center"/>
              <w:rPr>
                <w:rFonts w:ascii="华文楷体" w:hAnsi="华文楷体" w:eastAsia="华文楷体" w:cs="宋体"/>
                <w:szCs w:val="24"/>
              </w:rPr>
            </w:pPr>
          </w:p>
        </w:tc>
      </w:tr>
      <w:tr w14:paraId="2FC45F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70A7A4ED">
            <w:pPr>
              <w:pStyle w:val="11"/>
              <w:spacing w:line="360" w:lineRule="auto"/>
              <w:ind w:firstLine="0"/>
              <w:jc w:val="center"/>
              <w:rPr>
                <w:rFonts w:ascii="华文楷体" w:hAnsi="华文楷体" w:eastAsia="华文楷体" w:cs="宋体"/>
                <w:szCs w:val="24"/>
              </w:rPr>
            </w:pPr>
          </w:p>
        </w:tc>
        <w:tc>
          <w:tcPr>
            <w:tcW w:w="2514" w:type="dxa"/>
            <w:vAlign w:val="center"/>
          </w:tcPr>
          <w:p w14:paraId="0457B395">
            <w:pPr>
              <w:pStyle w:val="11"/>
              <w:spacing w:line="360" w:lineRule="auto"/>
              <w:ind w:firstLine="0"/>
              <w:jc w:val="center"/>
              <w:rPr>
                <w:rFonts w:ascii="华文楷体" w:hAnsi="华文楷体" w:eastAsia="华文楷体" w:cs="宋体"/>
                <w:szCs w:val="24"/>
              </w:rPr>
            </w:pPr>
          </w:p>
        </w:tc>
        <w:tc>
          <w:tcPr>
            <w:tcW w:w="2266" w:type="dxa"/>
            <w:vAlign w:val="center"/>
          </w:tcPr>
          <w:p w14:paraId="2712EB45">
            <w:pPr>
              <w:pStyle w:val="11"/>
              <w:spacing w:line="360" w:lineRule="auto"/>
              <w:ind w:firstLine="0"/>
              <w:jc w:val="center"/>
              <w:rPr>
                <w:rFonts w:ascii="华文楷体" w:hAnsi="华文楷体" w:eastAsia="华文楷体" w:cs="宋体"/>
                <w:szCs w:val="24"/>
              </w:rPr>
            </w:pPr>
          </w:p>
        </w:tc>
        <w:tc>
          <w:tcPr>
            <w:tcW w:w="2966" w:type="dxa"/>
            <w:vAlign w:val="center"/>
          </w:tcPr>
          <w:p w14:paraId="02436D43">
            <w:pPr>
              <w:pStyle w:val="11"/>
              <w:spacing w:line="360" w:lineRule="auto"/>
              <w:ind w:firstLine="0"/>
              <w:jc w:val="center"/>
              <w:rPr>
                <w:rFonts w:ascii="华文楷体" w:hAnsi="华文楷体" w:eastAsia="华文楷体" w:cs="宋体"/>
                <w:szCs w:val="24"/>
              </w:rPr>
            </w:pPr>
          </w:p>
        </w:tc>
      </w:tr>
      <w:tr w14:paraId="39B16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 w:hRule="atLeast"/>
          <w:jc w:val="center"/>
        </w:trPr>
        <w:tc>
          <w:tcPr>
            <w:tcW w:w="871" w:type="dxa"/>
            <w:vAlign w:val="center"/>
          </w:tcPr>
          <w:p w14:paraId="5D3B4175">
            <w:pPr>
              <w:pStyle w:val="11"/>
              <w:spacing w:line="360" w:lineRule="auto"/>
              <w:ind w:firstLine="0"/>
              <w:jc w:val="center"/>
              <w:rPr>
                <w:rFonts w:ascii="华文楷体" w:hAnsi="华文楷体" w:eastAsia="华文楷体" w:cs="宋体"/>
                <w:szCs w:val="24"/>
              </w:rPr>
            </w:pPr>
          </w:p>
        </w:tc>
        <w:tc>
          <w:tcPr>
            <w:tcW w:w="2514" w:type="dxa"/>
            <w:vAlign w:val="center"/>
          </w:tcPr>
          <w:p w14:paraId="69B7655A">
            <w:pPr>
              <w:pStyle w:val="11"/>
              <w:spacing w:line="360" w:lineRule="auto"/>
              <w:ind w:firstLine="0"/>
              <w:jc w:val="center"/>
              <w:rPr>
                <w:rFonts w:ascii="华文楷体" w:hAnsi="华文楷体" w:eastAsia="华文楷体" w:cs="宋体"/>
                <w:szCs w:val="24"/>
              </w:rPr>
            </w:pPr>
          </w:p>
        </w:tc>
        <w:tc>
          <w:tcPr>
            <w:tcW w:w="2266" w:type="dxa"/>
            <w:vAlign w:val="center"/>
          </w:tcPr>
          <w:p w14:paraId="066A16F1">
            <w:pPr>
              <w:pStyle w:val="11"/>
              <w:spacing w:line="360" w:lineRule="auto"/>
              <w:ind w:firstLine="0"/>
              <w:jc w:val="center"/>
              <w:rPr>
                <w:rFonts w:ascii="华文楷体" w:hAnsi="华文楷体" w:eastAsia="华文楷体" w:cs="宋体"/>
                <w:szCs w:val="24"/>
              </w:rPr>
            </w:pPr>
          </w:p>
        </w:tc>
        <w:tc>
          <w:tcPr>
            <w:tcW w:w="2966" w:type="dxa"/>
            <w:vAlign w:val="center"/>
          </w:tcPr>
          <w:p w14:paraId="06E944DF">
            <w:pPr>
              <w:pStyle w:val="11"/>
              <w:spacing w:line="360" w:lineRule="auto"/>
              <w:ind w:firstLine="0"/>
              <w:jc w:val="center"/>
              <w:rPr>
                <w:rFonts w:ascii="华文楷体" w:hAnsi="华文楷体" w:eastAsia="华文楷体" w:cs="宋体"/>
                <w:szCs w:val="24"/>
              </w:rPr>
            </w:pPr>
          </w:p>
        </w:tc>
      </w:tr>
    </w:tbl>
    <w:p w14:paraId="4583FE07">
      <w:pPr>
        <w:spacing w:line="360" w:lineRule="auto"/>
        <w:rPr>
          <w:rFonts w:ascii="华文楷体" w:hAnsi="华文楷体" w:eastAsia="华文楷体" w:cs="宋体"/>
          <w:lang w:val="zh-CN"/>
        </w:rPr>
      </w:pPr>
    </w:p>
    <w:p w14:paraId="61919A8B">
      <w:pPr>
        <w:pStyle w:val="25"/>
        <w:spacing w:before="0" w:after="0" w:line="360" w:lineRule="auto"/>
        <w:jc w:val="left"/>
        <w:outlineLvl w:val="1"/>
        <w:rPr>
          <w:rFonts w:ascii="华文楷体" w:hAnsi="华文楷体" w:eastAsia="华文楷体" w:cs="宋体"/>
          <w:lang w:val="zh-CN"/>
        </w:rPr>
      </w:pPr>
      <w:bookmarkStart w:id="237" w:name="_Toc28963"/>
      <w:r>
        <w:rPr>
          <w:rFonts w:hint="eastAsia" w:ascii="华文楷体" w:hAnsi="华文楷体" w:eastAsia="华文楷体" w:cs="宋体"/>
          <w:sz w:val="30"/>
          <w:szCs w:val="30"/>
          <w:lang w:val="zh-CN"/>
        </w:rPr>
        <w:br w:type="page"/>
      </w:r>
      <w:bookmarkStart w:id="238" w:name="_Toc515908221"/>
      <w:bookmarkStart w:id="239" w:name="_Toc184345942"/>
      <w:bookmarkStart w:id="240" w:name="_Toc25816"/>
      <w:bookmarkStart w:id="241" w:name="_Toc26451"/>
      <w:r>
        <w:rPr>
          <w:rFonts w:hint="eastAsia" w:ascii="华文楷体" w:hAnsi="华文楷体" w:eastAsia="华文楷体" w:cs="宋体"/>
          <w:sz w:val="30"/>
          <w:szCs w:val="30"/>
        </w:rPr>
        <w:t>（15）</w:t>
      </w:r>
      <w:r>
        <w:rPr>
          <w:rFonts w:hint="eastAsia" w:ascii="华文楷体" w:hAnsi="华文楷体" w:eastAsia="华文楷体" w:cs="宋体"/>
          <w:sz w:val="30"/>
          <w:szCs w:val="30"/>
          <w:lang w:val="zh-CN"/>
        </w:rPr>
        <w:t>开标一览表（报价表）</w:t>
      </w:r>
      <w:bookmarkEnd w:id="238"/>
      <w:bookmarkEnd w:id="239"/>
      <w:bookmarkEnd w:id="240"/>
      <w:bookmarkEnd w:id="241"/>
    </w:p>
    <w:p w14:paraId="69C66D85">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开标一览表（报价表）</w:t>
      </w:r>
    </w:p>
    <w:tbl>
      <w:tblPr>
        <w:tblStyle w:val="26"/>
        <w:tblW w:w="86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632"/>
        <w:gridCol w:w="5985"/>
      </w:tblGrid>
      <w:tr w14:paraId="627A0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3E69D4B0">
            <w:pPr>
              <w:pStyle w:val="11"/>
              <w:spacing w:line="360" w:lineRule="auto"/>
              <w:ind w:firstLine="0"/>
              <w:jc w:val="center"/>
              <w:rPr>
                <w:rFonts w:ascii="华文楷体" w:hAnsi="华文楷体" w:eastAsia="华文楷体" w:cs="宋体"/>
                <w:szCs w:val="24"/>
              </w:rPr>
            </w:pPr>
            <w:r>
              <w:rPr>
                <w:rFonts w:hint="eastAsia" w:ascii="华文楷体" w:hAnsi="华文楷体" w:eastAsia="华文楷体" w:cs="宋体"/>
                <w:szCs w:val="24"/>
              </w:rPr>
              <w:t>投标人名称</w:t>
            </w:r>
          </w:p>
        </w:tc>
        <w:tc>
          <w:tcPr>
            <w:tcW w:w="5985" w:type="dxa"/>
            <w:vAlign w:val="center"/>
          </w:tcPr>
          <w:p w14:paraId="5B1DA3B3">
            <w:pPr>
              <w:pStyle w:val="11"/>
              <w:spacing w:line="360" w:lineRule="auto"/>
              <w:ind w:firstLine="0"/>
              <w:rPr>
                <w:rFonts w:ascii="华文楷体" w:hAnsi="华文楷体" w:eastAsia="华文楷体" w:cs="宋体"/>
                <w:szCs w:val="24"/>
              </w:rPr>
            </w:pPr>
          </w:p>
        </w:tc>
      </w:tr>
      <w:tr w14:paraId="15826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359E8F87">
            <w:pPr>
              <w:pStyle w:val="11"/>
              <w:spacing w:line="360" w:lineRule="auto"/>
              <w:ind w:firstLine="0"/>
              <w:jc w:val="center"/>
              <w:rPr>
                <w:rFonts w:ascii="华文楷体" w:hAnsi="华文楷体" w:eastAsia="华文楷体" w:cs="宋体"/>
                <w:szCs w:val="24"/>
              </w:rPr>
            </w:pPr>
            <w:r>
              <w:rPr>
                <w:rFonts w:hint="eastAsia" w:ascii="华文楷体" w:hAnsi="华文楷体" w:eastAsia="华文楷体" w:cs="宋体"/>
                <w:szCs w:val="24"/>
                <w:lang w:val="zh-CN"/>
              </w:rPr>
              <w:t>投标包号</w:t>
            </w:r>
          </w:p>
        </w:tc>
        <w:tc>
          <w:tcPr>
            <w:tcW w:w="5985" w:type="dxa"/>
            <w:vAlign w:val="center"/>
          </w:tcPr>
          <w:p w14:paraId="692ACEDF">
            <w:pPr>
              <w:pStyle w:val="11"/>
              <w:spacing w:line="360" w:lineRule="auto"/>
              <w:ind w:firstLine="0"/>
              <w:rPr>
                <w:rFonts w:ascii="华文楷体" w:hAnsi="华文楷体" w:eastAsia="华文楷体" w:cs="宋体"/>
                <w:szCs w:val="24"/>
              </w:rPr>
            </w:pPr>
          </w:p>
        </w:tc>
      </w:tr>
      <w:tr w14:paraId="53213E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73A104E4">
            <w:pPr>
              <w:pStyle w:val="11"/>
              <w:spacing w:line="360" w:lineRule="auto"/>
              <w:ind w:firstLine="0"/>
              <w:jc w:val="center"/>
              <w:rPr>
                <w:rFonts w:ascii="华文楷体" w:hAnsi="华文楷体" w:eastAsia="华文楷体" w:cs="宋体"/>
                <w:szCs w:val="24"/>
              </w:rPr>
            </w:pPr>
            <w:r>
              <w:rPr>
                <w:rFonts w:hint="eastAsia" w:ascii="华文楷体" w:hAnsi="华文楷体" w:eastAsia="华文楷体" w:cs="宋体"/>
                <w:szCs w:val="24"/>
              </w:rPr>
              <w:t>投标报价</w:t>
            </w:r>
          </w:p>
        </w:tc>
        <w:tc>
          <w:tcPr>
            <w:tcW w:w="5985" w:type="dxa"/>
            <w:vAlign w:val="center"/>
          </w:tcPr>
          <w:p w14:paraId="2072F02B">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kern w:val="0"/>
                <w:lang w:val="zh-CN"/>
              </w:rPr>
              <w:t>大写：</w:t>
            </w:r>
          </w:p>
          <w:p w14:paraId="54830A1A">
            <w:pPr>
              <w:pStyle w:val="11"/>
              <w:spacing w:line="360" w:lineRule="auto"/>
              <w:ind w:firstLine="0"/>
              <w:rPr>
                <w:rFonts w:ascii="华文楷体" w:hAnsi="华文楷体" w:eastAsia="华文楷体" w:cs="宋体"/>
                <w:szCs w:val="24"/>
              </w:rPr>
            </w:pPr>
            <w:r>
              <w:rPr>
                <w:rFonts w:hint="eastAsia" w:ascii="华文楷体" w:hAnsi="华文楷体" w:eastAsia="华文楷体" w:cs="宋体"/>
                <w:kern w:val="0"/>
                <w:szCs w:val="24"/>
                <w:lang w:val="zh-CN"/>
              </w:rPr>
              <w:t>小写：</w:t>
            </w:r>
          </w:p>
        </w:tc>
      </w:tr>
      <w:tr w14:paraId="0B756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640BF4D4">
            <w:pPr>
              <w:pStyle w:val="11"/>
              <w:ind w:firstLine="0"/>
              <w:jc w:val="center"/>
              <w:rPr>
                <w:rFonts w:ascii="华文楷体" w:hAnsi="华文楷体" w:eastAsia="华文楷体" w:cs="宋体"/>
                <w:szCs w:val="24"/>
                <w:lang w:val="zh-CN"/>
              </w:rPr>
            </w:pPr>
            <w:r>
              <w:rPr>
                <w:rFonts w:hint="eastAsia" w:ascii="华文楷体" w:hAnsi="华文楷体" w:eastAsia="华文楷体" w:cs="宋体"/>
                <w:szCs w:val="24"/>
                <w:lang w:val="zh-CN"/>
              </w:rPr>
              <w:t>合同履行期限</w:t>
            </w:r>
          </w:p>
        </w:tc>
        <w:tc>
          <w:tcPr>
            <w:tcW w:w="5985" w:type="dxa"/>
            <w:vAlign w:val="center"/>
          </w:tcPr>
          <w:p w14:paraId="2F9BAB89">
            <w:pPr>
              <w:pStyle w:val="11"/>
              <w:spacing w:line="360" w:lineRule="auto"/>
              <w:ind w:firstLine="0"/>
              <w:rPr>
                <w:rFonts w:ascii="华文楷体" w:hAnsi="华文楷体" w:eastAsia="华文楷体" w:cs="宋体"/>
                <w:szCs w:val="24"/>
              </w:rPr>
            </w:pPr>
          </w:p>
        </w:tc>
      </w:tr>
      <w:tr w14:paraId="048DA4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288EA1DE">
            <w:pPr>
              <w:pStyle w:val="11"/>
              <w:ind w:firstLine="0"/>
              <w:jc w:val="center"/>
              <w:rPr>
                <w:rFonts w:ascii="华文楷体" w:hAnsi="华文楷体" w:eastAsia="华文楷体" w:cs="宋体"/>
                <w:szCs w:val="24"/>
              </w:rPr>
            </w:pPr>
            <w:r>
              <w:rPr>
                <w:rFonts w:hint="eastAsia" w:ascii="华文楷体" w:hAnsi="华文楷体" w:eastAsia="华文楷体" w:cs="宋体"/>
                <w:szCs w:val="24"/>
              </w:rPr>
              <w:t>交货地点</w:t>
            </w:r>
          </w:p>
        </w:tc>
        <w:tc>
          <w:tcPr>
            <w:tcW w:w="5985" w:type="dxa"/>
            <w:vAlign w:val="center"/>
          </w:tcPr>
          <w:p w14:paraId="0AE23C97">
            <w:pPr>
              <w:pStyle w:val="11"/>
              <w:spacing w:line="360" w:lineRule="auto"/>
              <w:ind w:firstLine="0"/>
              <w:rPr>
                <w:rFonts w:ascii="华文楷体" w:hAnsi="华文楷体" w:eastAsia="华文楷体" w:cs="宋体"/>
                <w:szCs w:val="24"/>
              </w:rPr>
            </w:pPr>
          </w:p>
        </w:tc>
      </w:tr>
      <w:tr w14:paraId="475ED8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632" w:type="dxa"/>
            <w:vAlign w:val="center"/>
          </w:tcPr>
          <w:p w14:paraId="08E5955C">
            <w:pPr>
              <w:pStyle w:val="11"/>
              <w:ind w:firstLine="0"/>
              <w:jc w:val="center"/>
              <w:rPr>
                <w:rFonts w:ascii="华文楷体" w:hAnsi="华文楷体" w:eastAsia="华文楷体" w:cs="宋体"/>
                <w:szCs w:val="24"/>
              </w:rPr>
            </w:pPr>
            <w:r>
              <w:rPr>
                <w:rFonts w:hint="eastAsia" w:ascii="华文楷体" w:hAnsi="华文楷体" w:eastAsia="华文楷体" w:cs="宋体"/>
                <w:szCs w:val="24"/>
              </w:rPr>
              <w:t>质保期</w:t>
            </w:r>
          </w:p>
        </w:tc>
        <w:tc>
          <w:tcPr>
            <w:tcW w:w="5985" w:type="dxa"/>
            <w:vAlign w:val="center"/>
          </w:tcPr>
          <w:p w14:paraId="05D6009D">
            <w:pPr>
              <w:pStyle w:val="11"/>
              <w:spacing w:line="360" w:lineRule="auto"/>
              <w:ind w:firstLine="0"/>
              <w:rPr>
                <w:rFonts w:ascii="华文楷体" w:hAnsi="华文楷体" w:eastAsia="华文楷体" w:cs="宋体"/>
                <w:szCs w:val="24"/>
              </w:rPr>
            </w:pPr>
          </w:p>
        </w:tc>
      </w:tr>
    </w:tbl>
    <w:p w14:paraId="5DD4C321">
      <w:pPr>
        <w:autoSpaceDE w:val="0"/>
        <w:autoSpaceDN w:val="0"/>
        <w:spacing w:line="360" w:lineRule="auto"/>
        <w:rPr>
          <w:rFonts w:ascii="华文楷体" w:hAnsi="华文楷体" w:eastAsia="华文楷体" w:cs="宋体"/>
          <w:kern w:val="0"/>
          <w:lang w:val="zh-CN"/>
        </w:rPr>
      </w:pPr>
      <w:r>
        <w:rPr>
          <w:rFonts w:hint="eastAsia" w:ascii="华文楷体" w:hAnsi="华文楷体" w:eastAsia="华文楷体" w:cs="宋体"/>
          <w:b/>
          <w:bCs/>
          <w:kern w:val="0"/>
          <w:lang w:val="zh-CN"/>
        </w:rPr>
        <w:t>注：</w:t>
      </w:r>
      <w:r>
        <w:rPr>
          <w:rFonts w:hint="eastAsia" w:ascii="华文楷体" w:hAnsi="华文楷体" w:eastAsia="华文楷体" w:cs="宋体"/>
          <w:kern w:val="0"/>
          <w:lang w:val="zh-CN"/>
        </w:rPr>
        <w:t>1.填写此表时不得改变表格形式。</w:t>
      </w:r>
    </w:p>
    <w:p w14:paraId="5EBA6AFD">
      <w:pPr>
        <w:autoSpaceDE w:val="0"/>
        <w:autoSpaceDN w:val="0"/>
        <w:spacing w:line="360" w:lineRule="auto"/>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2.“投标报价”为投标总价。投标报价必须包括：设备价款、包装费、运输费、安装费、调试费、检测费、培训费、技术服务费、售后服务费、税</w:t>
      </w:r>
      <w:r>
        <w:rPr>
          <w:rFonts w:hint="eastAsia" w:ascii="华文楷体" w:hAnsi="华文楷体" w:eastAsia="华文楷体" w:cs="宋体"/>
          <w:kern w:val="0"/>
        </w:rPr>
        <w:t>金</w:t>
      </w:r>
      <w:r>
        <w:rPr>
          <w:rFonts w:hint="eastAsia" w:ascii="华文楷体" w:hAnsi="华文楷体" w:eastAsia="华文楷体" w:cs="宋体"/>
          <w:kern w:val="0"/>
          <w:lang w:val="zh-CN"/>
        </w:rPr>
        <w:t>、保险费等其他为完成本项目将发生的全部费用。</w:t>
      </w:r>
    </w:p>
    <w:p w14:paraId="28248B6B">
      <w:pPr>
        <w:autoSpaceDE w:val="0"/>
        <w:autoSpaceDN w:val="0"/>
        <w:spacing w:line="360" w:lineRule="auto"/>
        <w:ind w:firstLine="480" w:firstLineChars="200"/>
        <w:rPr>
          <w:rFonts w:ascii="华文楷体" w:hAnsi="华文楷体" w:eastAsia="华文楷体" w:cs="宋体"/>
          <w:kern w:val="0"/>
        </w:rPr>
      </w:pPr>
      <w:r>
        <w:rPr>
          <w:rFonts w:hint="eastAsia" w:ascii="华文楷体" w:hAnsi="华文楷体" w:eastAsia="华文楷体" w:cs="宋体"/>
          <w:kern w:val="0"/>
          <w:lang w:val="zh-CN"/>
        </w:rPr>
        <w:t>3.“合同履行期限”是指产品能够交付使用的具体时间。</w:t>
      </w:r>
    </w:p>
    <w:p w14:paraId="0126894C">
      <w:pPr>
        <w:autoSpaceDE w:val="0"/>
        <w:autoSpaceDN w:val="0"/>
        <w:spacing w:line="360" w:lineRule="auto"/>
        <w:ind w:firstLine="480"/>
        <w:rPr>
          <w:rFonts w:ascii="华文楷体" w:hAnsi="华文楷体" w:eastAsia="华文楷体" w:cs="宋体"/>
          <w:kern w:val="0"/>
          <w:lang w:val="zh-CN"/>
        </w:rPr>
      </w:pPr>
      <w:r>
        <w:rPr>
          <w:rFonts w:hint="eastAsia" w:ascii="华文楷体" w:hAnsi="华文楷体" w:eastAsia="华文楷体" w:cs="宋体"/>
          <w:kern w:val="0"/>
          <w:lang w:val="zh-CN"/>
        </w:rPr>
        <w:t>4.投标报价不能有两个或两个以上的报价方案，</w:t>
      </w:r>
      <w:r>
        <w:rPr>
          <w:rFonts w:hint="eastAsia" w:ascii="华文楷体" w:hAnsi="华文楷体" w:eastAsia="华文楷体" w:cs="宋体"/>
          <w:kern w:val="0"/>
        </w:rPr>
        <w:t>否则投标无效</w:t>
      </w:r>
      <w:r>
        <w:rPr>
          <w:rFonts w:hint="eastAsia" w:ascii="华文楷体" w:hAnsi="华文楷体" w:eastAsia="华文楷体" w:cs="宋体"/>
          <w:kern w:val="0"/>
          <w:lang w:val="zh-CN"/>
        </w:rPr>
        <w:t>。</w:t>
      </w:r>
    </w:p>
    <w:p w14:paraId="6AC5A8EF">
      <w:pPr>
        <w:autoSpaceDE w:val="0"/>
        <w:autoSpaceDN w:val="0"/>
        <w:spacing w:line="360" w:lineRule="auto"/>
        <w:rPr>
          <w:rFonts w:ascii="华文楷体" w:hAnsi="华文楷体" w:eastAsia="华文楷体" w:cs="宋体"/>
          <w:kern w:val="0"/>
          <w:lang w:val="zh-CN"/>
        </w:rPr>
      </w:pPr>
    </w:p>
    <w:p w14:paraId="0F809065">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 xml:space="preserve">          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28711072">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3D7E3A0F">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101DFE65">
      <w:pPr>
        <w:pStyle w:val="25"/>
        <w:spacing w:before="0" w:after="0" w:line="360" w:lineRule="auto"/>
        <w:jc w:val="left"/>
        <w:outlineLvl w:val="1"/>
        <w:rPr>
          <w:rFonts w:ascii="华文楷体" w:hAnsi="华文楷体" w:eastAsia="华文楷体" w:cs="宋体"/>
        </w:rPr>
      </w:pPr>
      <w:r>
        <w:rPr>
          <w:rFonts w:hint="eastAsia" w:ascii="华文楷体" w:hAnsi="华文楷体" w:eastAsia="华文楷体" w:cs="宋体"/>
          <w:sz w:val="30"/>
          <w:szCs w:val="30"/>
          <w:lang w:val="zh-CN"/>
        </w:rPr>
        <w:br w:type="page"/>
      </w:r>
      <w:bookmarkStart w:id="242" w:name="_Toc20079"/>
      <w:bookmarkStart w:id="243" w:name="_Toc184345943"/>
      <w:bookmarkStart w:id="244" w:name="_Toc515908222"/>
      <w:r>
        <w:rPr>
          <w:rFonts w:hint="eastAsia" w:ascii="华文楷体" w:hAnsi="华文楷体" w:eastAsia="华文楷体" w:cs="宋体"/>
          <w:sz w:val="30"/>
          <w:szCs w:val="30"/>
        </w:rPr>
        <w:t>（16）</w:t>
      </w:r>
      <w:r>
        <w:rPr>
          <w:rFonts w:hint="eastAsia" w:ascii="华文楷体" w:hAnsi="华文楷体" w:eastAsia="华文楷体" w:cs="宋体"/>
          <w:sz w:val="30"/>
          <w:szCs w:val="30"/>
          <w:lang w:val="zh-CN"/>
        </w:rPr>
        <w:t>分项报价表</w:t>
      </w:r>
      <w:bookmarkEnd w:id="237"/>
      <w:bookmarkEnd w:id="242"/>
      <w:bookmarkEnd w:id="243"/>
      <w:bookmarkEnd w:id="244"/>
    </w:p>
    <w:p w14:paraId="3F5103AF">
      <w:pPr>
        <w:autoSpaceDE w:val="0"/>
        <w:autoSpaceDN w:val="0"/>
        <w:spacing w:line="360" w:lineRule="auto"/>
        <w:rPr>
          <w:rFonts w:ascii="华文楷体" w:hAnsi="华文楷体" w:eastAsia="华文楷体" w:cs="宋体"/>
          <w:b/>
          <w:bCs/>
          <w:kern w:val="0"/>
          <w:sz w:val="28"/>
          <w:szCs w:val="28"/>
          <w:lang w:val="zh-CN"/>
        </w:rPr>
      </w:pPr>
    </w:p>
    <w:p w14:paraId="5D1E5DF5">
      <w:pPr>
        <w:autoSpaceDE w:val="0"/>
        <w:autoSpaceDN w:val="0"/>
        <w:spacing w:line="360" w:lineRule="auto"/>
        <w:jc w:val="center"/>
        <w:rPr>
          <w:rFonts w:ascii="华文楷体" w:hAnsi="华文楷体" w:eastAsia="华文楷体" w:cs="宋体"/>
          <w:b/>
          <w:bCs/>
          <w:kern w:val="0"/>
          <w:sz w:val="28"/>
          <w:szCs w:val="28"/>
          <w:lang w:val="zh-CN"/>
        </w:rPr>
      </w:pPr>
      <w:r>
        <w:rPr>
          <w:rFonts w:hint="eastAsia" w:ascii="华文楷体" w:hAnsi="华文楷体" w:eastAsia="华文楷体" w:cs="宋体"/>
          <w:b/>
          <w:bCs/>
          <w:kern w:val="0"/>
          <w:sz w:val="28"/>
          <w:szCs w:val="28"/>
          <w:lang w:val="zh-CN"/>
        </w:rPr>
        <w:t>分项报价表</w:t>
      </w:r>
    </w:p>
    <w:p w14:paraId="380E51F2">
      <w:pPr>
        <w:autoSpaceDE w:val="0"/>
        <w:autoSpaceDN w:val="0"/>
        <w:spacing w:line="360" w:lineRule="auto"/>
        <w:rPr>
          <w:rFonts w:ascii="华文楷体" w:hAnsi="华文楷体" w:eastAsia="华文楷体" w:cs="宋体"/>
          <w:b/>
          <w:bCs/>
          <w:kern w:val="0"/>
        </w:rPr>
      </w:pPr>
      <w:r>
        <w:rPr>
          <w:rFonts w:hint="eastAsia" w:ascii="华文楷体" w:hAnsi="华文楷体" w:eastAsia="华文楷体" w:cs="宋体"/>
          <w:b/>
          <w:bCs/>
          <w:kern w:val="0"/>
          <w:lang w:val="zh-CN"/>
        </w:rPr>
        <w:t>投标人名称</w:t>
      </w:r>
      <w:r>
        <w:rPr>
          <w:rFonts w:hint="eastAsia" w:ascii="华文楷体" w:hAnsi="华文楷体" w:eastAsia="华文楷体" w:cs="宋体"/>
          <w:b/>
          <w:bCs/>
          <w:kern w:val="0"/>
        </w:rPr>
        <w:t>：                           包号：               单位：元</w:t>
      </w:r>
    </w:p>
    <w:tbl>
      <w:tblPr>
        <w:tblStyle w:val="26"/>
        <w:tblW w:w="0" w:type="auto"/>
        <w:jc w:val="center"/>
        <w:tblLayout w:type="fixed"/>
        <w:tblCellMar>
          <w:top w:w="0" w:type="dxa"/>
          <w:left w:w="28" w:type="dxa"/>
          <w:bottom w:w="0" w:type="dxa"/>
          <w:right w:w="28" w:type="dxa"/>
        </w:tblCellMar>
      </w:tblPr>
      <w:tblGrid>
        <w:gridCol w:w="628"/>
        <w:gridCol w:w="1563"/>
        <w:gridCol w:w="1065"/>
        <w:gridCol w:w="759"/>
        <w:gridCol w:w="1305"/>
        <w:gridCol w:w="931"/>
        <w:gridCol w:w="706"/>
        <w:gridCol w:w="831"/>
        <w:gridCol w:w="829"/>
      </w:tblGrid>
      <w:tr w14:paraId="40EBD1A3">
        <w:tblPrEx>
          <w:tblCellMar>
            <w:top w:w="0" w:type="dxa"/>
            <w:left w:w="28" w:type="dxa"/>
            <w:bottom w:w="0" w:type="dxa"/>
            <w:right w:w="28" w:type="dxa"/>
          </w:tblCellMar>
        </w:tblPrEx>
        <w:trPr>
          <w:trHeight w:val="23" w:hRule="atLeast"/>
          <w:jc w:val="center"/>
        </w:trPr>
        <w:tc>
          <w:tcPr>
            <w:tcW w:w="628" w:type="dxa"/>
            <w:tcBorders>
              <w:top w:val="single" w:color="000000" w:sz="8" w:space="0"/>
              <w:left w:val="single" w:color="000000" w:sz="8" w:space="0"/>
              <w:bottom w:val="single" w:color="000000" w:sz="6" w:space="0"/>
              <w:right w:val="single" w:color="000000" w:sz="6" w:space="0"/>
            </w:tcBorders>
            <w:vAlign w:val="center"/>
          </w:tcPr>
          <w:p w14:paraId="5A23D2F5">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序号</w:t>
            </w:r>
          </w:p>
        </w:tc>
        <w:tc>
          <w:tcPr>
            <w:tcW w:w="1563" w:type="dxa"/>
            <w:tcBorders>
              <w:top w:val="single" w:color="000000" w:sz="8" w:space="0"/>
              <w:left w:val="single" w:color="000000" w:sz="6" w:space="0"/>
              <w:bottom w:val="single" w:color="000000" w:sz="6" w:space="0"/>
              <w:right w:val="single" w:color="000000" w:sz="6" w:space="0"/>
            </w:tcBorders>
            <w:vAlign w:val="center"/>
          </w:tcPr>
          <w:p w14:paraId="29466E1D">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产品名称</w:t>
            </w:r>
          </w:p>
        </w:tc>
        <w:tc>
          <w:tcPr>
            <w:tcW w:w="1065" w:type="dxa"/>
            <w:tcBorders>
              <w:top w:val="single" w:color="000000" w:sz="8" w:space="0"/>
              <w:left w:val="single" w:color="000000" w:sz="6" w:space="0"/>
              <w:bottom w:val="single" w:color="000000" w:sz="6" w:space="0"/>
              <w:right w:val="single" w:color="000000" w:sz="6" w:space="0"/>
            </w:tcBorders>
            <w:vAlign w:val="center"/>
          </w:tcPr>
          <w:p w14:paraId="478442F6">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品牌</w:t>
            </w:r>
          </w:p>
        </w:tc>
        <w:tc>
          <w:tcPr>
            <w:tcW w:w="759" w:type="dxa"/>
            <w:tcBorders>
              <w:top w:val="single" w:color="000000" w:sz="8" w:space="0"/>
              <w:left w:val="single" w:color="000000" w:sz="6" w:space="0"/>
              <w:bottom w:val="single" w:color="000000" w:sz="6" w:space="0"/>
              <w:right w:val="single" w:color="000000" w:sz="6" w:space="0"/>
            </w:tcBorders>
            <w:vAlign w:val="center"/>
          </w:tcPr>
          <w:p w14:paraId="6E145FED">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规格</w:t>
            </w:r>
          </w:p>
          <w:p w14:paraId="30E24A18">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型号</w:t>
            </w:r>
          </w:p>
        </w:tc>
        <w:tc>
          <w:tcPr>
            <w:tcW w:w="1305" w:type="dxa"/>
            <w:tcBorders>
              <w:top w:val="single" w:color="000000" w:sz="8" w:space="0"/>
              <w:left w:val="single" w:color="000000" w:sz="6" w:space="0"/>
              <w:bottom w:val="single" w:color="000000" w:sz="6" w:space="0"/>
              <w:right w:val="single" w:color="000000" w:sz="6" w:space="0"/>
            </w:tcBorders>
            <w:vAlign w:val="center"/>
          </w:tcPr>
          <w:p w14:paraId="5EBA0E74">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生产厂家</w:t>
            </w:r>
          </w:p>
        </w:tc>
        <w:tc>
          <w:tcPr>
            <w:tcW w:w="931" w:type="dxa"/>
            <w:tcBorders>
              <w:top w:val="single" w:color="000000" w:sz="8" w:space="0"/>
              <w:left w:val="single" w:color="000000" w:sz="6" w:space="0"/>
              <w:bottom w:val="single" w:color="000000" w:sz="6" w:space="0"/>
              <w:right w:val="single" w:color="000000" w:sz="6" w:space="0"/>
            </w:tcBorders>
            <w:vAlign w:val="center"/>
          </w:tcPr>
          <w:p w14:paraId="781D8181">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数量及单位</w:t>
            </w:r>
          </w:p>
        </w:tc>
        <w:tc>
          <w:tcPr>
            <w:tcW w:w="706" w:type="dxa"/>
            <w:tcBorders>
              <w:top w:val="single" w:color="000000" w:sz="8" w:space="0"/>
              <w:left w:val="single" w:color="000000" w:sz="6" w:space="0"/>
              <w:bottom w:val="single" w:color="000000" w:sz="6" w:space="0"/>
              <w:right w:val="single" w:color="000000" w:sz="6" w:space="0"/>
            </w:tcBorders>
            <w:vAlign w:val="center"/>
          </w:tcPr>
          <w:p w14:paraId="10C0CAD8">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单价</w:t>
            </w:r>
          </w:p>
        </w:tc>
        <w:tc>
          <w:tcPr>
            <w:tcW w:w="831" w:type="dxa"/>
            <w:tcBorders>
              <w:top w:val="single" w:color="000000" w:sz="8" w:space="0"/>
              <w:left w:val="single" w:color="000000" w:sz="6" w:space="0"/>
              <w:bottom w:val="single" w:color="000000" w:sz="6" w:space="0"/>
              <w:right w:val="single" w:color="000000" w:sz="6" w:space="0"/>
            </w:tcBorders>
            <w:vAlign w:val="center"/>
          </w:tcPr>
          <w:p w14:paraId="106EC0CB">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合计</w:t>
            </w:r>
          </w:p>
        </w:tc>
        <w:tc>
          <w:tcPr>
            <w:tcW w:w="829" w:type="dxa"/>
            <w:tcBorders>
              <w:top w:val="single" w:color="000000" w:sz="8" w:space="0"/>
              <w:left w:val="single" w:color="000000" w:sz="6" w:space="0"/>
              <w:bottom w:val="single" w:color="000000" w:sz="6" w:space="0"/>
              <w:right w:val="single" w:color="000000" w:sz="8" w:space="0"/>
            </w:tcBorders>
            <w:vAlign w:val="center"/>
          </w:tcPr>
          <w:p w14:paraId="69A09FFF">
            <w:pPr>
              <w:spacing w:line="400" w:lineRule="exact"/>
              <w:jc w:val="center"/>
              <w:rPr>
                <w:rFonts w:ascii="华文楷体" w:hAnsi="华文楷体" w:eastAsia="华文楷体" w:cs="宋体"/>
                <w:spacing w:val="-3"/>
              </w:rPr>
            </w:pPr>
            <w:r>
              <w:rPr>
                <w:rFonts w:hint="eastAsia" w:ascii="华文楷体" w:hAnsi="华文楷体" w:eastAsia="华文楷体" w:cs="宋体"/>
                <w:spacing w:val="-3"/>
              </w:rPr>
              <w:t>备注</w:t>
            </w:r>
          </w:p>
        </w:tc>
      </w:tr>
      <w:tr w14:paraId="7034BECA">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7AE57DF2">
            <w:pPr>
              <w:spacing w:line="360" w:lineRule="auto"/>
              <w:jc w:val="center"/>
              <w:rPr>
                <w:rFonts w:ascii="华文楷体" w:hAnsi="华文楷体" w:eastAsia="华文楷体" w:cs="宋体"/>
                <w:spacing w:val="-3"/>
              </w:rPr>
            </w:pPr>
            <w:r>
              <w:rPr>
                <w:rFonts w:hint="eastAsia" w:ascii="华文楷体" w:hAnsi="华文楷体" w:eastAsia="华文楷体" w:cs="宋体"/>
                <w:spacing w:val="-3"/>
              </w:rPr>
              <w:t>1</w:t>
            </w:r>
          </w:p>
        </w:tc>
        <w:tc>
          <w:tcPr>
            <w:tcW w:w="1563" w:type="dxa"/>
            <w:tcBorders>
              <w:top w:val="single" w:color="000000" w:sz="6" w:space="0"/>
              <w:left w:val="single" w:color="000000" w:sz="6" w:space="0"/>
              <w:bottom w:val="single" w:color="000000" w:sz="6" w:space="0"/>
              <w:right w:val="single" w:color="000000" w:sz="6" w:space="0"/>
            </w:tcBorders>
            <w:vAlign w:val="center"/>
          </w:tcPr>
          <w:p w14:paraId="0FA738CC">
            <w:pPr>
              <w:spacing w:line="360" w:lineRule="auto"/>
              <w:rPr>
                <w:rFonts w:ascii="华文楷体" w:hAnsi="华文楷体" w:eastAsia="华文楷体" w:cs="宋体"/>
                <w:spacing w:val="-3"/>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193AB0EA">
            <w:pPr>
              <w:spacing w:line="360" w:lineRule="auto"/>
              <w:rPr>
                <w:rFonts w:ascii="华文楷体" w:hAnsi="华文楷体" w:eastAsia="华文楷体" w:cs="宋体"/>
                <w:spacing w:val="-3"/>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3815BFC9">
            <w:pPr>
              <w:spacing w:line="360" w:lineRule="auto"/>
              <w:rPr>
                <w:rFonts w:ascii="华文楷体" w:hAnsi="华文楷体" w:eastAsia="华文楷体" w:cs="宋体"/>
                <w:spacing w:val="-3"/>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22F70B49">
            <w:pPr>
              <w:spacing w:line="360" w:lineRule="auto"/>
              <w:rPr>
                <w:rFonts w:ascii="华文楷体" w:hAnsi="华文楷体" w:eastAsia="华文楷体" w:cs="宋体"/>
                <w:spacing w:val="-3"/>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47297FE4">
            <w:pPr>
              <w:spacing w:line="360" w:lineRule="auto"/>
              <w:rPr>
                <w:rFonts w:ascii="华文楷体" w:hAnsi="华文楷体" w:eastAsia="华文楷体" w:cs="宋体"/>
                <w:spacing w:val="-3"/>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22DF0576">
            <w:pPr>
              <w:spacing w:line="360" w:lineRule="auto"/>
              <w:rPr>
                <w:rFonts w:ascii="华文楷体" w:hAnsi="华文楷体" w:eastAsia="华文楷体" w:cs="宋体"/>
                <w:spacing w:val="-3"/>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147A8107">
            <w:pPr>
              <w:spacing w:line="360" w:lineRule="auto"/>
              <w:rPr>
                <w:rFonts w:ascii="华文楷体" w:hAnsi="华文楷体" w:eastAsia="华文楷体" w:cs="宋体"/>
                <w:spacing w:val="-3"/>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7E73AC80">
            <w:pPr>
              <w:spacing w:line="360" w:lineRule="auto"/>
              <w:rPr>
                <w:rFonts w:ascii="华文楷体" w:hAnsi="华文楷体" w:eastAsia="华文楷体" w:cs="宋体"/>
                <w:spacing w:val="-3"/>
              </w:rPr>
            </w:pPr>
          </w:p>
        </w:tc>
      </w:tr>
      <w:tr w14:paraId="28B76F8E">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7E374962">
            <w:pPr>
              <w:spacing w:line="360" w:lineRule="auto"/>
              <w:jc w:val="center"/>
              <w:rPr>
                <w:rFonts w:ascii="华文楷体" w:hAnsi="华文楷体" w:eastAsia="华文楷体" w:cs="宋体"/>
                <w:spacing w:val="-3"/>
              </w:rPr>
            </w:pPr>
            <w:r>
              <w:rPr>
                <w:rFonts w:hint="eastAsia" w:ascii="华文楷体" w:hAnsi="华文楷体" w:eastAsia="华文楷体" w:cs="宋体"/>
                <w:spacing w:val="-3"/>
              </w:rPr>
              <w:t>2</w:t>
            </w:r>
          </w:p>
        </w:tc>
        <w:tc>
          <w:tcPr>
            <w:tcW w:w="1563" w:type="dxa"/>
            <w:tcBorders>
              <w:top w:val="single" w:color="000000" w:sz="6" w:space="0"/>
              <w:left w:val="single" w:color="000000" w:sz="6" w:space="0"/>
              <w:bottom w:val="single" w:color="000000" w:sz="6" w:space="0"/>
              <w:right w:val="single" w:color="000000" w:sz="6" w:space="0"/>
            </w:tcBorders>
            <w:vAlign w:val="center"/>
          </w:tcPr>
          <w:p w14:paraId="55245B4E">
            <w:pPr>
              <w:spacing w:line="360" w:lineRule="auto"/>
              <w:rPr>
                <w:rFonts w:ascii="华文楷体" w:hAnsi="华文楷体" w:eastAsia="华文楷体" w:cs="宋体"/>
                <w:spacing w:val="-3"/>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4C3DFAF4">
            <w:pPr>
              <w:spacing w:line="360" w:lineRule="auto"/>
              <w:rPr>
                <w:rFonts w:ascii="华文楷体" w:hAnsi="华文楷体" w:eastAsia="华文楷体" w:cs="宋体"/>
                <w:spacing w:val="-3"/>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7BAA19DE">
            <w:pPr>
              <w:spacing w:line="360" w:lineRule="auto"/>
              <w:rPr>
                <w:rFonts w:ascii="华文楷体" w:hAnsi="华文楷体" w:eastAsia="华文楷体" w:cs="宋体"/>
                <w:spacing w:val="-3"/>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59434631">
            <w:pPr>
              <w:spacing w:line="360" w:lineRule="auto"/>
              <w:rPr>
                <w:rFonts w:ascii="华文楷体" w:hAnsi="华文楷体" w:eastAsia="华文楷体" w:cs="宋体"/>
                <w:spacing w:val="-3"/>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4A605E8F">
            <w:pPr>
              <w:spacing w:line="360" w:lineRule="auto"/>
              <w:rPr>
                <w:rFonts w:ascii="华文楷体" w:hAnsi="华文楷体" w:eastAsia="华文楷体" w:cs="宋体"/>
                <w:spacing w:val="-3"/>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1DCFDE42">
            <w:pPr>
              <w:spacing w:line="360" w:lineRule="auto"/>
              <w:rPr>
                <w:rFonts w:ascii="华文楷体" w:hAnsi="华文楷体" w:eastAsia="华文楷体" w:cs="宋体"/>
                <w:spacing w:val="-3"/>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4BA913D8">
            <w:pPr>
              <w:spacing w:line="360" w:lineRule="auto"/>
              <w:rPr>
                <w:rFonts w:ascii="华文楷体" w:hAnsi="华文楷体" w:eastAsia="华文楷体" w:cs="宋体"/>
                <w:spacing w:val="-3"/>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4A5B757D">
            <w:pPr>
              <w:spacing w:line="360" w:lineRule="auto"/>
              <w:rPr>
                <w:rFonts w:ascii="华文楷体" w:hAnsi="华文楷体" w:eastAsia="华文楷体" w:cs="宋体"/>
                <w:spacing w:val="-3"/>
              </w:rPr>
            </w:pPr>
          </w:p>
        </w:tc>
      </w:tr>
      <w:tr w14:paraId="40373A7A">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3E4B956D">
            <w:pPr>
              <w:spacing w:line="360" w:lineRule="auto"/>
              <w:jc w:val="center"/>
              <w:rPr>
                <w:rFonts w:ascii="华文楷体" w:hAnsi="华文楷体" w:eastAsia="华文楷体" w:cs="宋体"/>
                <w:spacing w:val="-3"/>
              </w:rPr>
            </w:pPr>
            <w:r>
              <w:rPr>
                <w:rFonts w:hint="eastAsia" w:ascii="华文楷体" w:hAnsi="华文楷体" w:eastAsia="华文楷体" w:cs="宋体"/>
                <w:spacing w:val="-3"/>
              </w:rPr>
              <w:t>3</w:t>
            </w:r>
          </w:p>
        </w:tc>
        <w:tc>
          <w:tcPr>
            <w:tcW w:w="1563" w:type="dxa"/>
            <w:tcBorders>
              <w:top w:val="single" w:color="000000" w:sz="6" w:space="0"/>
              <w:left w:val="single" w:color="000000" w:sz="6" w:space="0"/>
              <w:bottom w:val="single" w:color="000000" w:sz="6" w:space="0"/>
              <w:right w:val="single" w:color="000000" w:sz="6" w:space="0"/>
            </w:tcBorders>
            <w:vAlign w:val="center"/>
          </w:tcPr>
          <w:p w14:paraId="4ED312B4">
            <w:pPr>
              <w:spacing w:line="360" w:lineRule="auto"/>
              <w:rPr>
                <w:rFonts w:ascii="华文楷体" w:hAnsi="华文楷体" w:eastAsia="华文楷体" w:cs="宋体"/>
                <w:spacing w:val="-3"/>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1E9F5794">
            <w:pPr>
              <w:spacing w:line="360" w:lineRule="auto"/>
              <w:rPr>
                <w:rFonts w:ascii="华文楷体" w:hAnsi="华文楷体" w:eastAsia="华文楷体" w:cs="宋体"/>
                <w:spacing w:val="-3"/>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60C2D8A6">
            <w:pPr>
              <w:spacing w:line="360" w:lineRule="auto"/>
              <w:rPr>
                <w:rFonts w:ascii="华文楷体" w:hAnsi="华文楷体" w:eastAsia="华文楷体" w:cs="宋体"/>
                <w:spacing w:val="-3"/>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2704E4AA">
            <w:pPr>
              <w:spacing w:line="360" w:lineRule="auto"/>
              <w:rPr>
                <w:rFonts w:ascii="华文楷体" w:hAnsi="华文楷体" w:eastAsia="华文楷体" w:cs="宋体"/>
                <w:spacing w:val="-3"/>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263651E">
            <w:pPr>
              <w:spacing w:line="360" w:lineRule="auto"/>
              <w:rPr>
                <w:rFonts w:ascii="华文楷体" w:hAnsi="华文楷体" w:eastAsia="华文楷体" w:cs="宋体"/>
                <w:spacing w:val="-3"/>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4C5EF093">
            <w:pPr>
              <w:spacing w:line="360" w:lineRule="auto"/>
              <w:rPr>
                <w:rFonts w:ascii="华文楷体" w:hAnsi="华文楷体" w:eastAsia="华文楷体" w:cs="宋体"/>
                <w:spacing w:val="-3"/>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6491D23F">
            <w:pPr>
              <w:spacing w:line="360" w:lineRule="auto"/>
              <w:rPr>
                <w:rFonts w:ascii="华文楷体" w:hAnsi="华文楷体" w:eastAsia="华文楷体" w:cs="宋体"/>
                <w:spacing w:val="-3"/>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35AA3D40">
            <w:pPr>
              <w:spacing w:line="360" w:lineRule="auto"/>
              <w:rPr>
                <w:rFonts w:ascii="华文楷体" w:hAnsi="华文楷体" w:eastAsia="华文楷体" w:cs="宋体"/>
                <w:spacing w:val="-3"/>
              </w:rPr>
            </w:pPr>
          </w:p>
        </w:tc>
      </w:tr>
      <w:tr w14:paraId="02A4A706">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3A3BB178">
            <w:pPr>
              <w:spacing w:line="360" w:lineRule="auto"/>
              <w:jc w:val="center"/>
              <w:rPr>
                <w:rFonts w:ascii="华文楷体" w:hAnsi="华文楷体" w:eastAsia="华文楷体" w:cs="宋体"/>
                <w:spacing w:val="-3"/>
              </w:rPr>
            </w:pPr>
            <w:r>
              <w:rPr>
                <w:rFonts w:hint="eastAsia" w:ascii="华文楷体" w:hAnsi="华文楷体" w:eastAsia="华文楷体" w:cs="宋体"/>
                <w:spacing w:val="-3"/>
              </w:rPr>
              <w:t>4</w:t>
            </w:r>
          </w:p>
        </w:tc>
        <w:tc>
          <w:tcPr>
            <w:tcW w:w="1563" w:type="dxa"/>
            <w:tcBorders>
              <w:top w:val="single" w:color="000000" w:sz="6" w:space="0"/>
              <w:left w:val="single" w:color="000000" w:sz="6" w:space="0"/>
              <w:bottom w:val="single" w:color="000000" w:sz="6" w:space="0"/>
              <w:right w:val="single" w:color="000000" w:sz="6" w:space="0"/>
            </w:tcBorders>
            <w:vAlign w:val="center"/>
          </w:tcPr>
          <w:p w14:paraId="5B54A56F">
            <w:pPr>
              <w:spacing w:line="360" w:lineRule="auto"/>
              <w:rPr>
                <w:rFonts w:ascii="华文楷体" w:hAnsi="华文楷体" w:eastAsia="华文楷体" w:cs="宋体"/>
                <w:spacing w:val="-3"/>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41E928EA">
            <w:pPr>
              <w:spacing w:line="360" w:lineRule="auto"/>
              <w:rPr>
                <w:rFonts w:ascii="华文楷体" w:hAnsi="华文楷体" w:eastAsia="华文楷体" w:cs="宋体"/>
                <w:spacing w:val="-3"/>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754DB076">
            <w:pPr>
              <w:spacing w:line="360" w:lineRule="auto"/>
              <w:rPr>
                <w:rFonts w:ascii="华文楷体" w:hAnsi="华文楷体" w:eastAsia="华文楷体" w:cs="宋体"/>
                <w:spacing w:val="-3"/>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27470084">
            <w:pPr>
              <w:spacing w:line="360" w:lineRule="auto"/>
              <w:rPr>
                <w:rFonts w:ascii="华文楷体" w:hAnsi="华文楷体" w:eastAsia="华文楷体" w:cs="宋体"/>
                <w:spacing w:val="-3"/>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72A483E7">
            <w:pPr>
              <w:spacing w:line="360" w:lineRule="auto"/>
              <w:rPr>
                <w:rFonts w:ascii="华文楷体" w:hAnsi="华文楷体" w:eastAsia="华文楷体" w:cs="宋体"/>
                <w:spacing w:val="-3"/>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2253AAD9">
            <w:pPr>
              <w:spacing w:line="360" w:lineRule="auto"/>
              <w:rPr>
                <w:rFonts w:ascii="华文楷体" w:hAnsi="华文楷体" w:eastAsia="华文楷体" w:cs="宋体"/>
                <w:spacing w:val="-3"/>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79B76E05">
            <w:pPr>
              <w:spacing w:line="360" w:lineRule="auto"/>
              <w:rPr>
                <w:rFonts w:ascii="华文楷体" w:hAnsi="华文楷体" w:eastAsia="华文楷体" w:cs="宋体"/>
                <w:spacing w:val="-3"/>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345B8F25">
            <w:pPr>
              <w:spacing w:line="360" w:lineRule="auto"/>
              <w:rPr>
                <w:rFonts w:ascii="华文楷体" w:hAnsi="华文楷体" w:eastAsia="华文楷体" w:cs="宋体"/>
                <w:spacing w:val="-3"/>
              </w:rPr>
            </w:pPr>
          </w:p>
        </w:tc>
      </w:tr>
      <w:tr w14:paraId="0BDA71C8">
        <w:tblPrEx>
          <w:tblCellMar>
            <w:top w:w="0" w:type="dxa"/>
            <w:left w:w="28" w:type="dxa"/>
            <w:bottom w:w="0" w:type="dxa"/>
            <w:right w:w="28" w:type="dxa"/>
          </w:tblCellMar>
        </w:tblPrEx>
        <w:trPr>
          <w:trHeight w:val="23" w:hRule="atLeast"/>
          <w:jc w:val="center"/>
        </w:trPr>
        <w:tc>
          <w:tcPr>
            <w:tcW w:w="628" w:type="dxa"/>
            <w:tcBorders>
              <w:top w:val="single" w:color="000000" w:sz="6" w:space="0"/>
              <w:left w:val="single" w:color="000000" w:sz="8" w:space="0"/>
              <w:bottom w:val="single" w:color="000000" w:sz="6" w:space="0"/>
              <w:right w:val="single" w:color="000000" w:sz="6" w:space="0"/>
            </w:tcBorders>
            <w:vAlign w:val="center"/>
          </w:tcPr>
          <w:p w14:paraId="1649EE6B">
            <w:pPr>
              <w:spacing w:line="360" w:lineRule="auto"/>
              <w:jc w:val="center"/>
              <w:rPr>
                <w:rFonts w:ascii="华文楷体" w:hAnsi="华文楷体" w:eastAsia="华文楷体" w:cs="宋体"/>
                <w:spacing w:val="-3"/>
              </w:rPr>
            </w:pPr>
            <w:r>
              <w:rPr>
                <w:rFonts w:hint="eastAsia" w:ascii="华文楷体" w:hAnsi="华文楷体" w:eastAsia="华文楷体" w:cs="宋体"/>
                <w:spacing w:val="-3"/>
              </w:rPr>
              <w:t>…</w:t>
            </w:r>
          </w:p>
        </w:tc>
        <w:tc>
          <w:tcPr>
            <w:tcW w:w="1563" w:type="dxa"/>
            <w:tcBorders>
              <w:top w:val="single" w:color="000000" w:sz="6" w:space="0"/>
              <w:left w:val="single" w:color="000000" w:sz="6" w:space="0"/>
              <w:bottom w:val="single" w:color="000000" w:sz="6" w:space="0"/>
              <w:right w:val="single" w:color="000000" w:sz="6" w:space="0"/>
            </w:tcBorders>
            <w:vAlign w:val="center"/>
          </w:tcPr>
          <w:p w14:paraId="2A57DB35">
            <w:pPr>
              <w:spacing w:line="360" w:lineRule="auto"/>
              <w:rPr>
                <w:rFonts w:ascii="华文楷体" w:hAnsi="华文楷体" w:eastAsia="华文楷体" w:cs="宋体"/>
                <w:spacing w:val="-3"/>
              </w:rPr>
            </w:pPr>
          </w:p>
        </w:tc>
        <w:tc>
          <w:tcPr>
            <w:tcW w:w="1065" w:type="dxa"/>
            <w:tcBorders>
              <w:top w:val="single" w:color="000000" w:sz="6" w:space="0"/>
              <w:left w:val="single" w:color="000000" w:sz="6" w:space="0"/>
              <w:bottom w:val="single" w:color="000000" w:sz="6" w:space="0"/>
              <w:right w:val="single" w:color="000000" w:sz="6" w:space="0"/>
            </w:tcBorders>
            <w:vAlign w:val="center"/>
          </w:tcPr>
          <w:p w14:paraId="79B961D6">
            <w:pPr>
              <w:spacing w:line="360" w:lineRule="auto"/>
              <w:rPr>
                <w:rFonts w:ascii="华文楷体" w:hAnsi="华文楷体" w:eastAsia="华文楷体" w:cs="宋体"/>
                <w:spacing w:val="-3"/>
              </w:rPr>
            </w:pPr>
          </w:p>
        </w:tc>
        <w:tc>
          <w:tcPr>
            <w:tcW w:w="759" w:type="dxa"/>
            <w:tcBorders>
              <w:top w:val="single" w:color="000000" w:sz="6" w:space="0"/>
              <w:left w:val="single" w:color="000000" w:sz="6" w:space="0"/>
              <w:bottom w:val="single" w:color="000000" w:sz="6" w:space="0"/>
              <w:right w:val="single" w:color="000000" w:sz="6" w:space="0"/>
            </w:tcBorders>
            <w:vAlign w:val="center"/>
          </w:tcPr>
          <w:p w14:paraId="1428B500">
            <w:pPr>
              <w:spacing w:line="360" w:lineRule="auto"/>
              <w:rPr>
                <w:rFonts w:ascii="华文楷体" w:hAnsi="华文楷体" w:eastAsia="华文楷体" w:cs="宋体"/>
                <w:spacing w:val="-3"/>
              </w:rPr>
            </w:pPr>
          </w:p>
        </w:tc>
        <w:tc>
          <w:tcPr>
            <w:tcW w:w="1305" w:type="dxa"/>
            <w:tcBorders>
              <w:top w:val="single" w:color="000000" w:sz="6" w:space="0"/>
              <w:left w:val="single" w:color="000000" w:sz="6" w:space="0"/>
              <w:bottom w:val="single" w:color="000000" w:sz="6" w:space="0"/>
              <w:right w:val="single" w:color="000000" w:sz="6" w:space="0"/>
            </w:tcBorders>
            <w:vAlign w:val="center"/>
          </w:tcPr>
          <w:p w14:paraId="18DCEE34">
            <w:pPr>
              <w:spacing w:line="360" w:lineRule="auto"/>
              <w:rPr>
                <w:rFonts w:ascii="华文楷体" w:hAnsi="华文楷体" w:eastAsia="华文楷体" w:cs="宋体"/>
                <w:spacing w:val="-3"/>
              </w:rPr>
            </w:pPr>
          </w:p>
        </w:tc>
        <w:tc>
          <w:tcPr>
            <w:tcW w:w="931" w:type="dxa"/>
            <w:tcBorders>
              <w:top w:val="single" w:color="000000" w:sz="6" w:space="0"/>
              <w:left w:val="single" w:color="000000" w:sz="6" w:space="0"/>
              <w:bottom w:val="single" w:color="000000" w:sz="6" w:space="0"/>
              <w:right w:val="single" w:color="000000" w:sz="6" w:space="0"/>
            </w:tcBorders>
            <w:vAlign w:val="center"/>
          </w:tcPr>
          <w:p w14:paraId="1D64352D">
            <w:pPr>
              <w:spacing w:line="360" w:lineRule="auto"/>
              <w:rPr>
                <w:rFonts w:ascii="华文楷体" w:hAnsi="华文楷体" w:eastAsia="华文楷体" w:cs="宋体"/>
                <w:spacing w:val="-3"/>
              </w:rPr>
            </w:pPr>
          </w:p>
        </w:tc>
        <w:tc>
          <w:tcPr>
            <w:tcW w:w="706" w:type="dxa"/>
            <w:tcBorders>
              <w:top w:val="single" w:color="000000" w:sz="6" w:space="0"/>
              <w:left w:val="single" w:color="000000" w:sz="6" w:space="0"/>
              <w:bottom w:val="single" w:color="000000" w:sz="6" w:space="0"/>
              <w:right w:val="single" w:color="000000" w:sz="6" w:space="0"/>
            </w:tcBorders>
            <w:vAlign w:val="center"/>
          </w:tcPr>
          <w:p w14:paraId="0DD8760F">
            <w:pPr>
              <w:spacing w:line="360" w:lineRule="auto"/>
              <w:rPr>
                <w:rFonts w:ascii="华文楷体" w:hAnsi="华文楷体" w:eastAsia="华文楷体" w:cs="宋体"/>
                <w:spacing w:val="-3"/>
              </w:rPr>
            </w:pPr>
          </w:p>
        </w:tc>
        <w:tc>
          <w:tcPr>
            <w:tcW w:w="831" w:type="dxa"/>
            <w:tcBorders>
              <w:top w:val="single" w:color="000000" w:sz="6" w:space="0"/>
              <w:left w:val="single" w:color="000000" w:sz="6" w:space="0"/>
              <w:bottom w:val="single" w:color="000000" w:sz="6" w:space="0"/>
              <w:right w:val="single" w:color="000000" w:sz="6" w:space="0"/>
            </w:tcBorders>
            <w:vAlign w:val="center"/>
          </w:tcPr>
          <w:p w14:paraId="5D1194D1">
            <w:pPr>
              <w:spacing w:line="360" w:lineRule="auto"/>
              <w:rPr>
                <w:rFonts w:ascii="华文楷体" w:hAnsi="华文楷体" w:eastAsia="华文楷体" w:cs="宋体"/>
                <w:spacing w:val="-3"/>
              </w:rPr>
            </w:pPr>
          </w:p>
        </w:tc>
        <w:tc>
          <w:tcPr>
            <w:tcW w:w="829" w:type="dxa"/>
            <w:tcBorders>
              <w:top w:val="single" w:color="000000" w:sz="6" w:space="0"/>
              <w:left w:val="single" w:color="000000" w:sz="6" w:space="0"/>
              <w:bottom w:val="single" w:color="000000" w:sz="6" w:space="0"/>
              <w:right w:val="single" w:color="000000" w:sz="8" w:space="0"/>
            </w:tcBorders>
            <w:vAlign w:val="center"/>
          </w:tcPr>
          <w:p w14:paraId="15967900">
            <w:pPr>
              <w:spacing w:line="360" w:lineRule="auto"/>
              <w:rPr>
                <w:rFonts w:ascii="华文楷体" w:hAnsi="华文楷体" w:eastAsia="华文楷体" w:cs="宋体"/>
                <w:spacing w:val="-3"/>
              </w:rPr>
            </w:pPr>
          </w:p>
        </w:tc>
      </w:tr>
      <w:tr w14:paraId="19378A73">
        <w:tblPrEx>
          <w:tblCellMar>
            <w:top w:w="0" w:type="dxa"/>
            <w:left w:w="28" w:type="dxa"/>
            <w:bottom w:w="0" w:type="dxa"/>
            <w:right w:w="28" w:type="dxa"/>
          </w:tblCellMar>
        </w:tblPrEx>
        <w:trPr>
          <w:trHeight w:val="23" w:hRule="atLeast"/>
          <w:jc w:val="center"/>
        </w:trPr>
        <w:tc>
          <w:tcPr>
            <w:tcW w:w="2191" w:type="dxa"/>
            <w:gridSpan w:val="2"/>
            <w:tcBorders>
              <w:top w:val="single" w:color="000000" w:sz="6" w:space="0"/>
              <w:left w:val="single" w:color="000000" w:sz="8" w:space="0"/>
              <w:bottom w:val="single" w:color="000000" w:sz="8" w:space="0"/>
              <w:right w:val="single" w:color="000000" w:sz="6" w:space="0"/>
            </w:tcBorders>
            <w:vAlign w:val="center"/>
          </w:tcPr>
          <w:p w14:paraId="1F5CF0BC">
            <w:pPr>
              <w:spacing w:line="360" w:lineRule="auto"/>
              <w:rPr>
                <w:rFonts w:ascii="华文楷体" w:hAnsi="华文楷体" w:eastAsia="华文楷体" w:cs="宋体"/>
                <w:spacing w:val="-3"/>
              </w:rPr>
            </w:pPr>
            <w:r>
              <w:rPr>
                <w:rFonts w:hint="eastAsia" w:ascii="华文楷体" w:hAnsi="华文楷体" w:eastAsia="华文楷体" w:cs="宋体"/>
                <w:spacing w:val="-3"/>
              </w:rPr>
              <w:t>投标总价</w:t>
            </w:r>
          </w:p>
        </w:tc>
        <w:tc>
          <w:tcPr>
            <w:tcW w:w="6426" w:type="dxa"/>
            <w:gridSpan w:val="7"/>
            <w:tcBorders>
              <w:top w:val="single" w:color="000000" w:sz="6" w:space="0"/>
              <w:left w:val="single" w:color="000000" w:sz="6" w:space="0"/>
              <w:bottom w:val="single" w:color="000000" w:sz="8" w:space="0"/>
              <w:right w:val="single" w:color="000000" w:sz="8" w:space="0"/>
            </w:tcBorders>
            <w:vAlign w:val="center"/>
          </w:tcPr>
          <w:p w14:paraId="2D01E694">
            <w:pPr>
              <w:spacing w:line="360" w:lineRule="auto"/>
              <w:rPr>
                <w:rFonts w:ascii="华文楷体" w:hAnsi="华文楷体" w:eastAsia="华文楷体" w:cs="宋体"/>
                <w:spacing w:val="-3"/>
              </w:rPr>
            </w:pPr>
            <w:r>
              <w:rPr>
                <w:rFonts w:hint="eastAsia" w:ascii="华文楷体" w:hAnsi="华文楷体" w:eastAsia="华文楷体" w:cs="宋体"/>
                <w:spacing w:val="-3"/>
              </w:rPr>
              <w:t>大写：</w:t>
            </w:r>
          </w:p>
          <w:p w14:paraId="6535F07E">
            <w:pPr>
              <w:spacing w:line="360" w:lineRule="auto"/>
              <w:rPr>
                <w:rFonts w:ascii="华文楷体" w:hAnsi="华文楷体" w:eastAsia="华文楷体" w:cs="宋体"/>
                <w:spacing w:val="-3"/>
              </w:rPr>
            </w:pPr>
            <w:r>
              <w:rPr>
                <w:rFonts w:hint="eastAsia" w:ascii="华文楷体" w:hAnsi="华文楷体" w:eastAsia="华文楷体" w:cs="宋体"/>
                <w:spacing w:val="-3"/>
              </w:rPr>
              <w:t>小写：</w:t>
            </w:r>
          </w:p>
        </w:tc>
      </w:tr>
    </w:tbl>
    <w:p w14:paraId="63C6A8F2">
      <w:pPr>
        <w:pStyle w:val="2"/>
        <w:rPr>
          <w:rFonts w:ascii="华文楷体" w:hAnsi="华文楷体" w:eastAsia="华文楷体"/>
        </w:rPr>
      </w:pPr>
    </w:p>
    <w:p w14:paraId="3B6ED8F0">
      <w:pPr>
        <w:rPr>
          <w:rFonts w:ascii="华文楷体" w:hAnsi="华文楷体" w:eastAsia="华文楷体" w:cs="宋体"/>
        </w:rPr>
      </w:pPr>
      <w:r>
        <w:rPr>
          <w:rFonts w:hint="eastAsia" w:ascii="华文楷体" w:hAnsi="华文楷体" w:eastAsia="华文楷体" w:cs="宋体"/>
        </w:rPr>
        <w:t>备注：</w:t>
      </w:r>
    </w:p>
    <w:p w14:paraId="71AC4B41">
      <w:pPr>
        <w:spacing w:line="360" w:lineRule="auto"/>
        <w:rPr>
          <w:rFonts w:ascii="华文楷体" w:hAnsi="华文楷体" w:eastAsia="华文楷体" w:cs="宋体"/>
        </w:rPr>
      </w:pPr>
      <w:r>
        <w:rPr>
          <w:rFonts w:hint="eastAsia" w:ascii="华文楷体" w:hAnsi="华文楷体" w:eastAsia="华文楷体" w:cs="宋体"/>
        </w:rPr>
        <w:t>（1）</w:t>
      </w:r>
      <w:r>
        <w:rPr>
          <w:rFonts w:hint="eastAsia" w:ascii="华文楷体" w:hAnsi="华文楷体" w:eastAsia="华文楷体" w:cs="宋体"/>
          <w:spacing w:val="-1"/>
        </w:rPr>
        <w:t>本表应依照每包采购一览表中的产品序号按顺序逐项填写，不得遗漏，否则，按无效</w:t>
      </w:r>
      <w:r>
        <w:rPr>
          <w:rFonts w:hint="eastAsia" w:ascii="华文楷体" w:hAnsi="华文楷体" w:eastAsia="华文楷体" w:cs="宋体"/>
          <w:spacing w:val="-3"/>
        </w:rPr>
        <w:t>投标处理。</w:t>
      </w:r>
    </w:p>
    <w:p w14:paraId="1C998E20">
      <w:pPr>
        <w:spacing w:line="360" w:lineRule="auto"/>
        <w:rPr>
          <w:rFonts w:ascii="华文楷体" w:hAnsi="华文楷体" w:eastAsia="华文楷体" w:cs="宋体"/>
        </w:rPr>
      </w:pPr>
      <w:r>
        <w:rPr>
          <w:rFonts w:hint="eastAsia" w:ascii="华文楷体" w:hAnsi="华文楷体" w:eastAsia="华文楷体" w:cs="宋体"/>
        </w:rPr>
        <w:t>（2）不得填写“免费”或“赠与”，也不得进行“零”报价，否则投标无效。</w:t>
      </w:r>
    </w:p>
    <w:p w14:paraId="0529A038">
      <w:pPr>
        <w:spacing w:line="360" w:lineRule="auto"/>
        <w:rPr>
          <w:rFonts w:ascii="华文楷体" w:hAnsi="华文楷体" w:eastAsia="华文楷体" w:cs="宋体"/>
        </w:rPr>
      </w:pPr>
      <w:r>
        <w:rPr>
          <w:rFonts w:hint="eastAsia" w:ascii="华文楷体" w:hAnsi="华文楷体" w:eastAsia="华文楷体" w:cs="宋体"/>
        </w:rPr>
        <w:t>（3）</w:t>
      </w:r>
      <w:r>
        <w:rPr>
          <w:rFonts w:hint="eastAsia" w:ascii="华文楷体" w:hAnsi="华文楷体" w:eastAsia="华文楷体" w:cs="宋体"/>
          <w:spacing w:val="-1"/>
        </w:rPr>
        <w:t>投标报价不能有两个或两个以上的报价方案。</w:t>
      </w:r>
    </w:p>
    <w:p w14:paraId="63EC5893">
      <w:pPr>
        <w:rPr>
          <w:rFonts w:ascii="华文楷体" w:hAnsi="华文楷体" w:eastAsia="华文楷体" w:cs="宋体"/>
        </w:rPr>
      </w:pPr>
    </w:p>
    <w:p w14:paraId="3015FF88">
      <w:pPr>
        <w:autoSpaceDE w:val="0"/>
        <w:autoSpaceDN w:val="0"/>
        <w:spacing w:line="360" w:lineRule="auto"/>
        <w:rPr>
          <w:rFonts w:ascii="华文楷体" w:hAnsi="华文楷体" w:eastAsia="华文楷体" w:cs="宋体"/>
          <w:kern w:val="0"/>
          <w:lang w:val="zh-CN"/>
        </w:rPr>
      </w:pPr>
    </w:p>
    <w:p w14:paraId="0960D1CF">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4298EF3D">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5C4E7127">
      <w:pPr>
        <w:jc w:val="center"/>
        <w:rPr>
          <w:rFonts w:ascii="华文楷体" w:hAnsi="华文楷体" w:eastAsia="华文楷体" w:cs="宋体"/>
          <w:b/>
          <w:bCs/>
          <w:kern w:val="0"/>
          <w:lang w:val="zh-CN"/>
        </w:rPr>
      </w:pP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年</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月</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日</w:t>
      </w:r>
    </w:p>
    <w:p w14:paraId="10550B9A">
      <w:pPr>
        <w:pStyle w:val="25"/>
        <w:spacing w:before="0" w:after="0" w:line="360" w:lineRule="auto"/>
        <w:jc w:val="both"/>
        <w:outlineLvl w:val="1"/>
        <w:rPr>
          <w:rFonts w:ascii="华文楷体" w:hAnsi="华文楷体" w:eastAsia="华文楷体" w:cs="宋体"/>
          <w:sz w:val="30"/>
          <w:szCs w:val="30"/>
          <w:lang w:val="zh-CN"/>
        </w:rPr>
        <w:sectPr>
          <w:pgSz w:w="11849" w:h="16781"/>
          <w:pgMar w:top="1440" w:right="1803" w:bottom="1440" w:left="1803" w:header="851" w:footer="992" w:gutter="0"/>
          <w:cols w:space="720" w:num="1"/>
          <w:docGrid w:linePitch="397" w:charSpace="0"/>
        </w:sectPr>
      </w:pPr>
    </w:p>
    <w:p w14:paraId="442ECA0C">
      <w:pPr>
        <w:pStyle w:val="25"/>
        <w:spacing w:before="0" w:after="0" w:line="360" w:lineRule="auto"/>
        <w:jc w:val="both"/>
        <w:outlineLvl w:val="1"/>
        <w:rPr>
          <w:rFonts w:ascii="华文楷体" w:hAnsi="华文楷体" w:eastAsia="华文楷体" w:cs="宋体"/>
          <w:kern w:val="0"/>
          <w:sz w:val="28"/>
          <w:szCs w:val="28"/>
          <w:lang w:val="zh-CN"/>
        </w:rPr>
      </w:pPr>
      <w:bookmarkStart w:id="245" w:name="_Toc515908223"/>
      <w:bookmarkStart w:id="246" w:name="_Toc9956"/>
      <w:bookmarkStart w:id="247" w:name="_Toc184345944"/>
      <w:r>
        <w:rPr>
          <w:rFonts w:hint="eastAsia" w:ascii="华文楷体" w:hAnsi="华文楷体" w:eastAsia="华文楷体" w:cs="宋体"/>
          <w:sz w:val="30"/>
          <w:szCs w:val="30"/>
        </w:rPr>
        <w:t>（17）</w:t>
      </w:r>
      <w:bookmarkEnd w:id="245"/>
      <w:r>
        <w:rPr>
          <w:rFonts w:hint="eastAsia" w:ascii="华文楷体" w:hAnsi="华文楷体" w:eastAsia="华文楷体" w:cs="宋体"/>
          <w:sz w:val="30"/>
          <w:szCs w:val="30"/>
          <w:lang w:val="zh-CN"/>
        </w:rPr>
        <w:t>技术响应偏离表</w:t>
      </w:r>
      <w:bookmarkEnd w:id="246"/>
      <w:bookmarkEnd w:id="247"/>
    </w:p>
    <w:p w14:paraId="67A04B84">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技术响应偏离表</w:t>
      </w:r>
    </w:p>
    <w:p w14:paraId="20056D30">
      <w:pPr>
        <w:autoSpaceDE w:val="0"/>
        <w:autoSpaceDN w:val="0"/>
        <w:spacing w:line="360" w:lineRule="auto"/>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投标人名称</w:t>
      </w:r>
      <w:r>
        <w:rPr>
          <w:rFonts w:hint="eastAsia" w:ascii="华文楷体" w:hAnsi="华文楷体" w:eastAsia="华文楷体" w:cs="宋体"/>
          <w:b/>
          <w:bCs/>
          <w:kern w:val="0"/>
        </w:rPr>
        <w:t xml:space="preserve">：                                              </w:t>
      </w:r>
      <w:r>
        <w:rPr>
          <w:rFonts w:hint="eastAsia" w:ascii="华文楷体" w:hAnsi="华文楷体" w:eastAsia="华文楷体" w:cs="宋体"/>
          <w:b/>
          <w:bCs/>
          <w:kern w:val="0"/>
          <w:lang w:val="zh-CN"/>
        </w:rPr>
        <w:t>包号：</w:t>
      </w:r>
    </w:p>
    <w:tbl>
      <w:tblPr>
        <w:tblStyle w:val="26"/>
        <w:tblW w:w="9602" w:type="dxa"/>
        <w:jc w:val="center"/>
        <w:tblLayout w:type="fixed"/>
        <w:tblCellMar>
          <w:top w:w="0" w:type="dxa"/>
          <w:left w:w="28" w:type="dxa"/>
          <w:bottom w:w="0" w:type="dxa"/>
          <w:right w:w="28" w:type="dxa"/>
        </w:tblCellMar>
      </w:tblPr>
      <w:tblGrid>
        <w:gridCol w:w="616"/>
        <w:gridCol w:w="1233"/>
        <w:gridCol w:w="1818"/>
        <w:gridCol w:w="1807"/>
        <w:gridCol w:w="1873"/>
        <w:gridCol w:w="720"/>
        <w:gridCol w:w="1535"/>
      </w:tblGrid>
      <w:tr w14:paraId="02C29616">
        <w:tblPrEx>
          <w:tblCellMar>
            <w:top w:w="0" w:type="dxa"/>
            <w:left w:w="28" w:type="dxa"/>
            <w:bottom w:w="0" w:type="dxa"/>
            <w:right w:w="28" w:type="dxa"/>
          </w:tblCellMar>
        </w:tblPrEx>
        <w:trPr>
          <w:trHeight w:val="1" w:hRule="atLeast"/>
          <w:jc w:val="center"/>
        </w:trPr>
        <w:tc>
          <w:tcPr>
            <w:tcW w:w="3667" w:type="dxa"/>
            <w:gridSpan w:val="3"/>
            <w:tcBorders>
              <w:top w:val="single" w:color="000000" w:sz="6" w:space="0"/>
              <w:left w:val="single" w:color="000000" w:sz="6" w:space="0"/>
              <w:bottom w:val="single" w:color="000000" w:sz="6" w:space="0"/>
              <w:right w:val="single" w:color="000000" w:sz="6" w:space="0"/>
            </w:tcBorders>
            <w:vAlign w:val="center"/>
          </w:tcPr>
          <w:p w14:paraId="61556467">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采购需求技术参数、指标</w:t>
            </w:r>
          </w:p>
        </w:tc>
        <w:tc>
          <w:tcPr>
            <w:tcW w:w="3680" w:type="dxa"/>
            <w:gridSpan w:val="2"/>
            <w:tcBorders>
              <w:top w:val="single" w:color="000000" w:sz="6" w:space="0"/>
              <w:left w:val="single" w:color="000000" w:sz="6" w:space="0"/>
              <w:bottom w:val="single" w:color="000000" w:sz="6" w:space="0"/>
              <w:right w:val="single" w:color="000000" w:sz="6" w:space="0"/>
            </w:tcBorders>
            <w:vAlign w:val="center"/>
          </w:tcPr>
          <w:p w14:paraId="71964DB4">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投标产品技术参数、指标</w:t>
            </w:r>
          </w:p>
        </w:tc>
        <w:tc>
          <w:tcPr>
            <w:tcW w:w="720" w:type="dxa"/>
            <w:tcBorders>
              <w:top w:val="single" w:color="000000" w:sz="6" w:space="0"/>
              <w:left w:val="single" w:color="000000" w:sz="6" w:space="0"/>
              <w:bottom w:val="single" w:color="000000" w:sz="6" w:space="0"/>
              <w:right w:val="single" w:color="000000" w:sz="6" w:space="0"/>
            </w:tcBorders>
            <w:vAlign w:val="center"/>
          </w:tcPr>
          <w:p w14:paraId="5B03E455">
            <w:pPr>
              <w:autoSpaceDE w:val="0"/>
              <w:autoSpaceDN w:val="0"/>
              <w:spacing w:line="400" w:lineRule="exact"/>
              <w:jc w:val="center"/>
              <w:rPr>
                <w:rFonts w:ascii="华文楷体" w:hAnsi="华文楷体" w:eastAsia="华文楷体" w:cs="宋体"/>
                <w:kern w:val="0"/>
                <w:lang w:val="zh-CN"/>
              </w:rPr>
            </w:pPr>
            <w:r>
              <w:rPr>
                <w:rFonts w:hint="eastAsia" w:ascii="华文楷体" w:hAnsi="华文楷体" w:eastAsia="华文楷体" w:cs="宋体"/>
                <w:kern w:val="0"/>
                <w:lang w:val="zh-CN"/>
              </w:rPr>
              <w:t>偏离情况</w:t>
            </w:r>
          </w:p>
        </w:tc>
        <w:tc>
          <w:tcPr>
            <w:tcW w:w="1535" w:type="dxa"/>
            <w:tcBorders>
              <w:top w:val="single" w:color="000000" w:sz="6" w:space="0"/>
              <w:left w:val="single" w:color="000000" w:sz="6" w:space="0"/>
              <w:bottom w:val="single" w:color="000000" w:sz="6" w:space="0"/>
              <w:right w:val="single" w:color="000000" w:sz="6" w:space="0"/>
            </w:tcBorders>
            <w:vAlign w:val="center"/>
          </w:tcPr>
          <w:p w14:paraId="3A58C8FA">
            <w:pPr>
              <w:autoSpaceDE w:val="0"/>
              <w:autoSpaceDN w:val="0"/>
              <w:spacing w:line="400" w:lineRule="exact"/>
              <w:jc w:val="center"/>
              <w:rPr>
                <w:rFonts w:ascii="华文楷体" w:hAnsi="华文楷体" w:eastAsia="华文楷体" w:cs="宋体"/>
                <w:kern w:val="0"/>
                <w:lang w:val="zh-CN"/>
              </w:rPr>
            </w:pPr>
            <w:r>
              <w:rPr>
                <w:rFonts w:hint="eastAsia" w:ascii="华文楷体" w:hAnsi="华文楷体" w:eastAsia="华文楷体" w:cs="宋体"/>
                <w:kern w:val="0"/>
              </w:rPr>
              <w:t>技术证明材料索引</w:t>
            </w:r>
          </w:p>
        </w:tc>
      </w:tr>
      <w:tr w14:paraId="33F0694A">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489100D9">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序号</w:t>
            </w:r>
          </w:p>
        </w:tc>
        <w:tc>
          <w:tcPr>
            <w:tcW w:w="1233" w:type="dxa"/>
            <w:tcBorders>
              <w:top w:val="single" w:color="000000" w:sz="6" w:space="0"/>
              <w:left w:val="single" w:color="000000" w:sz="6" w:space="0"/>
              <w:bottom w:val="single" w:color="000000" w:sz="6" w:space="0"/>
              <w:right w:val="single" w:color="000000" w:sz="6" w:space="0"/>
            </w:tcBorders>
            <w:vAlign w:val="center"/>
          </w:tcPr>
          <w:p w14:paraId="1CEF61A0">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名称</w:t>
            </w:r>
          </w:p>
        </w:tc>
        <w:tc>
          <w:tcPr>
            <w:tcW w:w="1818" w:type="dxa"/>
            <w:tcBorders>
              <w:top w:val="single" w:color="000000" w:sz="6" w:space="0"/>
              <w:left w:val="single" w:color="000000" w:sz="6" w:space="0"/>
              <w:bottom w:val="single" w:color="000000" w:sz="6" w:space="0"/>
              <w:right w:val="single" w:color="000000" w:sz="6" w:space="0"/>
            </w:tcBorders>
            <w:vAlign w:val="center"/>
          </w:tcPr>
          <w:p w14:paraId="1F20C56A">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技术参数及配置</w:t>
            </w:r>
          </w:p>
        </w:tc>
        <w:tc>
          <w:tcPr>
            <w:tcW w:w="1807" w:type="dxa"/>
            <w:tcBorders>
              <w:top w:val="single" w:color="000000" w:sz="6" w:space="0"/>
              <w:left w:val="single" w:color="000000" w:sz="6" w:space="0"/>
              <w:bottom w:val="single" w:color="000000" w:sz="6" w:space="0"/>
              <w:right w:val="single" w:color="000000" w:sz="6" w:space="0"/>
            </w:tcBorders>
            <w:vAlign w:val="center"/>
          </w:tcPr>
          <w:p w14:paraId="310BF3AA">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名称</w:t>
            </w:r>
          </w:p>
        </w:tc>
        <w:tc>
          <w:tcPr>
            <w:tcW w:w="1873" w:type="dxa"/>
            <w:tcBorders>
              <w:top w:val="single" w:color="000000" w:sz="6" w:space="0"/>
              <w:left w:val="single" w:color="000000" w:sz="6" w:space="0"/>
              <w:bottom w:val="single" w:color="000000" w:sz="6" w:space="0"/>
              <w:right w:val="single" w:color="000000" w:sz="6" w:space="0"/>
            </w:tcBorders>
            <w:vAlign w:val="center"/>
          </w:tcPr>
          <w:p w14:paraId="5DC979BE">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技术参数及配置</w:t>
            </w:r>
          </w:p>
        </w:tc>
        <w:tc>
          <w:tcPr>
            <w:tcW w:w="720" w:type="dxa"/>
            <w:tcBorders>
              <w:top w:val="single" w:color="000000" w:sz="6" w:space="0"/>
              <w:left w:val="single" w:color="000000" w:sz="6" w:space="0"/>
              <w:bottom w:val="single" w:color="000000" w:sz="6" w:space="0"/>
              <w:right w:val="single" w:color="000000" w:sz="6" w:space="0"/>
            </w:tcBorders>
            <w:vAlign w:val="center"/>
          </w:tcPr>
          <w:p w14:paraId="4666CB3E">
            <w:pPr>
              <w:autoSpaceDE w:val="0"/>
              <w:autoSpaceDN w:val="0"/>
              <w:spacing w:line="360" w:lineRule="auto"/>
              <w:jc w:val="center"/>
              <w:rPr>
                <w:rFonts w:ascii="华文楷体" w:hAnsi="华文楷体" w:eastAsia="华文楷体" w:cs="宋体"/>
                <w:kern w:val="0"/>
                <w:lang w:val="zh-CN"/>
              </w:rPr>
            </w:pPr>
          </w:p>
        </w:tc>
        <w:tc>
          <w:tcPr>
            <w:tcW w:w="1535" w:type="dxa"/>
            <w:tcBorders>
              <w:top w:val="single" w:color="000000" w:sz="6" w:space="0"/>
              <w:left w:val="single" w:color="000000" w:sz="6" w:space="0"/>
              <w:bottom w:val="single" w:color="000000" w:sz="6" w:space="0"/>
              <w:right w:val="single" w:color="000000" w:sz="6" w:space="0"/>
            </w:tcBorders>
            <w:vAlign w:val="center"/>
          </w:tcPr>
          <w:p w14:paraId="3E6BB414">
            <w:pPr>
              <w:autoSpaceDE w:val="0"/>
              <w:autoSpaceDN w:val="0"/>
              <w:spacing w:line="360" w:lineRule="auto"/>
              <w:jc w:val="center"/>
              <w:rPr>
                <w:rFonts w:ascii="华文楷体" w:hAnsi="华文楷体" w:eastAsia="华文楷体" w:cs="宋体"/>
                <w:kern w:val="0"/>
                <w:lang w:val="zh-CN"/>
              </w:rPr>
            </w:pPr>
          </w:p>
        </w:tc>
      </w:tr>
      <w:tr w14:paraId="1C7FAFF2">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069F6096">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1</w:t>
            </w:r>
          </w:p>
        </w:tc>
        <w:tc>
          <w:tcPr>
            <w:tcW w:w="1233" w:type="dxa"/>
            <w:tcBorders>
              <w:top w:val="single" w:color="000000" w:sz="6" w:space="0"/>
              <w:left w:val="single" w:color="000000" w:sz="6" w:space="0"/>
              <w:bottom w:val="single" w:color="000000" w:sz="6" w:space="0"/>
              <w:right w:val="single" w:color="000000" w:sz="6" w:space="0"/>
            </w:tcBorders>
            <w:vAlign w:val="center"/>
          </w:tcPr>
          <w:p w14:paraId="244C5118">
            <w:pPr>
              <w:autoSpaceDE w:val="0"/>
              <w:autoSpaceDN w:val="0"/>
              <w:spacing w:line="360" w:lineRule="auto"/>
              <w:jc w:val="center"/>
              <w:rPr>
                <w:rFonts w:ascii="华文楷体" w:hAnsi="华文楷体" w:eastAsia="华文楷体" w:cs="宋体"/>
                <w:kern w:val="0"/>
                <w:lang w:val="zh-CN"/>
              </w:rPr>
            </w:pPr>
          </w:p>
        </w:tc>
        <w:tc>
          <w:tcPr>
            <w:tcW w:w="1818" w:type="dxa"/>
            <w:tcBorders>
              <w:top w:val="single" w:color="000000" w:sz="6" w:space="0"/>
              <w:left w:val="single" w:color="000000" w:sz="6" w:space="0"/>
              <w:bottom w:val="single" w:color="000000" w:sz="6" w:space="0"/>
              <w:right w:val="single" w:color="000000" w:sz="6" w:space="0"/>
            </w:tcBorders>
            <w:vAlign w:val="center"/>
          </w:tcPr>
          <w:p w14:paraId="3D751EEF">
            <w:pPr>
              <w:autoSpaceDE w:val="0"/>
              <w:autoSpaceDN w:val="0"/>
              <w:spacing w:line="360" w:lineRule="auto"/>
              <w:jc w:val="center"/>
              <w:rPr>
                <w:rFonts w:ascii="华文楷体" w:hAnsi="华文楷体" w:eastAsia="华文楷体" w:cs="宋体"/>
                <w:kern w:val="0"/>
                <w:lang w:val="zh-CN"/>
              </w:rPr>
            </w:pPr>
          </w:p>
        </w:tc>
        <w:tc>
          <w:tcPr>
            <w:tcW w:w="1807" w:type="dxa"/>
            <w:tcBorders>
              <w:top w:val="single" w:color="000000" w:sz="6" w:space="0"/>
              <w:left w:val="single" w:color="000000" w:sz="6" w:space="0"/>
              <w:bottom w:val="single" w:color="000000" w:sz="6" w:space="0"/>
              <w:right w:val="single" w:color="000000" w:sz="6" w:space="0"/>
            </w:tcBorders>
            <w:vAlign w:val="center"/>
          </w:tcPr>
          <w:p w14:paraId="22FF120A">
            <w:pPr>
              <w:autoSpaceDE w:val="0"/>
              <w:autoSpaceDN w:val="0"/>
              <w:spacing w:line="360" w:lineRule="auto"/>
              <w:jc w:val="center"/>
              <w:rPr>
                <w:rFonts w:ascii="华文楷体" w:hAnsi="华文楷体" w:eastAsia="华文楷体" w:cs="宋体"/>
                <w:kern w:val="0"/>
                <w:lang w:val="zh-CN"/>
              </w:rPr>
            </w:pPr>
          </w:p>
        </w:tc>
        <w:tc>
          <w:tcPr>
            <w:tcW w:w="1873" w:type="dxa"/>
            <w:tcBorders>
              <w:top w:val="single" w:color="000000" w:sz="6" w:space="0"/>
              <w:left w:val="single" w:color="000000" w:sz="6" w:space="0"/>
              <w:bottom w:val="single" w:color="000000" w:sz="6" w:space="0"/>
              <w:right w:val="single" w:color="000000" w:sz="6" w:space="0"/>
            </w:tcBorders>
            <w:vAlign w:val="center"/>
          </w:tcPr>
          <w:p w14:paraId="15FC7E24">
            <w:pPr>
              <w:autoSpaceDE w:val="0"/>
              <w:autoSpaceDN w:val="0"/>
              <w:spacing w:line="360" w:lineRule="auto"/>
              <w:jc w:val="center"/>
              <w:rPr>
                <w:rFonts w:ascii="华文楷体" w:hAnsi="华文楷体" w:eastAsia="华文楷体" w:cs="宋体"/>
                <w:kern w:val="0"/>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087BC8A5">
            <w:pPr>
              <w:autoSpaceDE w:val="0"/>
              <w:autoSpaceDN w:val="0"/>
              <w:spacing w:line="360" w:lineRule="auto"/>
              <w:jc w:val="center"/>
              <w:rPr>
                <w:rFonts w:ascii="华文楷体" w:hAnsi="华文楷体" w:eastAsia="华文楷体" w:cs="宋体"/>
                <w:kern w:val="0"/>
                <w:lang w:val="zh-CN"/>
              </w:rPr>
            </w:pPr>
          </w:p>
        </w:tc>
        <w:tc>
          <w:tcPr>
            <w:tcW w:w="1535" w:type="dxa"/>
            <w:tcBorders>
              <w:top w:val="single" w:color="000000" w:sz="6" w:space="0"/>
              <w:left w:val="single" w:color="000000" w:sz="6" w:space="0"/>
              <w:bottom w:val="single" w:color="000000" w:sz="6" w:space="0"/>
              <w:right w:val="single" w:color="000000" w:sz="6" w:space="0"/>
            </w:tcBorders>
            <w:vAlign w:val="center"/>
          </w:tcPr>
          <w:p w14:paraId="5A8FCAA5">
            <w:pPr>
              <w:autoSpaceDE w:val="0"/>
              <w:autoSpaceDN w:val="0"/>
              <w:spacing w:line="360" w:lineRule="auto"/>
              <w:jc w:val="center"/>
              <w:rPr>
                <w:rFonts w:ascii="华文楷体" w:hAnsi="华文楷体" w:eastAsia="华文楷体" w:cs="宋体"/>
                <w:kern w:val="0"/>
                <w:lang w:val="zh-CN"/>
              </w:rPr>
            </w:pPr>
          </w:p>
        </w:tc>
      </w:tr>
      <w:tr w14:paraId="28CD30A3">
        <w:tblPrEx>
          <w:tblCellMar>
            <w:top w:w="0" w:type="dxa"/>
            <w:left w:w="28" w:type="dxa"/>
            <w:bottom w:w="0" w:type="dxa"/>
            <w:right w:w="28" w:type="dxa"/>
          </w:tblCellMar>
        </w:tblPrEx>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1E1D99D5">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2</w:t>
            </w:r>
          </w:p>
        </w:tc>
        <w:tc>
          <w:tcPr>
            <w:tcW w:w="1233" w:type="dxa"/>
            <w:tcBorders>
              <w:top w:val="single" w:color="000000" w:sz="6" w:space="0"/>
              <w:left w:val="single" w:color="000000" w:sz="6" w:space="0"/>
              <w:bottom w:val="single" w:color="000000" w:sz="6" w:space="0"/>
              <w:right w:val="single" w:color="000000" w:sz="6" w:space="0"/>
            </w:tcBorders>
            <w:vAlign w:val="center"/>
          </w:tcPr>
          <w:p w14:paraId="086BF625">
            <w:pPr>
              <w:autoSpaceDE w:val="0"/>
              <w:autoSpaceDN w:val="0"/>
              <w:spacing w:line="360" w:lineRule="auto"/>
              <w:jc w:val="center"/>
              <w:rPr>
                <w:rFonts w:ascii="华文楷体" w:hAnsi="华文楷体" w:eastAsia="华文楷体" w:cs="宋体"/>
                <w:kern w:val="0"/>
                <w:lang w:val="zh-CN"/>
              </w:rPr>
            </w:pPr>
          </w:p>
        </w:tc>
        <w:tc>
          <w:tcPr>
            <w:tcW w:w="1818" w:type="dxa"/>
            <w:tcBorders>
              <w:top w:val="single" w:color="000000" w:sz="6" w:space="0"/>
              <w:left w:val="single" w:color="000000" w:sz="6" w:space="0"/>
              <w:bottom w:val="single" w:color="000000" w:sz="6" w:space="0"/>
              <w:right w:val="single" w:color="000000" w:sz="6" w:space="0"/>
            </w:tcBorders>
            <w:vAlign w:val="center"/>
          </w:tcPr>
          <w:p w14:paraId="5A7A5A1A">
            <w:pPr>
              <w:autoSpaceDE w:val="0"/>
              <w:autoSpaceDN w:val="0"/>
              <w:spacing w:line="360" w:lineRule="auto"/>
              <w:jc w:val="center"/>
              <w:rPr>
                <w:rFonts w:ascii="华文楷体" w:hAnsi="华文楷体" w:eastAsia="华文楷体" w:cs="宋体"/>
                <w:kern w:val="0"/>
                <w:lang w:val="zh-CN"/>
              </w:rPr>
            </w:pPr>
          </w:p>
        </w:tc>
        <w:tc>
          <w:tcPr>
            <w:tcW w:w="1807" w:type="dxa"/>
            <w:tcBorders>
              <w:top w:val="single" w:color="000000" w:sz="6" w:space="0"/>
              <w:left w:val="single" w:color="000000" w:sz="6" w:space="0"/>
              <w:bottom w:val="single" w:color="000000" w:sz="6" w:space="0"/>
              <w:right w:val="single" w:color="000000" w:sz="6" w:space="0"/>
            </w:tcBorders>
            <w:vAlign w:val="center"/>
          </w:tcPr>
          <w:p w14:paraId="29752E81">
            <w:pPr>
              <w:autoSpaceDE w:val="0"/>
              <w:autoSpaceDN w:val="0"/>
              <w:spacing w:line="360" w:lineRule="auto"/>
              <w:jc w:val="center"/>
              <w:rPr>
                <w:rFonts w:ascii="华文楷体" w:hAnsi="华文楷体" w:eastAsia="华文楷体" w:cs="宋体"/>
                <w:kern w:val="0"/>
                <w:lang w:val="zh-CN"/>
              </w:rPr>
            </w:pPr>
          </w:p>
        </w:tc>
        <w:tc>
          <w:tcPr>
            <w:tcW w:w="1873" w:type="dxa"/>
            <w:tcBorders>
              <w:top w:val="single" w:color="000000" w:sz="6" w:space="0"/>
              <w:left w:val="single" w:color="000000" w:sz="6" w:space="0"/>
              <w:bottom w:val="single" w:color="000000" w:sz="6" w:space="0"/>
              <w:right w:val="single" w:color="000000" w:sz="6" w:space="0"/>
            </w:tcBorders>
            <w:vAlign w:val="center"/>
          </w:tcPr>
          <w:p w14:paraId="79055B19">
            <w:pPr>
              <w:autoSpaceDE w:val="0"/>
              <w:autoSpaceDN w:val="0"/>
              <w:spacing w:line="360" w:lineRule="auto"/>
              <w:jc w:val="center"/>
              <w:rPr>
                <w:rFonts w:ascii="华文楷体" w:hAnsi="华文楷体" w:eastAsia="华文楷体" w:cs="宋体"/>
                <w:kern w:val="0"/>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422FDF68">
            <w:pPr>
              <w:autoSpaceDE w:val="0"/>
              <w:autoSpaceDN w:val="0"/>
              <w:spacing w:line="360" w:lineRule="auto"/>
              <w:jc w:val="center"/>
              <w:rPr>
                <w:rFonts w:ascii="华文楷体" w:hAnsi="华文楷体" w:eastAsia="华文楷体" w:cs="宋体"/>
                <w:kern w:val="0"/>
                <w:lang w:val="zh-CN"/>
              </w:rPr>
            </w:pPr>
          </w:p>
        </w:tc>
        <w:tc>
          <w:tcPr>
            <w:tcW w:w="1535" w:type="dxa"/>
            <w:tcBorders>
              <w:top w:val="single" w:color="000000" w:sz="6" w:space="0"/>
              <w:left w:val="single" w:color="000000" w:sz="6" w:space="0"/>
              <w:bottom w:val="single" w:color="000000" w:sz="6" w:space="0"/>
              <w:right w:val="single" w:color="000000" w:sz="6" w:space="0"/>
            </w:tcBorders>
            <w:vAlign w:val="center"/>
          </w:tcPr>
          <w:p w14:paraId="3149B51D">
            <w:pPr>
              <w:autoSpaceDE w:val="0"/>
              <w:autoSpaceDN w:val="0"/>
              <w:spacing w:line="360" w:lineRule="auto"/>
              <w:jc w:val="center"/>
              <w:rPr>
                <w:rFonts w:ascii="华文楷体" w:hAnsi="华文楷体" w:eastAsia="华文楷体" w:cs="宋体"/>
                <w:kern w:val="0"/>
                <w:lang w:val="zh-CN"/>
              </w:rPr>
            </w:pPr>
          </w:p>
        </w:tc>
      </w:tr>
      <w:tr w14:paraId="1A9EC01D">
        <w:trPr>
          <w:trHeight w:val="1" w:hRule="atLeast"/>
          <w:jc w:val="center"/>
        </w:trPr>
        <w:tc>
          <w:tcPr>
            <w:tcW w:w="616" w:type="dxa"/>
            <w:tcBorders>
              <w:top w:val="single" w:color="000000" w:sz="6" w:space="0"/>
              <w:left w:val="single" w:color="000000" w:sz="6" w:space="0"/>
              <w:bottom w:val="single" w:color="000000" w:sz="6" w:space="0"/>
              <w:right w:val="single" w:color="000000" w:sz="6" w:space="0"/>
            </w:tcBorders>
            <w:vAlign w:val="center"/>
          </w:tcPr>
          <w:p w14:paraId="12AAE1CA">
            <w:pPr>
              <w:autoSpaceDE w:val="0"/>
              <w:autoSpaceDN w:val="0"/>
              <w:spacing w:line="360" w:lineRule="auto"/>
              <w:jc w:val="center"/>
              <w:rPr>
                <w:rFonts w:ascii="华文楷体" w:hAnsi="华文楷体" w:eastAsia="华文楷体" w:cs="宋体"/>
                <w:kern w:val="0"/>
                <w:lang w:val="zh-CN"/>
              </w:rPr>
            </w:pPr>
            <w:r>
              <w:rPr>
                <w:rFonts w:hint="eastAsia" w:ascii="华文楷体" w:hAnsi="华文楷体" w:eastAsia="华文楷体" w:cs="宋体"/>
                <w:kern w:val="0"/>
                <w:lang w:val="zh-CN"/>
              </w:rPr>
              <w:t>…</w:t>
            </w:r>
          </w:p>
        </w:tc>
        <w:tc>
          <w:tcPr>
            <w:tcW w:w="1233" w:type="dxa"/>
            <w:tcBorders>
              <w:top w:val="single" w:color="000000" w:sz="6" w:space="0"/>
              <w:left w:val="single" w:color="000000" w:sz="6" w:space="0"/>
              <w:bottom w:val="single" w:color="000000" w:sz="6" w:space="0"/>
              <w:right w:val="single" w:color="000000" w:sz="6" w:space="0"/>
            </w:tcBorders>
            <w:vAlign w:val="center"/>
          </w:tcPr>
          <w:p w14:paraId="44747CD2">
            <w:pPr>
              <w:autoSpaceDE w:val="0"/>
              <w:autoSpaceDN w:val="0"/>
              <w:spacing w:line="360" w:lineRule="auto"/>
              <w:jc w:val="center"/>
              <w:rPr>
                <w:rFonts w:ascii="华文楷体" w:hAnsi="华文楷体" w:eastAsia="华文楷体" w:cs="宋体"/>
                <w:kern w:val="0"/>
                <w:lang w:val="zh-CN"/>
              </w:rPr>
            </w:pPr>
          </w:p>
        </w:tc>
        <w:tc>
          <w:tcPr>
            <w:tcW w:w="1818" w:type="dxa"/>
            <w:tcBorders>
              <w:top w:val="single" w:color="000000" w:sz="6" w:space="0"/>
              <w:left w:val="single" w:color="000000" w:sz="6" w:space="0"/>
              <w:bottom w:val="single" w:color="000000" w:sz="6" w:space="0"/>
              <w:right w:val="single" w:color="000000" w:sz="6" w:space="0"/>
            </w:tcBorders>
            <w:vAlign w:val="center"/>
          </w:tcPr>
          <w:p w14:paraId="5CBEE2B5">
            <w:pPr>
              <w:autoSpaceDE w:val="0"/>
              <w:autoSpaceDN w:val="0"/>
              <w:spacing w:line="360" w:lineRule="auto"/>
              <w:jc w:val="center"/>
              <w:rPr>
                <w:rFonts w:ascii="华文楷体" w:hAnsi="华文楷体" w:eastAsia="华文楷体" w:cs="宋体"/>
                <w:kern w:val="0"/>
                <w:lang w:val="zh-CN"/>
              </w:rPr>
            </w:pPr>
          </w:p>
        </w:tc>
        <w:tc>
          <w:tcPr>
            <w:tcW w:w="1807" w:type="dxa"/>
            <w:tcBorders>
              <w:top w:val="single" w:color="000000" w:sz="6" w:space="0"/>
              <w:left w:val="single" w:color="000000" w:sz="6" w:space="0"/>
              <w:bottom w:val="single" w:color="000000" w:sz="6" w:space="0"/>
              <w:right w:val="single" w:color="000000" w:sz="6" w:space="0"/>
            </w:tcBorders>
            <w:vAlign w:val="center"/>
          </w:tcPr>
          <w:p w14:paraId="2157D619">
            <w:pPr>
              <w:autoSpaceDE w:val="0"/>
              <w:autoSpaceDN w:val="0"/>
              <w:spacing w:line="360" w:lineRule="auto"/>
              <w:jc w:val="center"/>
              <w:rPr>
                <w:rFonts w:ascii="华文楷体" w:hAnsi="华文楷体" w:eastAsia="华文楷体" w:cs="宋体"/>
                <w:kern w:val="0"/>
                <w:lang w:val="zh-CN"/>
              </w:rPr>
            </w:pPr>
          </w:p>
        </w:tc>
        <w:tc>
          <w:tcPr>
            <w:tcW w:w="1873" w:type="dxa"/>
            <w:tcBorders>
              <w:top w:val="single" w:color="000000" w:sz="6" w:space="0"/>
              <w:left w:val="single" w:color="000000" w:sz="6" w:space="0"/>
              <w:bottom w:val="single" w:color="000000" w:sz="6" w:space="0"/>
              <w:right w:val="single" w:color="000000" w:sz="6" w:space="0"/>
            </w:tcBorders>
            <w:vAlign w:val="center"/>
          </w:tcPr>
          <w:p w14:paraId="635BC795">
            <w:pPr>
              <w:autoSpaceDE w:val="0"/>
              <w:autoSpaceDN w:val="0"/>
              <w:spacing w:line="360" w:lineRule="auto"/>
              <w:jc w:val="center"/>
              <w:rPr>
                <w:rFonts w:ascii="华文楷体" w:hAnsi="华文楷体" w:eastAsia="华文楷体" w:cs="宋体"/>
                <w:kern w:val="0"/>
                <w:lang w:val="zh-CN"/>
              </w:rPr>
            </w:pPr>
          </w:p>
        </w:tc>
        <w:tc>
          <w:tcPr>
            <w:tcW w:w="720" w:type="dxa"/>
            <w:tcBorders>
              <w:top w:val="single" w:color="000000" w:sz="6" w:space="0"/>
              <w:left w:val="single" w:color="000000" w:sz="6" w:space="0"/>
              <w:bottom w:val="single" w:color="000000" w:sz="6" w:space="0"/>
              <w:right w:val="single" w:color="000000" w:sz="6" w:space="0"/>
            </w:tcBorders>
            <w:vAlign w:val="center"/>
          </w:tcPr>
          <w:p w14:paraId="7473DABF">
            <w:pPr>
              <w:autoSpaceDE w:val="0"/>
              <w:autoSpaceDN w:val="0"/>
              <w:spacing w:line="360" w:lineRule="auto"/>
              <w:jc w:val="center"/>
              <w:rPr>
                <w:rFonts w:ascii="华文楷体" w:hAnsi="华文楷体" w:eastAsia="华文楷体" w:cs="宋体"/>
                <w:kern w:val="0"/>
                <w:lang w:val="zh-CN"/>
              </w:rPr>
            </w:pPr>
          </w:p>
        </w:tc>
        <w:tc>
          <w:tcPr>
            <w:tcW w:w="1535" w:type="dxa"/>
            <w:tcBorders>
              <w:top w:val="single" w:color="000000" w:sz="6" w:space="0"/>
              <w:left w:val="single" w:color="000000" w:sz="6" w:space="0"/>
              <w:bottom w:val="single" w:color="000000" w:sz="6" w:space="0"/>
              <w:right w:val="single" w:color="000000" w:sz="6" w:space="0"/>
            </w:tcBorders>
            <w:vAlign w:val="center"/>
          </w:tcPr>
          <w:p w14:paraId="0E43F7E0">
            <w:pPr>
              <w:autoSpaceDE w:val="0"/>
              <w:autoSpaceDN w:val="0"/>
              <w:spacing w:line="360" w:lineRule="auto"/>
              <w:jc w:val="center"/>
              <w:rPr>
                <w:rFonts w:ascii="华文楷体" w:hAnsi="华文楷体" w:eastAsia="华文楷体" w:cs="宋体"/>
                <w:kern w:val="0"/>
                <w:lang w:val="zh-CN"/>
              </w:rPr>
            </w:pPr>
          </w:p>
        </w:tc>
      </w:tr>
    </w:tbl>
    <w:p w14:paraId="471C8F61">
      <w:pPr>
        <w:autoSpaceDE w:val="0"/>
        <w:autoSpaceDN w:val="0"/>
        <w:spacing w:line="400" w:lineRule="exact"/>
        <w:rPr>
          <w:rFonts w:ascii="华文楷体" w:hAnsi="华文楷体" w:eastAsia="华文楷体" w:cs="宋体"/>
          <w:kern w:val="0"/>
          <w:sz w:val="21"/>
          <w:szCs w:val="21"/>
          <w:lang w:val="zh-CN"/>
        </w:rPr>
      </w:pPr>
      <w:r>
        <w:rPr>
          <w:rFonts w:hint="eastAsia" w:ascii="华文楷体" w:hAnsi="华文楷体" w:eastAsia="华文楷体" w:cs="宋体"/>
          <w:kern w:val="0"/>
          <w:sz w:val="21"/>
          <w:szCs w:val="21"/>
        </w:rPr>
        <w:t>说明</w:t>
      </w:r>
      <w:r>
        <w:rPr>
          <w:rFonts w:hint="eastAsia" w:ascii="华文楷体" w:hAnsi="华文楷体" w:eastAsia="华文楷体" w:cs="宋体"/>
          <w:kern w:val="0"/>
          <w:sz w:val="21"/>
          <w:szCs w:val="21"/>
          <w:lang w:val="zh-CN"/>
        </w:rPr>
        <w:t>：</w:t>
      </w:r>
    </w:p>
    <w:p w14:paraId="6E7E61DC">
      <w:pPr>
        <w:autoSpaceDE w:val="0"/>
        <w:autoSpaceDN w:val="0"/>
        <w:spacing w:line="400" w:lineRule="exact"/>
        <w:rPr>
          <w:rFonts w:ascii="华文楷体" w:hAnsi="华文楷体" w:eastAsia="华文楷体" w:cs="宋体"/>
          <w:kern w:val="0"/>
          <w:sz w:val="21"/>
          <w:szCs w:val="21"/>
          <w:lang w:val="zh-CN"/>
        </w:rPr>
      </w:pPr>
      <w:r>
        <w:rPr>
          <w:rFonts w:hint="eastAsia" w:ascii="华文楷体" w:hAnsi="华文楷体" w:eastAsia="华文楷体" w:cs="宋体"/>
          <w:kern w:val="0"/>
          <w:sz w:val="21"/>
          <w:szCs w:val="21"/>
          <w:lang w:val="zh-CN"/>
        </w:rPr>
        <w:t>注：1.本表应按照</w:t>
      </w:r>
      <w:r>
        <w:rPr>
          <w:rFonts w:hint="eastAsia" w:ascii="华文楷体" w:hAnsi="华文楷体" w:eastAsia="华文楷体" w:cs="宋体"/>
          <w:kern w:val="0"/>
          <w:sz w:val="21"/>
          <w:szCs w:val="21"/>
        </w:rPr>
        <w:t>第五部分 （三）</w:t>
      </w:r>
      <w:r>
        <w:rPr>
          <w:rFonts w:hint="eastAsia" w:ascii="华文楷体" w:hAnsi="华文楷体" w:eastAsia="华文楷体" w:cs="宋体"/>
          <w:kern w:val="0"/>
          <w:sz w:val="21"/>
          <w:szCs w:val="21"/>
          <w:lang w:val="zh-CN"/>
        </w:rPr>
        <w:t>“</w:t>
      </w:r>
      <w:r>
        <w:rPr>
          <w:rFonts w:hint="eastAsia" w:ascii="华文楷体" w:hAnsi="华文楷体" w:eastAsia="华文楷体" w:cs="宋体"/>
          <w:kern w:val="0"/>
          <w:sz w:val="21"/>
          <w:szCs w:val="21"/>
        </w:rPr>
        <w:t>技术要求</w:t>
      </w:r>
      <w:r>
        <w:rPr>
          <w:rFonts w:hint="eastAsia" w:ascii="华文楷体" w:hAnsi="华文楷体" w:eastAsia="华文楷体" w:cs="宋体"/>
          <w:kern w:val="0"/>
          <w:sz w:val="21"/>
          <w:szCs w:val="21"/>
          <w:lang w:val="zh-CN"/>
        </w:rPr>
        <w:t>”中每包</w:t>
      </w:r>
      <w:r>
        <w:rPr>
          <w:rFonts w:hint="eastAsia" w:ascii="华文楷体" w:hAnsi="华文楷体" w:eastAsia="华文楷体" w:cs="宋体"/>
          <w:kern w:val="0"/>
          <w:sz w:val="21"/>
          <w:szCs w:val="21"/>
        </w:rPr>
        <w:t>的</w:t>
      </w:r>
      <w:r>
        <w:rPr>
          <w:rFonts w:hint="eastAsia" w:ascii="华文楷体" w:hAnsi="华文楷体" w:eastAsia="华文楷体" w:cs="宋体"/>
          <w:kern w:val="0"/>
          <w:sz w:val="21"/>
          <w:szCs w:val="21"/>
          <w:lang w:val="zh-CN"/>
        </w:rPr>
        <w:t>产品序号的指标逐项填写，不得遗漏，</w:t>
      </w:r>
      <w:r>
        <w:rPr>
          <w:rFonts w:hint="eastAsia" w:ascii="华文楷体" w:hAnsi="华文楷体" w:eastAsia="华文楷体" w:cs="宋体"/>
          <w:sz w:val="21"/>
          <w:szCs w:val="21"/>
        </w:rPr>
        <w:t>否则</w:t>
      </w:r>
      <w:r>
        <w:rPr>
          <w:rFonts w:hint="eastAsia" w:ascii="华文楷体" w:hAnsi="华文楷体" w:eastAsia="华文楷体" w:cs="宋体"/>
          <w:kern w:val="0"/>
          <w:sz w:val="21"/>
          <w:szCs w:val="21"/>
        </w:rPr>
        <w:t>，按无效投标处理</w:t>
      </w:r>
      <w:r>
        <w:rPr>
          <w:rFonts w:hint="eastAsia" w:ascii="华文楷体" w:hAnsi="华文楷体" w:eastAsia="华文楷体" w:cs="宋体"/>
          <w:sz w:val="21"/>
          <w:szCs w:val="21"/>
        </w:rPr>
        <w:t>。</w:t>
      </w:r>
    </w:p>
    <w:p w14:paraId="5D59949F">
      <w:pPr>
        <w:autoSpaceDE w:val="0"/>
        <w:autoSpaceDN w:val="0"/>
        <w:spacing w:line="400" w:lineRule="exact"/>
        <w:rPr>
          <w:rFonts w:ascii="华文楷体" w:hAnsi="华文楷体" w:eastAsia="华文楷体" w:cs="宋体"/>
          <w:kern w:val="0"/>
          <w:sz w:val="21"/>
          <w:szCs w:val="21"/>
          <w:lang w:val="zh-CN"/>
        </w:rPr>
      </w:pPr>
      <w:r>
        <w:rPr>
          <w:rFonts w:hint="eastAsia" w:ascii="华文楷体" w:hAnsi="华文楷体" w:eastAsia="华文楷体" w:cs="宋体"/>
          <w:sz w:val="21"/>
          <w:szCs w:val="21"/>
        </w:rPr>
        <w:t>2、</w:t>
      </w:r>
      <w:r>
        <w:rPr>
          <w:rFonts w:hint="eastAsia" w:ascii="华文楷体" w:hAnsi="华文楷体" w:eastAsia="华文楷体" w:cs="宋体"/>
          <w:kern w:val="0"/>
          <w:sz w:val="21"/>
          <w:szCs w:val="21"/>
          <w:lang w:val="zh-CN"/>
        </w:rPr>
        <w:t>“投标产品技术参数、指标”必须与投标文件中提供的证明材料的实质性响应情况相一致。若与证明材料的实质性响应情况不一致，评标委员会将按评标办法中技术参数负偏离处理。（“★”参数按第五部分第</w:t>
      </w:r>
      <w:r>
        <w:rPr>
          <w:rFonts w:hint="eastAsia" w:ascii="华文楷体" w:hAnsi="华文楷体" w:eastAsia="华文楷体" w:cs="宋体"/>
          <w:kern w:val="0"/>
          <w:sz w:val="21"/>
          <w:szCs w:val="21"/>
        </w:rPr>
        <w:t>2</w:t>
      </w:r>
      <w:r>
        <w:rPr>
          <w:rFonts w:hint="eastAsia" w:ascii="华文楷体" w:hAnsi="华文楷体" w:eastAsia="华文楷体" w:cs="宋体"/>
          <w:kern w:val="0"/>
          <w:sz w:val="21"/>
          <w:szCs w:val="21"/>
          <w:lang w:val="zh-CN"/>
        </w:rPr>
        <w:t>条重要指标执行）</w:t>
      </w:r>
    </w:p>
    <w:p w14:paraId="19ADAF72">
      <w:pPr>
        <w:autoSpaceDE w:val="0"/>
        <w:autoSpaceDN w:val="0"/>
        <w:spacing w:line="400" w:lineRule="exact"/>
        <w:rPr>
          <w:rFonts w:ascii="华文楷体" w:hAnsi="华文楷体" w:eastAsia="华文楷体" w:cs="宋体"/>
          <w:kern w:val="0"/>
          <w:sz w:val="21"/>
          <w:szCs w:val="21"/>
          <w:lang w:val="zh-CN"/>
        </w:rPr>
      </w:pPr>
      <w:r>
        <w:rPr>
          <w:rFonts w:hint="eastAsia" w:ascii="华文楷体" w:hAnsi="华文楷体" w:eastAsia="华文楷体" w:cs="宋体"/>
          <w:kern w:val="0"/>
          <w:sz w:val="21"/>
          <w:szCs w:val="21"/>
          <w:lang w:val="zh-CN"/>
        </w:rPr>
        <w:t>3、填写此表时以招标</w:t>
      </w:r>
      <w:r>
        <w:rPr>
          <w:rFonts w:hint="eastAsia" w:ascii="华文楷体" w:hAnsi="华文楷体" w:eastAsia="华文楷体" w:cs="宋体"/>
          <w:kern w:val="0"/>
          <w:sz w:val="21"/>
          <w:szCs w:val="21"/>
        </w:rPr>
        <w:t>内容技术</w:t>
      </w:r>
      <w:r>
        <w:rPr>
          <w:rFonts w:hint="eastAsia" w:ascii="华文楷体" w:hAnsi="华文楷体" w:eastAsia="华文楷体" w:cs="宋体"/>
          <w:kern w:val="0"/>
          <w:sz w:val="21"/>
          <w:szCs w:val="21"/>
          <w:lang w:val="zh-CN"/>
        </w:rPr>
        <w:t>参数要求为基本投标要求，满足招标</w:t>
      </w:r>
      <w:r>
        <w:rPr>
          <w:rFonts w:hint="eastAsia" w:ascii="华文楷体" w:hAnsi="华文楷体" w:eastAsia="华文楷体" w:cs="宋体"/>
          <w:kern w:val="0"/>
          <w:sz w:val="21"/>
          <w:szCs w:val="21"/>
        </w:rPr>
        <w:t>内容技术</w:t>
      </w:r>
      <w:r>
        <w:rPr>
          <w:rFonts w:hint="eastAsia" w:ascii="华文楷体" w:hAnsi="华文楷体" w:eastAsia="华文楷体" w:cs="宋体"/>
          <w:kern w:val="0"/>
          <w:sz w:val="21"/>
          <w:szCs w:val="21"/>
          <w:lang w:val="zh-CN"/>
        </w:rPr>
        <w:t>参数要求的指标需列出“</w:t>
      </w:r>
      <w:r>
        <w:rPr>
          <w:rFonts w:hint="eastAsia" w:ascii="华文楷体" w:hAnsi="华文楷体" w:eastAsia="华文楷体" w:cs="宋体"/>
          <w:kern w:val="0"/>
          <w:sz w:val="21"/>
          <w:szCs w:val="21"/>
        </w:rPr>
        <w:t>0</w:t>
      </w:r>
      <w:r>
        <w:rPr>
          <w:rFonts w:hint="eastAsia" w:ascii="华文楷体" w:hAnsi="华文楷体" w:eastAsia="华文楷体" w:cs="宋体"/>
          <w:kern w:val="0"/>
          <w:sz w:val="21"/>
          <w:szCs w:val="21"/>
          <w:lang w:val="zh-CN"/>
        </w:rPr>
        <w:t>”（</w:t>
      </w:r>
      <w:r>
        <w:rPr>
          <w:rFonts w:hint="eastAsia" w:ascii="华文楷体" w:hAnsi="华文楷体" w:eastAsia="华文楷体" w:cs="宋体"/>
          <w:kern w:val="0"/>
          <w:sz w:val="21"/>
          <w:szCs w:val="21"/>
        </w:rPr>
        <w:t>无偏离）</w:t>
      </w:r>
      <w:r>
        <w:rPr>
          <w:rFonts w:hint="eastAsia" w:ascii="华文楷体" w:hAnsi="华文楷体" w:eastAsia="华文楷体" w:cs="宋体"/>
          <w:kern w:val="0"/>
          <w:sz w:val="21"/>
          <w:szCs w:val="21"/>
          <w:lang w:val="zh-CN"/>
        </w:rPr>
        <w:t>；超出、不满足招标项目参数要求的指标需列出“+”、“-”偏差（</w:t>
      </w:r>
      <w:r>
        <w:rPr>
          <w:rFonts w:hint="eastAsia" w:ascii="华文楷体" w:hAnsi="华文楷体" w:eastAsia="华文楷体" w:cs="宋体"/>
          <w:kern w:val="0"/>
          <w:sz w:val="21"/>
          <w:szCs w:val="21"/>
        </w:rPr>
        <w:t>正偏离、负偏离）</w:t>
      </w:r>
      <w:r>
        <w:rPr>
          <w:rFonts w:hint="eastAsia" w:ascii="华文楷体" w:hAnsi="华文楷体" w:eastAsia="华文楷体" w:cs="宋体"/>
          <w:kern w:val="0"/>
          <w:sz w:val="21"/>
          <w:szCs w:val="21"/>
          <w:lang w:val="zh-CN"/>
        </w:rPr>
        <w:t>，并做出详细说明；如果只注明“+”、“-”或未填写，将视为该项指标不响应。</w:t>
      </w:r>
    </w:p>
    <w:p w14:paraId="14E290B9">
      <w:pPr>
        <w:autoSpaceDE w:val="0"/>
        <w:autoSpaceDN w:val="0"/>
        <w:spacing w:line="400" w:lineRule="exact"/>
        <w:rPr>
          <w:rFonts w:ascii="华文楷体" w:hAnsi="华文楷体" w:eastAsia="华文楷体" w:cs="宋体"/>
          <w:kern w:val="0"/>
          <w:sz w:val="21"/>
          <w:szCs w:val="21"/>
          <w:lang w:val="zh-CN"/>
        </w:rPr>
      </w:pPr>
      <w:r>
        <w:rPr>
          <w:rFonts w:hint="eastAsia" w:ascii="华文楷体" w:hAnsi="华文楷体" w:eastAsia="华文楷体" w:cs="宋体"/>
          <w:kern w:val="0"/>
          <w:sz w:val="21"/>
          <w:szCs w:val="21"/>
          <w:lang w:val="zh-CN"/>
        </w:rPr>
        <w:t>4、投标人响应</w:t>
      </w:r>
      <w:r>
        <w:rPr>
          <w:rFonts w:hint="eastAsia" w:ascii="华文楷体" w:hAnsi="华文楷体" w:eastAsia="华文楷体" w:cs="宋体"/>
          <w:kern w:val="0"/>
          <w:sz w:val="21"/>
          <w:szCs w:val="21"/>
        </w:rPr>
        <w:t>招标内容技术要求</w:t>
      </w:r>
      <w:r>
        <w:rPr>
          <w:rFonts w:hint="eastAsia" w:ascii="华文楷体" w:hAnsi="华文楷体" w:eastAsia="华文楷体" w:cs="宋体"/>
          <w:kern w:val="0"/>
          <w:sz w:val="21"/>
          <w:szCs w:val="21"/>
          <w:lang w:val="zh-CN"/>
        </w:rPr>
        <w:t>应具体明确，含糊不清、不确切或伪造、编造证明材料的，按照实质性不响应处理。对伪造、编造证明材料的，将报告本级财政部门。</w:t>
      </w:r>
    </w:p>
    <w:p w14:paraId="5112B17A">
      <w:pPr>
        <w:autoSpaceDE w:val="0"/>
        <w:autoSpaceDN w:val="0"/>
        <w:spacing w:line="400" w:lineRule="exact"/>
        <w:rPr>
          <w:rFonts w:ascii="华文楷体" w:hAnsi="华文楷体" w:eastAsia="华文楷体" w:cs="宋体"/>
          <w:kern w:val="0"/>
          <w:sz w:val="21"/>
          <w:szCs w:val="21"/>
        </w:rPr>
      </w:pPr>
      <w:r>
        <w:rPr>
          <w:rFonts w:hint="eastAsia" w:ascii="华文楷体" w:hAnsi="华文楷体" w:eastAsia="华文楷体" w:cs="宋体"/>
          <w:kern w:val="0"/>
          <w:sz w:val="21"/>
          <w:szCs w:val="21"/>
        </w:rPr>
        <w:t>5、为了方便评审，投标人需在技术证明材料索引栏中标注各投标产品的技术证明材料所在页码及条款号（如：第16页第6项第2条。），针对招标文件要求的技术要求需在证明材料的相应指标处逐一作出标记（例如用红色方框标记）。</w:t>
      </w:r>
    </w:p>
    <w:p w14:paraId="42B35875">
      <w:pPr>
        <w:pStyle w:val="2"/>
        <w:spacing w:line="400" w:lineRule="exact"/>
        <w:rPr>
          <w:rFonts w:ascii="华文楷体" w:hAnsi="华文楷体" w:eastAsia="华文楷体" w:cs="宋体"/>
          <w:kern w:val="0"/>
          <w:sz w:val="21"/>
          <w:szCs w:val="21"/>
        </w:rPr>
      </w:pPr>
      <w:r>
        <w:rPr>
          <w:rFonts w:hint="eastAsia" w:ascii="华文楷体" w:hAnsi="华文楷体" w:eastAsia="华文楷体" w:cs="宋体"/>
          <w:kern w:val="0"/>
          <w:sz w:val="21"/>
          <w:szCs w:val="21"/>
        </w:rPr>
        <w:t>6、“技术参数”中用“▲”标注的技术参数、指标，除技术参数、指标中特别指定的技术支持资料以外，其余“▲”标注的技术参数、指标的技术支持资料均为检测报告。否则，按技术负偏离处理。</w:t>
      </w:r>
    </w:p>
    <w:p w14:paraId="4316EFB2">
      <w:pPr>
        <w:pStyle w:val="3"/>
        <w:ind w:left="480"/>
      </w:pPr>
    </w:p>
    <w:p w14:paraId="581DB500">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 xml:space="preserve">               投标人：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2EFFFA0C">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 xml:space="preserve">    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697BEE4B">
      <w:pPr>
        <w:autoSpaceDE w:val="0"/>
        <w:autoSpaceDN w:val="0"/>
        <w:spacing w:line="360" w:lineRule="auto"/>
        <w:ind w:firstLine="4819" w:firstLineChars="2000"/>
        <w:rPr>
          <w:rFonts w:ascii="华文楷体" w:hAnsi="华文楷体" w:eastAsia="华文楷体" w:cs="宋体"/>
          <w:b/>
          <w:bCs/>
          <w:kern w:val="0"/>
          <w:lang w:val="zh-CN"/>
        </w:rPr>
      </w:pPr>
      <w:r>
        <w:rPr>
          <w:rFonts w:hint="eastAsia" w:ascii="华文楷体" w:hAnsi="华文楷体" w:eastAsia="华文楷体" w:cs="宋体"/>
          <w:b/>
          <w:bCs/>
          <w:kern w:val="0"/>
          <w:lang w:val="zh-CN"/>
        </w:rPr>
        <w:t>年   月   日</w:t>
      </w:r>
      <w:bookmarkStart w:id="248" w:name="_Toc515908224"/>
      <w:bookmarkStart w:id="249" w:name="_Toc14290"/>
    </w:p>
    <w:p w14:paraId="2699FA65">
      <w:pPr>
        <w:pStyle w:val="25"/>
        <w:spacing w:before="0" w:after="0" w:line="360" w:lineRule="auto"/>
        <w:jc w:val="both"/>
        <w:outlineLvl w:val="1"/>
        <w:rPr>
          <w:rFonts w:ascii="华文楷体" w:hAnsi="华文楷体" w:eastAsia="华文楷体" w:cs="宋体"/>
          <w:sz w:val="30"/>
          <w:szCs w:val="30"/>
          <w:lang w:val="zh-CN"/>
        </w:rPr>
      </w:pPr>
      <w:bookmarkStart w:id="250" w:name="_Toc24524"/>
      <w:bookmarkStart w:id="251" w:name="_Toc184345945"/>
      <w:r>
        <w:rPr>
          <w:rFonts w:hint="eastAsia" w:ascii="华文楷体" w:hAnsi="华文楷体" w:eastAsia="华文楷体" w:cs="宋体"/>
          <w:sz w:val="30"/>
          <w:szCs w:val="30"/>
          <w:lang w:val="zh-CN"/>
        </w:rPr>
        <w:t>（1</w:t>
      </w:r>
      <w:r>
        <w:rPr>
          <w:rFonts w:hint="eastAsia" w:ascii="华文楷体" w:hAnsi="华文楷体" w:eastAsia="华文楷体" w:cs="宋体"/>
          <w:sz w:val="30"/>
          <w:szCs w:val="30"/>
        </w:rPr>
        <w:t>8</w:t>
      </w:r>
      <w:r>
        <w:rPr>
          <w:rFonts w:hint="eastAsia" w:ascii="华文楷体" w:hAnsi="华文楷体" w:eastAsia="华文楷体" w:cs="宋体"/>
          <w:sz w:val="30"/>
          <w:szCs w:val="30"/>
          <w:lang w:val="zh-CN"/>
        </w:rPr>
        <w:t>）投标产品相关资料</w:t>
      </w:r>
      <w:bookmarkEnd w:id="248"/>
      <w:bookmarkEnd w:id="250"/>
      <w:bookmarkEnd w:id="251"/>
    </w:p>
    <w:p w14:paraId="2E56E94E">
      <w:pPr>
        <w:autoSpaceDE w:val="0"/>
        <w:autoSpaceDN w:val="0"/>
        <w:spacing w:line="360" w:lineRule="auto"/>
        <w:rPr>
          <w:rFonts w:ascii="华文楷体" w:hAnsi="华文楷体" w:eastAsia="华文楷体" w:cs="宋体"/>
          <w:kern w:val="0"/>
          <w:sz w:val="28"/>
          <w:szCs w:val="28"/>
          <w:lang w:val="zh-CN"/>
        </w:rPr>
      </w:pPr>
    </w:p>
    <w:p w14:paraId="6F8FFF4B">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投标产品相关资料</w:t>
      </w:r>
    </w:p>
    <w:p w14:paraId="04E02770">
      <w:pPr>
        <w:spacing w:before="205" w:line="344" w:lineRule="auto"/>
        <w:ind w:firstLine="714" w:firstLineChars="300"/>
        <w:jc w:val="left"/>
        <w:rPr>
          <w:rFonts w:ascii="华文楷体" w:hAnsi="华文楷体" w:eastAsia="华文楷体" w:cs="宋体"/>
        </w:rPr>
      </w:pPr>
      <w:r>
        <w:rPr>
          <w:rFonts w:hint="eastAsia" w:ascii="华文楷体" w:hAnsi="华文楷体" w:eastAsia="华文楷体" w:cs="宋体"/>
          <w:spacing w:val="-1"/>
        </w:rPr>
        <w:t>根据采购项目内容要求，投标时提供国家认可的质监机构出具的投标产品的产品检测（或检验）报告或证明技术参数响应的相关资料。</w:t>
      </w:r>
    </w:p>
    <w:p w14:paraId="248BE507">
      <w:pPr>
        <w:spacing w:line="360" w:lineRule="auto"/>
        <w:ind w:firstLine="480" w:firstLineChars="200"/>
        <w:rPr>
          <w:rFonts w:ascii="华文楷体" w:hAnsi="华文楷体" w:eastAsia="华文楷体" w:cs="宋体"/>
          <w:kern w:val="0"/>
        </w:rPr>
      </w:pPr>
    </w:p>
    <w:p w14:paraId="091B8C25">
      <w:pPr>
        <w:autoSpaceDE w:val="0"/>
        <w:autoSpaceDN w:val="0"/>
        <w:spacing w:line="360" w:lineRule="auto"/>
        <w:ind w:firstLine="640" w:firstLineChars="200"/>
        <w:rPr>
          <w:rFonts w:ascii="华文楷体" w:hAnsi="华文楷体" w:eastAsia="华文楷体" w:cs="宋体"/>
          <w:sz w:val="32"/>
          <w:lang w:val="zh-CN"/>
        </w:rPr>
      </w:pPr>
    </w:p>
    <w:p w14:paraId="2A6B6293">
      <w:pPr>
        <w:pStyle w:val="25"/>
        <w:spacing w:before="0" w:after="0" w:line="360" w:lineRule="auto"/>
        <w:jc w:val="left"/>
        <w:outlineLvl w:val="1"/>
        <w:rPr>
          <w:rFonts w:ascii="华文楷体" w:hAnsi="华文楷体" w:eastAsia="华文楷体" w:cs="宋体"/>
          <w:sz w:val="30"/>
          <w:szCs w:val="30"/>
          <w:lang w:val="zh-CN"/>
        </w:rPr>
      </w:pPr>
      <w:r>
        <w:rPr>
          <w:rFonts w:hint="eastAsia" w:ascii="华文楷体" w:hAnsi="华文楷体" w:eastAsia="华文楷体" w:cs="宋体"/>
          <w:lang w:val="zh-CN"/>
        </w:rPr>
        <w:br w:type="page"/>
      </w:r>
      <w:bookmarkStart w:id="252" w:name="_Toc184345946"/>
      <w:bookmarkStart w:id="253" w:name="_Toc10345"/>
      <w:bookmarkStart w:id="254" w:name="_Toc515908225"/>
      <w:r>
        <w:rPr>
          <w:rFonts w:hint="eastAsia" w:ascii="华文楷体" w:hAnsi="华文楷体" w:eastAsia="华文楷体" w:cs="宋体"/>
          <w:sz w:val="30"/>
          <w:szCs w:val="30"/>
          <w:lang w:val="zh-CN"/>
        </w:rPr>
        <w:t>（1</w:t>
      </w:r>
      <w:r>
        <w:rPr>
          <w:rFonts w:hint="eastAsia" w:ascii="华文楷体" w:hAnsi="华文楷体" w:eastAsia="华文楷体" w:cs="宋体"/>
          <w:sz w:val="30"/>
          <w:szCs w:val="30"/>
        </w:rPr>
        <w:t>9</w:t>
      </w:r>
      <w:r>
        <w:rPr>
          <w:rFonts w:hint="eastAsia" w:ascii="华文楷体" w:hAnsi="华文楷体" w:eastAsia="华文楷体" w:cs="宋体"/>
          <w:sz w:val="30"/>
          <w:szCs w:val="30"/>
          <w:lang w:val="zh-CN"/>
        </w:rPr>
        <w:t>）技术方案</w:t>
      </w:r>
      <w:bookmarkEnd w:id="252"/>
      <w:bookmarkEnd w:id="253"/>
    </w:p>
    <w:p w14:paraId="5ED1FE6D">
      <w:pPr>
        <w:autoSpaceDE w:val="0"/>
        <w:autoSpaceDN w:val="0"/>
        <w:spacing w:line="360" w:lineRule="auto"/>
        <w:ind w:firstLine="480"/>
        <w:rPr>
          <w:rFonts w:ascii="华文楷体" w:hAnsi="华文楷体" w:eastAsia="华文楷体" w:cs="宋体"/>
        </w:rPr>
      </w:pPr>
      <w:r>
        <w:rPr>
          <w:rFonts w:hint="eastAsia" w:ascii="华文楷体" w:hAnsi="华文楷体" w:eastAsia="华文楷体" w:cs="宋体"/>
        </w:rPr>
        <w:t>根据本包采购内容、服务要求及评标标准，投标时提供详细的技术方案。</w:t>
      </w:r>
    </w:p>
    <w:p w14:paraId="76A9003D">
      <w:pPr>
        <w:rPr>
          <w:rFonts w:ascii="华文楷体" w:hAnsi="华文楷体" w:eastAsia="华文楷体" w:cs="宋体"/>
        </w:rPr>
      </w:pPr>
      <w:r>
        <w:rPr>
          <w:rFonts w:hint="eastAsia" w:ascii="华文楷体" w:hAnsi="华文楷体" w:eastAsia="华文楷体" w:cs="宋体"/>
        </w:rPr>
        <w:br w:type="page"/>
      </w:r>
    </w:p>
    <w:p w14:paraId="6A289A22">
      <w:pPr>
        <w:pStyle w:val="25"/>
        <w:spacing w:before="0" w:after="0" w:line="360" w:lineRule="auto"/>
        <w:jc w:val="left"/>
        <w:outlineLvl w:val="1"/>
        <w:rPr>
          <w:rFonts w:ascii="华文楷体" w:hAnsi="华文楷体" w:eastAsia="华文楷体" w:cs="宋体"/>
          <w:sz w:val="30"/>
          <w:szCs w:val="30"/>
          <w:lang w:val="zh-CN"/>
        </w:rPr>
      </w:pPr>
      <w:bookmarkStart w:id="255" w:name="_Toc184345947"/>
      <w:r>
        <w:rPr>
          <w:rFonts w:hint="eastAsia" w:ascii="华文楷体" w:hAnsi="华文楷体" w:eastAsia="华文楷体" w:cs="宋体"/>
          <w:sz w:val="30"/>
          <w:szCs w:val="30"/>
          <w:lang w:val="zh-CN"/>
        </w:rPr>
        <w:t>（20）中小企业声明函（货物）</w:t>
      </w:r>
      <w:bookmarkEnd w:id="255"/>
    </w:p>
    <w:p w14:paraId="1087BAB5">
      <w:pPr>
        <w:jc w:val="center"/>
        <w:rPr>
          <w:rFonts w:ascii="华文楷体" w:hAnsi="华文楷体" w:eastAsia="华文楷体"/>
          <w:b/>
          <w:sz w:val="30"/>
          <w:szCs w:val="30"/>
          <w:lang w:val="zh-CN"/>
        </w:rPr>
      </w:pPr>
      <w:r>
        <w:rPr>
          <w:rFonts w:hint="eastAsia" w:ascii="华文楷体" w:hAnsi="华文楷体" w:eastAsia="华文楷体"/>
          <w:b/>
          <w:sz w:val="30"/>
          <w:szCs w:val="30"/>
          <w:lang w:val="zh-CN"/>
        </w:rPr>
        <w:t>中小企业声明函（货物）</w:t>
      </w:r>
    </w:p>
    <w:p w14:paraId="1BA943D7">
      <w:pPr>
        <w:spacing w:line="460" w:lineRule="exact"/>
        <w:ind w:firstLine="480" w:firstLineChars="200"/>
        <w:rPr>
          <w:rFonts w:ascii="华文楷体" w:hAnsi="华文楷体" w:eastAsia="华文楷体"/>
        </w:rPr>
      </w:pPr>
      <w:r>
        <w:rPr>
          <w:rFonts w:hint="eastAsia" w:ascii="华文楷体" w:hAnsi="华文楷体" w:eastAsia="华文楷体"/>
        </w:rPr>
        <w:t>本公司郑重声明，根据《政府采购促进中小企业发展管理办法》（财库﹝2020﹞46 号）的规定，本公司参加（</w:t>
      </w:r>
      <w:r>
        <w:rPr>
          <w:rFonts w:hint="eastAsia" w:ascii="华文楷体" w:hAnsi="华文楷体" w:eastAsia="华文楷体"/>
          <w:u w:val="single"/>
        </w:rPr>
        <w:t>单位名称</w:t>
      </w:r>
      <w:r>
        <w:rPr>
          <w:rFonts w:hint="eastAsia" w:ascii="华文楷体" w:hAnsi="华文楷体" w:eastAsia="华文楷体"/>
        </w:rPr>
        <w:t>）的（</w:t>
      </w:r>
      <w:r>
        <w:rPr>
          <w:rFonts w:hint="eastAsia" w:ascii="华文楷体" w:hAnsi="华文楷体" w:eastAsia="华文楷体"/>
          <w:u w:val="single"/>
        </w:rPr>
        <w:t>项目名称</w:t>
      </w:r>
      <w:r>
        <w:rPr>
          <w:rFonts w:hint="eastAsia" w:ascii="华文楷体" w:hAnsi="华文楷体" w:eastAsia="华文楷体"/>
        </w:rPr>
        <w:t>）采购活动，提供的货物全部由符合政策要求的中小企业制造。相关企业的具体情况如下：</w:t>
      </w:r>
    </w:p>
    <w:p w14:paraId="33193A13">
      <w:pPr>
        <w:spacing w:line="460" w:lineRule="exact"/>
        <w:ind w:firstLine="480" w:firstLineChars="200"/>
        <w:rPr>
          <w:rFonts w:ascii="华文楷体" w:hAnsi="华文楷体" w:eastAsia="华文楷体"/>
          <w:lang w:val="zh-CN"/>
        </w:rPr>
      </w:pPr>
      <w:r>
        <w:rPr>
          <w:rFonts w:hint="eastAsia" w:ascii="华文楷体" w:hAnsi="华文楷体" w:eastAsia="华文楷体"/>
          <w:lang w:val="zh-CN"/>
        </w:rPr>
        <w:t xml:space="preserve">1. </w:t>
      </w:r>
      <w:r>
        <w:rPr>
          <w:rFonts w:hint="eastAsia" w:ascii="华文楷体" w:hAnsi="华文楷体" w:eastAsia="华文楷体"/>
          <w:u w:val="single"/>
          <w:lang w:val="zh-CN"/>
        </w:rPr>
        <w:t xml:space="preserve">（标的名称） </w:t>
      </w:r>
      <w:r>
        <w:rPr>
          <w:rFonts w:hint="eastAsia" w:ascii="华文楷体" w:hAnsi="华文楷体" w:eastAsia="华文楷体"/>
          <w:lang w:val="zh-CN"/>
        </w:rPr>
        <w:t>，属于</w:t>
      </w:r>
      <w:r>
        <w:rPr>
          <w:rFonts w:hint="eastAsia" w:ascii="华文楷体" w:hAnsi="华文楷体" w:eastAsia="华文楷体"/>
          <w:u w:val="single"/>
          <w:lang w:val="zh-CN"/>
        </w:rPr>
        <w:t>（采购文件中明确的所属行业）</w:t>
      </w:r>
      <w:r>
        <w:rPr>
          <w:rFonts w:hint="eastAsia" w:ascii="华文楷体" w:hAnsi="华文楷体" w:eastAsia="华文楷体"/>
          <w:lang w:val="zh-CN"/>
        </w:rPr>
        <w:t>行业；制造商为</w:t>
      </w:r>
      <w:r>
        <w:rPr>
          <w:rFonts w:hint="eastAsia" w:ascii="华文楷体" w:hAnsi="华文楷体" w:eastAsia="华文楷体"/>
          <w:u w:val="single"/>
          <w:lang w:val="zh-CN"/>
        </w:rPr>
        <w:t>（企业名称）</w:t>
      </w:r>
      <w:r>
        <w:rPr>
          <w:rFonts w:hint="eastAsia" w:ascii="华文楷体" w:hAnsi="华文楷体" w:eastAsia="华文楷体"/>
          <w:lang w:val="zh-CN"/>
        </w:rPr>
        <w:t>，从业人员</w:t>
      </w:r>
      <w:r>
        <w:rPr>
          <w:rFonts w:hint="eastAsia" w:ascii="华文楷体" w:hAnsi="华文楷体" w:eastAsia="华文楷体"/>
          <w:u w:val="single"/>
          <w:lang w:val="zh-CN"/>
        </w:rPr>
        <w:t xml:space="preserve">     </w:t>
      </w:r>
      <w:r>
        <w:rPr>
          <w:rFonts w:hint="eastAsia" w:ascii="华文楷体" w:hAnsi="华文楷体" w:eastAsia="华文楷体"/>
          <w:lang w:val="zh-CN"/>
        </w:rPr>
        <w:t>人，营业收入为</w:t>
      </w:r>
      <w:r>
        <w:rPr>
          <w:rFonts w:hint="eastAsia" w:ascii="华文楷体" w:hAnsi="华文楷体" w:eastAsia="华文楷体"/>
          <w:u w:val="single"/>
          <w:lang w:val="zh-CN"/>
        </w:rPr>
        <w:t xml:space="preserve">     </w:t>
      </w:r>
      <w:r>
        <w:rPr>
          <w:rFonts w:hint="eastAsia" w:ascii="华文楷体" w:hAnsi="华文楷体" w:eastAsia="华文楷体"/>
          <w:lang w:val="zh-CN"/>
        </w:rPr>
        <w:t>万元，资产总额为</w:t>
      </w:r>
      <w:r>
        <w:rPr>
          <w:rFonts w:hint="eastAsia" w:ascii="华文楷体" w:hAnsi="华文楷体" w:eastAsia="华文楷体"/>
          <w:u w:val="single"/>
          <w:lang w:val="zh-CN"/>
        </w:rPr>
        <w:t xml:space="preserve">     </w:t>
      </w:r>
      <w:r>
        <w:rPr>
          <w:rFonts w:hint="eastAsia" w:ascii="华文楷体" w:hAnsi="华文楷体" w:eastAsia="华文楷体"/>
          <w:lang w:val="zh-CN"/>
        </w:rPr>
        <w:t>万元 ，属于</w:t>
      </w:r>
      <w:r>
        <w:rPr>
          <w:rFonts w:hint="eastAsia" w:ascii="华文楷体" w:hAnsi="华文楷体" w:eastAsia="华文楷体"/>
          <w:u w:val="single"/>
          <w:lang w:val="zh-CN"/>
        </w:rPr>
        <w:t>（中型企业、小型企业、微型企业）</w:t>
      </w:r>
      <w:r>
        <w:rPr>
          <w:rFonts w:hint="eastAsia" w:ascii="华文楷体" w:hAnsi="华文楷体" w:eastAsia="华文楷体"/>
          <w:lang w:val="zh-CN"/>
        </w:rPr>
        <w:t>；</w:t>
      </w:r>
    </w:p>
    <w:p w14:paraId="7FBEBB85">
      <w:pPr>
        <w:spacing w:line="460" w:lineRule="exact"/>
        <w:ind w:firstLine="480" w:firstLineChars="200"/>
        <w:rPr>
          <w:rFonts w:ascii="华文楷体" w:hAnsi="华文楷体" w:eastAsia="华文楷体"/>
          <w:lang w:val="zh-CN"/>
        </w:rPr>
      </w:pPr>
      <w:r>
        <w:rPr>
          <w:rFonts w:hint="eastAsia" w:ascii="华文楷体" w:hAnsi="华文楷体" w:eastAsia="华文楷体"/>
          <w:lang w:val="zh-CN"/>
        </w:rPr>
        <w:t xml:space="preserve">2. </w:t>
      </w:r>
      <w:r>
        <w:rPr>
          <w:rFonts w:hint="eastAsia" w:ascii="华文楷体" w:hAnsi="华文楷体" w:eastAsia="华文楷体"/>
          <w:u w:val="single"/>
          <w:lang w:val="zh-CN"/>
        </w:rPr>
        <w:t xml:space="preserve">（标的名称） </w:t>
      </w:r>
      <w:r>
        <w:rPr>
          <w:rFonts w:hint="eastAsia" w:ascii="华文楷体" w:hAnsi="华文楷体" w:eastAsia="华文楷体"/>
          <w:lang w:val="zh-CN"/>
        </w:rPr>
        <w:t>，属于</w:t>
      </w:r>
      <w:r>
        <w:rPr>
          <w:rFonts w:hint="eastAsia" w:ascii="华文楷体" w:hAnsi="华文楷体" w:eastAsia="华文楷体"/>
          <w:u w:val="single"/>
          <w:lang w:val="zh-CN"/>
        </w:rPr>
        <w:t>（采购文件中明确的所属行业）</w:t>
      </w:r>
      <w:r>
        <w:rPr>
          <w:rFonts w:hint="eastAsia" w:ascii="华文楷体" w:hAnsi="华文楷体" w:eastAsia="华文楷体"/>
          <w:lang w:val="zh-CN"/>
        </w:rPr>
        <w:t>行业；制造商为</w:t>
      </w:r>
      <w:r>
        <w:rPr>
          <w:rFonts w:hint="eastAsia" w:ascii="华文楷体" w:hAnsi="华文楷体" w:eastAsia="华文楷体"/>
          <w:u w:val="single"/>
          <w:lang w:val="zh-CN"/>
        </w:rPr>
        <w:t>（企业名称）</w:t>
      </w:r>
      <w:r>
        <w:rPr>
          <w:rFonts w:hint="eastAsia" w:ascii="华文楷体" w:hAnsi="华文楷体" w:eastAsia="华文楷体"/>
          <w:lang w:val="zh-CN"/>
        </w:rPr>
        <w:t>，从业人员</w:t>
      </w:r>
      <w:r>
        <w:rPr>
          <w:rFonts w:hint="eastAsia" w:ascii="华文楷体" w:hAnsi="华文楷体" w:eastAsia="华文楷体"/>
          <w:u w:val="single"/>
          <w:lang w:val="zh-CN"/>
        </w:rPr>
        <w:t xml:space="preserve">    </w:t>
      </w:r>
      <w:r>
        <w:rPr>
          <w:rFonts w:hint="eastAsia" w:ascii="华文楷体" w:hAnsi="华文楷体" w:eastAsia="华文楷体"/>
          <w:lang w:val="zh-CN"/>
        </w:rPr>
        <w:t>人，营业收入为</w:t>
      </w:r>
      <w:r>
        <w:rPr>
          <w:rFonts w:hint="eastAsia" w:ascii="华文楷体" w:hAnsi="华文楷体" w:eastAsia="华文楷体"/>
          <w:u w:val="single"/>
          <w:lang w:val="zh-CN"/>
        </w:rPr>
        <w:t xml:space="preserve">    </w:t>
      </w:r>
      <w:r>
        <w:rPr>
          <w:rFonts w:hint="eastAsia" w:ascii="华文楷体" w:hAnsi="华文楷体" w:eastAsia="华文楷体"/>
          <w:lang w:val="zh-CN"/>
        </w:rPr>
        <w:t>万元，资产总额为</w:t>
      </w:r>
      <w:r>
        <w:rPr>
          <w:rFonts w:hint="eastAsia" w:ascii="华文楷体" w:hAnsi="华文楷体" w:eastAsia="华文楷体"/>
          <w:u w:val="single"/>
          <w:lang w:val="zh-CN"/>
        </w:rPr>
        <w:t xml:space="preserve">    </w:t>
      </w:r>
      <w:r>
        <w:rPr>
          <w:rFonts w:hint="eastAsia" w:ascii="华文楷体" w:hAnsi="华文楷体" w:eastAsia="华文楷体"/>
          <w:lang w:val="zh-CN"/>
        </w:rPr>
        <w:t>万元，属于</w:t>
      </w:r>
      <w:r>
        <w:rPr>
          <w:rFonts w:hint="eastAsia" w:ascii="华文楷体" w:hAnsi="华文楷体" w:eastAsia="华文楷体"/>
          <w:u w:val="single"/>
          <w:lang w:val="zh-CN"/>
        </w:rPr>
        <w:t>（中型企业、小型 企业、微型企业）</w:t>
      </w:r>
      <w:r>
        <w:rPr>
          <w:rFonts w:hint="eastAsia" w:ascii="华文楷体" w:hAnsi="华文楷体" w:eastAsia="华文楷体"/>
          <w:lang w:val="zh-CN"/>
        </w:rPr>
        <w:t>；</w:t>
      </w:r>
    </w:p>
    <w:p w14:paraId="7607A568">
      <w:pPr>
        <w:spacing w:line="460" w:lineRule="exact"/>
        <w:ind w:firstLine="480" w:firstLineChars="200"/>
        <w:rPr>
          <w:rFonts w:ascii="华文楷体" w:hAnsi="华文楷体" w:eastAsia="华文楷体"/>
          <w:lang w:val="zh-CN"/>
        </w:rPr>
      </w:pPr>
      <w:r>
        <w:rPr>
          <w:rFonts w:hint="eastAsia" w:ascii="华文楷体" w:hAnsi="华文楷体" w:eastAsia="华文楷体"/>
          <w:lang w:val="zh-CN"/>
        </w:rPr>
        <w:t>以上企业，不属于大企业的分支机构，不存在控股股东为大企业的情形，也不存在与大企业的负责人为同一人的情形。</w:t>
      </w:r>
    </w:p>
    <w:p w14:paraId="1BA7CD94">
      <w:pPr>
        <w:spacing w:line="460" w:lineRule="exact"/>
        <w:ind w:firstLine="480" w:firstLineChars="200"/>
        <w:rPr>
          <w:rFonts w:ascii="华文楷体" w:hAnsi="华文楷体" w:eastAsia="华文楷体"/>
          <w:lang w:val="zh-CN"/>
        </w:rPr>
      </w:pPr>
      <w:r>
        <w:rPr>
          <w:rFonts w:hint="eastAsia" w:ascii="华文楷体" w:hAnsi="华文楷体" w:eastAsia="华文楷体"/>
          <w:lang w:val="zh-CN"/>
        </w:rPr>
        <w:t>本企业对上述声明内容的真实性负责。如有虚假，将依法承担相应责任。</w:t>
      </w:r>
    </w:p>
    <w:p w14:paraId="3338A697">
      <w:pPr>
        <w:spacing w:line="460" w:lineRule="exact"/>
        <w:ind w:firstLine="480" w:firstLineChars="200"/>
        <w:rPr>
          <w:rFonts w:ascii="华文楷体" w:hAnsi="华文楷体" w:eastAsia="华文楷体"/>
        </w:rPr>
      </w:pPr>
      <w:r>
        <w:rPr>
          <w:rFonts w:hint="eastAsia" w:ascii="华文楷体" w:hAnsi="华文楷体" w:eastAsia="华文楷体"/>
        </w:rPr>
        <w:t>......</w:t>
      </w:r>
    </w:p>
    <w:p w14:paraId="03A73274">
      <w:pPr>
        <w:spacing w:line="360" w:lineRule="exact"/>
        <w:ind w:left="480" w:leftChars="200"/>
        <w:rPr>
          <w:rFonts w:ascii="华文楷体" w:hAnsi="华文楷体" w:eastAsia="华文楷体"/>
          <w:lang w:val="zh-CN"/>
        </w:rPr>
      </w:pPr>
      <w:r>
        <w:rPr>
          <w:rFonts w:ascii="华文楷体" w:hAnsi="华文楷体" w:eastAsia="华文楷体"/>
          <w:lang w:val="zh-CN"/>
        </w:rPr>
        <w:t>1.本项目采购标的物所属行业为： 工业。</w:t>
      </w:r>
      <w:r>
        <w:rPr>
          <w:rFonts w:hint="eastAsia" w:ascii="华文楷体" w:hAnsi="华文楷体" w:eastAsia="华文楷体"/>
          <w:lang w:val="zh-CN"/>
        </w:rPr>
        <w:br w:type="textWrapping"/>
      </w:r>
      <w:r>
        <w:rPr>
          <w:rFonts w:ascii="华文楷体" w:hAnsi="华文楷体" w:eastAsia="华文楷体"/>
          <w:lang w:val="zh-CN"/>
        </w:rPr>
        <w:t>2.供应商应按照本项目采购标的物所属行业根据《中小企业划型标准规定》规定的划型标准来判定企业规模。</w:t>
      </w:r>
      <w:r>
        <w:rPr>
          <w:rFonts w:hint="eastAsia" w:ascii="华文楷体" w:hAnsi="华文楷体" w:eastAsia="华文楷体"/>
          <w:lang w:val="zh-CN"/>
        </w:rPr>
        <w:br w:type="textWrapping"/>
      </w:r>
      <w:r>
        <w:rPr>
          <w:rFonts w:ascii="华文楷体" w:hAnsi="华文楷体" w:eastAsia="华文楷体"/>
          <w:lang w:val="zh-CN"/>
        </w:rPr>
        <w:t>3.附：工业中小企业划型标准：从业人员1000人以下或营业收入40000万元以下的为中小微型企业。其中，从业人员 300 人及以上，且营业收入2000万元及以上的为中型企业；从业人员 20人及以上，且营业收入300万元及以上的为小型企业；从业人员 20 人以下或营业收入 300万元以下的为微型企业。</w:t>
      </w:r>
    </w:p>
    <w:p w14:paraId="6D1581B3">
      <w:pPr>
        <w:spacing w:line="360" w:lineRule="exact"/>
        <w:ind w:left="360" w:leftChars="150" w:firstLine="120" w:firstLineChars="50"/>
        <w:rPr>
          <w:rFonts w:ascii="华文楷体" w:hAnsi="华文楷体" w:eastAsia="华文楷体"/>
          <w:lang w:val="zh-CN"/>
        </w:rPr>
      </w:pPr>
      <w:r>
        <w:rPr>
          <w:rFonts w:ascii="华文楷体" w:hAnsi="华文楷体" w:eastAsia="华文楷体"/>
          <w:lang w:val="zh-CN"/>
        </w:rPr>
        <w:t>4.温馨提示：供应商可根据上文载明的“中小企业划型标准”确定企业类型。</w:t>
      </w:r>
      <w:r>
        <w:rPr>
          <w:rFonts w:hint="eastAsia" w:ascii="华文楷体" w:hAnsi="华文楷体" w:eastAsia="华文楷体"/>
          <w:lang w:val="zh-CN"/>
        </w:rPr>
        <w:br w:type="textWrapping"/>
      </w:r>
      <w:r>
        <w:rPr>
          <w:rFonts w:ascii="华文楷体" w:hAnsi="华文楷体" w:eastAsia="华文楷体"/>
          <w:lang w:val="zh-CN"/>
        </w:rPr>
        <w:t>5.特别说明：（1）对于多标的的采购项目，供应商应充分、准确地了解所投产品制造企业信息，按照实际投标产品分别填写每一个产品的所属行业、制造商、从业人员、营业收入、资产总额、企业类型信息。即便所有产品为一个制造商，仍须分品目逐个填写。所有投标产品制造商均为小、微企业方可享受中小企业扶持政策。</w:t>
      </w:r>
    </w:p>
    <w:p w14:paraId="79F4F620">
      <w:pPr>
        <w:spacing w:line="360" w:lineRule="auto"/>
        <w:rPr>
          <w:rFonts w:ascii="华文楷体" w:hAnsi="华文楷体" w:eastAsia="华文楷体"/>
        </w:rPr>
      </w:pPr>
    </w:p>
    <w:p w14:paraId="2526DCF6">
      <w:pPr>
        <w:spacing w:line="360" w:lineRule="auto"/>
        <w:ind w:right="480"/>
        <w:jc w:val="center"/>
        <w:rPr>
          <w:rFonts w:ascii="华文楷体" w:hAnsi="华文楷体" w:eastAsia="华文楷体"/>
          <w:b/>
          <w:bCs/>
        </w:rPr>
      </w:pPr>
      <w:r>
        <w:rPr>
          <w:rFonts w:hint="eastAsia" w:ascii="华文楷体" w:hAnsi="华文楷体" w:eastAsia="华文楷体"/>
          <w:b/>
          <w:bCs/>
        </w:rPr>
        <w:t>企业名称：</w:t>
      </w:r>
      <w:r>
        <w:rPr>
          <w:rFonts w:hint="eastAsia" w:ascii="华文楷体" w:hAnsi="华文楷体" w:eastAsia="华文楷体"/>
          <w:b/>
          <w:bCs/>
          <w:u w:val="single"/>
        </w:rPr>
        <w:t xml:space="preserve">           </w:t>
      </w:r>
      <w:r>
        <w:rPr>
          <w:rFonts w:hint="eastAsia" w:ascii="华文楷体" w:hAnsi="华文楷体" w:eastAsia="华文楷体"/>
          <w:b/>
          <w:bCs/>
        </w:rPr>
        <w:t>（公章）</w:t>
      </w:r>
    </w:p>
    <w:p w14:paraId="0C21B650">
      <w:pPr>
        <w:spacing w:line="360" w:lineRule="auto"/>
        <w:ind w:firstLine="3188" w:firstLineChars="1323"/>
        <w:rPr>
          <w:rFonts w:ascii="华文楷体" w:hAnsi="华文楷体" w:eastAsia="华文楷体"/>
          <w:b/>
          <w:bCs/>
          <w:lang w:val="zh-CN"/>
        </w:rPr>
      </w:pPr>
      <w:r>
        <w:rPr>
          <w:rFonts w:hint="eastAsia" w:ascii="华文楷体" w:hAnsi="华文楷体" w:eastAsia="华文楷体"/>
          <w:b/>
          <w:bCs/>
          <w:lang w:val="zh-CN"/>
        </w:rPr>
        <w:t>日 期：</w:t>
      </w:r>
    </w:p>
    <w:p w14:paraId="344FF8F5">
      <w:pPr>
        <w:pStyle w:val="25"/>
        <w:spacing w:before="0" w:after="0" w:line="360" w:lineRule="auto"/>
        <w:jc w:val="left"/>
        <w:outlineLvl w:val="1"/>
        <w:rPr>
          <w:rFonts w:ascii="华文楷体" w:hAnsi="华文楷体" w:eastAsia="华文楷体" w:cs="宋体"/>
          <w:b/>
        </w:rPr>
      </w:pPr>
      <w:r>
        <w:rPr>
          <w:rFonts w:hint="eastAsia" w:ascii="华文楷体" w:hAnsi="华文楷体" w:eastAsia="华文楷体" w:cs="宋体"/>
          <w:kern w:val="0"/>
          <w:sz w:val="24"/>
          <w:szCs w:val="24"/>
          <w:lang w:val="zh-CN"/>
        </w:rPr>
        <w:br w:type="page"/>
      </w:r>
      <w:bookmarkStart w:id="256" w:name="_Toc184345948"/>
      <w:r>
        <w:rPr>
          <w:rFonts w:hint="eastAsia" w:ascii="华文楷体" w:hAnsi="华文楷体" w:eastAsia="华文楷体" w:cs="宋体"/>
          <w:sz w:val="30"/>
          <w:szCs w:val="30"/>
          <w:lang w:val="zh-CN"/>
        </w:rPr>
        <w:t>（21）残疾人福利性单位声明函</w:t>
      </w:r>
      <w:bookmarkEnd w:id="256"/>
    </w:p>
    <w:p w14:paraId="00A0EE31">
      <w:pPr>
        <w:jc w:val="center"/>
        <w:rPr>
          <w:rFonts w:ascii="华文楷体" w:hAnsi="华文楷体" w:eastAsia="华文楷体" w:cs="宋体"/>
          <w:b/>
          <w:bCs/>
        </w:rPr>
      </w:pPr>
      <w:r>
        <w:rPr>
          <w:rFonts w:hint="eastAsia" w:ascii="华文楷体" w:hAnsi="华文楷体" w:eastAsia="华文楷体"/>
          <w:b/>
          <w:sz w:val="30"/>
          <w:szCs w:val="30"/>
          <w:lang w:val="zh-CN"/>
        </w:rPr>
        <w:t>残疾人福利性单位声明函</w:t>
      </w:r>
    </w:p>
    <w:p w14:paraId="17622696">
      <w:pPr>
        <w:spacing w:line="360" w:lineRule="auto"/>
        <w:ind w:firstLine="480"/>
        <w:rPr>
          <w:rFonts w:ascii="华文楷体" w:hAnsi="华文楷体" w:eastAsia="华文楷体" w:cs="宋体"/>
        </w:rPr>
      </w:pPr>
      <w:r>
        <w:rPr>
          <w:rFonts w:hint="eastAsia" w:ascii="华文楷体" w:hAnsi="华文楷体" w:eastAsia="华文楷体" w:cs="宋体"/>
        </w:rPr>
        <w:t>本单位郑重声明，根据《财政部、民政部、中国残疾人联合会关于促进残疾人就业政府采购政策的通知》（财库〔2017〕141号）的规定，本单位为符合条件的残疾人福利性单位，本单位在职职工人数为</w:t>
      </w:r>
      <w:r>
        <w:rPr>
          <w:rFonts w:hint="eastAsia" w:ascii="华文楷体" w:hAnsi="华文楷体" w:eastAsia="华文楷体" w:cs="宋体"/>
          <w:u w:val="single"/>
        </w:rPr>
        <w:t xml:space="preserve">      </w:t>
      </w:r>
      <w:r>
        <w:rPr>
          <w:rFonts w:hint="eastAsia" w:ascii="华文楷体" w:hAnsi="华文楷体" w:eastAsia="华文楷体" w:cs="宋体"/>
        </w:rPr>
        <w:t>人，安置的残疾人人数</w:t>
      </w:r>
      <w:r>
        <w:rPr>
          <w:rFonts w:hint="eastAsia" w:ascii="华文楷体" w:hAnsi="华文楷体" w:eastAsia="华文楷体" w:cs="宋体"/>
          <w:u w:val="single"/>
        </w:rPr>
        <w:t xml:space="preserve">      </w:t>
      </w:r>
      <w:r>
        <w:rPr>
          <w:rFonts w:hint="eastAsia" w:ascii="华文楷体" w:hAnsi="华文楷体" w:eastAsia="华文楷体" w:cs="宋体"/>
        </w:rPr>
        <w:t>人。且本单位参加______单位的______项目采购活动提供本单位制造的货物（由本单位承担工程/提供服务），或者提供其他残疾人福利性单位制造的货物（不包括使用非残疾人福利性单位注册商标的货物）。</w:t>
      </w:r>
    </w:p>
    <w:p w14:paraId="5ADEA394">
      <w:pPr>
        <w:spacing w:line="360" w:lineRule="auto"/>
        <w:ind w:firstLine="480"/>
        <w:rPr>
          <w:rFonts w:ascii="华文楷体" w:hAnsi="华文楷体" w:eastAsia="华文楷体" w:cs="宋体"/>
        </w:rPr>
      </w:pPr>
      <w:r>
        <w:rPr>
          <w:rFonts w:hint="eastAsia" w:ascii="华文楷体" w:hAnsi="华文楷体" w:eastAsia="华文楷体" w:cs="宋体"/>
        </w:rPr>
        <w:t>本单位对上述声明的真实性负责。如有虚假，将依法承担相应责任。</w:t>
      </w:r>
    </w:p>
    <w:p w14:paraId="43759618">
      <w:pPr>
        <w:spacing w:line="360" w:lineRule="auto"/>
        <w:ind w:firstLine="480"/>
        <w:rPr>
          <w:rFonts w:ascii="华文楷体" w:hAnsi="华文楷体" w:eastAsia="华文楷体" w:cs="宋体"/>
        </w:rPr>
      </w:pPr>
    </w:p>
    <w:p w14:paraId="28EA6D30">
      <w:pPr>
        <w:spacing w:line="360" w:lineRule="auto"/>
        <w:ind w:firstLine="480"/>
        <w:rPr>
          <w:rFonts w:ascii="华文楷体" w:hAnsi="华文楷体" w:eastAsia="华文楷体" w:cs="宋体"/>
        </w:rPr>
      </w:pPr>
    </w:p>
    <w:p w14:paraId="0C2940AB">
      <w:pPr>
        <w:spacing w:line="360" w:lineRule="auto"/>
        <w:jc w:val="center"/>
        <w:rPr>
          <w:rFonts w:ascii="华文楷体" w:hAnsi="华文楷体" w:eastAsia="华文楷体" w:cs="宋体"/>
          <w:b/>
        </w:rPr>
      </w:pPr>
      <w:r>
        <w:rPr>
          <w:rFonts w:hint="eastAsia" w:ascii="华文楷体" w:hAnsi="华文楷体" w:eastAsia="华文楷体" w:cs="宋体"/>
          <w:b/>
        </w:rPr>
        <w:t xml:space="preserve">    单位名称：</w:t>
      </w:r>
      <w:r>
        <w:rPr>
          <w:rFonts w:hint="eastAsia" w:ascii="华文楷体" w:hAnsi="华文楷体" w:eastAsia="华文楷体" w:cs="宋体"/>
          <w:b/>
          <w:u w:val="single"/>
        </w:rPr>
        <w:t xml:space="preserve">            </w:t>
      </w:r>
      <w:r>
        <w:rPr>
          <w:rFonts w:hint="eastAsia" w:ascii="华文楷体" w:hAnsi="华文楷体" w:eastAsia="华文楷体" w:cs="宋体"/>
          <w:b/>
        </w:rPr>
        <w:t>（公章）</w:t>
      </w:r>
    </w:p>
    <w:p w14:paraId="7D204FBD">
      <w:pPr>
        <w:ind w:firstLine="3855" w:firstLineChars="1600"/>
        <w:rPr>
          <w:rFonts w:ascii="华文楷体" w:hAnsi="华文楷体" w:eastAsia="华文楷体" w:cs="宋体"/>
          <w:b/>
        </w:rPr>
      </w:pPr>
      <w:r>
        <w:rPr>
          <w:rFonts w:hint="eastAsia" w:ascii="华文楷体" w:hAnsi="华文楷体" w:eastAsia="华文楷体" w:cs="宋体"/>
          <w:b/>
        </w:rPr>
        <w:t>年   月   日</w:t>
      </w:r>
    </w:p>
    <w:p w14:paraId="0043F5D0">
      <w:pPr>
        <w:spacing w:line="360" w:lineRule="auto"/>
        <w:rPr>
          <w:rFonts w:ascii="华文楷体" w:hAnsi="华文楷体" w:eastAsia="华文楷体" w:cs="宋体"/>
          <w:b/>
          <w:bCs/>
        </w:rPr>
      </w:pPr>
      <w:r>
        <w:rPr>
          <w:rFonts w:hint="eastAsia" w:ascii="华文楷体" w:hAnsi="华文楷体" w:eastAsia="华文楷体" w:cs="宋体"/>
          <w:b/>
          <w:bCs/>
        </w:rPr>
        <w:t xml:space="preserve"> </w:t>
      </w:r>
    </w:p>
    <w:p w14:paraId="640C9170">
      <w:pPr>
        <w:spacing w:line="360" w:lineRule="auto"/>
        <w:rPr>
          <w:rFonts w:ascii="华文楷体" w:hAnsi="华文楷体" w:eastAsia="华文楷体" w:cs="宋体"/>
        </w:rPr>
      </w:pPr>
      <w:r>
        <w:rPr>
          <w:rFonts w:hint="eastAsia" w:ascii="华文楷体" w:hAnsi="华文楷体" w:eastAsia="华文楷体" w:cs="宋体"/>
          <w:b/>
          <w:bCs/>
        </w:rPr>
        <w:t>注：投标人为非残疾人福利性单位的，可不提供此函。</w:t>
      </w:r>
    </w:p>
    <w:p w14:paraId="617A87A9">
      <w:pPr>
        <w:pStyle w:val="25"/>
        <w:jc w:val="left"/>
        <w:rPr>
          <w:rFonts w:ascii="华文楷体" w:hAnsi="华文楷体" w:eastAsia="华文楷体" w:cs="宋体"/>
          <w:bCs w:val="0"/>
          <w:sz w:val="28"/>
          <w:szCs w:val="28"/>
          <w:lang w:val="zh-CN"/>
        </w:rPr>
      </w:pPr>
      <w:r>
        <w:rPr>
          <w:rFonts w:hint="eastAsia" w:ascii="华文楷体" w:hAnsi="华文楷体" w:eastAsia="华文楷体" w:cs="宋体"/>
          <w:lang w:val="zh-CN"/>
        </w:rPr>
        <w:br w:type="page"/>
      </w:r>
      <w:bookmarkStart w:id="257" w:name="_Toc184345949"/>
      <w:r>
        <w:rPr>
          <w:rFonts w:hint="eastAsia" w:ascii="华文楷体" w:hAnsi="华文楷体" w:eastAsia="华文楷体" w:cs="宋体"/>
          <w:sz w:val="30"/>
          <w:szCs w:val="30"/>
          <w:lang w:val="zh-CN"/>
        </w:rPr>
        <w:t>（</w:t>
      </w:r>
      <w:r>
        <w:rPr>
          <w:rFonts w:hint="eastAsia" w:ascii="华文楷体" w:hAnsi="华文楷体" w:eastAsia="华文楷体" w:cs="宋体"/>
          <w:sz w:val="30"/>
          <w:szCs w:val="30"/>
        </w:rPr>
        <w:t>22</w:t>
      </w:r>
      <w:r>
        <w:rPr>
          <w:rFonts w:hint="eastAsia" w:ascii="华文楷体" w:hAnsi="华文楷体" w:eastAsia="华文楷体" w:cs="宋体"/>
          <w:sz w:val="30"/>
          <w:szCs w:val="30"/>
          <w:lang w:val="zh-CN"/>
        </w:rPr>
        <w:t>）监狱企业证明资料</w:t>
      </w:r>
      <w:bookmarkEnd w:id="257"/>
    </w:p>
    <w:p w14:paraId="590D5419">
      <w:pPr>
        <w:spacing w:line="360" w:lineRule="auto"/>
        <w:jc w:val="center"/>
        <w:rPr>
          <w:rFonts w:ascii="华文楷体" w:hAnsi="华文楷体" w:eastAsia="华文楷体" w:cs="宋体"/>
          <w:b/>
          <w:bCs/>
        </w:rPr>
      </w:pPr>
    </w:p>
    <w:p w14:paraId="19094B54">
      <w:pPr>
        <w:spacing w:line="360" w:lineRule="auto"/>
        <w:jc w:val="center"/>
        <w:rPr>
          <w:rFonts w:ascii="华文楷体" w:hAnsi="华文楷体" w:eastAsia="华文楷体" w:cs="宋体"/>
          <w:b/>
          <w:bCs/>
        </w:rPr>
      </w:pPr>
      <w:r>
        <w:rPr>
          <w:rFonts w:hint="eastAsia" w:ascii="华文楷体" w:hAnsi="华文楷体" w:eastAsia="华文楷体" w:cs="宋体"/>
          <w:b/>
          <w:bCs/>
        </w:rPr>
        <w:t>监狱企业证明资料</w:t>
      </w:r>
    </w:p>
    <w:p w14:paraId="771B678A">
      <w:pPr>
        <w:spacing w:line="360" w:lineRule="auto"/>
        <w:ind w:firstLine="480"/>
        <w:rPr>
          <w:rFonts w:ascii="华文楷体" w:hAnsi="华文楷体" w:eastAsia="华文楷体" w:cs="宋体"/>
        </w:rPr>
      </w:pPr>
    </w:p>
    <w:p w14:paraId="236AFF8E">
      <w:pPr>
        <w:spacing w:line="360" w:lineRule="auto"/>
        <w:ind w:firstLine="480"/>
        <w:rPr>
          <w:rFonts w:ascii="华文楷体" w:hAnsi="华文楷体" w:eastAsia="华文楷体" w:cs="宋体"/>
        </w:rPr>
      </w:pPr>
      <w:r>
        <w:rPr>
          <w:rFonts w:hint="eastAsia" w:ascii="华文楷体" w:hAnsi="华文楷体" w:eastAsia="华文楷体" w:cs="宋体"/>
        </w:rPr>
        <w:t>备注：按《财政部 司法部关于政府采购支持监狱企业发展有关问题的通知》（财库〔2014〕68号）文件规定提供证明文件（复印件）。</w:t>
      </w:r>
    </w:p>
    <w:p w14:paraId="07085687">
      <w:pPr>
        <w:spacing w:line="360" w:lineRule="auto"/>
        <w:ind w:firstLine="480"/>
        <w:rPr>
          <w:rFonts w:ascii="华文楷体" w:hAnsi="华文楷体" w:eastAsia="华文楷体" w:cs="宋体"/>
        </w:rPr>
      </w:pPr>
      <w:r>
        <w:rPr>
          <w:rFonts w:hint="eastAsia" w:ascii="华文楷体" w:hAnsi="华文楷体" w:eastAsia="华文楷体" w:cs="宋体"/>
        </w:rPr>
        <w:t>说明：①监狱企业参加政府采购活动时，应当提供由省级以上监狱管理局、戒毒管理局(含新疆生产建设兵团)出具的属于监狱企业的证明文件。</w:t>
      </w:r>
    </w:p>
    <w:p w14:paraId="0157E9E3">
      <w:pPr>
        <w:spacing w:line="360" w:lineRule="auto"/>
        <w:ind w:firstLine="480"/>
        <w:rPr>
          <w:rFonts w:ascii="华文楷体" w:hAnsi="华文楷体" w:eastAsia="华文楷体" w:cs="宋体"/>
        </w:rPr>
      </w:pPr>
      <w:r>
        <w:rPr>
          <w:rFonts w:hint="eastAsia" w:ascii="华文楷体" w:hAnsi="华文楷体" w:eastAsia="华文楷体" w:cs="宋体"/>
        </w:rPr>
        <w:t>②如未提供监狱企业相关证明材料的，则其评审中的监狱企业不能享受招标文件规定的价格扣除，但不影响供应投标文件的有效性。</w:t>
      </w:r>
    </w:p>
    <w:p w14:paraId="5E794AAB">
      <w:pPr>
        <w:spacing w:line="360" w:lineRule="auto"/>
        <w:ind w:firstLine="480"/>
        <w:rPr>
          <w:rFonts w:ascii="华文楷体" w:hAnsi="华文楷体" w:eastAsia="华文楷体" w:cs="宋体"/>
        </w:rPr>
      </w:pPr>
      <w:r>
        <w:rPr>
          <w:rFonts w:hint="eastAsia" w:ascii="华文楷体" w:hAnsi="华文楷体" w:eastAsia="华文楷体" w:cs="宋体"/>
        </w:rPr>
        <w:t>③非监狱企业无需提供证明材料。</w:t>
      </w:r>
    </w:p>
    <w:p w14:paraId="7DB59DCC">
      <w:pPr>
        <w:spacing w:line="360" w:lineRule="auto"/>
        <w:ind w:firstLine="480"/>
        <w:rPr>
          <w:rFonts w:ascii="华文楷体" w:hAnsi="华文楷体" w:eastAsia="华文楷体" w:cs="宋体"/>
        </w:rPr>
      </w:pPr>
      <w:r>
        <w:rPr>
          <w:rFonts w:hint="eastAsia" w:ascii="华文楷体" w:hAnsi="华文楷体" w:eastAsia="华文楷体" w:cs="宋体"/>
          <w:b/>
          <w:bCs/>
        </w:rPr>
        <w:t>注：投标人参加本次采购活动时，提供虚假监狱企业证明资料的，以提供虚假材料谋取成交处理；若无此项内容可不提供。</w:t>
      </w:r>
    </w:p>
    <w:p w14:paraId="739579AC">
      <w:pPr>
        <w:spacing w:line="360" w:lineRule="auto"/>
        <w:ind w:firstLine="480"/>
        <w:rPr>
          <w:rFonts w:ascii="华文楷体" w:hAnsi="华文楷体" w:eastAsia="华文楷体" w:cs="宋体"/>
          <w:sz w:val="28"/>
          <w:szCs w:val="28"/>
        </w:rPr>
      </w:pPr>
    </w:p>
    <w:p w14:paraId="66A74013">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rPr>
        <w:t xml:space="preserve">        单位名称</w:t>
      </w:r>
      <w:r>
        <w:rPr>
          <w:rFonts w:hint="eastAsia" w:ascii="华文楷体" w:hAnsi="华文楷体" w:eastAsia="华文楷体" w:cs="宋体"/>
          <w:b/>
          <w:bCs/>
          <w:kern w:val="0"/>
          <w:lang w:val="zh-CN"/>
        </w:rPr>
        <w:t>：</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（公章）</w:t>
      </w:r>
    </w:p>
    <w:p w14:paraId="3ECC3C15">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w:t>
      </w:r>
      <w:r>
        <w:rPr>
          <w:rFonts w:hint="eastAsia" w:ascii="华文楷体" w:hAnsi="华文楷体" w:eastAsia="华文楷体" w:cs="宋体"/>
          <w:b/>
          <w:bCs/>
          <w:kern w:val="0"/>
          <w:u w:val="single"/>
          <w:lang w:val="zh-CN"/>
        </w:rPr>
        <w:t xml:space="preserve">          </w:t>
      </w:r>
      <w:r>
        <w:rPr>
          <w:rFonts w:hint="eastAsia" w:ascii="华文楷体" w:hAnsi="华文楷体" w:eastAsia="华文楷体" w:cs="宋体"/>
          <w:b/>
          <w:bCs/>
          <w:kern w:val="0"/>
          <w:lang w:val="zh-CN"/>
        </w:rPr>
        <w:t>（签字或盖章）</w:t>
      </w:r>
    </w:p>
    <w:p w14:paraId="24ACCA0A">
      <w:pPr>
        <w:autoSpaceDE w:val="0"/>
        <w:autoSpaceDN w:val="0"/>
        <w:spacing w:line="360" w:lineRule="auto"/>
        <w:jc w:val="center"/>
        <w:rPr>
          <w:rFonts w:ascii="华文楷体" w:hAnsi="华文楷体" w:eastAsia="华文楷体" w:cs="宋体"/>
          <w:b/>
          <w:bCs/>
          <w:kern w:val="0"/>
          <w:lang w:val="zh-CN"/>
        </w:rPr>
      </w:pPr>
      <w:r>
        <w:rPr>
          <w:rFonts w:hint="eastAsia" w:ascii="华文楷体" w:hAnsi="华文楷体" w:eastAsia="华文楷体" w:cs="宋体"/>
          <w:kern w:val="0"/>
          <w:lang w:val="zh-CN"/>
        </w:rPr>
        <w:t>____</w:t>
      </w:r>
      <w:r>
        <w:rPr>
          <w:rFonts w:hint="eastAsia" w:ascii="华文楷体" w:hAnsi="华文楷体" w:eastAsia="华文楷体" w:cs="宋体"/>
          <w:b/>
          <w:bCs/>
          <w:kern w:val="0"/>
          <w:lang w:val="zh-CN"/>
        </w:rPr>
        <w:t>年</w:t>
      </w:r>
      <w:r>
        <w:rPr>
          <w:rFonts w:hint="eastAsia" w:ascii="华文楷体" w:hAnsi="华文楷体" w:eastAsia="华文楷体" w:cs="宋体"/>
          <w:kern w:val="0"/>
          <w:lang w:val="zh-CN"/>
        </w:rPr>
        <w:t>____</w:t>
      </w:r>
      <w:r>
        <w:rPr>
          <w:rFonts w:hint="eastAsia" w:ascii="华文楷体" w:hAnsi="华文楷体" w:eastAsia="华文楷体" w:cs="宋体"/>
          <w:b/>
          <w:bCs/>
          <w:kern w:val="0"/>
          <w:lang w:val="zh-CN"/>
        </w:rPr>
        <w:t>月</w:t>
      </w:r>
      <w:r>
        <w:rPr>
          <w:rFonts w:hint="eastAsia" w:ascii="华文楷体" w:hAnsi="华文楷体" w:eastAsia="华文楷体" w:cs="宋体"/>
          <w:kern w:val="0"/>
          <w:lang w:val="zh-CN"/>
        </w:rPr>
        <w:t>____</w:t>
      </w:r>
      <w:r>
        <w:rPr>
          <w:rFonts w:hint="eastAsia" w:ascii="华文楷体" w:hAnsi="华文楷体" w:eastAsia="华文楷体" w:cs="宋体"/>
          <w:b/>
          <w:bCs/>
          <w:kern w:val="0"/>
          <w:lang w:val="zh-CN"/>
        </w:rPr>
        <w:t>日</w:t>
      </w:r>
    </w:p>
    <w:p w14:paraId="1F06633E">
      <w:pPr>
        <w:rPr>
          <w:rFonts w:ascii="华文楷体" w:hAnsi="华文楷体" w:eastAsia="华文楷体" w:cs="宋体"/>
          <w:b/>
          <w:sz w:val="36"/>
          <w:szCs w:val="36"/>
          <w:lang w:val="zh-CN"/>
        </w:rPr>
      </w:pPr>
      <w:r>
        <w:rPr>
          <w:rFonts w:hint="eastAsia" w:ascii="华文楷体" w:hAnsi="华文楷体" w:eastAsia="华文楷体" w:cs="宋体"/>
          <w:b/>
          <w:sz w:val="36"/>
          <w:szCs w:val="36"/>
          <w:lang w:val="zh-CN"/>
        </w:rPr>
        <w:br w:type="page"/>
      </w:r>
    </w:p>
    <w:p w14:paraId="77DBDB88">
      <w:pPr>
        <w:pStyle w:val="4"/>
        <w:ind w:left="480"/>
      </w:pPr>
    </w:p>
    <w:p w14:paraId="415F0BF8">
      <w:pPr>
        <w:pStyle w:val="25"/>
        <w:spacing w:before="0" w:after="0" w:line="360" w:lineRule="auto"/>
        <w:jc w:val="left"/>
        <w:outlineLvl w:val="1"/>
        <w:rPr>
          <w:rFonts w:ascii="华文楷体" w:hAnsi="华文楷体" w:eastAsia="华文楷体" w:cs="宋体"/>
        </w:rPr>
      </w:pPr>
      <w:bookmarkStart w:id="258" w:name="_Toc1538"/>
      <w:bookmarkStart w:id="259" w:name="_Toc184345950"/>
      <w:r>
        <w:rPr>
          <w:rFonts w:hint="eastAsia" w:ascii="华文楷体" w:hAnsi="华文楷体" w:eastAsia="华文楷体" w:cs="宋体"/>
          <w:sz w:val="30"/>
          <w:szCs w:val="30"/>
        </w:rPr>
        <w:t>（23）</w:t>
      </w:r>
      <w:r>
        <w:rPr>
          <w:rFonts w:hint="eastAsia" w:ascii="华文楷体" w:hAnsi="华文楷体" w:eastAsia="华文楷体" w:cs="宋体"/>
          <w:sz w:val="30"/>
          <w:szCs w:val="30"/>
          <w:lang w:val="zh-CN"/>
        </w:rPr>
        <w:t>投标人的类似业绩证明材料</w:t>
      </w:r>
      <w:bookmarkEnd w:id="249"/>
      <w:bookmarkEnd w:id="254"/>
      <w:bookmarkEnd w:id="258"/>
      <w:bookmarkEnd w:id="259"/>
    </w:p>
    <w:p w14:paraId="253F06FB">
      <w:pPr>
        <w:autoSpaceDE w:val="0"/>
        <w:autoSpaceDN w:val="0"/>
        <w:spacing w:line="360" w:lineRule="auto"/>
        <w:rPr>
          <w:rFonts w:ascii="华文楷体" w:hAnsi="华文楷体" w:eastAsia="华文楷体" w:cs="宋体"/>
          <w:kern w:val="0"/>
          <w:sz w:val="28"/>
          <w:szCs w:val="28"/>
          <w:lang w:val="zh-CN"/>
        </w:rPr>
      </w:pPr>
    </w:p>
    <w:p w14:paraId="1A8EE1CA">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投标人的类似业绩证明材料</w:t>
      </w:r>
    </w:p>
    <w:p w14:paraId="2FA8BD1F">
      <w:pPr>
        <w:autoSpaceDE w:val="0"/>
        <w:autoSpaceDN w:val="0"/>
        <w:spacing w:line="360" w:lineRule="auto"/>
        <w:rPr>
          <w:rFonts w:ascii="华文楷体" w:hAnsi="华文楷体" w:eastAsia="华文楷体" w:cs="宋体"/>
          <w:kern w:val="0"/>
          <w:sz w:val="28"/>
          <w:szCs w:val="28"/>
          <w:lang w:val="zh-CN"/>
        </w:rPr>
      </w:pPr>
    </w:p>
    <w:p w14:paraId="08A3D762">
      <w:pPr>
        <w:autoSpaceDE w:val="0"/>
        <w:autoSpaceDN w:val="0"/>
        <w:spacing w:line="360" w:lineRule="auto"/>
        <w:ind w:firstLine="480"/>
        <w:rPr>
          <w:rFonts w:ascii="华文楷体" w:hAnsi="华文楷体" w:eastAsia="华文楷体" w:cs="宋体"/>
          <w:lang w:val="zh-CN"/>
        </w:rPr>
        <w:sectPr>
          <w:footerReference r:id="rId5" w:type="default"/>
          <w:pgSz w:w="11906" w:h="16838"/>
          <w:pgMar w:top="1304" w:right="1247" w:bottom="1134" w:left="1247" w:header="851" w:footer="794" w:gutter="0"/>
          <w:cols w:space="720" w:num="1"/>
          <w:docGrid w:type="lines" w:linePitch="312" w:charSpace="0"/>
        </w:sectPr>
      </w:pPr>
      <w:r>
        <w:rPr>
          <w:rFonts w:hint="eastAsia" w:ascii="华文楷体" w:hAnsi="华文楷体" w:eastAsia="华文楷体" w:cs="宋体"/>
        </w:rPr>
        <w:t>提供投标人自2022年01</w:t>
      </w:r>
      <w:r>
        <w:rPr>
          <w:rFonts w:hint="eastAsia" w:ascii="华文楷体" w:hAnsi="华文楷体" w:eastAsia="华文楷体" w:cs="宋体"/>
          <w:highlight w:val="none"/>
        </w:rPr>
        <w:t>月01日至2025年0</w:t>
      </w:r>
      <w:r>
        <w:rPr>
          <w:rFonts w:hint="eastAsia" w:ascii="华文楷体" w:hAnsi="华文楷体" w:eastAsia="华文楷体" w:cs="宋体"/>
          <w:highlight w:val="none"/>
          <w:lang w:val="en-US" w:eastAsia="zh-CN"/>
        </w:rPr>
        <w:t>4</w:t>
      </w:r>
      <w:r>
        <w:rPr>
          <w:rFonts w:hint="eastAsia" w:ascii="华文楷体" w:hAnsi="华文楷体" w:eastAsia="华文楷体" w:cs="宋体"/>
          <w:highlight w:val="none"/>
        </w:rPr>
        <w:t>月01日以来所完成的类似业绩</w:t>
      </w:r>
      <w:r>
        <w:rPr>
          <w:rFonts w:hint="eastAsia" w:ascii="华文楷体" w:hAnsi="华文楷体" w:eastAsia="华文楷体" w:cs="宋体"/>
        </w:rPr>
        <w:t>证明材料。</w:t>
      </w:r>
      <w:r>
        <w:rPr>
          <w:rFonts w:hint="eastAsia" w:ascii="华文楷体" w:hAnsi="华文楷体" w:eastAsia="华文楷体" w:cs="宋体"/>
          <w:kern w:val="0"/>
          <w:lang w:val="zh-CN"/>
        </w:rPr>
        <w:t>类似业绩是指与采购项目在产品类型、</w:t>
      </w:r>
      <w:r>
        <w:rPr>
          <w:rFonts w:hint="eastAsia" w:ascii="华文楷体" w:hAnsi="华文楷体" w:eastAsia="华文楷体" w:cs="宋体"/>
        </w:rPr>
        <w:t>使用功能等方面相同或相近的项目。提供业绩证明材料：①合同复印件（应包含合同首页、标的及金额所在页、签字盖章页）、②销售发票复印件、③验收证明材料复印件（验收证明材料须提供使用单位加盖公章或验收人员签字的验收证明材料），以上三项内容缺一不可，未按要求提供完整证明材料的不得分。</w:t>
      </w:r>
      <w:r>
        <w:rPr>
          <w:rFonts w:ascii="华文楷体" w:hAnsi="华文楷体" w:eastAsia="华文楷体" w:cs="宋体"/>
        </w:rPr>
        <w:t xml:space="preserve"> </w:t>
      </w:r>
    </w:p>
    <w:p w14:paraId="34F9F5A5">
      <w:pPr>
        <w:pStyle w:val="25"/>
        <w:spacing w:before="0" w:after="0" w:line="360" w:lineRule="auto"/>
        <w:jc w:val="left"/>
        <w:outlineLvl w:val="1"/>
        <w:rPr>
          <w:rFonts w:ascii="华文楷体" w:hAnsi="华文楷体" w:eastAsia="华文楷体" w:cs="宋体"/>
        </w:rPr>
      </w:pPr>
      <w:bookmarkStart w:id="260" w:name="_Toc184345951"/>
      <w:bookmarkStart w:id="261" w:name="_Toc743"/>
      <w:bookmarkStart w:id="262" w:name="_Toc25325"/>
      <w:bookmarkStart w:id="263" w:name="_Toc515908229"/>
      <w:r>
        <w:rPr>
          <w:rFonts w:hint="eastAsia" w:ascii="华文楷体" w:hAnsi="华文楷体" w:eastAsia="华文楷体" w:cs="宋体"/>
          <w:sz w:val="30"/>
          <w:szCs w:val="30"/>
        </w:rPr>
        <w:t>（24）</w:t>
      </w:r>
      <w:r>
        <w:rPr>
          <w:rFonts w:hint="eastAsia" w:ascii="华文楷体" w:hAnsi="华文楷体" w:eastAsia="华文楷体" w:cs="宋体"/>
          <w:sz w:val="30"/>
          <w:szCs w:val="30"/>
          <w:lang w:val="zh-CN"/>
        </w:rPr>
        <w:t>投标人认为在其他方面有必要说明的事项</w:t>
      </w:r>
      <w:bookmarkEnd w:id="260"/>
      <w:bookmarkEnd w:id="261"/>
      <w:bookmarkEnd w:id="262"/>
      <w:bookmarkEnd w:id="263"/>
    </w:p>
    <w:p w14:paraId="2817A5D8">
      <w:pPr>
        <w:autoSpaceDE w:val="0"/>
        <w:autoSpaceDN w:val="0"/>
        <w:spacing w:line="360" w:lineRule="auto"/>
        <w:rPr>
          <w:rFonts w:ascii="华文楷体" w:hAnsi="华文楷体" w:eastAsia="华文楷体" w:cs="宋体"/>
          <w:kern w:val="0"/>
          <w:sz w:val="28"/>
          <w:szCs w:val="28"/>
          <w:lang w:val="zh-CN"/>
        </w:rPr>
      </w:pPr>
    </w:p>
    <w:p w14:paraId="602536D5">
      <w:pPr>
        <w:autoSpaceDE w:val="0"/>
        <w:autoSpaceDN w:val="0"/>
        <w:spacing w:line="360" w:lineRule="auto"/>
        <w:jc w:val="center"/>
        <w:rPr>
          <w:rFonts w:ascii="华文楷体" w:hAnsi="华文楷体" w:eastAsia="华文楷体" w:cs="宋体"/>
          <w:b/>
          <w:bCs/>
          <w:kern w:val="0"/>
          <w:sz w:val="36"/>
          <w:szCs w:val="36"/>
          <w:lang w:val="zh-CN"/>
        </w:rPr>
      </w:pPr>
      <w:r>
        <w:rPr>
          <w:rFonts w:hint="eastAsia" w:ascii="华文楷体" w:hAnsi="华文楷体" w:eastAsia="华文楷体" w:cs="宋体"/>
          <w:b/>
          <w:bCs/>
          <w:kern w:val="0"/>
          <w:sz w:val="28"/>
          <w:szCs w:val="28"/>
          <w:lang w:val="zh-CN"/>
        </w:rPr>
        <w:t>投标人认为在其他方面有必要说明的事项</w:t>
      </w:r>
    </w:p>
    <w:p w14:paraId="3BB3CC00">
      <w:pPr>
        <w:autoSpaceDE w:val="0"/>
        <w:autoSpaceDN w:val="0"/>
        <w:spacing w:line="360" w:lineRule="auto"/>
        <w:rPr>
          <w:rFonts w:ascii="华文楷体" w:hAnsi="华文楷体" w:eastAsia="华文楷体" w:cs="宋体"/>
          <w:lang w:val="zh-CN"/>
        </w:rPr>
      </w:pPr>
      <w:r>
        <w:rPr>
          <w:rFonts w:hint="eastAsia" w:ascii="华文楷体" w:hAnsi="华文楷体" w:eastAsia="华文楷体" w:cs="宋体"/>
          <w:lang w:val="zh-CN"/>
        </w:rPr>
        <w:t>格式自定</w:t>
      </w:r>
    </w:p>
    <w:p w14:paraId="61E27AFB">
      <w:pPr>
        <w:pStyle w:val="25"/>
        <w:spacing w:before="0" w:after="0" w:line="360" w:lineRule="auto"/>
        <w:rPr>
          <w:rFonts w:ascii="华文楷体" w:hAnsi="华文楷体" w:eastAsia="华文楷体" w:cs="宋体"/>
        </w:rPr>
      </w:pPr>
      <w:r>
        <w:rPr>
          <w:rFonts w:hint="eastAsia" w:ascii="华文楷体" w:hAnsi="华文楷体" w:eastAsia="华文楷体" w:cs="宋体"/>
          <w:lang w:val="zh-CN"/>
        </w:rPr>
        <w:br w:type="page"/>
      </w:r>
      <w:bookmarkStart w:id="264" w:name="_Toc18813"/>
      <w:bookmarkStart w:id="265" w:name="_Toc184345952"/>
      <w:bookmarkStart w:id="266" w:name="_Toc18752"/>
      <w:r>
        <w:rPr>
          <w:rFonts w:hint="eastAsia" w:ascii="华文楷体" w:hAnsi="华文楷体" w:eastAsia="华文楷体" w:cs="宋体"/>
          <w:szCs w:val="36"/>
          <w:lang w:val="zh-CN"/>
        </w:rPr>
        <w:t>第五部分  采购项目要求及技术参数</w:t>
      </w:r>
      <w:bookmarkEnd w:id="264"/>
      <w:bookmarkEnd w:id="265"/>
      <w:bookmarkEnd w:id="266"/>
    </w:p>
    <w:p w14:paraId="31A1B83B">
      <w:pPr>
        <w:pStyle w:val="25"/>
        <w:rPr>
          <w:rFonts w:ascii="华文楷体" w:hAnsi="华文楷体" w:eastAsia="华文楷体"/>
        </w:rPr>
      </w:pPr>
      <w:bookmarkStart w:id="267" w:name="_Toc4824"/>
      <w:bookmarkStart w:id="268" w:name="_Toc184345953"/>
      <w:bookmarkStart w:id="269" w:name="_Toc81325235"/>
      <w:bookmarkStart w:id="270" w:name="_Toc515908231"/>
      <w:bookmarkStart w:id="271" w:name="_Toc9451"/>
      <w:r>
        <w:rPr>
          <w:rFonts w:hint="eastAsia" w:ascii="华文楷体" w:hAnsi="华文楷体" w:eastAsia="华文楷体"/>
        </w:rPr>
        <w:t>（一）</w:t>
      </w:r>
      <w:r>
        <w:rPr>
          <w:rFonts w:hint="eastAsia" w:ascii="华文楷体" w:hAnsi="华文楷体" w:eastAsia="华文楷体"/>
          <w:lang w:val="zh-CN"/>
        </w:rPr>
        <w:t>投标要求</w:t>
      </w:r>
      <w:bookmarkEnd w:id="267"/>
      <w:bookmarkEnd w:id="268"/>
    </w:p>
    <w:p w14:paraId="5152AFA1">
      <w:pPr>
        <w:pStyle w:val="25"/>
        <w:spacing w:before="0" w:after="0" w:line="380" w:lineRule="exact"/>
        <w:jc w:val="left"/>
        <w:outlineLvl w:val="1"/>
        <w:rPr>
          <w:rFonts w:ascii="华文楷体" w:hAnsi="华文楷体" w:eastAsia="华文楷体" w:cs="宋体"/>
          <w:lang w:val="zh-CN"/>
        </w:rPr>
      </w:pPr>
      <w:bookmarkStart w:id="272" w:name="_Toc4601"/>
      <w:bookmarkStart w:id="273" w:name="_Toc19863"/>
      <w:bookmarkStart w:id="274" w:name="_Toc184345954"/>
      <w:bookmarkStart w:id="275" w:name="_Toc515908232"/>
      <w:r>
        <w:rPr>
          <w:rFonts w:hint="eastAsia" w:ascii="华文楷体" w:hAnsi="华文楷体" w:eastAsia="华文楷体" w:cs="宋体"/>
          <w:sz w:val="28"/>
          <w:szCs w:val="28"/>
          <w:lang w:val="zh-CN"/>
        </w:rPr>
        <w:t>1.投标说明</w:t>
      </w:r>
      <w:bookmarkEnd w:id="272"/>
      <w:bookmarkEnd w:id="273"/>
      <w:bookmarkEnd w:id="274"/>
      <w:bookmarkEnd w:id="275"/>
    </w:p>
    <w:p w14:paraId="26EA1971">
      <w:pPr>
        <w:autoSpaceDE w:val="0"/>
        <w:autoSpaceDN w:val="0"/>
        <w:spacing w:line="380" w:lineRule="exact"/>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1.1投标人必须对所投</w:t>
      </w:r>
      <w:r>
        <w:rPr>
          <w:rFonts w:hint="eastAsia" w:ascii="华文楷体" w:hAnsi="华文楷体" w:eastAsia="华文楷体" w:cs="宋体"/>
          <w:kern w:val="0"/>
        </w:rPr>
        <w:t>项目</w:t>
      </w:r>
      <w:r>
        <w:rPr>
          <w:rFonts w:hint="eastAsia" w:ascii="华文楷体" w:hAnsi="华文楷体" w:eastAsia="华文楷体" w:cs="宋体"/>
          <w:kern w:val="0"/>
          <w:lang w:val="zh-CN"/>
        </w:rPr>
        <w:t>中的所有内容作为一个整体进行投标，不能拆分或少报。否则，投标无效。</w:t>
      </w:r>
    </w:p>
    <w:p w14:paraId="6AF7A9F6">
      <w:pPr>
        <w:autoSpaceDE w:val="0"/>
        <w:autoSpaceDN w:val="0"/>
        <w:spacing w:line="380" w:lineRule="exact"/>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1.2投标人必须如实填写“技术响应偏离表”，在“投标产品技术参数、指标”栏中列出所投产品的具体技术参数、指标；以采购人需求为最低指标要求，投标人对超出或不满足最低指标要求的指标需列出“＋、-”偏差。</w:t>
      </w:r>
    </w:p>
    <w:p w14:paraId="7431DC0B">
      <w:pPr>
        <w:autoSpaceDE w:val="0"/>
        <w:autoSpaceDN w:val="0"/>
        <w:spacing w:line="380" w:lineRule="exact"/>
        <w:ind w:firstLine="480" w:firstLineChars="200"/>
        <w:rPr>
          <w:rFonts w:ascii="华文楷体" w:hAnsi="华文楷体" w:eastAsia="华文楷体" w:cs="宋体"/>
          <w:kern w:val="0"/>
          <w:lang w:val="zh-CN"/>
        </w:rPr>
      </w:pPr>
      <w:r>
        <w:rPr>
          <w:rFonts w:hint="eastAsia" w:ascii="华文楷体" w:hAnsi="华文楷体" w:eastAsia="华文楷体" w:cs="宋体"/>
          <w:kern w:val="0"/>
          <w:lang w:val="zh-CN"/>
        </w:rPr>
        <w:t>1.</w:t>
      </w:r>
      <w:r>
        <w:rPr>
          <w:rFonts w:hint="eastAsia" w:ascii="华文楷体" w:hAnsi="华文楷体" w:eastAsia="华文楷体" w:cs="宋体"/>
          <w:kern w:val="0"/>
        </w:rPr>
        <w:t>3</w:t>
      </w:r>
      <w:r>
        <w:rPr>
          <w:rFonts w:hint="eastAsia" w:ascii="华文楷体" w:hAnsi="华文楷体" w:eastAsia="华文楷体" w:cs="宋体"/>
          <w:kern w:val="0"/>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3B806CF3">
      <w:pPr>
        <w:autoSpaceDE w:val="0"/>
        <w:autoSpaceDN w:val="0"/>
        <w:spacing w:line="380" w:lineRule="exact"/>
        <w:ind w:firstLine="480" w:firstLineChars="200"/>
        <w:rPr>
          <w:rFonts w:ascii="华文楷体" w:hAnsi="华文楷体" w:eastAsia="华文楷体" w:cs="宋体"/>
          <w:kern w:val="0"/>
          <w:lang w:val="zh-CN"/>
        </w:rPr>
      </w:pPr>
      <w:r>
        <w:rPr>
          <w:rFonts w:hint="eastAsia" w:ascii="华文楷体" w:hAnsi="华文楷体" w:eastAsia="华文楷体" w:cs="宋体"/>
          <w:kern w:val="0"/>
        </w:rPr>
        <w:t xml:space="preserve">1.4 </w:t>
      </w:r>
      <w:r>
        <w:rPr>
          <w:rFonts w:hint="eastAsia" w:ascii="华文楷体" w:hAnsi="华文楷体" w:eastAsia="华文楷体" w:cs="宋体"/>
        </w:rPr>
        <w:t>所投产品或其任何一部分不得侵犯专利权、著作权、商标权和工业设计权等知识产权。</w:t>
      </w:r>
    </w:p>
    <w:p w14:paraId="110E5BFC">
      <w:pPr>
        <w:autoSpaceDE w:val="0"/>
        <w:autoSpaceDN w:val="0"/>
        <w:spacing w:line="380" w:lineRule="exact"/>
        <w:ind w:firstLine="480" w:firstLineChars="200"/>
        <w:rPr>
          <w:rFonts w:ascii="华文楷体" w:hAnsi="华文楷体" w:eastAsia="华文楷体" w:cs="宋体"/>
          <w:kern w:val="0"/>
        </w:rPr>
      </w:pPr>
      <w:r>
        <w:rPr>
          <w:rFonts w:hint="eastAsia" w:ascii="华文楷体" w:hAnsi="华文楷体" w:eastAsia="华文楷体" w:cs="宋体"/>
          <w:kern w:val="0"/>
        </w:rPr>
        <w:t>1.5 项目中标后分包情况：不允许。</w:t>
      </w:r>
    </w:p>
    <w:p w14:paraId="3B40139B">
      <w:pPr>
        <w:pStyle w:val="25"/>
        <w:spacing w:before="0" w:after="0" w:line="380" w:lineRule="exact"/>
        <w:jc w:val="left"/>
        <w:outlineLvl w:val="1"/>
        <w:rPr>
          <w:rFonts w:ascii="华文楷体" w:hAnsi="华文楷体" w:eastAsia="华文楷体" w:cs="宋体"/>
          <w:sz w:val="28"/>
          <w:szCs w:val="28"/>
          <w:lang w:val="zh-CN"/>
        </w:rPr>
      </w:pPr>
      <w:bookmarkStart w:id="276" w:name="_Toc26125"/>
      <w:bookmarkStart w:id="277" w:name="_Toc515908233"/>
      <w:bookmarkStart w:id="278" w:name="_Toc184345955"/>
      <w:bookmarkStart w:id="279" w:name="_Toc28443"/>
      <w:r>
        <w:rPr>
          <w:rFonts w:hint="eastAsia" w:ascii="华文楷体" w:hAnsi="华文楷体" w:eastAsia="华文楷体" w:cs="宋体"/>
          <w:sz w:val="28"/>
          <w:szCs w:val="28"/>
        </w:rPr>
        <w:t>2.</w:t>
      </w:r>
      <w:bookmarkEnd w:id="276"/>
      <w:bookmarkStart w:id="280" w:name="_Toc1475"/>
      <w:r>
        <w:rPr>
          <w:rFonts w:hint="eastAsia" w:ascii="华文楷体" w:hAnsi="华文楷体" w:eastAsia="华文楷体" w:cs="宋体"/>
          <w:sz w:val="28"/>
          <w:szCs w:val="28"/>
          <w:lang w:val="zh-CN"/>
        </w:rPr>
        <w:t>重要指标</w:t>
      </w:r>
      <w:bookmarkEnd w:id="277"/>
      <w:bookmarkEnd w:id="278"/>
      <w:bookmarkEnd w:id="279"/>
      <w:bookmarkEnd w:id="280"/>
    </w:p>
    <w:p w14:paraId="0BF24484">
      <w:pPr>
        <w:autoSpaceDE w:val="0"/>
        <w:autoSpaceDN w:val="0"/>
        <w:spacing w:line="380" w:lineRule="exact"/>
        <w:ind w:firstLine="480" w:firstLineChars="200"/>
        <w:rPr>
          <w:rFonts w:ascii="华文楷体" w:hAnsi="华文楷体" w:eastAsia="华文楷体" w:cs="宋体"/>
          <w:b/>
          <w:bCs/>
          <w:kern w:val="0"/>
          <w:highlight w:val="none"/>
          <w:lang w:val="zh-CN"/>
        </w:rPr>
      </w:pPr>
      <w:bookmarkStart w:id="281" w:name="_Toc18880"/>
      <w:r>
        <w:rPr>
          <w:rFonts w:hint="eastAsia" w:ascii="华文楷体" w:hAnsi="华文楷体" w:eastAsia="华文楷体" w:cs="宋体"/>
          <w:kern w:val="0"/>
          <w:highlight w:val="none"/>
        </w:rPr>
        <w:t>2</w:t>
      </w:r>
      <w:r>
        <w:rPr>
          <w:rFonts w:hint="eastAsia" w:ascii="华文楷体" w:hAnsi="华文楷体" w:eastAsia="华文楷体" w:cs="宋体"/>
          <w:kern w:val="0"/>
          <w:highlight w:val="none"/>
          <w:lang w:val="zh-CN"/>
        </w:rPr>
        <w:t>.1“</w:t>
      </w:r>
      <w:r>
        <w:rPr>
          <w:rFonts w:hint="eastAsia" w:ascii="华文楷体" w:hAnsi="华文楷体" w:eastAsia="华文楷体" w:cs="宋体"/>
          <w:b/>
          <w:bCs/>
          <w:kern w:val="0"/>
          <w:highlight w:val="none"/>
          <w:lang w:val="zh-CN"/>
        </w:rPr>
        <w:t>技术参数”中用“★”符号标注的属于重要技术参数、指标，必须完全响应，</w:t>
      </w:r>
      <w:r>
        <w:rPr>
          <w:rFonts w:hint="eastAsia" w:ascii="华文楷体" w:hAnsi="华文楷体" w:eastAsia="华文楷体" w:cs="宋体"/>
          <w:b/>
          <w:bCs/>
          <w:kern w:val="0"/>
          <w:highlight w:val="none"/>
        </w:rPr>
        <w:t>除技术参数、指标中特别指定的技术支持资料以外，其余“</w:t>
      </w:r>
      <w:r>
        <w:rPr>
          <w:rFonts w:hint="eastAsia" w:ascii="华文楷体" w:hAnsi="华文楷体" w:eastAsia="华文楷体" w:cs="宋体"/>
          <w:b/>
          <w:bCs/>
          <w:kern w:val="0"/>
          <w:highlight w:val="none"/>
          <w:lang w:val="zh-CN"/>
        </w:rPr>
        <w:t>★</w:t>
      </w:r>
      <w:r>
        <w:rPr>
          <w:rFonts w:hint="eastAsia" w:ascii="华文楷体" w:hAnsi="华文楷体" w:eastAsia="华文楷体" w:cs="宋体"/>
          <w:b/>
          <w:bCs/>
          <w:kern w:val="0"/>
          <w:highlight w:val="none"/>
        </w:rPr>
        <w:t>”标注的技术参数、指标的技术支持资料均为检测报告</w:t>
      </w:r>
      <w:r>
        <w:rPr>
          <w:rFonts w:hint="eastAsia" w:ascii="华文楷体" w:hAnsi="华文楷体" w:eastAsia="华文楷体" w:cs="宋体"/>
          <w:b/>
          <w:bCs/>
          <w:kern w:val="0"/>
          <w:highlight w:val="none"/>
          <w:lang w:val="zh-CN"/>
        </w:rPr>
        <w:t>。否则，投标无效。</w:t>
      </w:r>
    </w:p>
    <w:p w14:paraId="2AA7014D">
      <w:pPr>
        <w:autoSpaceDE w:val="0"/>
        <w:autoSpaceDN w:val="0"/>
        <w:spacing w:line="380" w:lineRule="exact"/>
        <w:ind w:firstLine="482" w:firstLineChars="200"/>
        <w:rPr>
          <w:rFonts w:ascii="华文楷体" w:hAnsi="华文楷体" w:eastAsia="华文楷体" w:cs="宋体"/>
          <w:b/>
          <w:bCs/>
          <w:kern w:val="0"/>
          <w:highlight w:val="none"/>
        </w:rPr>
      </w:pPr>
      <w:r>
        <w:rPr>
          <w:rFonts w:hint="eastAsia" w:ascii="华文楷体" w:hAnsi="华文楷体" w:eastAsia="华文楷体" w:cs="宋体"/>
          <w:b/>
          <w:bCs/>
          <w:kern w:val="0"/>
          <w:highlight w:val="none"/>
        </w:rPr>
        <w:t>“技术参数”中用“▲”标注的技术参数、指标，除技术参数、指标中特别指定的技术支持资料以外，其余“▲”标注的技术参数、指标的技术支持资料均为检测报告。否则，按技术负偏离处理。</w:t>
      </w:r>
    </w:p>
    <w:p w14:paraId="79BE7ECE">
      <w:pPr>
        <w:autoSpaceDE w:val="0"/>
        <w:autoSpaceDN w:val="0"/>
        <w:spacing w:line="380" w:lineRule="exact"/>
        <w:ind w:firstLine="480" w:firstLineChars="200"/>
        <w:rPr>
          <w:rFonts w:ascii="华文楷体" w:hAnsi="华文楷体" w:eastAsia="华文楷体" w:cs="宋体"/>
          <w:kern w:val="0"/>
          <w:lang w:val="zh-CN"/>
        </w:rPr>
      </w:pPr>
      <w:r>
        <w:rPr>
          <w:rFonts w:hint="eastAsia" w:ascii="华文楷体" w:hAnsi="华文楷体" w:eastAsia="华文楷体" w:cs="宋体"/>
          <w:kern w:val="0"/>
        </w:rPr>
        <w:t>2</w:t>
      </w:r>
      <w:r>
        <w:rPr>
          <w:rFonts w:hint="eastAsia" w:ascii="华文楷体" w:hAnsi="华文楷体" w:eastAsia="华文楷体" w:cs="宋体"/>
          <w:kern w:val="0"/>
          <w:lang w:val="zh-CN"/>
        </w:rPr>
        <w:t>.2招标文件中凡需与原有设备、系统并机、兼容、匹配等要求的，请主动和采购人联系，取得原有设备、系统相关资料。若有招标文件未提及或变更内容的，请及时与采购代理机构联系。</w:t>
      </w:r>
    </w:p>
    <w:p w14:paraId="08BABABC">
      <w:pPr>
        <w:autoSpaceDE w:val="0"/>
        <w:autoSpaceDN w:val="0"/>
        <w:spacing w:line="380" w:lineRule="exact"/>
        <w:ind w:firstLine="480" w:firstLineChars="200"/>
        <w:jc w:val="left"/>
        <w:rPr>
          <w:rFonts w:ascii="华文楷体" w:hAnsi="华文楷体" w:eastAsia="华文楷体" w:cs="宋体"/>
        </w:rPr>
      </w:pPr>
      <w:r>
        <w:rPr>
          <w:rFonts w:hint="eastAsia" w:ascii="华文楷体" w:hAnsi="华文楷体" w:eastAsia="华文楷体" w:cs="宋体"/>
          <w:kern w:val="0"/>
        </w:rPr>
        <w:t>2</w:t>
      </w:r>
      <w:r>
        <w:rPr>
          <w:rFonts w:hint="eastAsia" w:ascii="华文楷体" w:hAnsi="华文楷体" w:eastAsia="华文楷体" w:cs="宋体"/>
          <w:kern w:val="0"/>
          <w:lang w:val="zh-CN"/>
        </w:rPr>
        <w:t>.3技术参数中除注明签订合同时提供</w:t>
      </w:r>
      <w:r>
        <w:rPr>
          <w:rFonts w:hint="eastAsia" w:ascii="华文楷体" w:hAnsi="华文楷体" w:eastAsia="华文楷体" w:cs="宋体"/>
        </w:rPr>
        <w:t>的相关授权、服务承诺等资料以外，其余相关资料在投标时必须附在投标文件中。</w:t>
      </w:r>
      <w:bookmarkEnd w:id="281"/>
    </w:p>
    <w:p w14:paraId="33AA2362">
      <w:pPr>
        <w:pStyle w:val="25"/>
        <w:rPr>
          <w:rFonts w:ascii="华文楷体" w:hAnsi="华文楷体" w:eastAsia="华文楷体"/>
        </w:rPr>
      </w:pPr>
    </w:p>
    <w:p w14:paraId="0BB748F7">
      <w:pPr>
        <w:pStyle w:val="25"/>
        <w:rPr>
          <w:rFonts w:ascii="华文楷体" w:hAnsi="华文楷体" w:eastAsia="华文楷体"/>
        </w:rPr>
      </w:pPr>
    </w:p>
    <w:p w14:paraId="13852556">
      <w:pPr>
        <w:pStyle w:val="25"/>
        <w:rPr>
          <w:rFonts w:ascii="华文楷体" w:hAnsi="华文楷体" w:eastAsia="华文楷体"/>
        </w:rPr>
      </w:pPr>
    </w:p>
    <w:p w14:paraId="560582D3">
      <w:pPr>
        <w:pStyle w:val="25"/>
        <w:rPr>
          <w:rFonts w:ascii="华文楷体" w:hAnsi="华文楷体" w:eastAsia="华文楷体"/>
        </w:rPr>
      </w:pPr>
    </w:p>
    <w:p w14:paraId="7F1456A9">
      <w:pPr>
        <w:pStyle w:val="25"/>
        <w:rPr>
          <w:rFonts w:ascii="华文楷体" w:hAnsi="华文楷体" w:eastAsia="华文楷体"/>
        </w:rPr>
      </w:pPr>
      <w:bookmarkStart w:id="282" w:name="_Toc184345956"/>
      <w:r>
        <w:rPr>
          <w:rFonts w:hint="eastAsia" w:ascii="华文楷体" w:hAnsi="华文楷体" w:eastAsia="华文楷体"/>
        </w:rPr>
        <w:t>（二）采购一览表</w:t>
      </w:r>
      <w:bookmarkEnd w:id="269"/>
      <w:bookmarkEnd w:id="282"/>
    </w:p>
    <w:bookmarkEnd w:id="270"/>
    <w:bookmarkEnd w:id="271"/>
    <w:p w14:paraId="4B552D71">
      <w:pPr>
        <w:widowControl/>
        <w:jc w:val="center"/>
        <w:rPr>
          <w:rFonts w:ascii="华文楷体" w:hAnsi="华文楷体" w:eastAsia="华文楷体" w:cs="宋体"/>
          <w:b/>
          <w:kern w:val="0"/>
        </w:rPr>
      </w:pPr>
      <w:bookmarkStart w:id="283" w:name="_Toc4797"/>
      <w:bookmarkStart w:id="284" w:name="_Toc28576"/>
      <w:bookmarkStart w:id="285" w:name="_Toc515908235"/>
      <w:r>
        <w:rPr>
          <w:rFonts w:hint="eastAsia" w:ascii="华文楷体" w:hAnsi="华文楷体" w:eastAsia="华文楷体" w:cs="宋体"/>
          <w:b/>
          <w:kern w:val="0"/>
        </w:rPr>
        <w:t>1、采购一览表</w:t>
      </w:r>
      <w:bookmarkEnd w:id="283"/>
    </w:p>
    <w:tbl>
      <w:tblPr>
        <w:tblStyle w:val="26"/>
        <w:tblW w:w="10074" w:type="dxa"/>
        <w:tblInd w:w="-318" w:type="dxa"/>
        <w:tblLayout w:type="fixed"/>
        <w:tblCellMar>
          <w:top w:w="0" w:type="dxa"/>
          <w:left w:w="108" w:type="dxa"/>
          <w:bottom w:w="0" w:type="dxa"/>
          <w:right w:w="108" w:type="dxa"/>
        </w:tblCellMar>
      </w:tblPr>
      <w:tblGrid>
        <w:gridCol w:w="701"/>
        <w:gridCol w:w="1001"/>
        <w:gridCol w:w="709"/>
        <w:gridCol w:w="2268"/>
        <w:gridCol w:w="993"/>
        <w:gridCol w:w="709"/>
        <w:gridCol w:w="709"/>
        <w:gridCol w:w="1133"/>
        <w:gridCol w:w="1134"/>
        <w:gridCol w:w="717"/>
      </w:tblGrid>
      <w:tr w14:paraId="1CA8A775">
        <w:tblPrEx>
          <w:tblCellMar>
            <w:top w:w="0" w:type="dxa"/>
            <w:left w:w="108" w:type="dxa"/>
            <w:bottom w:w="0" w:type="dxa"/>
            <w:right w:w="108" w:type="dxa"/>
          </w:tblCellMar>
        </w:tblPrEx>
        <w:trPr>
          <w:trHeight w:val="1246" w:hRule="atLeast"/>
        </w:trPr>
        <w:tc>
          <w:tcPr>
            <w:tcW w:w="701" w:type="dxa"/>
            <w:tcBorders>
              <w:top w:val="single" w:color="auto" w:sz="4" w:space="0"/>
              <w:left w:val="single" w:color="auto" w:sz="4" w:space="0"/>
              <w:bottom w:val="single" w:color="auto" w:sz="4" w:space="0"/>
              <w:right w:val="single" w:color="auto" w:sz="4" w:space="0"/>
            </w:tcBorders>
            <w:vAlign w:val="center"/>
          </w:tcPr>
          <w:p w14:paraId="3917840A">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分包</w:t>
            </w:r>
          </w:p>
        </w:tc>
        <w:tc>
          <w:tcPr>
            <w:tcW w:w="1001" w:type="dxa"/>
            <w:tcBorders>
              <w:top w:val="single" w:color="auto" w:sz="4" w:space="0"/>
              <w:left w:val="nil"/>
              <w:bottom w:val="single" w:color="auto" w:sz="4" w:space="0"/>
              <w:right w:val="single" w:color="auto" w:sz="4" w:space="0"/>
            </w:tcBorders>
            <w:noWrap/>
            <w:vAlign w:val="center"/>
          </w:tcPr>
          <w:p w14:paraId="7D196089">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最高限价（万元）</w:t>
            </w:r>
          </w:p>
        </w:tc>
        <w:tc>
          <w:tcPr>
            <w:tcW w:w="709" w:type="dxa"/>
            <w:tcBorders>
              <w:top w:val="single" w:color="auto" w:sz="4" w:space="0"/>
              <w:left w:val="nil"/>
              <w:bottom w:val="single" w:color="auto" w:sz="4" w:space="0"/>
              <w:right w:val="single" w:color="auto" w:sz="4" w:space="0"/>
            </w:tcBorders>
            <w:noWrap/>
            <w:vAlign w:val="center"/>
          </w:tcPr>
          <w:p w14:paraId="0733C907">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序号</w:t>
            </w:r>
          </w:p>
        </w:tc>
        <w:tc>
          <w:tcPr>
            <w:tcW w:w="2268" w:type="dxa"/>
            <w:tcBorders>
              <w:top w:val="single" w:color="auto" w:sz="4" w:space="0"/>
              <w:left w:val="nil"/>
              <w:bottom w:val="single" w:color="auto" w:sz="4" w:space="0"/>
              <w:right w:val="single" w:color="auto" w:sz="4" w:space="0"/>
            </w:tcBorders>
            <w:vAlign w:val="center"/>
          </w:tcPr>
          <w:p w14:paraId="3A0FFE80">
            <w:pPr>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采购内容</w:t>
            </w:r>
          </w:p>
        </w:tc>
        <w:tc>
          <w:tcPr>
            <w:tcW w:w="993" w:type="dxa"/>
            <w:tcBorders>
              <w:top w:val="single" w:color="auto" w:sz="4" w:space="0"/>
              <w:left w:val="nil"/>
              <w:bottom w:val="single" w:color="auto" w:sz="4" w:space="0"/>
              <w:right w:val="single" w:color="auto" w:sz="4" w:space="0"/>
            </w:tcBorders>
            <w:noWrap/>
            <w:vAlign w:val="center"/>
          </w:tcPr>
          <w:p w14:paraId="074A1691">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单价</w:t>
            </w:r>
          </w:p>
          <w:p w14:paraId="5D75A004">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szCs w:val="21"/>
              </w:rPr>
              <w:t>限价</w:t>
            </w:r>
          </w:p>
          <w:p w14:paraId="6E4C5744">
            <w:pPr>
              <w:widowControl/>
              <w:spacing w:line="340" w:lineRule="exact"/>
              <w:jc w:val="center"/>
              <w:rPr>
                <w:rFonts w:ascii="华文楷体" w:hAnsi="华文楷体" w:eastAsia="华文楷体" w:cs="宋体"/>
                <w:b/>
                <w:bCs/>
                <w:szCs w:val="21"/>
              </w:rPr>
            </w:pPr>
            <w:r>
              <w:rPr>
                <w:rFonts w:hint="eastAsia" w:ascii="华文楷体" w:hAnsi="华文楷体" w:eastAsia="华文楷体" w:cs="宋体"/>
                <w:b/>
                <w:bCs/>
                <w:kern w:val="0"/>
                <w:szCs w:val="21"/>
              </w:rPr>
              <w:t>（元）</w:t>
            </w:r>
          </w:p>
        </w:tc>
        <w:tc>
          <w:tcPr>
            <w:tcW w:w="709" w:type="dxa"/>
            <w:tcBorders>
              <w:top w:val="single" w:color="auto" w:sz="4" w:space="0"/>
              <w:left w:val="nil"/>
              <w:bottom w:val="single" w:color="auto" w:sz="4" w:space="0"/>
              <w:right w:val="single" w:color="auto" w:sz="4" w:space="0"/>
            </w:tcBorders>
            <w:noWrap/>
            <w:vAlign w:val="center"/>
          </w:tcPr>
          <w:p w14:paraId="3EA692AA">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数量</w:t>
            </w:r>
          </w:p>
        </w:tc>
        <w:tc>
          <w:tcPr>
            <w:tcW w:w="709" w:type="dxa"/>
            <w:tcBorders>
              <w:top w:val="single" w:color="auto" w:sz="4" w:space="0"/>
              <w:left w:val="nil"/>
              <w:bottom w:val="single" w:color="auto" w:sz="4" w:space="0"/>
              <w:right w:val="single" w:color="auto" w:sz="4" w:space="0"/>
            </w:tcBorders>
            <w:noWrap/>
            <w:vAlign w:val="center"/>
          </w:tcPr>
          <w:p w14:paraId="5D6FE950">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单位</w:t>
            </w:r>
          </w:p>
        </w:tc>
        <w:tc>
          <w:tcPr>
            <w:tcW w:w="1133" w:type="dxa"/>
            <w:tcBorders>
              <w:top w:val="single" w:color="auto" w:sz="4" w:space="0"/>
              <w:left w:val="nil"/>
              <w:bottom w:val="single" w:color="auto" w:sz="4" w:space="0"/>
              <w:right w:val="single" w:color="auto" w:sz="4" w:space="0"/>
            </w:tcBorders>
            <w:noWrap/>
            <w:vAlign w:val="center"/>
          </w:tcPr>
          <w:p w14:paraId="7A960515">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小计最高限价</w:t>
            </w:r>
          </w:p>
          <w:p w14:paraId="61867BC3">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（元）</w:t>
            </w:r>
          </w:p>
        </w:tc>
        <w:tc>
          <w:tcPr>
            <w:tcW w:w="1134" w:type="dxa"/>
            <w:tcBorders>
              <w:top w:val="single" w:color="auto" w:sz="4" w:space="0"/>
              <w:left w:val="nil"/>
              <w:bottom w:val="single" w:color="auto" w:sz="4" w:space="0"/>
              <w:right w:val="single" w:color="auto" w:sz="4" w:space="0"/>
            </w:tcBorders>
            <w:noWrap/>
            <w:vAlign w:val="center"/>
          </w:tcPr>
          <w:p w14:paraId="7434780D">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提供</w:t>
            </w:r>
          </w:p>
          <w:p w14:paraId="35944F55">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样品/视频</w:t>
            </w:r>
          </w:p>
        </w:tc>
        <w:tc>
          <w:tcPr>
            <w:tcW w:w="717" w:type="dxa"/>
            <w:tcBorders>
              <w:top w:val="single" w:color="auto" w:sz="4" w:space="0"/>
              <w:left w:val="single" w:color="auto" w:sz="4" w:space="0"/>
              <w:bottom w:val="single" w:color="auto" w:sz="4" w:space="0"/>
              <w:right w:val="single" w:color="auto" w:sz="4" w:space="0"/>
            </w:tcBorders>
            <w:noWrap/>
            <w:vAlign w:val="center"/>
          </w:tcPr>
          <w:p w14:paraId="1F5ECECB">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核心</w:t>
            </w:r>
          </w:p>
          <w:p w14:paraId="4389CC74">
            <w:pPr>
              <w:widowControl/>
              <w:spacing w:line="340" w:lineRule="exact"/>
              <w:jc w:val="center"/>
              <w:rPr>
                <w:rFonts w:ascii="华文楷体" w:hAnsi="华文楷体" w:eastAsia="华文楷体" w:cs="宋体"/>
                <w:b/>
                <w:bCs/>
                <w:kern w:val="0"/>
                <w:szCs w:val="21"/>
              </w:rPr>
            </w:pPr>
            <w:r>
              <w:rPr>
                <w:rFonts w:hint="eastAsia" w:ascii="华文楷体" w:hAnsi="华文楷体" w:eastAsia="华文楷体" w:cs="宋体"/>
                <w:b/>
                <w:bCs/>
                <w:kern w:val="0"/>
                <w:szCs w:val="21"/>
              </w:rPr>
              <w:t>产品</w:t>
            </w:r>
          </w:p>
        </w:tc>
      </w:tr>
      <w:tr w14:paraId="1CAA06D2">
        <w:tblPrEx>
          <w:tblCellMar>
            <w:top w:w="0" w:type="dxa"/>
            <w:left w:w="108" w:type="dxa"/>
            <w:bottom w:w="0" w:type="dxa"/>
            <w:right w:w="108" w:type="dxa"/>
          </w:tblCellMar>
        </w:tblPrEx>
        <w:trPr>
          <w:trHeight w:val="549" w:hRule="atLeast"/>
        </w:trPr>
        <w:tc>
          <w:tcPr>
            <w:tcW w:w="701" w:type="dxa"/>
            <w:vMerge w:val="restart"/>
            <w:tcBorders>
              <w:left w:val="single" w:color="auto" w:sz="4" w:space="0"/>
              <w:right w:val="single" w:color="auto" w:sz="4" w:space="0"/>
            </w:tcBorders>
            <w:vAlign w:val="center"/>
          </w:tcPr>
          <w:p w14:paraId="6DF769D4">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包一</w:t>
            </w:r>
          </w:p>
        </w:tc>
        <w:tc>
          <w:tcPr>
            <w:tcW w:w="1001" w:type="dxa"/>
            <w:vMerge w:val="restart"/>
            <w:tcBorders>
              <w:top w:val="single" w:color="auto" w:sz="4" w:space="0"/>
              <w:left w:val="single" w:color="auto" w:sz="4" w:space="0"/>
              <w:right w:val="single" w:color="auto" w:sz="4" w:space="0"/>
            </w:tcBorders>
            <w:noWrap/>
            <w:vAlign w:val="center"/>
          </w:tcPr>
          <w:p w14:paraId="1220746D">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94</w:t>
            </w:r>
            <w:r>
              <w:rPr>
                <w:rFonts w:ascii="华文楷体" w:hAnsi="华文楷体" w:eastAsia="华文楷体" w:cs="宋体"/>
                <w:kern w:val="0"/>
                <w:szCs w:val="21"/>
                <w:lang w:bidi="ar"/>
              </w:rPr>
              <w:t>.</w:t>
            </w:r>
            <w:r>
              <w:rPr>
                <w:rFonts w:hint="eastAsia" w:ascii="华文楷体" w:hAnsi="华文楷体" w:eastAsia="华文楷体" w:cs="宋体"/>
                <w:kern w:val="0"/>
                <w:szCs w:val="21"/>
                <w:lang w:bidi="ar"/>
              </w:rPr>
              <w:t>0</w:t>
            </w:r>
            <w:r>
              <w:rPr>
                <w:rFonts w:ascii="华文楷体" w:hAnsi="华文楷体" w:eastAsia="华文楷体" w:cs="宋体"/>
                <w:kern w:val="0"/>
                <w:szCs w:val="21"/>
                <w:lang w:bidi="ar"/>
              </w:rPr>
              <w:t>9</w:t>
            </w:r>
          </w:p>
        </w:tc>
        <w:tc>
          <w:tcPr>
            <w:tcW w:w="709" w:type="dxa"/>
            <w:tcBorders>
              <w:top w:val="nil"/>
              <w:left w:val="nil"/>
              <w:bottom w:val="single" w:color="auto" w:sz="4" w:space="0"/>
              <w:right w:val="single" w:color="auto" w:sz="4" w:space="0"/>
            </w:tcBorders>
            <w:noWrap/>
            <w:vAlign w:val="center"/>
          </w:tcPr>
          <w:p w14:paraId="30E90702">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w:t>
            </w:r>
          </w:p>
        </w:tc>
        <w:tc>
          <w:tcPr>
            <w:tcW w:w="2268" w:type="dxa"/>
            <w:tcBorders>
              <w:top w:val="nil"/>
              <w:left w:val="nil"/>
              <w:bottom w:val="single" w:color="auto" w:sz="4" w:space="0"/>
              <w:right w:val="single" w:color="auto" w:sz="4" w:space="0"/>
            </w:tcBorders>
            <w:vAlign w:val="center"/>
          </w:tcPr>
          <w:p w14:paraId="344B55A4">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夜视全彩相机</w:t>
            </w:r>
          </w:p>
        </w:tc>
        <w:tc>
          <w:tcPr>
            <w:tcW w:w="993" w:type="dxa"/>
            <w:tcBorders>
              <w:top w:val="nil"/>
              <w:left w:val="nil"/>
              <w:bottom w:val="single" w:color="auto" w:sz="4" w:space="0"/>
              <w:right w:val="single" w:color="auto" w:sz="4" w:space="0"/>
            </w:tcBorders>
            <w:noWrap/>
            <w:vAlign w:val="center"/>
          </w:tcPr>
          <w:p w14:paraId="4AAECB82">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80000</w:t>
            </w:r>
          </w:p>
        </w:tc>
        <w:tc>
          <w:tcPr>
            <w:tcW w:w="709" w:type="dxa"/>
            <w:tcBorders>
              <w:top w:val="nil"/>
              <w:left w:val="nil"/>
              <w:bottom w:val="single" w:color="auto" w:sz="4" w:space="0"/>
              <w:right w:val="single" w:color="auto" w:sz="4" w:space="0"/>
            </w:tcBorders>
            <w:vAlign w:val="center"/>
          </w:tcPr>
          <w:p w14:paraId="2C34967E">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w:t>
            </w:r>
          </w:p>
        </w:tc>
        <w:tc>
          <w:tcPr>
            <w:tcW w:w="709" w:type="dxa"/>
            <w:tcBorders>
              <w:top w:val="nil"/>
              <w:left w:val="nil"/>
              <w:bottom w:val="single" w:color="auto" w:sz="4" w:space="0"/>
              <w:right w:val="single" w:color="auto" w:sz="4" w:space="0"/>
            </w:tcBorders>
            <w:vAlign w:val="center"/>
          </w:tcPr>
          <w:p w14:paraId="14003474">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台</w:t>
            </w:r>
          </w:p>
        </w:tc>
        <w:tc>
          <w:tcPr>
            <w:tcW w:w="1133" w:type="dxa"/>
            <w:tcBorders>
              <w:top w:val="nil"/>
              <w:left w:val="nil"/>
              <w:bottom w:val="single" w:color="auto" w:sz="4" w:space="0"/>
              <w:right w:val="single" w:color="auto" w:sz="4" w:space="0"/>
            </w:tcBorders>
            <w:vAlign w:val="center"/>
          </w:tcPr>
          <w:p w14:paraId="6C7349FA">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80000</w:t>
            </w:r>
          </w:p>
        </w:tc>
        <w:tc>
          <w:tcPr>
            <w:tcW w:w="1134" w:type="dxa"/>
            <w:tcBorders>
              <w:top w:val="nil"/>
              <w:left w:val="nil"/>
              <w:bottom w:val="single" w:color="auto" w:sz="4" w:space="0"/>
              <w:right w:val="single" w:color="auto" w:sz="4" w:space="0"/>
            </w:tcBorders>
            <w:vAlign w:val="center"/>
          </w:tcPr>
          <w:p w14:paraId="54A798DA">
            <w:pPr>
              <w:widowControl/>
              <w:spacing w:line="340" w:lineRule="exact"/>
              <w:jc w:val="center"/>
              <w:textAlignment w:val="center"/>
              <w:rPr>
                <w:rFonts w:ascii="华文楷体" w:hAnsi="华文楷体" w:eastAsia="华文楷体" w:cs="宋体"/>
                <w:b/>
                <w:szCs w:val="21"/>
              </w:rPr>
            </w:pPr>
            <w:r>
              <w:rPr>
                <w:rFonts w:hint="eastAsia" w:ascii="华文楷体" w:hAnsi="华文楷体" w:eastAsia="华文楷体" w:cs="宋体"/>
                <w:b/>
                <w:szCs w:val="21"/>
              </w:rPr>
              <w:t>√</w:t>
            </w:r>
          </w:p>
        </w:tc>
        <w:tc>
          <w:tcPr>
            <w:tcW w:w="717" w:type="dxa"/>
            <w:tcBorders>
              <w:top w:val="nil"/>
              <w:left w:val="single" w:color="auto" w:sz="4" w:space="0"/>
              <w:bottom w:val="single" w:color="auto" w:sz="4" w:space="0"/>
              <w:right w:val="single" w:color="auto" w:sz="4" w:space="0"/>
            </w:tcBorders>
            <w:vAlign w:val="center"/>
          </w:tcPr>
          <w:p w14:paraId="681202BB">
            <w:pPr>
              <w:widowControl/>
              <w:spacing w:line="340" w:lineRule="exact"/>
              <w:jc w:val="center"/>
              <w:textAlignment w:val="center"/>
              <w:rPr>
                <w:rFonts w:ascii="华文楷体" w:hAnsi="华文楷体" w:eastAsia="华文楷体" w:cs="宋体"/>
                <w:szCs w:val="21"/>
              </w:rPr>
            </w:pPr>
          </w:p>
        </w:tc>
      </w:tr>
      <w:tr w14:paraId="14416007">
        <w:tblPrEx>
          <w:tblCellMar>
            <w:top w:w="0" w:type="dxa"/>
            <w:left w:w="108" w:type="dxa"/>
            <w:bottom w:w="0" w:type="dxa"/>
            <w:right w:w="108" w:type="dxa"/>
          </w:tblCellMar>
        </w:tblPrEx>
        <w:trPr>
          <w:trHeight w:val="549" w:hRule="atLeast"/>
        </w:trPr>
        <w:tc>
          <w:tcPr>
            <w:tcW w:w="701" w:type="dxa"/>
            <w:vMerge w:val="continue"/>
            <w:tcBorders>
              <w:left w:val="single" w:color="auto" w:sz="4" w:space="0"/>
              <w:right w:val="single" w:color="auto" w:sz="4" w:space="0"/>
            </w:tcBorders>
            <w:vAlign w:val="center"/>
          </w:tcPr>
          <w:p w14:paraId="6432C30D">
            <w:pPr>
              <w:widowControl/>
              <w:spacing w:line="340" w:lineRule="exact"/>
              <w:jc w:val="center"/>
              <w:rPr>
                <w:rFonts w:ascii="华文楷体" w:hAnsi="华文楷体" w:eastAsia="华文楷体" w:cs="宋体"/>
                <w:kern w:val="0"/>
                <w:szCs w:val="21"/>
              </w:rPr>
            </w:pPr>
          </w:p>
        </w:tc>
        <w:tc>
          <w:tcPr>
            <w:tcW w:w="1001" w:type="dxa"/>
            <w:vMerge w:val="continue"/>
            <w:tcBorders>
              <w:left w:val="single" w:color="auto" w:sz="4" w:space="0"/>
              <w:right w:val="single" w:color="auto" w:sz="4" w:space="0"/>
            </w:tcBorders>
            <w:noWrap/>
            <w:vAlign w:val="center"/>
          </w:tcPr>
          <w:p w14:paraId="31354EE8">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nil"/>
              <w:left w:val="nil"/>
              <w:bottom w:val="single" w:color="auto" w:sz="4" w:space="0"/>
              <w:right w:val="single" w:color="auto" w:sz="4" w:space="0"/>
            </w:tcBorders>
            <w:noWrap/>
            <w:vAlign w:val="center"/>
          </w:tcPr>
          <w:p w14:paraId="74C9AB4E">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2</w:t>
            </w:r>
          </w:p>
        </w:tc>
        <w:tc>
          <w:tcPr>
            <w:tcW w:w="2268" w:type="dxa"/>
            <w:tcBorders>
              <w:top w:val="nil"/>
              <w:left w:val="nil"/>
              <w:bottom w:val="single" w:color="auto" w:sz="4" w:space="0"/>
              <w:right w:val="single" w:color="auto" w:sz="4" w:space="0"/>
            </w:tcBorders>
            <w:vAlign w:val="center"/>
          </w:tcPr>
          <w:p w14:paraId="00263BDD">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全画幅航测镜头</w:t>
            </w:r>
          </w:p>
        </w:tc>
        <w:tc>
          <w:tcPr>
            <w:tcW w:w="993" w:type="dxa"/>
            <w:tcBorders>
              <w:top w:val="nil"/>
              <w:left w:val="nil"/>
              <w:bottom w:val="single" w:color="auto" w:sz="4" w:space="0"/>
              <w:right w:val="single" w:color="auto" w:sz="4" w:space="0"/>
            </w:tcBorders>
            <w:noWrap/>
            <w:vAlign w:val="center"/>
          </w:tcPr>
          <w:p w14:paraId="5F3DED64">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45000</w:t>
            </w:r>
          </w:p>
        </w:tc>
        <w:tc>
          <w:tcPr>
            <w:tcW w:w="709" w:type="dxa"/>
            <w:tcBorders>
              <w:top w:val="nil"/>
              <w:left w:val="nil"/>
              <w:bottom w:val="single" w:color="auto" w:sz="4" w:space="0"/>
              <w:right w:val="single" w:color="auto" w:sz="4" w:space="0"/>
            </w:tcBorders>
            <w:vAlign w:val="center"/>
          </w:tcPr>
          <w:p w14:paraId="10A6C78F">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w:t>
            </w:r>
          </w:p>
        </w:tc>
        <w:tc>
          <w:tcPr>
            <w:tcW w:w="709" w:type="dxa"/>
            <w:tcBorders>
              <w:top w:val="nil"/>
              <w:left w:val="nil"/>
              <w:bottom w:val="single" w:color="auto" w:sz="4" w:space="0"/>
              <w:right w:val="single" w:color="auto" w:sz="4" w:space="0"/>
            </w:tcBorders>
            <w:vAlign w:val="center"/>
          </w:tcPr>
          <w:p w14:paraId="720C44B7">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nil"/>
              <w:left w:val="nil"/>
              <w:bottom w:val="single" w:color="auto" w:sz="4" w:space="0"/>
              <w:right w:val="single" w:color="auto" w:sz="4" w:space="0"/>
            </w:tcBorders>
            <w:vAlign w:val="center"/>
          </w:tcPr>
          <w:p w14:paraId="5FDAB614">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45000</w:t>
            </w:r>
          </w:p>
        </w:tc>
        <w:tc>
          <w:tcPr>
            <w:tcW w:w="1134" w:type="dxa"/>
            <w:tcBorders>
              <w:top w:val="nil"/>
              <w:left w:val="nil"/>
              <w:bottom w:val="single" w:color="auto" w:sz="4" w:space="0"/>
              <w:right w:val="single" w:color="auto" w:sz="4" w:space="0"/>
            </w:tcBorders>
            <w:vAlign w:val="center"/>
          </w:tcPr>
          <w:p w14:paraId="444BD4FB">
            <w:pPr>
              <w:widowControl/>
              <w:spacing w:line="340" w:lineRule="exact"/>
              <w:jc w:val="center"/>
              <w:textAlignment w:val="center"/>
              <w:rPr>
                <w:rFonts w:ascii="华文楷体" w:hAnsi="华文楷体" w:eastAsia="华文楷体" w:cs="宋体"/>
                <w:b/>
                <w:szCs w:val="21"/>
              </w:rPr>
            </w:pPr>
            <w:r>
              <w:rPr>
                <w:rFonts w:hint="eastAsia" w:ascii="华文楷体" w:hAnsi="华文楷体" w:eastAsia="华文楷体" w:cs="宋体"/>
                <w:b/>
                <w:szCs w:val="21"/>
              </w:rPr>
              <w:t>√</w:t>
            </w:r>
          </w:p>
        </w:tc>
        <w:tc>
          <w:tcPr>
            <w:tcW w:w="717" w:type="dxa"/>
            <w:tcBorders>
              <w:top w:val="nil"/>
              <w:left w:val="single" w:color="auto" w:sz="4" w:space="0"/>
              <w:bottom w:val="single" w:color="auto" w:sz="4" w:space="0"/>
              <w:right w:val="single" w:color="auto" w:sz="4" w:space="0"/>
            </w:tcBorders>
            <w:vAlign w:val="center"/>
          </w:tcPr>
          <w:p w14:paraId="63663EFB">
            <w:pPr>
              <w:widowControl/>
              <w:spacing w:line="340" w:lineRule="exact"/>
              <w:jc w:val="center"/>
              <w:textAlignment w:val="center"/>
              <w:rPr>
                <w:rFonts w:ascii="华文楷体" w:hAnsi="华文楷体" w:eastAsia="华文楷体" w:cs="宋体"/>
                <w:szCs w:val="21"/>
              </w:rPr>
            </w:pPr>
          </w:p>
        </w:tc>
      </w:tr>
      <w:tr w14:paraId="2185867F">
        <w:tblPrEx>
          <w:tblCellMar>
            <w:top w:w="0" w:type="dxa"/>
            <w:left w:w="108" w:type="dxa"/>
            <w:bottom w:w="0" w:type="dxa"/>
            <w:right w:w="108" w:type="dxa"/>
          </w:tblCellMar>
        </w:tblPrEx>
        <w:trPr>
          <w:trHeight w:val="549" w:hRule="atLeast"/>
        </w:trPr>
        <w:tc>
          <w:tcPr>
            <w:tcW w:w="701" w:type="dxa"/>
            <w:vMerge w:val="continue"/>
            <w:tcBorders>
              <w:left w:val="single" w:color="auto" w:sz="4" w:space="0"/>
              <w:right w:val="single" w:color="auto" w:sz="4" w:space="0"/>
            </w:tcBorders>
            <w:vAlign w:val="center"/>
          </w:tcPr>
          <w:p w14:paraId="7C08D8F2">
            <w:pPr>
              <w:widowControl/>
              <w:spacing w:line="340" w:lineRule="exact"/>
              <w:jc w:val="center"/>
              <w:rPr>
                <w:rFonts w:ascii="华文楷体" w:hAnsi="华文楷体" w:eastAsia="华文楷体" w:cs="宋体"/>
                <w:kern w:val="0"/>
                <w:szCs w:val="21"/>
              </w:rPr>
            </w:pPr>
          </w:p>
        </w:tc>
        <w:tc>
          <w:tcPr>
            <w:tcW w:w="1001" w:type="dxa"/>
            <w:vMerge w:val="continue"/>
            <w:tcBorders>
              <w:left w:val="single" w:color="auto" w:sz="4" w:space="0"/>
              <w:right w:val="single" w:color="auto" w:sz="4" w:space="0"/>
            </w:tcBorders>
            <w:noWrap/>
            <w:vAlign w:val="center"/>
          </w:tcPr>
          <w:p w14:paraId="2EFDAA1F">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nil"/>
              <w:left w:val="nil"/>
              <w:bottom w:val="single" w:color="auto" w:sz="4" w:space="0"/>
              <w:right w:val="single" w:color="auto" w:sz="4" w:space="0"/>
            </w:tcBorders>
            <w:noWrap/>
            <w:vAlign w:val="center"/>
          </w:tcPr>
          <w:p w14:paraId="7DEC64ED">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3</w:t>
            </w:r>
          </w:p>
        </w:tc>
        <w:tc>
          <w:tcPr>
            <w:tcW w:w="2268" w:type="dxa"/>
            <w:tcBorders>
              <w:top w:val="nil"/>
              <w:left w:val="nil"/>
              <w:bottom w:val="single" w:color="auto" w:sz="4" w:space="0"/>
              <w:right w:val="single" w:color="auto" w:sz="4" w:space="0"/>
            </w:tcBorders>
            <w:vAlign w:val="center"/>
          </w:tcPr>
          <w:p w14:paraId="4B8FA92F">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高清摄像机</w:t>
            </w:r>
          </w:p>
        </w:tc>
        <w:tc>
          <w:tcPr>
            <w:tcW w:w="993" w:type="dxa"/>
            <w:tcBorders>
              <w:top w:val="nil"/>
              <w:left w:val="nil"/>
              <w:bottom w:val="single" w:color="auto" w:sz="4" w:space="0"/>
              <w:right w:val="single" w:color="auto" w:sz="4" w:space="0"/>
            </w:tcBorders>
            <w:noWrap/>
            <w:vAlign w:val="center"/>
          </w:tcPr>
          <w:p w14:paraId="649DAAFE">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5300</w:t>
            </w:r>
          </w:p>
        </w:tc>
        <w:tc>
          <w:tcPr>
            <w:tcW w:w="709" w:type="dxa"/>
            <w:tcBorders>
              <w:top w:val="nil"/>
              <w:left w:val="nil"/>
              <w:bottom w:val="single" w:color="auto" w:sz="4" w:space="0"/>
              <w:right w:val="single" w:color="auto" w:sz="4" w:space="0"/>
            </w:tcBorders>
            <w:vAlign w:val="center"/>
          </w:tcPr>
          <w:p w14:paraId="3F3C226B">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3</w:t>
            </w:r>
          </w:p>
        </w:tc>
        <w:tc>
          <w:tcPr>
            <w:tcW w:w="709" w:type="dxa"/>
            <w:tcBorders>
              <w:top w:val="nil"/>
              <w:left w:val="nil"/>
              <w:bottom w:val="single" w:color="auto" w:sz="4" w:space="0"/>
              <w:right w:val="single" w:color="auto" w:sz="4" w:space="0"/>
            </w:tcBorders>
            <w:vAlign w:val="center"/>
          </w:tcPr>
          <w:p w14:paraId="028F57B7">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台</w:t>
            </w:r>
          </w:p>
        </w:tc>
        <w:tc>
          <w:tcPr>
            <w:tcW w:w="1133" w:type="dxa"/>
            <w:tcBorders>
              <w:top w:val="nil"/>
              <w:left w:val="nil"/>
              <w:bottom w:val="single" w:color="auto" w:sz="4" w:space="0"/>
              <w:right w:val="single" w:color="auto" w:sz="4" w:space="0"/>
            </w:tcBorders>
            <w:vAlign w:val="center"/>
          </w:tcPr>
          <w:p w14:paraId="11E70AF2">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15900</w:t>
            </w:r>
          </w:p>
        </w:tc>
        <w:tc>
          <w:tcPr>
            <w:tcW w:w="1134" w:type="dxa"/>
            <w:tcBorders>
              <w:top w:val="nil"/>
              <w:left w:val="nil"/>
              <w:bottom w:val="single" w:color="auto" w:sz="4" w:space="0"/>
              <w:right w:val="single" w:color="auto" w:sz="4" w:space="0"/>
            </w:tcBorders>
            <w:vAlign w:val="center"/>
          </w:tcPr>
          <w:p w14:paraId="7995D4B0">
            <w:pPr>
              <w:widowControl/>
              <w:spacing w:line="340" w:lineRule="exact"/>
              <w:jc w:val="center"/>
              <w:textAlignment w:val="center"/>
              <w:rPr>
                <w:rFonts w:ascii="华文楷体" w:hAnsi="华文楷体" w:eastAsia="华文楷体" w:cs="宋体"/>
                <w:szCs w:val="21"/>
              </w:rPr>
            </w:pPr>
          </w:p>
        </w:tc>
        <w:tc>
          <w:tcPr>
            <w:tcW w:w="717" w:type="dxa"/>
            <w:tcBorders>
              <w:top w:val="nil"/>
              <w:left w:val="single" w:color="auto" w:sz="4" w:space="0"/>
              <w:bottom w:val="single" w:color="auto" w:sz="4" w:space="0"/>
              <w:right w:val="single" w:color="auto" w:sz="4" w:space="0"/>
            </w:tcBorders>
            <w:vAlign w:val="center"/>
          </w:tcPr>
          <w:p w14:paraId="2D7D512A">
            <w:pPr>
              <w:widowControl/>
              <w:spacing w:line="340" w:lineRule="exact"/>
              <w:jc w:val="center"/>
              <w:textAlignment w:val="center"/>
              <w:rPr>
                <w:rFonts w:ascii="华文楷体" w:hAnsi="华文楷体" w:eastAsia="华文楷体" w:cs="宋体"/>
                <w:szCs w:val="21"/>
              </w:rPr>
            </w:pPr>
          </w:p>
        </w:tc>
      </w:tr>
      <w:tr w14:paraId="21B59BF2">
        <w:tblPrEx>
          <w:tblCellMar>
            <w:top w:w="0" w:type="dxa"/>
            <w:left w:w="108" w:type="dxa"/>
            <w:bottom w:w="0" w:type="dxa"/>
            <w:right w:w="108" w:type="dxa"/>
          </w:tblCellMar>
        </w:tblPrEx>
        <w:trPr>
          <w:trHeight w:val="549" w:hRule="atLeast"/>
        </w:trPr>
        <w:tc>
          <w:tcPr>
            <w:tcW w:w="701" w:type="dxa"/>
            <w:vMerge w:val="continue"/>
            <w:tcBorders>
              <w:left w:val="single" w:color="auto" w:sz="4" w:space="0"/>
              <w:bottom w:val="single" w:color="auto" w:sz="4" w:space="0"/>
              <w:right w:val="single" w:color="auto" w:sz="4" w:space="0"/>
            </w:tcBorders>
            <w:vAlign w:val="center"/>
          </w:tcPr>
          <w:p w14:paraId="3C2FC792">
            <w:pPr>
              <w:widowControl/>
              <w:spacing w:line="340" w:lineRule="exact"/>
              <w:jc w:val="center"/>
              <w:rPr>
                <w:rFonts w:ascii="华文楷体" w:hAnsi="华文楷体" w:eastAsia="华文楷体" w:cs="宋体"/>
                <w:kern w:val="0"/>
                <w:szCs w:val="21"/>
              </w:rPr>
            </w:pPr>
          </w:p>
        </w:tc>
        <w:tc>
          <w:tcPr>
            <w:tcW w:w="1001" w:type="dxa"/>
            <w:vMerge w:val="continue"/>
            <w:tcBorders>
              <w:left w:val="single" w:color="auto" w:sz="4" w:space="0"/>
              <w:bottom w:val="single" w:color="auto" w:sz="4" w:space="0"/>
              <w:right w:val="single" w:color="auto" w:sz="4" w:space="0"/>
            </w:tcBorders>
            <w:noWrap/>
            <w:vAlign w:val="center"/>
          </w:tcPr>
          <w:p w14:paraId="449C55AE">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nil"/>
              <w:left w:val="nil"/>
              <w:bottom w:val="single" w:color="auto" w:sz="4" w:space="0"/>
              <w:right w:val="single" w:color="auto" w:sz="4" w:space="0"/>
            </w:tcBorders>
            <w:noWrap/>
            <w:vAlign w:val="center"/>
          </w:tcPr>
          <w:p w14:paraId="4D1E5BFF">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4</w:t>
            </w:r>
          </w:p>
        </w:tc>
        <w:tc>
          <w:tcPr>
            <w:tcW w:w="2268" w:type="dxa"/>
            <w:tcBorders>
              <w:top w:val="nil"/>
              <w:left w:val="nil"/>
              <w:bottom w:val="single" w:color="auto" w:sz="4" w:space="0"/>
              <w:right w:val="single" w:color="auto" w:sz="4" w:space="0"/>
            </w:tcBorders>
            <w:vAlign w:val="center"/>
          </w:tcPr>
          <w:p w14:paraId="1F81614B">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复合翼无人机</w:t>
            </w:r>
          </w:p>
        </w:tc>
        <w:tc>
          <w:tcPr>
            <w:tcW w:w="993" w:type="dxa"/>
            <w:tcBorders>
              <w:top w:val="nil"/>
              <w:left w:val="nil"/>
              <w:bottom w:val="single" w:color="auto" w:sz="4" w:space="0"/>
              <w:right w:val="single" w:color="auto" w:sz="4" w:space="0"/>
            </w:tcBorders>
            <w:noWrap/>
            <w:vAlign w:val="center"/>
          </w:tcPr>
          <w:p w14:paraId="32BD34E6">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800000</w:t>
            </w:r>
          </w:p>
        </w:tc>
        <w:tc>
          <w:tcPr>
            <w:tcW w:w="709" w:type="dxa"/>
            <w:tcBorders>
              <w:top w:val="nil"/>
              <w:left w:val="nil"/>
              <w:bottom w:val="single" w:color="auto" w:sz="4" w:space="0"/>
              <w:right w:val="single" w:color="auto" w:sz="4" w:space="0"/>
            </w:tcBorders>
            <w:vAlign w:val="center"/>
          </w:tcPr>
          <w:p w14:paraId="46F4B2A4">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w:t>
            </w:r>
          </w:p>
        </w:tc>
        <w:tc>
          <w:tcPr>
            <w:tcW w:w="709" w:type="dxa"/>
            <w:tcBorders>
              <w:top w:val="nil"/>
              <w:left w:val="nil"/>
              <w:bottom w:val="single" w:color="auto" w:sz="4" w:space="0"/>
              <w:right w:val="single" w:color="auto" w:sz="4" w:space="0"/>
            </w:tcBorders>
            <w:vAlign w:val="center"/>
          </w:tcPr>
          <w:p w14:paraId="49B49695">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架</w:t>
            </w:r>
          </w:p>
        </w:tc>
        <w:tc>
          <w:tcPr>
            <w:tcW w:w="1133" w:type="dxa"/>
            <w:tcBorders>
              <w:top w:val="nil"/>
              <w:left w:val="nil"/>
              <w:bottom w:val="single" w:color="auto" w:sz="4" w:space="0"/>
              <w:right w:val="single" w:color="auto" w:sz="4" w:space="0"/>
            </w:tcBorders>
            <w:vAlign w:val="center"/>
          </w:tcPr>
          <w:p w14:paraId="1E197749">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800000</w:t>
            </w:r>
          </w:p>
        </w:tc>
        <w:tc>
          <w:tcPr>
            <w:tcW w:w="1134" w:type="dxa"/>
            <w:tcBorders>
              <w:top w:val="nil"/>
              <w:left w:val="nil"/>
              <w:bottom w:val="single" w:color="auto" w:sz="4" w:space="0"/>
              <w:right w:val="single" w:color="auto" w:sz="4" w:space="0"/>
            </w:tcBorders>
            <w:vAlign w:val="center"/>
          </w:tcPr>
          <w:p w14:paraId="2A18EC5C">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cs="宋体"/>
                <w:szCs w:val="21"/>
              </w:rPr>
              <w:t>（海拔4000米以上运行视频）</w:t>
            </w:r>
          </w:p>
        </w:tc>
        <w:tc>
          <w:tcPr>
            <w:tcW w:w="717" w:type="dxa"/>
            <w:tcBorders>
              <w:top w:val="nil"/>
              <w:left w:val="single" w:color="auto" w:sz="4" w:space="0"/>
              <w:bottom w:val="single" w:color="auto" w:sz="4" w:space="0"/>
              <w:right w:val="single" w:color="auto" w:sz="4" w:space="0"/>
            </w:tcBorders>
            <w:vAlign w:val="center"/>
          </w:tcPr>
          <w:p w14:paraId="28D2311A">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cs="宋体"/>
                <w:sz w:val="21"/>
                <w:szCs w:val="21"/>
              </w:rPr>
              <w:t>●</w:t>
            </w:r>
          </w:p>
        </w:tc>
      </w:tr>
      <w:tr w14:paraId="30895697">
        <w:tblPrEx>
          <w:tblCellMar>
            <w:top w:w="0" w:type="dxa"/>
            <w:left w:w="108" w:type="dxa"/>
            <w:bottom w:w="0" w:type="dxa"/>
            <w:right w:w="108" w:type="dxa"/>
          </w:tblCellMar>
        </w:tblPrEx>
        <w:trPr>
          <w:trHeight w:val="631" w:hRule="atLeast"/>
        </w:trPr>
        <w:tc>
          <w:tcPr>
            <w:tcW w:w="701" w:type="dxa"/>
            <w:vMerge w:val="restart"/>
            <w:tcBorders>
              <w:top w:val="single" w:color="auto" w:sz="4" w:space="0"/>
              <w:left w:val="single" w:color="auto" w:sz="4" w:space="0"/>
              <w:bottom w:val="single" w:color="auto" w:sz="4" w:space="0"/>
              <w:right w:val="single" w:color="auto" w:sz="4" w:space="0"/>
            </w:tcBorders>
            <w:vAlign w:val="center"/>
          </w:tcPr>
          <w:p w14:paraId="6AA576C3">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包三</w:t>
            </w:r>
          </w:p>
        </w:tc>
        <w:tc>
          <w:tcPr>
            <w:tcW w:w="1001" w:type="dxa"/>
            <w:vMerge w:val="restart"/>
            <w:tcBorders>
              <w:top w:val="single" w:color="auto" w:sz="4" w:space="0"/>
              <w:left w:val="single" w:color="auto" w:sz="4" w:space="0"/>
              <w:bottom w:val="single" w:color="auto" w:sz="4" w:space="0"/>
              <w:right w:val="single" w:color="auto" w:sz="4" w:space="0"/>
            </w:tcBorders>
            <w:vAlign w:val="center"/>
          </w:tcPr>
          <w:p w14:paraId="1BEDC242">
            <w:pPr>
              <w:widowControl/>
              <w:spacing w:line="340" w:lineRule="exact"/>
              <w:jc w:val="center"/>
              <w:textAlignment w:val="center"/>
              <w:rPr>
                <w:rFonts w:ascii="华文楷体" w:hAnsi="华文楷体" w:eastAsia="华文楷体" w:cs="宋体"/>
                <w:kern w:val="0"/>
                <w:szCs w:val="21"/>
                <w:lang w:bidi="ar"/>
              </w:rPr>
            </w:pPr>
            <w:r>
              <w:rPr>
                <w:rFonts w:ascii="华文楷体" w:hAnsi="华文楷体" w:eastAsia="华文楷体" w:cs="宋体"/>
                <w:kern w:val="0"/>
                <w:szCs w:val="21"/>
                <w:lang w:bidi="ar"/>
              </w:rPr>
              <w:t>177.73</w:t>
            </w:r>
          </w:p>
        </w:tc>
        <w:tc>
          <w:tcPr>
            <w:tcW w:w="709" w:type="dxa"/>
            <w:tcBorders>
              <w:top w:val="single" w:color="auto" w:sz="4" w:space="0"/>
              <w:left w:val="single" w:color="auto" w:sz="4" w:space="0"/>
              <w:bottom w:val="single" w:color="auto" w:sz="4" w:space="0"/>
              <w:right w:val="single" w:color="auto" w:sz="4" w:space="0"/>
            </w:tcBorders>
            <w:noWrap/>
            <w:vAlign w:val="center"/>
          </w:tcPr>
          <w:p w14:paraId="39307D8B">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w:t>
            </w:r>
          </w:p>
        </w:tc>
        <w:tc>
          <w:tcPr>
            <w:tcW w:w="2268" w:type="dxa"/>
            <w:tcBorders>
              <w:top w:val="single" w:color="auto" w:sz="4" w:space="0"/>
              <w:left w:val="single" w:color="auto" w:sz="4" w:space="0"/>
              <w:bottom w:val="single" w:color="auto" w:sz="4" w:space="0"/>
              <w:right w:val="single" w:color="auto" w:sz="4" w:space="0"/>
            </w:tcBorders>
            <w:vAlign w:val="center"/>
          </w:tcPr>
          <w:p w14:paraId="1CA396BA">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耐低温防冻服</w:t>
            </w:r>
          </w:p>
        </w:tc>
        <w:tc>
          <w:tcPr>
            <w:tcW w:w="993" w:type="dxa"/>
            <w:tcBorders>
              <w:top w:val="single" w:color="auto" w:sz="4" w:space="0"/>
              <w:left w:val="single" w:color="auto" w:sz="4" w:space="0"/>
              <w:bottom w:val="single" w:color="auto" w:sz="4" w:space="0"/>
              <w:right w:val="single" w:color="auto" w:sz="4" w:space="0"/>
            </w:tcBorders>
            <w:noWrap/>
            <w:vAlign w:val="center"/>
          </w:tcPr>
          <w:p w14:paraId="513A0EB3">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2100</w:t>
            </w:r>
          </w:p>
        </w:tc>
        <w:tc>
          <w:tcPr>
            <w:tcW w:w="709" w:type="dxa"/>
            <w:tcBorders>
              <w:top w:val="single" w:color="auto" w:sz="4" w:space="0"/>
              <w:left w:val="single" w:color="auto" w:sz="4" w:space="0"/>
              <w:bottom w:val="single" w:color="auto" w:sz="4" w:space="0"/>
              <w:right w:val="single" w:color="auto" w:sz="4" w:space="0"/>
            </w:tcBorders>
            <w:vAlign w:val="center"/>
          </w:tcPr>
          <w:p w14:paraId="7E5529A2">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10</w:t>
            </w:r>
          </w:p>
        </w:tc>
        <w:tc>
          <w:tcPr>
            <w:tcW w:w="709" w:type="dxa"/>
            <w:tcBorders>
              <w:top w:val="single" w:color="auto" w:sz="4" w:space="0"/>
              <w:left w:val="single" w:color="auto" w:sz="4" w:space="0"/>
              <w:bottom w:val="single" w:color="auto" w:sz="4" w:space="0"/>
              <w:right w:val="single" w:color="auto" w:sz="4" w:space="0"/>
            </w:tcBorders>
            <w:vAlign w:val="center"/>
          </w:tcPr>
          <w:p w14:paraId="7E027EA0">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7FF043DF">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21000</w:t>
            </w:r>
          </w:p>
        </w:tc>
        <w:tc>
          <w:tcPr>
            <w:tcW w:w="1134" w:type="dxa"/>
            <w:tcBorders>
              <w:top w:val="single" w:color="auto" w:sz="4" w:space="0"/>
              <w:left w:val="single" w:color="auto" w:sz="4" w:space="0"/>
              <w:bottom w:val="single" w:color="auto" w:sz="4" w:space="0"/>
              <w:right w:val="single" w:color="auto" w:sz="4" w:space="0"/>
            </w:tcBorders>
            <w:vAlign w:val="center"/>
          </w:tcPr>
          <w:p w14:paraId="27FE4AF7">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5017CF16">
            <w:pPr>
              <w:widowControl/>
              <w:spacing w:line="340" w:lineRule="exact"/>
              <w:jc w:val="center"/>
              <w:textAlignment w:val="center"/>
              <w:rPr>
                <w:rFonts w:ascii="华文楷体" w:hAnsi="华文楷体" w:eastAsia="华文楷体" w:cs="宋体"/>
                <w:szCs w:val="21"/>
              </w:rPr>
            </w:pPr>
          </w:p>
        </w:tc>
      </w:tr>
      <w:tr w14:paraId="3C5610B0">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25DBBF5B">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53658261">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642A46B4">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2</w:t>
            </w:r>
          </w:p>
        </w:tc>
        <w:tc>
          <w:tcPr>
            <w:tcW w:w="2268" w:type="dxa"/>
            <w:tcBorders>
              <w:top w:val="single" w:color="auto" w:sz="4" w:space="0"/>
              <w:left w:val="single" w:color="auto" w:sz="4" w:space="0"/>
              <w:bottom w:val="single" w:color="auto" w:sz="4" w:space="0"/>
              <w:right w:val="single" w:color="auto" w:sz="4" w:space="0"/>
            </w:tcBorders>
            <w:vAlign w:val="center"/>
          </w:tcPr>
          <w:p w14:paraId="7B95D0BF">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防辐射服</w:t>
            </w:r>
          </w:p>
        </w:tc>
        <w:tc>
          <w:tcPr>
            <w:tcW w:w="993" w:type="dxa"/>
            <w:tcBorders>
              <w:top w:val="single" w:color="auto" w:sz="4" w:space="0"/>
              <w:left w:val="single" w:color="auto" w:sz="4" w:space="0"/>
              <w:bottom w:val="single" w:color="auto" w:sz="4" w:space="0"/>
              <w:right w:val="single" w:color="auto" w:sz="4" w:space="0"/>
            </w:tcBorders>
            <w:noWrap/>
            <w:vAlign w:val="center"/>
          </w:tcPr>
          <w:p w14:paraId="35240B97">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7500</w:t>
            </w:r>
          </w:p>
        </w:tc>
        <w:tc>
          <w:tcPr>
            <w:tcW w:w="709" w:type="dxa"/>
            <w:tcBorders>
              <w:top w:val="single" w:color="auto" w:sz="4" w:space="0"/>
              <w:left w:val="single" w:color="auto" w:sz="4" w:space="0"/>
              <w:bottom w:val="single" w:color="auto" w:sz="4" w:space="0"/>
              <w:right w:val="single" w:color="auto" w:sz="4" w:space="0"/>
            </w:tcBorders>
            <w:vAlign w:val="center"/>
          </w:tcPr>
          <w:p w14:paraId="0C3159A1">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4</w:t>
            </w:r>
          </w:p>
        </w:tc>
        <w:tc>
          <w:tcPr>
            <w:tcW w:w="709" w:type="dxa"/>
            <w:tcBorders>
              <w:top w:val="single" w:color="auto" w:sz="4" w:space="0"/>
              <w:left w:val="single" w:color="auto" w:sz="4" w:space="0"/>
              <w:bottom w:val="single" w:color="auto" w:sz="4" w:space="0"/>
              <w:right w:val="single" w:color="auto" w:sz="4" w:space="0"/>
            </w:tcBorders>
            <w:vAlign w:val="center"/>
          </w:tcPr>
          <w:p w14:paraId="7D00F774">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42A0359D">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30000</w:t>
            </w:r>
          </w:p>
        </w:tc>
        <w:tc>
          <w:tcPr>
            <w:tcW w:w="1134" w:type="dxa"/>
            <w:tcBorders>
              <w:top w:val="single" w:color="auto" w:sz="4" w:space="0"/>
              <w:left w:val="single" w:color="auto" w:sz="4" w:space="0"/>
              <w:bottom w:val="single" w:color="auto" w:sz="4" w:space="0"/>
              <w:right w:val="single" w:color="auto" w:sz="4" w:space="0"/>
            </w:tcBorders>
            <w:vAlign w:val="center"/>
          </w:tcPr>
          <w:p w14:paraId="2707E2A4">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5076F033">
            <w:pPr>
              <w:widowControl/>
              <w:spacing w:line="340" w:lineRule="exact"/>
              <w:jc w:val="center"/>
              <w:textAlignment w:val="center"/>
              <w:rPr>
                <w:rFonts w:ascii="华文楷体" w:hAnsi="华文楷体" w:eastAsia="华文楷体" w:cs="宋体"/>
                <w:szCs w:val="21"/>
              </w:rPr>
            </w:pPr>
          </w:p>
        </w:tc>
      </w:tr>
      <w:tr w14:paraId="57B16E65">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06AB13B4">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381C178E">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24583DF0">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3</w:t>
            </w:r>
          </w:p>
        </w:tc>
        <w:tc>
          <w:tcPr>
            <w:tcW w:w="2268" w:type="dxa"/>
            <w:tcBorders>
              <w:top w:val="single" w:color="auto" w:sz="4" w:space="0"/>
              <w:left w:val="single" w:color="auto" w:sz="4" w:space="0"/>
              <w:bottom w:val="single" w:color="auto" w:sz="4" w:space="0"/>
              <w:right w:val="single" w:color="auto" w:sz="4" w:space="0"/>
            </w:tcBorders>
            <w:vAlign w:val="center"/>
          </w:tcPr>
          <w:p w14:paraId="4DF0E704">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柔性堵漏工具</w:t>
            </w:r>
          </w:p>
        </w:tc>
        <w:tc>
          <w:tcPr>
            <w:tcW w:w="993" w:type="dxa"/>
            <w:tcBorders>
              <w:top w:val="single" w:color="auto" w:sz="4" w:space="0"/>
              <w:left w:val="single" w:color="auto" w:sz="4" w:space="0"/>
              <w:bottom w:val="single" w:color="auto" w:sz="4" w:space="0"/>
              <w:right w:val="single" w:color="auto" w:sz="4" w:space="0"/>
            </w:tcBorders>
            <w:noWrap/>
            <w:vAlign w:val="center"/>
          </w:tcPr>
          <w:p w14:paraId="23C1EBEA">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220000</w:t>
            </w:r>
          </w:p>
        </w:tc>
        <w:tc>
          <w:tcPr>
            <w:tcW w:w="709" w:type="dxa"/>
            <w:tcBorders>
              <w:top w:val="single" w:color="auto" w:sz="4" w:space="0"/>
              <w:left w:val="single" w:color="auto" w:sz="4" w:space="0"/>
              <w:bottom w:val="single" w:color="auto" w:sz="4" w:space="0"/>
              <w:right w:val="single" w:color="auto" w:sz="4" w:space="0"/>
            </w:tcBorders>
            <w:vAlign w:val="center"/>
          </w:tcPr>
          <w:p w14:paraId="67A56295">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w:t>
            </w:r>
          </w:p>
        </w:tc>
        <w:tc>
          <w:tcPr>
            <w:tcW w:w="709" w:type="dxa"/>
            <w:tcBorders>
              <w:top w:val="single" w:color="auto" w:sz="4" w:space="0"/>
              <w:left w:val="single" w:color="auto" w:sz="4" w:space="0"/>
              <w:bottom w:val="single" w:color="auto" w:sz="4" w:space="0"/>
              <w:right w:val="single" w:color="auto" w:sz="4" w:space="0"/>
            </w:tcBorders>
            <w:vAlign w:val="center"/>
          </w:tcPr>
          <w:p w14:paraId="5A058FCB">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2E675511">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220000</w:t>
            </w:r>
          </w:p>
        </w:tc>
        <w:tc>
          <w:tcPr>
            <w:tcW w:w="1134" w:type="dxa"/>
            <w:tcBorders>
              <w:top w:val="single" w:color="auto" w:sz="4" w:space="0"/>
              <w:left w:val="single" w:color="auto" w:sz="4" w:space="0"/>
              <w:bottom w:val="single" w:color="auto" w:sz="4" w:space="0"/>
              <w:right w:val="single" w:color="auto" w:sz="4" w:space="0"/>
            </w:tcBorders>
            <w:vAlign w:val="center"/>
          </w:tcPr>
          <w:p w14:paraId="7158C24D">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cs="宋体"/>
                <w:szCs w:val="21"/>
              </w:rPr>
              <w:t>提供</w:t>
            </w:r>
          </w:p>
          <w:p w14:paraId="192242CF">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cs="宋体"/>
                <w:szCs w:val="21"/>
              </w:rPr>
              <w:t>视频</w:t>
            </w:r>
          </w:p>
        </w:tc>
        <w:tc>
          <w:tcPr>
            <w:tcW w:w="717" w:type="dxa"/>
            <w:tcBorders>
              <w:top w:val="single" w:color="auto" w:sz="4" w:space="0"/>
              <w:left w:val="single" w:color="auto" w:sz="4" w:space="0"/>
              <w:bottom w:val="single" w:color="auto" w:sz="4" w:space="0"/>
              <w:right w:val="single" w:color="auto" w:sz="4" w:space="0"/>
            </w:tcBorders>
            <w:vAlign w:val="center"/>
          </w:tcPr>
          <w:p w14:paraId="1FF2F39E">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cs="宋体"/>
                <w:sz w:val="21"/>
                <w:szCs w:val="21"/>
              </w:rPr>
              <w:t>●</w:t>
            </w:r>
          </w:p>
        </w:tc>
      </w:tr>
      <w:tr w14:paraId="0A49AC0C">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5F308C96">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4D4D6B0A">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51DB5403">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4</w:t>
            </w:r>
          </w:p>
        </w:tc>
        <w:tc>
          <w:tcPr>
            <w:tcW w:w="2268" w:type="dxa"/>
            <w:tcBorders>
              <w:top w:val="single" w:color="auto" w:sz="4" w:space="0"/>
              <w:left w:val="single" w:color="auto" w:sz="4" w:space="0"/>
              <w:bottom w:val="single" w:color="auto" w:sz="4" w:space="0"/>
              <w:right w:val="single" w:color="auto" w:sz="4" w:space="0"/>
            </w:tcBorders>
            <w:vAlign w:val="center"/>
          </w:tcPr>
          <w:p w14:paraId="43F8D17D">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磁压式堵漏工具</w:t>
            </w:r>
          </w:p>
        </w:tc>
        <w:tc>
          <w:tcPr>
            <w:tcW w:w="993" w:type="dxa"/>
            <w:tcBorders>
              <w:top w:val="single" w:color="auto" w:sz="4" w:space="0"/>
              <w:left w:val="single" w:color="auto" w:sz="4" w:space="0"/>
              <w:bottom w:val="single" w:color="auto" w:sz="4" w:space="0"/>
              <w:right w:val="single" w:color="auto" w:sz="4" w:space="0"/>
            </w:tcBorders>
            <w:noWrap/>
            <w:vAlign w:val="center"/>
          </w:tcPr>
          <w:p w14:paraId="1520B363">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6500</w:t>
            </w:r>
          </w:p>
        </w:tc>
        <w:tc>
          <w:tcPr>
            <w:tcW w:w="709" w:type="dxa"/>
            <w:tcBorders>
              <w:top w:val="single" w:color="auto" w:sz="4" w:space="0"/>
              <w:left w:val="single" w:color="auto" w:sz="4" w:space="0"/>
              <w:bottom w:val="single" w:color="auto" w:sz="4" w:space="0"/>
              <w:right w:val="single" w:color="auto" w:sz="4" w:space="0"/>
            </w:tcBorders>
            <w:vAlign w:val="center"/>
          </w:tcPr>
          <w:p w14:paraId="14AB0151">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w:t>
            </w:r>
          </w:p>
        </w:tc>
        <w:tc>
          <w:tcPr>
            <w:tcW w:w="709" w:type="dxa"/>
            <w:tcBorders>
              <w:top w:val="single" w:color="auto" w:sz="4" w:space="0"/>
              <w:left w:val="single" w:color="auto" w:sz="4" w:space="0"/>
              <w:bottom w:val="single" w:color="auto" w:sz="4" w:space="0"/>
              <w:right w:val="single" w:color="auto" w:sz="4" w:space="0"/>
            </w:tcBorders>
            <w:vAlign w:val="center"/>
          </w:tcPr>
          <w:p w14:paraId="0177CAA3">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48687266">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6500</w:t>
            </w:r>
          </w:p>
        </w:tc>
        <w:tc>
          <w:tcPr>
            <w:tcW w:w="1134" w:type="dxa"/>
            <w:tcBorders>
              <w:top w:val="single" w:color="auto" w:sz="4" w:space="0"/>
              <w:left w:val="single" w:color="auto" w:sz="4" w:space="0"/>
              <w:bottom w:val="single" w:color="auto" w:sz="4" w:space="0"/>
              <w:right w:val="single" w:color="auto" w:sz="4" w:space="0"/>
            </w:tcBorders>
            <w:vAlign w:val="center"/>
          </w:tcPr>
          <w:p w14:paraId="22FEC3FF">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4CACAC98">
            <w:pPr>
              <w:widowControl/>
              <w:spacing w:line="340" w:lineRule="exact"/>
              <w:jc w:val="center"/>
              <w:textAlignment w:val="center"/>
              <w:rPr>
                <w:rFonts w:ascii="华文楷体" w:hAnsi="华文楷体" w:eastAsia="华文楷体" w:cs="宋体"/>
                <w:szCs w:val="21"/>
              </w:rPr>
            </w:pPr>
          </w:p>
        </w:tc>
      </w:tr>
      <w:tr w14:paraId="180BA167">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788555BF">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31C1C137">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0F915929">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5</w:t>
            </w:r>
          </w:p>
        </w:tc>
        <w:tc>
          <w:tcPr>
            <w:tcW w:w="2268" w:type="dxa"/>
            <w:tcBorders>
              <w:top w:val="single" w:color="auto" w:sz="4" w:space="0"/>
              <w:left w:val="single" w:color="auto" w:sz="4" w:space="0"/>
              <w:bottom w:val="single" w:color="auto" w:sz="4" w:space="0"/>
              <w:right w:val="single" w:color="auto" w:sz="4" w:space="0"/>
            </w:tcBorders>
            <w:vAlign w:val="center"/>
          </w:tcPr>
          <w:p w14:paraId="647C5D4B">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工业级带压堵漏法兰夹具</w:t>
            </w:r>
          </w:p>
        </w:tc>
        <w:tc>
          <w:tcPr>
            <w:tcW w:w="993" w:type="dxa"/>
            <w:tcBorders>
              <w:top w:val="single" w:color="auto" w:sz="4" w:space="0"/>
              <w:left w:val="single" w:color="auto" w:sz="4" w:space="0"/>
              <w:bottom w:val="single" w:color="auto" w:sz="4" w:space="0"/>
              <w:right w:val="single" w:color="auto" w:sz="4" w:space="0"/>
            </w:tcBorders>
            <w:noWrap/>
            <w:vAlign w:val="center"/>
          </w:tcPr>
          <w:p w14:paraId="7280ABD1">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7000</w:t>
            </w:r>
          </w:p>
        </w:tc>
        <w:tc>
          <w:tcPr>
            <w:tcW w:w="709" w:type="dxa"/>
            <w:tcBorders>
              <w:top w:val="single" w:color="auto" w:sz="4" w:space="0"/>
              <w:left w:val="single" w:color="auto" w:sz="4" w:space="0"/>
              <w:bottom w:val="single" w:color="auto" w:sz="4" w:space="0"/>
              <w:right w:val="single" w:color="auto" w:sz="4" w:space="0"/>
            </w:tcBorders>
            <w:vAlign w:val="center"/>
          </w:tcPr>
          <w:p w14:paraId="0385A057">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w:t>
            </w:r>
          </w:p>
        </w:tc>
        <w:tc>
          <w:tcPr>
            <w:tcW w:w="709" w:type="dxa"/>
            <w:tcBorders>
              <w:top w:val="single" w:color="auto" w:sz="4" w:space="0"/>
              <w:left w:val="single" w:color="auto" w:sz="4" w:space="0"/>
              <w:bottom w:val="single" w:color="auto" w:sz="4" w:space="0"/>
              <w:right w:val="single" w:color="auto" w:sz="4" w:space="0"/>
            </w:tcBorders>
            <w:vAlign w:val="center"/>
          </w:tcPr>
          <w:p w14:paraId="1A32880C">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3DE3DD4D">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7000</w:t>
            </w:r>
          </w:p>
        </w:tc>
        <w:tc>
          <w:tcPr>
            <w:tcW w:w="1134" w:type="dxa"/>
            <w:tcBorders>
              <w:top w:val="single" w:color="auto" w:sz="4" w:space="0"/>
              <w:left w:val="single" w:color="auto" w:sz="4" w:space="0"/>
              <w:bottom w:val="single" w:color="auto" w:sz="4" w:space="0"/>
              <w:right w:val="single" w:color="auto" w:sz="4" w:space="0"/>
            </w:tcBorders>
            <w:vAlign w:val="center"/>
          </w:tcPr>
          <w:p w14:paraId="5B745CFE">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05C6ADF7">
            <w:pPr>
              <w:widowControl/>
              <w:spacing w:line="340" w:lineRule="exact"/>
              <w:jc w:val="center"/>
              <w:textAlignment w:val="center"/>
              <w:rPr>
                <w:rFonts w:ascii="华文楷体" w:hAnsi="华文楷体" w:eastAsia="华文楷体" w:cs="宋体"/>
                <w:szCs w:val="21"/>
              </w:rPr>
            </w:pPr>
          </w:p>
        </w:tc>
      </w:tr>
      <w:tr w14:paraId="1FEE4307">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29F2BA8F">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3E101154">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34665A92">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6</w:t>
            </w:r>
          </w:p>
        </w:tc>
        <w:tc>
          <w:tcPr>
            <w:tcW w:w="2268" w:type="dxa"/>
            <w:tcBorders>
              <w:top w:val="single" w:color="auto" w:sz="4" w:space="0"/>
              <w:left w:val="single" w:color="auto" w:sz="4" w:space="0"/>
              <w:bottom w:val="single" w:color="auto" w:sz="4" w:space="0"/>
              <w:right w:val="single" w:color="auto" w:sz="4" w:space="0"/>
            </w:tcBorders>
            <w:vAlign w:val="center"/>
          </w:tcPr>
          <w:p w14:paraId="26B61342">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堵漏工具</w:t>
            </w:r>
          </w:p>
          <w:p w14:paraId="7BE4DCF8">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（包含外封式堵漏袋1套、捆绑式堵漏工具1套、金属堵漏套管1套、气动吸盘式堵漏器1套、注入式堵漏工具1套）</w:t>
            </w:r>
          </w:p>
        </w:tc>
        <w:tc>
          <w:tcPr>
            <w:tcW w:w="993" w:type="dxa"/>
            <w:tcBorders>
              <w:top w:val="single" w:color="auto" w:sz="4" w:space="0"/>
              <w:left w:val="single" w:color="auto" w:sz="4" w:space="0"/>
              <w:bottom w:val="single" w:color="auto" w:sz="4" w:space="0"/>
              <w:right w:val="single" w:color="auto" w:sz="4" w:space="0"/>
            </w:tcBorders>
            <w:noWrap/>
            <w:vAlign w:val="center"/>
          </w:tcPr>
          <w:p w14:paraId="37045958">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36000</w:t>
            </w:r>
          </w:p>
        </w:tc>
        <w:tc>
          <w:tcPr>
            <w:tcW w:w="709" w:type="dxa"/>
            <w:tcBorders>
              <w:top w:val="single" w:color="auto" w:sz="4" w:space="0"/>
              <w:left w:val="single" w:color="auto" w:sz="4" w:space="0"/>
              <w:bottom w:val="single" w:color="auto" w:sz="4" w:space="0"/>
              <w:right w:val="single" w:color="auto" w:sz="4" w:space="0"/>
            </w:tcBorders>
            <w:vAlign w:val="center"/>
          </w:tcPr>
          <w:p w14:paraId="2ECEAAC0">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5</w:t>
            </w:r>
          </w:p>
        </w:tc>
        <w:tc>
          <w:tcPr>
            <w:tcW w:w="709" w:type="dxa"/>
            <w:tcBorders>
              <w:top w:val="single" w:color="auto" w:sz="4" w:space="0"/>
              <w:left w:val="single" w:color="auto" w:sz="4" w:space="0"/>
              <w:bottom w:val="single" w:color="auto" w:sz="4" w:space="0"/>
              <w:right w:val="single" w:color="auto" w:sz="4" w:space="0"/>
            </w:tcBorders>
            <w:vAlign w:val="center"/>
          </w:tcPr>
          <w:p w14:paraId="01694086">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451CC227">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180000</w:t>
            </w:r>
          </w:p>
        </w:tc>
        <w:tc>
          <w:tcPr>
            <w:tcW w:w="1134" w:type="dxa"/>
            <w:tcBorders>
              <w:top w:val="single" w:color="auto" w:sz="4" w:space="0"/>
              <w:left w:val="single" w:color="auto" w:sz="4" w:space="0"/>
              <w:bottom w:val="single" w:color="auto" w:sz="4" w:space="0"/>
              <w:right w:val="single" w:color="auto" w:sz="4" w:space="0"/>
            </w:tcBorders>
            <w:vAlign w:val="center"/>
          </w:tcPr>
          <w:p w14:paraId="228704A2">
            <w:pPr>
              <w:widowControl/>
              <w:spacing w:line="340" w:lineRule="exact"/>
              <w:jc w:val="center"/>
              <w:textAlignment w:val="center"/>
              <w:rPr>
                <w:rFonts w:ascii="华文楷体" w:hAnsi="华文楷体" w:eastAsia="华文楷体"/>
                <w:szCs w:val="21"/>
              </w:rPr>
            </w:pPr>
            <w:r>
              <w:rPr>
                <w:rFonts w:hint="eastAsia" w:ascii="华文楷体" w:hAnsi="华文楷体" w:eastAsia="华文楷体"/>
                <w:szCs w:val="21"/>
              </w:rPr>
              <w:t>提供</w:t>
            </w:r>
          </w:p>
          <w:p w14:paraId="50D408C5">
            <w:pPr>
              <w:widowControl/>
              <w:spacing w:line="340" w:lineRule="exact"/>
              <w:jc w:val="center"/>
              <w:textAlignment w:val="center"/>
              <w:rPr>
                <w:rFonts w:ascii="华文楷体" w:hAnsi="华文楷体" w:eastAsia="华文楷体"/>
                <w:szCs w:val="21"/>
              </w:rPr>
            </w:pPr>
            <w:r>
              <w:rPr>
                <w:rFonts w:hint="eastAsia" w:ascii="华文楷体" w:hAnsi="华文楷体" w:eastAsia="华文楷体"/>
                <w:szCs w:val="21"/>
              </w:rPr>
              <w:t>视频</w:t>
            </w:r>
          </w:p>
        </w:tc>
        <w:tc>
          <w:tcPr>
            <w:tcW w:w="717" w:type="dxa"/>
            <w:tcBorders>
              <w:top w:val="single" w:color="auto" w:sz="4" w:space="0"/>
              <w:left w:val="single" w:color="auto" w:sz="4" w:space="0"/>
              <w:bottom w:val="single" w:color="auto" w:sz="4" w:space="0"/>
              <w:right w:val="single" w:color="auto" w:sz="4" w:space="0"/>
            </w:tcBorders>
            <w:vAlign w:val="center"/>
          </w:tcPr>
          <w:p w14:paraId="3147B697">
            <w:pPr>
              <w:widowControl/>
              <w:spacing w:line="340" w:lineRule="exact"/>
              <w:jc w:val="center"/>
              <w:textAlignment w:val="center"/>
              <w:rPr>
                <w:rFonts w:ascii="华文楷体" w:hAnsi="华文楷体" w:eastAsia="华文楷体" w:cs="宋体"/>
                <w:szCs w:val="21"/>
              </w:rPr>
            </w:pPr>
          </w:p>
        </w:tc>
      </w:tr>
      <w:tr w14:paraId="6443E4B6">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7CD2419C">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59BB57E4">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527EA2F6">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lang w:bidi="ar"/>
              </w:rPr>
              <w:t>7</w:t>
            </w:r>
          </w:p>
        </w:tc>
        <w:tc>
          <w:tcPr>
            <w:tcW w:w="2268" w:type="dxa"/>
            <w:tcBorders>
              <w:top w:val="single" w:color="auto" w:sz="4" w:space="0"/>
              <w:left w:val="single" w:color="auto" w:sz="4" w:space="0"/>
              <w:bottom w:val="single" w:color="auto" w:sz="4" w:space="0"/>
              <w:right w:val="single" w:color="auto" w:sz="4" w:space="0"/>
            </w:tcBorders>
            <w:vAlign w:val="center"/>
          </w:tcPr>
          <w:p w14:paraId="6DA01934">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超低延展静力绳（100米）</w:t>
            </w:r>
          </w:p>
        </w:tc>
        <w:tc>
          <w:tcPr>
            <w:tcW w:w="993" w:type="dxa"/>
            <w:tcBorders>
              <w:top w:val="single" w:color="auto" w:sz="4" w:space="0"/>
              <w:left w:val="single" w:color="auto" w:sz="4" w:space="0"/>
              <w:bottom w:val="single" w:color="auto" w:sz="4" w:space="0"/>
              <w:right w:val="single" w:color="auto" w:sz="4" w:space="0"/>
            </w:tcBorders>
            <w:noWrap/>
            <w:vAlign w:val="center"/>
          </w:tcPr>
          <w:p w14:paraId="757459AF">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3000</w:t>
            </w:r>
          </w:p>
        </w:tc>
        <w:tc>
          <w:tcPr>
            <w:tcW w:w="709" w:type="dxa"/>
            <w:tcBorders>
              <w:top w:val="single" w:color="auto" w:sz="4" w:space="0"/>
              <w:left w:val="single" w:color="auto" w:sz="4" w:space="0"/>
              <w:bottom w:val="single" w:color="auto" w:sz="4" w:space="0"/>
              <w:right w:val="single" w:color="auto" w:sz="4" w:space="0"/>
            </w:tcBorders>
            <w:vAlign w:val="center"/>
          </w:tcPr>
          <w:p w14:paraId="7FEA38CC">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30</w:t>
            </w:r>
          </w:p>
        </w:tc>
        <w:tc>
          <w:tcPr>
            <w:tcW w:w="709" w:type="dxa"/>
            <w:tcBorders>
              <w:top w:val="single" w:color="auto" w:sz="4" w:space="0"/>
              <w:left w:val="single" w:color="auto" w:sz="4" w:space="0"/>
              <w:bottom w:val="single" w:color="auto" w:sz="4" w:space="0"/>
              <w:right w:val="single" w:color="auto" w:sz="4" w:space="0"/>
            </w:tcBorders>
            <w:vAlign w:val="center"/>
          </w:tcPr>
          <w:p w14:paraId="7E8B4EE7">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根</w:t>
            </w:r>
          </w:p>
        </w:tc>
        <w:tc>
          <w:tcPr>
            <w:tcW w:w="1133" w:type="dxa"/>
            <w:tcBorders>
              <w:top w:val="single" w:color="auto" w:sz="4" w:space="0"/>
              <w:left w:val="single" w:color="auto" w:sz="4" w:space="0"/>
              <w:bottom w:val="single" w:color="auto" w:sz="4" w:space="0"/>
              <w:right w:val="single" w:color="auto" w:sz="4" w:space="0"/>
            </w:tcBorders>
            <w:vAlign w:val="center"/>
          </w:tcPr>
          <w:p w14:paraId="5E802939">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90000</w:t>
            </w:r>
          </w:p>
        </w:tc>
        <w:tc>
          <w:tcPr>
            <w:tcW w:w="1134" w:type="dxa"/>
            <w:tcBorders>
              <w:top w:val="single" w:color="auto" w:sz="4" w:space="0"/>
              <w:left w:val="single" w:color="auto" w:sz="4" w:space="0"/>
              <w:bottom w:val="single" w:color="auto" w:sz="4" w:space="0"/>
              <w:right w:val="single" w:color="auto" w:sz="4" w:space="0"/>
            </w:tcBorders>
            <w:vAlign w:val="center"/>
          </w:tcPr>
          <w:p w14:paraId="23D0B083">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4B3FD7E6">
            <w:pPr>
              <w:widowControl/>
              <w:spacing w:line="340" w:lineRule="exact"/>
              <w:jc w:val="center"/>
              <w:textAlignment w:val="center"/>
              <w:rPr>
                <w:rFonts w:ascii="华文楷体" w:hAnsi="华文楷体" w:eastAsia="华文楷体" w:cs="宋体"/>
                <w:szCs w:val="21"/>
              </w:rPr>
            </w:pPr>
          </w:p>
        </w:tc>
      </w:tr>
      <w:tr w14:paraId="26F7E0E4">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1563051D">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69EA8304">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01A25088">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8</w:t>
            </w:r>
          </w:p>
        </w:tc>
        <w:tc>
          <w:tcPr>
            <w:tcW w:w="2268" w:type="dxa"/>
            <w:tcBorders>
              <w:top w:val="single" w:color="auto" w:sz="4" w:space="0"/>
              <w:left w:val="single" w:color="auto" w:sz="4" w:space="0"/>
              <w:bottom w:val="single" w:color="auto" w:sz="4" w:space="0"/>
              <w:right w:val="single" w:color="auto" w:sz="4" w:space="0"/>
            </w:tcBorders>
            <w:vAlign w:val="center"/>
          </w:tcPr>
          <w:p w14:paraId="55A7230E">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绳索收纳包</w:t>
            </w:r>
          </w:p>
        </w:tc>
        <w:tc>
          <w:tcPr>
            <w:tcW w:w="993" w:type="dxa"/>
            <w:tcBorders>
              <w:top w:val="single" w:color="auto" w:sz="4" w:space="0"/>
              <w:left w:val="single" w:color="auto" w:sz="4" w:space="0"/>
              <w:bottom w:val="single" w:color="auto" w:sz="4" w:space="0"/>
              <w:right w:val="single" w:color="auto" w:sz="4" w:space="0"/>
            </w:tcBorders>
            <w:noWrap/>
            <w:vAlign w:val="center"/>
          </w:tcPr>
          <w:p w14:paraId="17E19420">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600</w:t>
            </w:r>
          </w:p>
        </w:tc>
        <w:tc>
          <w:tcPr>
            <w:tcW w:w="709" w:type="dxa"/>
            <w:tcBorders>
              <w:top w:val="single" w:color="auto" w:sz="4" w:space="0"/>
              <w:left w:val="single" w:color="auto" w:sz="4" w:space="0"/>
              <w:bottom w:val="single" w:color="auto" w:sz="4" w:space="0"/>
              <w:right w:val="single" w:color="auto" w:sz="4" w:space="0"/>
            </w:tcBorders>
            <w:vAlign w:val="center"/>
          </w:tcPr>
          <w:p w14:paraId="5465732B">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20</w:t>
            </w:r>
          </w:p>
        </w:tc>
        <w:tc>
          <w:tcPr>
            <w:tcW w:w="709" w:type="dxa"/>
            <w:tcBorders>
              <w:top w:val="single" w:color="auto" w:sz="4" w:space="0"/>
              <w:left w:val="single" w:color="auto" w:sz="4" w:space="0"/>
              <w:bottom w:val="single" w:color="auto" w:sz="4" w:space="0"/>
              <w:right w:val="single" w:color="auto" w:sz="4" w:space="0"/>
            </w:tcBorders>
            <w:vAlign w:val="center"/>
          </w:tcPr>
          <w:p w14:paraId="0CD6883F">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31F48B88">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12000</w:t>
            </w:r>
          </w:p>
        </w:tc>
        <w:tc>
          <w:tcPr>
            <w:tcW w:w="1134" w:type="dxa"/>
            <w:tcBorders>
              <w:top w:val="single" w:color="auto" w:sz="4" w:space="0"/>
              <w:left w:val="single" w:color="auto" w:sz="4" w:space="0"/>
              <w:bottom w:val="single" w:color="auto" w:sz="4" w:space="0"/>
              <w:right w:val="single" w:color="auto" w:sz="4" w:space="0"/>
            </w:tcBorders>
            <w:vAlign w:val="center"/>
          </w:tcPr>
          <w:p w14:paraId="5964CFCB">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0F46D5D0">
            <w:pPr>
              <w:widowControl/>
              <w:spacing w:line="340" w:lineRule="exact"/>
              <w:jc w:val="center"/>
              <w:textAlignment w:val="center"/>
              <w:rPr>
                <w:rFonts w:ascii="华文楷体" w:hAnsi="华文楷体" w:eastAsia="华文楷体" w:cs="宋体"/>
                <w:szCs w:val="21"/>
              </w:rPr>
            </w:pPr>
          </w:p>
        </w:tc>
      </w:tr>
      <w:tr w14:paraId="229E5AB5">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4A377AA5">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75719B67">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009BF9AB">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9</w:t>
            </w:r>
          </w:p>
        </w:tc>
        <w:tc>
          <w:tcPr>
            <w:tcW w:w="2268" w:type="dxa"/>
            <w:tcBorders>
              <w:top w:val="single" w:color="auto" w:sz="4" w:space="0"/>
              <w:left w:val="single" w:color="auto" w:sz="4" w:space="0"/>
              <w:bottom w:val="single" w:color="auto" w:sz="4" w:space="0"/>
              <w:right w:val="single" w:color="auto" w:sz="4" w:space="0"/>
            </w:tcBorders>
            <w:vAlign w:val="center"/>
          </w:tcPr>
          <w:p w14:paraId="2C41AC21">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胸灯</w:t>
            </w:r>
          </w:p>
        </w:tc>
        <w:tc>
          <w:tcPr>
            <w:tcW w:w="993" w:type="dxa"/>
            <w:tcBorders>
              <w:top w:val="single" w:color="auto" w:sz="4" w:space="0"/>
              <w:left w:val="single" w:color="auto" w:sz="4" w:space="0"/>
              <w:bottom w:val="single" w:color="auto" w:sz="4" w:space="0"/>
              <w:right w:val="single" w:color="auto" w:sz="4" w:space="0"/>
            </w:tcBorders>
            <w:noWrap/>
            <w:vAlign w:val="center"/>
          </w:tcPr>
          <w:p w14:paraId="640CA929">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300</w:t>
            </w:r>
          </w:p>
        </w:tc>
        <w:tc>
          <w:tcPr>
            <w:tcW w:w="709" w:type="dxa"/>
            <w:tcBorders>
              <w:top w:val="single" w:color="auto" w:sz="4" w:space="0"/>
              <w:left w:val="single" w:color="auto" w:sz="4" w:space="0"/>
              <w:bottom w:val="single" w:color="auto" w:sz="4" w:space="0"/>
              <w:right w:val="single" w:color="auto" w:sz="4" w:space="0"/>
            </w:tcBorders>
            <w:vAlign w:val="center"/>
          </w:tcPr>
          <w:p w14:paraId="35F3D97F">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40</w:t>
            </w:r>
          </w:p>
        </w:tc>
        <w:tc>
          <w:tcPr>
            <w:tcW w:w="709" w:type="dxa"/>
            <w:tcBorders>
              <w:top w:val="single" w:color="auto" w:sz="4" w:space="0"/>
              <w:left w:val="single" w:color="auto" w:sz="4" w:space="0"/>
              <w:bottom w:val="single" w:color="auto" w:sz="4" w:space="0"/>
              <w:right w:val="single" w:color="auto" w:sz="4" w:space="0"/>
            </w:tcBorders>
            <w:vAlign w:val="center"/>
          </w:tcPr>
          <w:p w14:paraId="55921D1D">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236FA40E">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12000</w:t>
            </w:r>
          </w:p>
        </w:tc>
        <w:tc>
          <w:tcPr>
            <w:tcW w:w="1134" w:type="dxa"/>
            <w:tcBorders>
              <w:top w:val="single" w:color="auto" w:sz="4" w:space="0"/>
              <w:left w:val="single" w:color="auto" w:sz="4" w:space="0"/>
              <w:bottom w:val="single" w:color="auto" w:sz="4" w:space="0"/>
              <w:right w:val="single" w:color="auto" w:sz="4" w:space="0"/>
            </w:tcBorders>
            <w:vAlign w:val="center"/>
          </w:tcPr>
          <w:p w14:paraId="23F3FA88">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7F0CE89C">
            <w:pPr>
              <w:widowControl/>
              <w:spacing w:line="340" w:lineRule="exact"/>
              <w:jc w:val="center"/>
              <w:textAlignment w:val="center"/>
              <w:rPr>
                <w:rFonts w:ascii="华文楷体" w:hAnsi="华文楷体" w:eastAsia="华文楷体" w:cs="宋体"/>
                <w:szCs w:val="21"/>
              </w:rPr>
            </w:pPr>
          </w:p>
        </w:tc>
      </w:tr>
      <w:tr w14:paraId="46B60C0A">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118355CC">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282A8B40">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772AC810">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10</w:t>
            </w:r>
          </w:p>
        </w:tc>
        <w:tc>
          <w:tcPr>
            <w:tcW w:w="2268" w:type="dxa"/>
            <w:tcBorders>
              <w:top w:val="single" w:color="auto" w:sz="4" w:space="0"/>
              <w:left w:val="single" w:color="auto" w:sz="4" w:space="0"/>
              <w:bottom w:val="single" w:color="auto" w:sz="4" w:space="0"/>
              <w:right w:val="single" w:color="auto" w:sz="4" w:space="0"/>
            </w:tcBorders>
            <w:vAlign w:val="center"/>
          </w:tcPr>
          <w:p w14:paraId="3CCC1124">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绳索救援套装（包含山岳头盔1顶、自制停式单凸轮下降器1个、游动止坠器1个、手式上升器（右手）1个、脚踏带1条、势能吸收器1条、牛尾绳1条、绳索救援手套2双、短连接1条、膝式辅助上升器1个、五点式全身安全吊带1套）</w:t>
            </w:r>
          </w:p>
        </w:tc>
        <w:tc>
          <w:tcPr>
            <w:tcW w:w="993" w:type="dxa"/>
            <w:tcBorders>
              <w:top w:val="single" w:color="auto" w:sz="4" w:space="0"/>
              <w:left w:val="single" w:color="auto" w:sz="4" w:space="0"/>
              <w:bottom w:val="single" w:color="auto" w:sz="4" w:space="0"/>
              <w:right w:val="single" w:color="auto" w:sz="4" w:space="0"/>
            </w:tcBorders>
            <w:noWrap/>
            <w:vAlign w:val="center"/>
          </w:tcPr>
          <w:p w14:paraId="104D920D">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12000</w:t>
            </w:r>
          </w:p>
        </w:tc>
        <w:tc>
          <w:tcPr>
            <w:tcW w:w="709" w:type="dxa"/>
            <w:tcBorders>
              <w:top w:val="single" w:color="auto" w:sz="4" w:space="0"/>
              <w:left w:val="single" w:color="auto" w:sz="4" w:space="0"/>
              <w:bottom w:val="single" w:color="auto" w:sz="4" w:space="0"/>
              <w:right w:val="single" w:color="auto" w:sz="4" w:space="0"/>
            </w:tcBorders>
            <w:vAlign w:val="center"/>
          </w:tcPr>
          <w:p w14:paraId="291F4FB4">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30</w:t>
            </w:r>
          </w:p>
        </w:tc>
        <w:tc>
          <w:tcPr>
            <w:tcW w:w="709" w:type="dxa"/>
            <w:tcBorders>
              <w:top w:val="single" w:color="auto" w:sz="4" w:space="0"/>
              <w:left w:val="single" w:color="auto" w:sz="4" w:space="0"/>
              <w:bottom w:val="single" w:color="auto" w:sz="4" w:space="0"/>
              <w:right w:val="single" w:color="auto" w:sz="4" w:space="0"/>
            </w:tcBorders>
            <w:vAlign w:val="center"/>
          </w:tcPr>
          <w:p w14:paraId="609C880C">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05144825">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360000</w:t>
            </w:r>
          </w:p>
        </w:tc>
        <w:tc>
          <w:tcPr>
            <w:tcW w:w="1134" w:type="dxa"/>
            <w:tcBorders>
              <w:top w:val="single" w:color="auto" w:sz="4" w:space="0"/>
              <w:left w:val="single" w:color="auto" w:sz="4" w:space="0"/>
              <w:bottom w:val="single" w:color="auto" w:sz="4" w:space="0"/>
              <w:right w:val="single" w:color="auto" w:sz="4" w:space="0"/>
            </w:tcBorders>
            <w:vAlign w:val="center"/>
          </w:tcPr>
          <w:p w14:paraId="714552D0">
            <w:pPr>
              <w:widowControl/>
              <w:spacing w:line="340" w:lineRule="exact"/>
              <w:jc w:val="center"/>
              <w:textAlignment w:val="center"/>
              <w:rPr>
                <w:rFonts w:ascii="华文楷体" w:hAnsi="华文楷体" w:eastAsia="华文楷体" w:cs="宋体"/>
                <w:b/>
                <w:szCs w:val="21"/>
              </w:rPr>
            </w:pPr>
            <w:r>
              <w:rPr>
                <w:rFonts w:hint="eastAsia" w:ascii="华文楷体" w:hAnsi="华文楷体" w:eastAsia="华文楷体" w:cs="宋体"/>
                <w:b/>
                <w:szCs w:val="21"/>
              </w:rPr>
              <w:t>√</w:t>
            </w:r>
          </w:p>
        </w:tc>
        <w:tc>
          <w:tcPr>
            <w:tcW w:w="717" w:type="dxa"/>
            <w:tcBorders>
              <w:top w:val="single" w:color="auto" w:sz="4" w:space="0"/>
              <w:left w:val="single" w:color="auto" w:sz="4" w:space="0"/>
              <w:bottom w:val="single" w:color="auto" w:sz="4" w:space="0"/>
              <w:right w:val="single" w:color="auto" w:sz="4" w:space="0"/>
            </w:tcBorders>
            <w:vAlign w:val="center"/>
          </w:tcPr>
          <w:p w14:paraId="1099E252">
            <w:pPr>
              <w:widowControl/>
              <w:spacing w:line="340" w:lineRule="exact"/>
              <w:jc w:val="center"/>
              <w:textAlignment w:val="center"/>
              <w:rPr>
                <w:rFonts w:ascii="华文楷体" w:hAnsi="华文楷体" w:eastAsia="华文楷体" w:cs="宋体"/>
                <w:szCs w:val="21"/>
              </w:rPr>
            </w:pPr>
          </w:p>
        </w:tc>
      </w:tr>
      <w:tr w14:paraId="3D93A3C3">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2E428D0E">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6C1F418E">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472ADB7B">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11</w:t>
            </w:r>
          </w:p>
        </w:tc>
        <w:tc>
          <w:tcPr>
            <w:tcW w:w="2268" w:type="dxa"/>
            <w:tcBorders>
              <w:top w:val="single" w:color="auto" w:sz="4" w:space="0"/>
              <w:left w:val="single" w:color="auto" w:sz="4" w:space="0"/>
              <w:bottom w:val="single" w:color="auto" w:sz="4" w:space="0"/>
              <w:right w:val="single" w:color="auto" w:sz="4" w:space="0"/>
            </w:tcBorders>
            <w:vAlign w:val="center"/>
          </w:tcPr>
          <w:p w14:paraId="6BEC6A1E">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强光户外应急救援灯</w:t>
            </w:r>
          </w:p>
        </w:tc>
        <w:tc>
          <w:tcPr>
            <w:tcW w:w="993" w:type="dxa"/>
            <w:tcBorders>
              <w:top w:val="single" w:color="auto" w:sz="4" w:space="0"/>
              <w:left w:val="single" w:color="auto" w:sz="4" w:space="0"/>
              <w:bottom w:val="single" w:color="auto" w:sz="4" w:space="0"/>
              <w:right w:val="single" w:color="auto" w:sz="4" w:space="0"/>
            </w:tcBorders>
            <w:noWrap/>
            <w:vAlign w:val="center"/>
          </w:tcPr>
          <w:p w14:paraId="3C66637B">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5000</w:t>
            </w:r>
          </w:p>
        </w:tc>
        <w:tc>
          <w:tcPr>
            <w:tcW w:w="709" w:type="dxa"/>
            <w:tcBorders>
              <w:top w:val="single" w:color="auto" w:sz="4" w:space="0"/>
              <w:left w:val="single" w:color="auto" w:sz="4" w:space="0"/>
              <w:bottom w:val="single" w:color="auto" w:sz="4" w:space="0"/>
              <w:right w:val="single" w:color="auto" w:sz="4" w:space="0"/>
            </w:tcBorders>
            <w:vAlign w:val="center"/>
          </w:tcPr>
          <w:p w14:paraId="1F85DC8D">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6</w:t>
            </w:r>
          </w:p>
        </w:tc>
        <w:tc>
          <w:tcPr>
            <w:tcW w:w="709" w:type="dxa"/>
            <w:tcBorders>
              <w:top w:val="single" w:color="auto" w:sz="4" w:space="0"/>
              <w:left w:val="single" w:color="auto" w:sz="4" w:space="0"/>
              <w:bottom w:val="single" w:color="auto" w:sz="4" w:space="0"/>
              <w:right w:val="single" w:color="auto" w:sz="4" w:space="0"/>
            </w:tcBorders>
            <w:vAlign w:val="center"/>
          </w:tcPr>
          <w:p w14:paraId="27AE6C57">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79F21ADA">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30000</w:t>
            </w:r>
          </w:p>
        </w:tc>
        <w:tc>
          <w:tcPr>
            <w:tcW w:w="1134" w:type="dxa"/>
            <w:tcBorders>
              <w:top w:val="single" w:color="auto" w:sz="4" w:space="0"/>
              <w:left w:val="single" w:color="auto" w:sz="4" w:space="0"/>
              <w:bottom w:val="single" w:color="auto" w:sz="4" w:space="0"/>
              <w:right w:val="single" w:color="auto" w:sz="4" w:space="0"/>
            </w:tcBorders>
            <w:vAlign w:val="center"/>
          </w:tcPr>
          <w:p w14:paraId="48A057C7">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51ECEDA0">
            <w:pPr>
              <w:widowControl/>
              <w:spacing w:line="340" w:lineRule="exact"/>
              <w:jc w:val="center"/>
              <w:textAlignment w:val="center"/>
              <w:rPr>
                <w:rFonts w:ascii="华文楷体" w:hAnsi="华文楷体" w:eastAsia="华文楷体" w:cs="宋体"/>
                <w:szCs w:val="21"/>
              </w:rPr>
            </w:pPr>
          </w:p>
        </w:tc>
      </w:tr>
      <w:tr w14:paraId="3F47F594">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2AEFCE5D">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734B9B7D">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3F79C313">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12</w:t>
            </w:r>
          </w:p>
        </w:tc>
        <w:tc>
          <w:tcPr>
            <w:tcW w:w="2268" w:type="dxa"/>
            <w:tcBorders>
              <w:top w:val="single" w:color="auto" w:sz="4" w:space="0"/>
              <w:left w:val="single" w:color="auto" w:sz="4" w:space="0"/>
              <w:bottom w:val="single" w:color="auto" w:sz="4" w:space="0"/>
              <w:right w:val="single" w:color="auto" w:sz="4" w:space="0"/>
            </w:tcBorders>
            <w:vAlign w:val="center"/>
          </w:tcPr>
          <w:p w14:paraId="6C5D2C40">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户外便携式卡式炉(大)</w:t>
            </w:r>
          </w:p>
        </w:tc>
        <w:tc>
          <w:tcPr>
            <w:tcW w:w="993" w:type="dxa"/>
            <w:tcBorders>
              <w:top w:val="single" w:color="auto" w:sz="4" w:space="0"/>
              <w:left w:val="single" w:color="auto" w:sz="4" w:space="0"/>
              <w:bottom w:val="single" w:color="auto" w:sz="4" w:space="0"/>
              <w:right w:val="single" w:color="auto" w:sz="4" w:space="0"/>
            </w:tcBorders>
            <w:noWrap/>
            <w:vAlign w:val="center"/>
          </w:tcPr>
          <w:p w14:paraId="1D43A3AC">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1000</w:t>
            </w:r>
          </w:p>
        </w:tc>
        <w:tc>
          <w:tcPr>
            <w:tcW w:w="709" w:type="dxa"/>
            <w:tcBorders>
              <w:top w:val="single" w:color="auto" w:sz="4" w:space="0"/>
              <w:left w:val="single" w:color="auto" w:sz="4" w:space="0"/>
              <w:bottom w:val="single" w:color="auto" w:sz="4" w:space="0"/>
              <w:right w:val="single" w:color="auto" w:sz="4" w:space="0"/>
            </w:tcBorders>
            <w:vAlign w:val="center"/>
          </w:tcPr>
          <w:p w14:paraId="0ECE2061">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w:t>
            </w:r>
          </w:p>
        </w:tc>
        <w:tc>
          <w:tcPr>
            <w:tcW w:w="709" w:type="dxa"/>
            <w:tcBorders>
              <w:top w:val="single" w:color="auto" w:sz="4" w:space="0"/>
              <w:left w:val="single" w:color="auto" w:sz="4" w:space="0"/>
              <w:bottom w:val="single" w:color="auto" w:sz="4" w:space="0"/>
              <w:right w:val="single" w:color="auto" w:sz="4" w:space="0"/>
            </w:tcBorders>
            <w:vAlign w:val="center"/>
          </w:tcPr>
          <w:p w14:paraId="137EB2DB">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585711CD">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1000</w:t>
            </w:r>
          </w:p>
        </w:tc>
        <w:tc>
          <w:tcPr>
            <w:tcW w:w="1134" w:type="dxa"/>
            <w:tcBorders>
              <w:top w:val="single" w:color="auto" w:sz="4" w:space="0"/>
              <w:left w:val="single" w:color="auto" w:sz="4" w:space="0"/>
              <w:bottom w:val="single" w:color="auto" w:sz="4" w:space="0"/>
              <w:right w:val="single" w:color="auto" w:sz="4" w:space="0"/>
            </w:tcBorders>
            <w:vAlign w:val="center"/>
          </w:tcPr>
          <w:p w14:paraId="0C843340">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2202CD2D">
            <w:pPr>
              <w:widowControl/>
              <w:spacing w:line="340" w:lineRule="exact"/>
              <w:jc w:val="center"/>
              <w:textAlignment w:val="center"/>
              <w:rPr>
                <w:rFonts w:ascii="华文楷体" w:hAnsi="华文楷体" w:eastAsia="华文楷体" w:cs="宋体"/>
                <w:szCs w:val="21"/>
              </w:rPr>
            </w:pPr>
          </w:p>
        </w:tc>
      </w:tr>
      <w:tr w14:paraId="4FAA4C7C">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1C476272">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1E5789B4">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4ABD7F3F">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13</w:t>
            </w:r>
          </w:p>
        </w:tc>
        <w:tc>
          <w:tcPr>
            <w:tcW w:w="2268" w:type="dxa"/>
            <w:tcBorders>
              <w:top w:val="single" w:color="auto" w:sz="4" w:space="0"/>
              <w:left w:val="single" w:color="auto" w:sz="4" w:space="0"/>
              <w:bottom w:val="single" w:color="auto" w:sz="4" w:space="0"/>
              <w:right w:val="single" w:color="auto" w:sz="4" w:space="0"/>
            </w:tcBorders>
            <w:vAlign w:val="center"/>
          </w:tcPr>
          <w:p w14:paraId="669C3B4A">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户外便携式卡式炉</w:t>
            </w:r>
          </w:p>
        </w:tc>
        <w:tc>
          <w:tcPr>
            <w:tcW w:w="993" w:type="dxa"/>
            <w:tcBorders>
              <w:top w:val="single" w:color="auto" w:sz="4" w:space="0"/>
              <w:left w:val="single" w:color="auto" w:sz="4" w:space="0"/>
              <w:bottom w:val="single" w:color="auto" w:sz="4" w:space="0"/>
              <w:right w:val="single" w:color="auto" w:sz="4" w:space="0"/>
            </w:tcBorders>
            <w:noWrap/>
            <w:vAlign w:val="center"/>
          </w:tcPr>
          <w:p w14:paraId="53DD0930">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200</w:t>
            </w:r>
          </w:p>
        </w:tc>
        <w:tc>
          <w:tcPr>
            <w:tcW w:w="709" w:type="dxa"/>
            <w:tcBorders>
              <w:top w:val="single" w:color="auto" w:sz="4" w:space="0"/>
              <w:left w:val="single" w:color="auto" w:sz="4" w:space="0"/>
              <w:bottom w:val="single" w:color="auto" w:sz="4" w:space="0"/>
              <w:right w:val="single" w:color="auto" w:sz="4" w:space="0"/>
            </w:tcBorders>
            <w:vAlign w:val="center"/>
          </w:tcPr>
          <w:p w14:paraId="41B773DA">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4</w:t>
            </w:r>
          </w:p>
        </w:tc>
        <w:tc>
          <w:tcPr>
            <w:tcW w:w="709" w:type="dxa"/>
            <w:tcBorders>
              <w:top w:val="single" w:color="auto" w:sz="4" w:space="0"/>
              <w:left w:val="single" w:color="auto" w:sz="4" w:space="0"/>
              <w:bottom w:val="single" w:color="auto" w:sz="4" w:space="0"/>
              <w:right w:val="single" w:color="auto" w:sz="4" w:space="0"/>
            </w:tcBorders>
            <w:vAlign w:val="center"/>
          </w:tcPr>
          <w:p w14:paraId="3BB4A628">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631A75C7">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800</w:t>
            </w:r>
          </w:p>
        </w:tc>
        <w:tc>
          <w:tcPr>
            <w:tcW w:w="1134" w:type="dxa"/>
            <w:tcBorders>
              <w:top w:val="single" w:color="auto" w:sz="4" w:space="0"/>
              <w:left w:val="single" w:color="auto" w:sz="4" w:space="0"/>
              <w:bottom w:val="single" w:color="auto" w:sz="4" w:space="0"/>
              <w:right w:val="single" w:color="auto" w:sz="4" w:space="0"/>
            </w:tcBorders>
            <w:vAlign w:val="center"/>
          </w:tcPr>
          <w:p w14:paraId="1842C4EF">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727C3A3F">
            <w:pPr>
              <w:widowControl/>
              <w:spacing w:line="340" w:lineRule="exact"/>
              <w:jc w:val="center"/>
              <w:textAlignment w:val="center"/>
              <w:rPr>
                <w:rFonts w:ascii="华文楷体" w:hAnsi="华文楷体" w:eastAsia="华文楷体" w:cs="宋体"/>
                <w:szCs w:val="21"/>
              </w:rPr>
            </w:pPr>
          </w:p>
        </w:tc>
      </w:tr>
      <w:tr w14:paraId="003137BC">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7169B714">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02B31E0C">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7B2DE8EE">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14</w:t>
            </w:r>
          </w:p>
        </w:tc>
        <w:tc>
          <w:tcPr>
            <w:tcW w:w="2268" w:type="dxa"/>
            <w:tcBorders>
              <w:top w:val="single" w:color="auto" w:sz="4" w:space="0"/>
              <w:left w:val="single" w:color="auto" w:sz="4" w:space="0"/>
              <w:bottom w:val="single" w:color="auto" w:sz="4" w:space="0"/>
              <w:right w:val="single" w:color="auto" w:sz="4" w:space="0"/>
            </w:tcBorders>
            <w:vAlign w:val="center"/>
          </w:tcPr>
          <w:p w14:paraId="47869922">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夜视仪（头戴式）</w:t>
            </w:r>
          </w:p>
        </w:tc>
        <w:tc>
          <w:tcPr>
            <w:tcW w:w="993" w:type="dxa"/>
            <w:tcBorders>
              <w:top w:val="single" w:color="auto" w:sz="4" w:space="0"/>
              <w:left w:val="single" w:color="auto" w:sz="4" w:space="0"/>
              <w:bottom w:val="single" w:color="auto" w:sz="4" w:space="0"/>
              <w:right w:val="single" w:color="auto" w:sz="4" w:space="0"/>
            </w:tcBorders>
            <w:noWrap/>
            <w:vAlign w:val="center"/>
          </w:tcPr>
          <w:p w14:paraId="126D453E">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24500</w:t>
            </w:r>
          </w:p>
        </w:tc>
        <w:tc>
          <w:tcPr>
            <w:tcW w:w="709" w:type="dxa"/>
            <w:tcBorders>
              <w:top w:val="single" w:color="auto" w:sz="4" w:space="0"/>
              <w:left w:val="single" w:color="auto" w:sz="4" w:space="0"/>
              <w:bottom w:val="single" w:color="auto" w:sz="4" w:space="0"/>
              <w:right w:val="single" w:color="auto" w:sz="4" w:space="0"/>
            </w:tcBorders>
            <w:vAlign w:val="center"/>
          </w:tcPr>
          <w:p w14:paraId="34D2F4B1">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8</w:t>
            </w:r>
          </w:p>
        </w:tc>
        <w:tc>
          <w:tcPr>
            <w:tcW w:w="709" w:type="dxa"/>
            <w:tcBorders>
              <w:top w:val="single" w:color="auto" w:sz="4" w:space="0"/>
              <w:left w:val="single" w:color="auto" w:sz="4" w:space="0"/>
              <w:bottom w:val="single" w:color="auto" w:sz="4" w:space="0"/>
              <w:right w:val="single" w:color="auto" w:sz="4" w:space="0"/>
            </w:tcBorders>
            <w:vAlign w:val="center"/>
          </w:tcPr>
          <w:p w14:paraId="2A254EAA">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7F5EA609">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196000</w:t>
            </w:r>
          </w:p>
        </w:tc>
        <w:tc>
          <w:tcPr>
            <w:tcW w:w="1134" w:type="dxa"/>
            <w:tcBorders>
              <w:top w:val="single" w:color="auto" w:sz="4" w:space="0"/>
              <w:left w:val="single" w:color="auto" w:sz="4" w:space="0"/>
              <w:bottom w:val="single" w:color="auto" w:sz="4" w:space="0"/>
              <w:right w:val="single" w:color="auto" w:sz="4" w:space="0"/>
            </w:tcBorders>
            <w:vAlign w:val="center"/>
          </w:tcPr>
          <w:p w14:paraId="2B296BB7">
            <w:pPr>
              <w:widowControl/>
              <w:spacing w:line="340" w:lineRule="exact"/>
              <w:jc w:val="center"/>
              <w:textAlignment w:val="center"/>
              <w:rPr>
                <w:rFonts w:ascii="华文楷体" w:hAnsi="华文楷体" w:eastAsia="华文楷体" w:cs="宋体"/>
                <w:b/>
                <w:szCs w:val="21"/>
              </w:rPr>
            </w:pPr>
            <w:r>
              <w:rPr>
                <w:rFonts w:hint="eastAsia" w:ascii="华文楷体" w:hAnsi="华文楷体" w:eastAsia="华文楷体" w:cs="宋体"/>
                <w:b/>
                <w:szCs w:val="21"/>
              </w:rPr>
              <w:t>√</w:t>
            </w:r>
          </w:p>
        </w:tc>
        <w:tc>
          <w:tcPr>
            <w:tcW w:w="717" w:type="dxa"/>
            <w:tcBorders>
              <w:top w:val="single" w:color="auto" w:sz="4" w:space="0"/>
              <w:left w:val="single" w:color="auto" w:sz="4" w:space="0"/>
              <w:bottom w:val="single" w:color="auto" w:sz="4" w:space="0"/>
              <w:right w:val="single" w:color="auto" w:sz="4" w:space="0"/>
            </w:tcBorders>
            <w:vAlign w:val="center"/>
          </w:tcPr>
          <w:p w14:paraId="30CFA751">
            <w:pPr>
              <w:widowControl/>
              <w:spacing w:line="340" w:lineRule="exact"/>
              <w:jc w:val="center"/>
              <w:textAlignment w:val="center"/>
              <w:rPr>
                <w:rFonts w:ascii="华文楷体" w:hAnsi="华文楷体" w:eastAsia="华文楷体" w:cs="宋体"/>
                <w:szCs w:val="21"/>
              </w:rPr>
            </w:pPr>
          </w:p>
        </w:tc>
      </w:tr>
      <w:tr w14:paraId="5DFE646B">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4002930B">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12B5D7E0">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04D9FADA">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15</w:t>
            </w:r>
          </w:p>
        </w:tc>
        <w:tc>
          <w:tcPr>
            <w:tcW w:w="2268" w:type="dxa"/>
            <w:tcBorders>
              <w:top w:val="single" w:color="auto" w:sz="4" w:space="0"/>
              <w:left w:val="single" w:color="auto" w:sz="4" w:space="0"/>
              <w:bottom w:val="single" w:color="auto" w:sz="4" w:space="0"/>
              <w:right w:val="single" w:color="auto" w:sz="4" w:space="0"/>
            </w:tcBorders>
            <w:vAlign w:val="center"/>
          </w:tcPr>
          <w:p w14:paraId="077D654D">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户外救生毯</w:t>
            </w:r>
          </w:p>
        </w:tc>
        <w:tc>
          <w:tcPr>
            <w:tcW w:w="993" w:type="dxa"/>
            <w:tcBorders>
              <w:top w:val="single" w:color="auto" w:sz="4" w:space="0"/>
              <w:left w:val="single" w:color="auto" w:sz="4" w:space="0"/>
              <w:bottom w:val="single" w:color="auto" w:sz="4" w:space="0"/>
              <w:right w:val="single" w:color="auto" w:sz="4" w:space="0"/>
            </w:tcBorders>
            <w:noWrap/>
            <w:vAlign w:val="center"/>
          </w:tcPr>
          <w:p w14:paraId="238468F2">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100</w:t>
            </w:r>
          </w:p>
        </w:tc>
        <w:tc>
          <w:tcPr>
            <w:tcW w:w="709" w:type="dxa"/>
            <w:tcBorders>
              <w:top w:val="single" w:color="auto" w:sz="4" w:space="0"/>
              <w:left w:val="single" w:color="auto" w:sz="4" w:space="0"/>
              <w:bottom w:val="single" w:color="auto" w:sz="4" w:space="0"/>
              <w:right w:val="single" w:color="auto" w:sz="4" w:space="0"/>
            </w:tcBorders>
            <w:vAlign w:val="center"/>
          </w:tcPr>
          <w:p w14:paraId="401387CE">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50</w:t>
            </w:r>
          </w:p>
        </w:tc>
        <w:tc>
          <w:tcPr>
            <w:tcW w:w="709" w:type="dxa"/>
            <w:tcBorders>
              <w:top w:val="single" w:color="auto" w:sz="4" w:space="0"/>
              <w:left w:val="single" w:color="auto" w:sz="4" w:space="0"/>
              <w:bottom w:val="single" w:color="auto" w:sz="4" w:space="0"/>
              <w:right w:val="single" w:color="auto" w:sz="4" w:space="0"/>
            </w:tcBorders>
            <w:vAlign w:val="center"/>
          </w:tcPr>
          <w:p w14:paraId="3DE55BA2">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3C6A8B43">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5000</w:t>
            </w:r>
          </w:p>
        </w:tc>
        <w:tc>
          <w:tcPr>
            <w:tcW w:w="1134" w:type="dxa"/>
            <w:tcBorders>
              <w:top w:val="single" w:color="auto" w:sz="4" w:space="0"/>
              <w:left w:val="single" w:color="auto" w:sz="4" w:space="0"/>
              <w:bottom w:val="single" w:color="auto" w:sz="4" w:space="0"/>
              <w:right w:val="single" w:color="auto" w:sz="4" w:space="0"/>
            </w:tcBorders>
            <w:vAlign w:val="center"/>
          </w:tcPr>
          <w:p w14:paraId="08996589">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7CDDFEB2">
            <w:pPr>
              <w:widowControl/>
              <w:spacing w:line="340" w:lineRule="exact"/>
              <w:jc w:val="center"/>
              <w:textAlignment w:val="center"/>
              <w:rPr>
                <w:rFonts w:ascii="华文楷体" w:hAnsi="华文楷体" w:eastAsia="华文楷体" w:cs="宋体"/>
                <w:szCs w:val="21"/>
              </w:rPr>
            </w:pPr>
          </w:p>
        </w:tc>
      </w:tr>
      <w:tr w14:paraId="165CB2DC">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02FD7EDB">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2451E6B6">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748E79CC">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16</w:t>
            </w:r>
          </w:p>
        </w:tc>
        <w:tc>
          <w:tcPr>
            <w:tcW w:w="2268" w:type="dxa"/>
            <w:tcBorders>
              <w:top w:val="single" w:color="auto" w:sz="4" w:space="0"/>
              <w:left w:val="single" w:color="auto" w:sz="4" w:space="0"/>
              <w:bottom w:val="single" w:color="auto" w:sz="4" w:space="0"/>
              <w:right w:val="single" w:color="auto" w:sz="4" w:space="0"/>
            </w:tcBorders>
            <w:vAlign w:val="center"/>
          </w:tcPr>
          <w:p w14:paraId="7866C4A7">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手持火焰信号</w:t>
            </w:r>
          </w:p>
        </w:tc>
        <w:tc>
          <w:tcPr>
            <w:tcW w:w="993" w:type="dxa"/>
            <w:tcBorders>
              <w:top w:val="single" w:color="auto" w:sz="4" w:space="0"/>
              <w:left w:val="single" w:color="auto" w:sz="4" w:space="0"/>
              <w:bottom w:val="single" w:color="auto" w:sz="4" w:space="0"/>
              <w:right w:val="single" w:color="auto" w:sz="4" w:space="0"/>
            </w:tcBorders>
            <w:noWrap/>
            <w:vAlign w:val="center"/>
          </w:tcPr>
          <w:p w14:paraId="33651C41">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80</w:t>
            </w:r>
          </w:p>
        </w:tc>
        <w:tc>
          <w:tcPr>
            <w:tcW w:w="709" w:type="dxa"/>
            <w:tcBorders>
              <w:top w:val="single" w:color="auto" w:sz="4" w:space="0"/>
              <w:left w:val="single" w:color="auto" w:sz="4" w:space="0"/>
              <w:bottom w:val="single" w:color="auto" w:sz="4" w:space="0"/>
              <w:right w:val="single" w:color="auto" w:sz="4" w:space="0"/>
            </w:tcBorders>
            <w:vAlign w:val="center"/>
          </w:tcPr>
          <w:p w14:paraId="41D1FD72">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50</w:t>
            </w:r>
          </w:p>
        </w:tc>
        <w:tc>
          <w:tcPr>
            <w:tcW w:w="709" w:type="dxa"/>
            <w:tcBorders>
              <w:top w:val="single" w:color="auto" w:sz="4" w:space="0"/>
              <w:left w:val="single" w:color="auto" w:sz="4" w:space="0"/>
              <w:bottom w:val="single" w:color="auto" w:sz="4" w:space="0"/>
              <w:right w:val="single" w:color="auto" w:sz="4" w:space="0"/>
            </w:tcBorders>
            <w:vAlign w:val="center"/>
          </w:tcPr>
          <w:p w14:paraId="0ABEFD56">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71B68D47">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4000</w:t>
            </w:r>
          </w:p>
        </w:tc>
        <w:tc>
          <w:tcPr>
            <w:tcW w:w="1134" w:type="dxa"/>
            <w:tcBorders>
              <w:top w:val="single" w:color="auto" w:sz="4" w:space="0"/>
              <w:left w:val="single" w:color="auto" w:sz="4" w:space="0"/>
              <w:bottom w:val="single" w:color="auto" w:sz="4" w:space="0"/>
              <w:right w:val="single" w:color="auto" w:sz="4" w:space="0"/>
            </w:tcBorders>
            <w:vAlign w:val="center"/>
          </w:tcPr>
          <w:p w14:paraId="6B980395">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782AAA6B">
            <w:pPr>
              <w:widowControl/>
              <w:spacing w:line="340" w:lineRule="exact"/>
              <w:jc w:val="center"/>
              <w:textAlignment w:val="center"/>
              <w:rPr>
                <w:rFonts w:ascii="华文楷体" w:hAnsi="华文楷体" w:eastAsia="华文楷体" w:cs="宋体"/>
                <w:szCs w:val="21"/>
              </w:rPr>
            </w:pPr>
          </w:p>
        </w:tc>
      </w:tr>
      <w:tr w14:paraId="66098E9F">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274B2621">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79A035A3">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5057D497">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17</w:t>
            </w:r>
          </w:p>
        </w:tc>
        <w:tc>
          <w:tcPr>
            <w:tcW w:w="2268" w:type="dxa"/>
            <w:tcBorders>
              <w:top w:val="single" w:color="auto" w:sz="4" w:space="0"/>
              <w:left w:val="single" w:color="auto" w:sz="4" w:space="0"/>
              <w:bottom w:val="single" w:color="auto" w:sz="4" w:space="0"/>
              <w:right w:val="single" w:color="auto" w:sz="4" w:space="0"/>
            </w:tcBorders>
            <w:vAlign w:val="center"/>
          </w:tcPr>
          <w:p w14:paraId="578DD599">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高寒营帐</w:t>
            </w:r>
          </w:p>
        </w:tc>
        <w:tc>
          <w:tcPr>
            <w:tcW w:w="993" w:type="dxa"/>
            <w:tcBorders>
              <w:top w:val="single" w:color="auto" w:sz="4" w:space="0"/>
              <w:left w:val="single" w:color="auto" w:sz="4" w:space="0"/>
              <w:bottom w:val="single" w:color="auto" w:sz="4" w:space="0"/>
              <w:right w:val="single" w:color="auto" w:sz="4" w:space="0"/>
            </w:tcBorders>
            <w:noWrap/>
            <w:vAlign w:val="center"/>
          </w:tcPr>
          <w:p w14:paraId="195CBAA0">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12000</w:t>
            </w:r>
          </w:p>
        </w:tc>
        <w:tc>
          <w:tcPr>
            <w:tcW w:w="709" w:type="dxa"/>
            <w:tcBorders>
              <w:top w:val="single" w:color="auto" w:sz="4" w:space="0"/>
              <w:left w:val="single" w:color="auto" w:sz="4" w:space="0"/>
              <w:bottom w:val="single" w:color="auto" w:sz="4" w:space="0"/>
              <w:right w:val="single" w:color="auto" w:sz="4" w:space="0"/>
            </w:tcBorders>
            <w:vAlign w:val="center"/>
          </w:tcPr>
          <w:p w14:paraId="785EBF8C">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w:t>
            </w:r>
          </w:p>
        </w:tc>
        <w:tc>
          <w:tcPr>
            <w:tcW w:w="709" w:type="dxa"/>
            <w:tcBorders>
              <w:top w:val="single" w:color="auto" w:sz="4" w:space="0"/>
              <w:left w:val="single" w:color="auto" w:sz="4" w:space="0"/>
              <w:bottom w:val="single" w:color="auto" w:sz="4" w:space="0"/>
              <w:right w:val="single" w:color="auto" w:sz="4" w:space="0"/>
            </w:tcBorders>
            <w:vAlign w:val="center"/>
          </w:tcPr>
          <w:p w14:paraId="0A81200B">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18A37470">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12000</w:t>
            </w:r>
          </w:p>
        </w:tc>
        <w:tc>
          <w:tcPr>
            <w:tcW w:w="1134" w:type="dxa"/>
            <w:tcBorders>
              <w:top w:val="single" w:color="auto" w:sz="4" w:space="0"/>
              <w:left w:val="single" w:color="auto" w:sz="4" w:space="0"/>
              <w:bottom w:val="single" w:color="auto" w:sz="4" w:space="0"/>
              <w:right w:val="single" w:color="auto" w:sz="4" w:space="0"/>
            </w:tcBorders>
            <w:vAlign w:val="center"/>
          </w:tcPr>
          <w:p w14:paraId="46336CDB">
            <w:pPr>
              <w:widowControl/>
              <w:spacing w:line="340" w:lineRule="exact"/>
              <w:jc w:val="center"/>
              <w:textAlignment w:val="center"/>
              <w:rPr>
                <w:rFonts w:ascii="华文楷体" w:hAnsi="华文楷体" w:eastAsia="华文楷体"/>
                <w:szCs w:val="21"/>
              </w:rPr>
            </w:pPr>
            <w:r>
              <w:rPr>
                <w:rFonts w:hint="eastAsia" w:ascii="华文楷体" w:hAnsi="华文楷体" w:eastAsia="华文楷体"/>
                <w:szCs w:val="21"/>
              </w:rPr>
              <w:t>提供</w:t>
            </w:r>
          </w:p>
          <w:p w14:paraId="01547E33">
            <w:pPr>
              <w:widowControl/>
              <w:spacing w:line="340" w:lineRule="exact"/>
              <w:jc w:val="center"/>
              <w:textAlignment w:val="center"/>
              <w:rPr>
                <w:rFonts w:ascii="华文楷体" w:hAnsi="华文楷体" w:eastAsia="华文楷体"/>
                <w:szCs w:val="21"/>
              </w:rPr>
            </w:pPr>
            <w:r>
              <w:rPr>
                <w:rFonts w:hint="eastAsia" w:ascii="华文楷体" w:hAnsi="华文楷体" w:eastAsia="华文楷体"/>
                <w:szCs w:val="21"/>
              </w:rPr>
              <w:t>视频</w:t>
            </w:r>
          </w:p>
        </w:tc>
        <w:tc>
          <w:tcPr>
            <w:tcW w:w="717" w:type="dxa"/>
            <w:tcBorders>
              <w:top w:val="single" w:color="auto" w:sz="4" w:space="0"/>
              <w:left w:val="single" w:color="auto" w:sz="4" w:space="0"/>
              <w:bottom w:val="single" w:color="auto" w:sz="4" w:space="0"/>
              <w:right w:val="single" w:color="auto" w:sz="4" w:space="0"/>
            </w:tcBorders>
            <w:vAlign w:val="center"/>
          </w:tcPr>
          <w:p w14:paraId="51CF895F">
            <w:pPr>
              <w:widowControl/>
              <w:spacing w:line="340" w:lineRule="exact"/>
              <w:jc w:val="center"/>
              <w:textAlignment w:val="center"/>
              <w:rPr>
                <w:rFonts w:ascii="华文楷体" w:hAnsi="华文楷体" w:eastAsia="华文楷体" w:cs="宋体"/>
                <w:szCs w:val="21"/>
              </w:rPr>
            </w:pPr>
          </w:p>
        </w:tc>
      </w:tr>
      <w:tr w14:paraId="392CCC05">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66A1CB73">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3F60510B">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6B8DD5FA">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18</w:t>
            </w:r>
          </w:p>
        </w:tc>
        <w:tc>
          <w:tcPr>
            <w:tcW w:w="2268" w:type="dxa"/>
            <w:tcBorders>
              <w:top w:val="single" w:color="auto" w:sz="4" w:space="0"/>
              <w:left w:val="single" w:color="auto" w:sz="4" w:space="0"/>
              <w:bottom w:val="single" w:color="auto" w:sz="4" w:space="0"/>
              <w:right w:val="single" w:color="auto" w:sz="4" w:space="0"/>
            </w:tcBorders>
            <w:vAlign w:val="center"/>
          </w:tcPr>
          <w:p w14:paraId="3C83E9BD">
            <w:pPr>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高寒帐篷</w:t>
            </w:r>
          </w:p>
        </w:tc>
        <w:tc>
          <w:tcPr>
            <w:tcW w:w="993" w:type="dxa"/>
            <w:tcBorders>
              <w:top w:val="single" w:color="auto" w:sz="4" w:space="0"/>
              <w:left w:val="single" w:color="auto" w:sz="4" w:space="0"/>
              <w:bottom w:val="single" w:color="auto" w:sz="4" w:space="0"/>
              <w:right w:val="single" w:color="auto" w:sz="4" w:space="0"/>
            </w:tcBorders>
            <w:noWrap/>
            <w:vAlign w:val="center"/>
          </w:tcPr>
          <w:p w14:paraId="61C53E59">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4000</w:t>
            </w:r>
          </w:p>
        </w:tc>
        <w:tc>
          <w:tcPr>
            <w:tcW w:w="709" w:type="dxa"/>
            <w:tcBorders>
              <w:top w:val="single" w:color="auto" w:sz="4" w:space="0"/>
              <w:left w:val="single" w:color="auto" w:sz="4" w:space="0"/>
              <w:bottom w:val="single" w:color="auto" w:sz="4" w:space="0"/>
              <w:right w:val="single" w:color="auto" w:sz="4" w:space="0"/>
            </w:tcBorders>
            <w:vAlign w:val="center"/>
          </w:tcPr>
          <w:p w14:paraId="268E364A">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5</w:t>
            </w:r>
          </w:p>
        </w:tc>
        <w:tc>
          <w:tcPr>
            <w:tcW w:w="709" w:type="dxa"/>
            <w:tcBorders>
              <w:top w:val="single" w:color="auto" w:sz="4" w:space="0"/>
              <w:left w:val="single" w:color="auto" w:sz="4" w:space="0"/>
              <w:bottom w:val="single" w:color="auto" w:sz="4" w:space="0"/>
              <w:right w:val="single" w:color="auto" w:sz="4" w:space="0"/>
            </w:tcBorders>
            <w:vAlign w:val="center"/>
          </w:tcPr>
          <w:p w14:paraId="25BF2784">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08485185">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20000</w:t>
            </w:r>
          </w:p>
        </w:tc>
        <w:tc>
          <w:tcPr>
            <w:tcW w:w="1134" w:type="dxa"/>
            <w:tcBorders>
              <w:top w:val="single" w:color="auto" w:sz="4" w:space="0"/>
              <w:left w:val="single" w:color="auto" w:sz="4" w:space="0"/>
              <w:bottom w:val="single" w:color="auto" w:sz="4" w:space="0"/>
              <w:right w:val="single" w:color="auto" w:sz="4" w:space="0"/>
            </w:tcBorders>
            <w:vAlign w:val="center"/>
          </w:tcPr>
          <w:p w14:paraId="3A24FD17">
            <w:pPr>
              <w:widowControl/>
              <w:spacing w:line="340" w:lineRule="exact"/>
              <w:jc w:val="center"/>
              <w:textAlignment w:val="center"/>
              <w:rPr>
                <w:rFonts w:ascii="华文楷体" w:hAnsi="华文楷体" w:eastAsia="华文楷体"/>
                <w:szCs w:val="21"/>
              </w:rPr>
            </w:pPr>
            <w:r>
              <w:rPr>
                <w:rFonts w:hint="eastAsia" w:ascii="华文楷体" w:hAnsi="华文楷体" w:eastAsia="华文楷体"/>
                <w:szCs w:val="21"/>
              </w:rPr>
              <w:t>提供</w:t>
            </w:r>
          </w:p>
          <w:p w14:paraId="7ABB2969">
            <w:pPr>
              <w:widowControl/>
              <w:spacing w:line="340" w:lineRule="exact"/>
              <w:jc w:val="center"/>
              <w:textAlignment w:val="center"/>
              <w:rPr>
                <w:rFonts w:ascii="华文楷体" w:hAnsi="华文楷体" w:eastAsia="华文楷体"/>
                <w:szCs w:val="21"/>
              </w:rPr>
            </w:pPr>
            <w:r>
              <w:rPr>
                <w:rFonts w:hint="eastAsia" w:ascii="华文楷体" w:hAnsi="华文楷体" w:eastAsia="华文楷体"/>
                <w:szCs w:val="21"/>
              </w:rPr>
              <w:t>视频</w:t>
            </w:r>
          </w:p>
        </w:tc>
        <w:tc>
          <w:tcPr>
            <w:tcW w:w="717" w:type="dxa"/>
            <w:tcBorders>
              <w:top w:val="single" w:color="auto" w:sz="4" w:space="0"/>
              <w:left w:val="single" w:color="auto" w:sz="4" w:space="0"/>
              <w:bottom w:val="single" w:color="auto" w:sz="4" w:space="0"/>
              <w:right w:val="single" w:color="auto" w:sz="4" w:space="0"/>
            </w:tcBorders>
            <w:vAlign w:val="center"/>
          </w:tcPr>
          <w:p w14:paraId="728722E5">
            <w:pPr>
              <w:widowControl/>
              <w:spacing w:line="340" w:lineRule="exact"/>
              <w:jc w:val="center"/>
              <w:textAlignment w:val="center"/>
              <w:rPr>
                <w:rFonts w:ascii="华文楷体" w:hAnsi="华文楷体" w:eastAsia="华文楷体" w:cs="宋体"/>
                <w:szCs w:val="21"/>
              </w:rPr>
            </w:pPr>
          </w:p>
        </w:tc>
      </w:tr>
      <w:tr w14:paraId="06C6D9EB">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2F2B1D0F">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340CEC85">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57827300">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19</w:t>
            </w:r>
          </w:p>
        </w:tc>
        <w:tc>
          <w:tcPr>
            <w:tcW w:w="2268" w:type="dxa"/>
            <w:tcBorders>
              <w:top w:val="single" w:color="auto" w:sz="4" w:space="0"/>
              <w:left w:val="single" w:color="auto" w:sz="4" w:space="0"/>
              <w:bottom w:val="single" w:color="auto" w:sz="4" w:space="0"/>
              <w:right w:val="single" w:color="auto" w:sz="4" w:space="0"/>
            </w:tcBorders>
            <w:vAlign w:val="center"/>
          </w:tcPr>
          <w:p w14:paraId="78C3E294">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户外防寒套装</w:t>
            </w:r>
          </w:p>
          <w:p w14:paraId="5A2259E3">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（包含高寒睡袋1个、双层防潮气垫1个、轻量徒步背包1个)</w:t>
            </w:r>
          </w:p>
        </w:tc>
        <w:tc>
          <w:tcPr>
            <w:tcW w:w="993" w:type="dxa"/>
            <w:tcBorders>
              <w:top w:val="single" w:color="auto" w:sz="4" w:space="0"/>
              <w:left w:val="single" w:color="auto" w:sz="4" w:space="0"/>
              <w:bottom w:val="single" w:color="auto" w:sz="4" w:space="0"/>
              <w:right w:val="single" w:color="auto" w:sz="4" w:space="0"/>
            </w:tcBorders>
            <w:noWrap/>
            <w:vAlign w:val="center"/>
          </w:tcPr>
          <w:p w14:paraId="5420BD50">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6000</w:t>
            </w:r>
          </w:p>
        </w:tc>
        <w:tc>
          <w:tcPr>
            <w:tcW w:w="709" w:type="dxa"/>
            <w:tcBorders>
              <w:top w:val="single" w:color="auto" w:sz="4" w:space="0"/>
              <w:left w:val="single" w:color="auto" w:sz="4" w:space="0"/>
              <w:bottom w:val="single" w:color="auto" w:sz="4" w:space="0"/>
              <w:right w:val="single" w:color="auto" w:sz="4" w:space="0"/>
            </w:tcBorders>
            <w:vAlign w:val="center"/>
          </w:tcPr>
          <w:p w14:paraId="0A5D5F01">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16</w:t>
            </w:r>
          </w:p>
        </w:tc>
        <w:tc>
          <w:tcPr>
            <w:tcW w:w="709" w:type="dxa"/>
            <w:tcBorders>
              <w:top w:val="single" w:color="auto" w:sz="4" w:space="0"/>
              <w:left w:val="single" w:color="auto" w:sz="4" w:space="0"/>
              <w:bottom w:val="single" w:color="auto" w:sz="4" w:space="0"/>
              <w:right w:val="single" w:color="auto" w:sz="4" w:space="0"/>
            </w:tcBorders>
            <w:vAlign w:val="center"/>
          </w:tcPr>
          <w:p w14:paraId="324AF895">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2275CA23">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96000</w:t>
            </w:r>
          </w:p>
        </w:tc>
        <w:tc>
          <w:tcPr>
            <w:tcW w:w="1134" w:type="dxa"/>
            <w:tcBorders>
              <w:top w:val="single" w:color="auto" w:sz="4" w:space="0"/>
              <w:left w:val="single" w:color="auto" w:sz="4" w:space="0"/>
              <w:bottom w:val="single" w:color="auto" w:sz="4" w:space="0"/>
              <w:right w:val="single" w:color="auto" w:sz="4" w:space="0"/>
            </w:tcBorders>
            <w:vAlign w:val="center"/>
          </w:tcPr>
          <w:p w14:paraId="5DA9FE33">
            <w:pPr>
              <w:widowControl/>
              <w:spacing w:line="340" w:lineRule="exact"/>
              <w:jc w:val="center"/>
              <w:textAlignment w:val="center"/>
              <w:rPr>
                <w:rFonts w:ascii="华文楷体" w:hAnsi="华文楷体" w:eastAsia="华文楷体" w:cs="宋体"/>
                <w:b/>
                <w:szCs w:val="21"/>
              </w:rPr>
            </w:pPr>
            <w:r>
              <w:rPr>
                <w:rFonts w:hint="eastAsia" w:ascii="华文楷体" w:hAnsi="华文楷体" w:eastAsia="华文楷体" w:cs="宋体"/>
                <w:b/>
                <w:szCs w:val="21"/>
              </w:rPr>
              <w:t>√</w:t>
            </w:r>
          </w:p>
        </w:tc>
        <w:tc>
          <w:tcPr>
            <w:tcW w:w="717" w:type="dxa"/>
            <w:tcBorders>
              <w:top w:val="single" w:color="auto" w:sz="4" w:space="0"/>
              <w:left w:val="single" w:color="auto" w:sz="4" w:space="0"/>
              <w:bottom w:val="single" w:color="auto" w:sz="4" w:space="0"/>
              <w:right w:val="single" w:color="auto" w:sz="4" w:space="0"/>
            </w:tcBorders>
            <w:vAlign w:val="center"/>
          </w:tcPr>
          <w:p w14:paraId="171371F1">
            <w:pPr>
              <w:widowControl/>
              <w:spacing w:line="340" w:lineRule="exact"/>
              <w:jc w:val="center"/>
              <w:textAlignment w:val="center"/>
              <w:rPr>
                <w:rFonts w:ascii="华文楷体" w:hAnsi="华文楷体" w:eastAsia="华文楷体" w:cs="宋体"/>
                <w:szCs w:val="21"/>
              </w:rPr>
            </w:pPr>
          </w:p>
        </w:tc>
      </w:tr>
      <w:tr w14:paraId="2DE753B7">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07644BC3">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7AE968F7">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07FB753E">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20</w:t>
            </w:r>
          </w:p>
        </w:tc>
        <w:tc>
          <w:tcPr>
            <w:tcW w:w="2268" w:type="dxa"/>
            <w:tcBorders>
              <w:top w:val="single" w:color="auto" w:sz="4" w:space="0"/>
              <w:left w:val="single" w:color="auto" w:sz="4" w:space="0"/>
              <w:bottom w:val="single" w:color="auto" w:sz="4" w:space="0"/>
              <w:right w:val="single" w:color="auto" w:sz="4" w:space="0"/>
            </w:tcBorders>
            <w:vAlign w:val="center"/>
          </w:tcPr>
          <w:p w14:paraId="66877979">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户外高寒保暖套装（含户外头盔（带头灯）1顶、高寒内衣裤1套、男款立领抓绒外套1套、羽绒服1件、鹅绒户外羽绒裤1件、冲锋裤1件、三合一羽绒登山手套1双、保暖针织帽1顶、防水高山靴1双、户外救援雪镜1个、户外救援雪套1双、户外高寒防护全面罩1个）</w:t>
            </w:r>
          </w:p>
        </w:tc>
        <w:tc>
          <w:tcPr>
            <w:tcW w:w="993" w:type="dxa"/>
            <w:tcBorders>
              <w:top w:val="single" w:color="auto" w:sz="4" w:space="0"/>
              <w:left w:val="single" w:color="auto" w:sz="4" w:space="0"/>
              <w:bottom w:val="single" w:color="auto" w:sz="4" w:space="0"/>
              <w:right w:val="single" w:color="auto" w:sz="4" w:space="0"/>
            </w:tcBorders>
            <w:noWrap/>
            <w:vAlign w:val="center"/>
          </w:tcPr>
          <w:p w14:paraId="786EB753">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15000</w:t>
            </w:r>
          </w:p>
        </w:tc>
        <w:tc>
          <w:tcPr>
            <w:tcW w:w="709" w:type="dxa"/>
            <w:tcBorders>
              <w:top w:val="single" w:color="auto" w:sz="4" w:space="0"/>
              <w:left w:val="single" w:color="auto" w:sz="4" w:space="0"/>
              <w:bottom w:val="single" w:color="auto" w:sz="4" w:space="0"/>
              <w:right w:val="single" w:color="auto" w:sz="4" w:space="0"/>
            </w:tcBorders>
            <w:vAlign w:val="center"/>
          </w:tcPr>
          <w:p w14:paraId="5902858A">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16</w:t>
            </w:r>
          </w:p>
        </w:tc>
        <w:tc>
          <w:tcPr>
            <w:tcW w:w="709" w:type="dxa"/>
            <w:tcBorders>
              <w:top w:val="single" w:color="auto" w:sz="4" w:space="0"/>
              <w:left w:val="single" w:color="auto" w:sz="4" w:space="0"/>
              <w:bottom w:val="single" w:color="auto" w:sz="4" w:space="0"/>
              <w:right w:val="single" w:color="auto" w:sz="4" w:space="0"/>
            </w:tcBorders>
            <w:vAlign w:val="center"/>
          </w:tcPr>
          <w:p w14:paraId="7E000B4B">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63B3C8CB">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240000</w:t>
            </w:r>
          </w:p>
        </w:tc>
        <w:tc>
          <w:tcPr>
            <w:tcW w:w="1134" w:type="dxa"/>
            <w:tcBorders>
              <w:top w:val="single" w:color="auto" w:sz="4" w:space="0"/>
              <w:left w:val="single" w:color="auto" w:sz="4" w:space="0"/>
              <w:bottom w:val="single" w:color="auto" w:sz="4" w:space="0"/>
              <w:right w:val="single" w:color="auto" w:sz="4" w:space="0"/>
            </w:tcBorders>
            <w:vAlign w:val="center"/>
          </w:tcPr>
          <w:p w14:paraId="12B6CAD6">
            <w:pPr>
              <w:widowControl/>
              <w:spacing w:line="340" w:lineRule="exact"/>
              <w:jc w:val="center"/>
              <w:textAlignment w:val="center"/>
              <w:rPr>
                <w:rFonts w:ascii="华文楷体" w:hAnsi="华文楷体" w:eastAsia="华文楷体" w:cs="宋体"/>
                <w:b/>
                <w:szCs w:val="21"/>
              </w:rPr>
            </w:pPr>
            <w:r>
              <w:rPr>
                <w:rFonts w:hint="eastAsia" w:ascii="华文楷体" w:hAnsi="华文楷体" w:eastAsia="华文楷体" w:cs="宋体"/>
                <w:b/>
                <w:szCs w:val="21"/>
              </w:rPr>
              <w:t>√</w:t>
            </w:r>
          </w:p>
        </w:tc>
        <w:tc>
          <w:tcPr>
            <w:tcW w:w="717" w:type="dxa"/>
            <w:tcBorders>
              <w:top w:val="single" w:color="auto" w:sz="4" w:space="0"/>
              <w:left w:val="single" w:color="auto" w:sz="4" w:space="0"/>
              <w:bottom w:val="single" w:color="auto" w:sz="4" w:space="0"/>
              <w:right w:val="single" w:color="auto" w:sz="4" w:space="0"/>
            </w:tcBorders>
            <w:vAlign w:val="center"/>
          </w:tcPr>
          <w:p w14:paraId="0C3990DB">
            <w:pPr>
              <w:widowControl/>
              <w:spacing w:line="340" w:lineRule="exact"/>
              <w:jc w:val="center"/>
              <w:textAlignment w:val="center"/>
              <w:rPr>
                <w:rFonts w:ascii="华文楷体" w:hAnsi="华文楷体" w:eastAsia="华文楷体" w:cs="宋体"/>
                <w:szCs w:val="21"/>
              </w:rPr>
            </w:pPr>
          </w:p>
        </w:tc>
      </w:tr>
      <w:tr w14:paraId="77708BF6">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71DF5131">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7B831DE8">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6BB699F4">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21</w:t>
            </w:r>
          </w:p>
        </w:tc>
        <w:tc>
          <w:tcPr>
            <w:tcW w:w="2268" w:type="dxa"/>
            <w:tcBorders>
              <w:top w:val="single" w:color="auto" w:sz="4" w:space="0"/>
              <w:left w:val="single" w:color="auto" w:sz="4" w:space="0"/>
              <w:bottom w:val="single" w:color="auto" w:sz="4" w:space="0"/>
              <w:right w:val="single" w:color="auto" w:sz="4" w:space="0"/>
            </w:tcBorders>
            <w:vAlign w:val="center"/>
          </w:tcPr>
          <w:p w14:paraId="699F5059">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摩托车骑行装具（包含摩托头盔1顶、风镜1个、骑行护具1套、骑行靴1双、骑行手套1双）</w:t>
            </w:r>
          </w:p>
        </w:tc>
        <w:tc>
          <w:tcPr>
            <w:tcW w:w="993" w:type="dxa"/>
            <w:tcBorders>
              <w:top w:val="single" w:color="auto" w:sz="4" w:space="0"/>
              <w:left w:val="single" w:color="auto" w:sz="4" w:space="0"/>
              <w:bottom w:val="single" w:color="auto" w:sz="4" w:space="0"/>
              <w:right w:val="single" w:color="auto" w:sz="4" w:space="0"/>
            </w:tcBorders>
            <w:noWrap/>
            <w:vAlign w:val="center"/>
          </w:tcPr>
          <w:p w14:paraId="771E5617">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7000</w:t>
            </w:r>
          </w:p>
        </w:tc>
        <w:tc>
          <w:tcPr>
            <w:tcW w:w="709" w:type="dxa"/>
            <w:tcBorders>
              <w:top w:val="single" w:color="auto" w:sz="4" w:space="0"/>
              <w:left w:val="single" w:color="auto" w:sz="4" w:space="0"/>
              <w:bottom w:val="single" w:color="auto" w:sz="4" w:space="0"/>
              <w:right w:val="single" w:color="auto" w:sz="4" w:space="0"/>
            </w:tcBorders>
            <w:vAlign w:val="center"/>
          </w:tcPr>
          <w:p w14:paraId="5F8E6EAF">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6</w:t>
            </w:r>
          </w:p>
        </w:tc>
        <w:tc>
          <w:tcPr>
            <w:tcW w:w="709" w:type="dxa"/>
            <w:tcBorders>
              <w:top w:val="single" w:color="auto" w:sz="4" w:space="0"/>
              <w:left w:val="single" w:color="auto" w:sz="4" w:space="0"/>
              <w:bottom w:val="single" w:color="auto" w:sz="4" w:space="0"/>
              <w:right w:val="single" w:color="auto" w:sz="4" w:space="0"/>
            </w:tcBorders>
            <w:vAlign w:val="center"/>
          </w:tcPr>
          <w:p w14:paraId="34412CC2">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套</w:t>
            </w:r>
          </w:p>
        </w:tc>
        <w:tc>
          <w:tcPr>
            <w:tcW w:w="1133" w:type="dxa"/>
            <w:tcBorders>
              <w:top w:val="single" w:color="auto" w:sz="4" w:space="0"/>
              <w:left w:val="single" w:color="auto" w:sz="4" w:space="0"/>
              <w:bottom w:val="single" w:color="auto" w:sz="4" w:space="0"/>
              <w:right w:val="single" w:color="auto" w:sz="4" w:space="0"/>
            </w:tcBorders>
            <w:vAlign w:val="center"/>
          </w:tcPr>
          <w:p w14:paraId="3B795DF1">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42000</w:t>
            </w:r>
          </w:p>
        </w:tc>
        <w:tc>
          <w:tcPr>
            <w:tcW w:w="1134" w:type="dxa"/>
            <w:tcBorders>
              <w:top w:val="single" w:color="auto" w:sz="4" w:space="0"/>
              <w:left w:val="single" w:color="auto" w:sz="4" w:space="0"/>
              <w:bottom w:val="single" w:color="auto" w:sz="4" w:space="0"/>
              <w:right w:val="single" w:color="auto" w:sz="4" w:space="0"/>
            </w:tcBorders>
            <w:vAlign w:val="center"/>
          </w:tcPr>
          <w:p w14:paraId="5D6962F5">
            <w:pPr>
              <w:widowControl/>
              <w:spacing w:line="340" w:lineRule="exact"/>
              <w:jc w:val="center"/>
              <w:textAlignment w:val="center"/>
              <w:rPr>
                <w:rFonts w:ascii="华文楷体" w:hAnsi="华文楷体" w:eastAsia="华文楷体" w:cs="宋体"/>
                <w:b/>
                <w:szCs w:val="21"/>
              </w:rPr>
            </w:pPr>
            <w:r>
              <w:rPr>
                <w:rFonts w:hint="eastAsia" w:ascii="华文楷体" w:hAnsi="华文楷体" w:eastAsia="华文楷体" w:cs="宋体"/>
                <w:b/>
                <w:szCs w:val="21"/>
              </w:rPr>
              <w:t>√</w:t>
            </w:r>
          </w:p>
        </w:tc>
        <w:tc>
          <w:tcPr>
            <w:tcW w:w="717" w:type="dxa"/>
            <w:tcBorders>
              <w:top w:val="single" w:color="auto" w:sz="4" w:space="0"/>
              <w:left w:val="single" w:color="auto" w:sz="4" w:space="0"/>
              <w:bottom w:val="single" w:color="auto" w:sz="4" w:space="0"/>
              <w:right w:val="single" w:color="auto" w:sz="4" w:space="0"/>
            </w:tcBorders>
            <w:vAlign w:val="center"/>
          </w:tcPr>
          <w:p w14:paraId="0EE70587">
            <w:pPr>
              <w:widowControl/>
              <w:spacing w:line="340" w:lineRule="exact"/>
              <w:jc w:val="center"/>
              <w:textAlignment w:val="center"/>
              <w:rPr>
                <w:rFonts w:ascii="华文楷体" w:hAnsi="华文楷体" w:eastAsia="华文楷体" w:cs="宋体"/>
                <w:szCs w:val="21"/>
              </w:rPr>
            </w:pPr>
          </w:p>
        </w:tc>
      </w:tr>
      <w:tr w14:paraId="272F0B14">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3FA8DB3E">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135D4F2A">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1424ABA0">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22</w:t>
            </w:r>
          </w:p>
        </w:tc>
        <w:tc>
          <w:tcPr>
            <w:tcW w:w="2268" w:type="dxa"/>
            <w:tcBorders>
              <w:top w:val="single" w:color="auto" w:sz="4" w:space="0"/>
              <w:left w:val="single" w:color="auto" w:sz="4" w:space="0"/>
              <w:bottom w:val="single" w:color="auto" w:sz="4" w:space="0"/>
              <w:right w:val="single" w:color="auto" w:sz="4" w:space="0"/>
            </w:tcBorders>
            <w:vAlign w:val="center"/>
          </w:tcPr>
          <w:p w14:paraId="439941CB">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便携式复合气体检测仪</w:t>
            </w:r>
          </w:p>
        </w:tc>
        <w:tc>
          <w:tcPr>
            <w:tcW w:w="993" w:type="dxa"/>
            <w:tcBorders>
              <w:top w:val="single" w:color="auto" w:sz="4" w:space="0"/>
              <w:left w:val="single" w:color="auto" w:sz="4" w:space="0"/>
              <w:bottom w:val="single" w:color="auto" w:sz="4" w:space="0"/>
              <w:right w:val="single" w:color="auto" w:sz="4" w:space="0"/>
            </w:tcBorders>
            <w:noWrap/>
            <w:vAlign w:val="center"/>
          </w:tcPr>
          <w:p w14:paraId="38420965">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48000</w:t>
            </w:r>
          </w:p>
        </w:tc>
        <w:tc>
          <w:tcPr>
            <w:tcW w:w="709" w:type="dxa"/>
            <w:tcBorders>
              <w:top w:val="single" w:color="auto" w:sz="4" w:space="0"/>
              <w:left w:val="single" w:color="auto" w:sz="4" w:space="0"/>
              <w:bottom w:val="single" w:color="auto" w:sz="4" w:space="0"/>
              <w:right w:val="single" w:color="auto" w:sz="4" w:space="0"/>
            </w:tcBorders>
            <w:vAlign w:val="center"/>
          </w:tcPr>
          <w:p w14:paraId="72FC0842">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2</w:t>
            </w:r>
          </w:p>
        </w:tc>
        <w:tc>
          <w:tcPr>
            <w:tcW w:w="709" w:type="dxa"/>
            <w:tcBorders>
              <w:top w:val="single" w:color="auto" w:sz="4" w:space="0"/>
              <w:left w:val="single" w:color="auto" w:sz="4" w:space="0"/>
              <w:bottom w:val="single" w:color="auto" w:sz="4" w:space="0"/>
              <w:right w:val="single" w:color="auto" w:sz="4" w:space="0"/>
            </w:tcBorders>
            <w:vAlign w:val="center"/>
          </w:tcPr>
          <w:p w14:paraId="7D62410D">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台</w:t>
            </w:r>
          </w:p>
        </w:tc>
        <w:tc>
          <w:tcPr>
            <w:tcW w:w="1133" w:type="dxa"/>
            <w:tcBorders>
              <w:top w:val="single" w:color="auto" w:sz="4" w:space="0"/>
              <w:left w:val="single" w:color="auto" w:sz="4" w:space="0"/>
              <w:bottom w:val="single" w:color="auto" w:sz="4" w:space="0"/>
              <w:right w:val="single" w:color="auto" w:sz="4" w:space="0"/>
            </w:tcBorders>
            <w:vAlign w:val="center"/>
          </w:tcPr>
          <w:p w14:paraId="6D71C5F6">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96000</w:t>
            </w:r>
          </w:p>
        </w:tc>
        <w:tc>
          <w:tcPr>
            <w:tcW w:w="1134" w:type="dxa"/>
            <w:tcBorders>
              <w:top w:val="single" w:color="auto" w:sz="4" w:space="0"/>
              <w:left w:val="single" w:color="auto" w:sz="4" w:space="0"/>
              <w:bottom w:val="single" w:color="auto" w:sz="4" w:space="0"/>
              <w:right w:val="single" w:color="auto" w:sz="4" w:space="0"/>
            </w:tcBorders>
            <w:vAlign w:val="center"/>
          </w:tcPr>
          <w:p w14:paraId="3DDED90D">
            <w:pPr>
              <w:widowControl/>
              <w:spacing w:line="340" w:lineRule="exact"/>
              <w:jc w:val="center"/>
              <w:textAlignment w:val="center"/>
              <w:rPr>
                <w:rFonts w:ascii="华文楷体" w:hAnsi="华文楷体" w:eastAsia="华文楷体" w:cs="宋体"/>
                <w:b/>
                <w:szCs w:val="21"/>
              </w:rPr>
            </w:pPr>
            <w:r>
              <w:rPr>
                <w:rFonts w:hint="eastAsia" w:ascii="华文楷体" w:hAnsi="华文楷体" w:eastAsia="华文楷体" w:cs="宋体"/>
                <w:b/>
                <w:szCs w:val="21"/>
              </w:rPr>
              <w:t>√</w:t>
            </w:r>
          </w:p>
        </w:tc>
        <w:tc>
          <w:tcPr>
            <w:tcW w:w="717" w:type="dxa"/>
            <w:tcBorders>
              <w:top w:val="single" w:color="auto" w:sz="4" w:space="0"/>
              <w:left w:val="single" w:color="auto" w:sz="4" w:space="0"/>
              <w:bottom w:val="single" w:color="auto" w:sz="4" w:space="0"/>
              <w:right w:val="single" w:color="auto" w:sz="4" w:space="0"/>
            </w:tcBorders>
            <w:vAlign w:val="center"/>
          </w:tcPr>
          <w:p w14:paraId="72E0B3B7">
            <w:pPr>
              <w:widowControl/>
              <w:spacing w:line="340" w:lineRule="exact"/>
              <w:jc w:val="center"/>
              <w:textAlignment w:val="center"/>
              <w:rPr>
                <w:rFonts w:ascii="华文楷体" w:hAnsi="华文楷体" w:eastAsia="华文楷体" w:cs="宋体"/>
                <w:szCs w:val="21"/>
              </w:rPr>
            </w:pPr>
          </w:p>
        </w:tc>
      </w:tr>
      <w:tr w14:paraId="5D9F39E9">
        <w:tblPrEx>
          <w:tblCellMar>
            <w:top w:w="0" w:type="dxa"/>
            <w:left w:w="108" w:type="dxa"/>
            <w:bottom w:w="0" w:type="dxa"/>
            <w:right w:w="108" w:type="dxa"/>
          </w:tblCellMar>
        </w:tblPrEx>
        <w:trPr>
          <w:trHeight w:val="631" w:hRule="atLeast"/>
        </w:trPr>
        <w:tc>
          <w:tcPr>
            <w:tcW w:w="701" w:type="dxa"/>
            <w:vMerge w:val="continue"/>
            <w:tcBorders>
              <w:top w:val="single" w:color="auto" w:sz="4" w:space="0"/>
              <w:left w:val="single" w:color="auto" w:sz="4" w:space="0"/>
              <w:bottom w:val="single" w:color="auto" w:sz="4" w:space="0"/>
              <w:right w:val="single" w:color="auto" w:sz="4" w:space="0"/>
            </w:tcBorders>
            <w:vAlign w:val="center"/>
          </w:tcPr>
          <w:p w14:paraId="5F2A0A6F">
            <w:pPr>
              <w:widowControl/>
              <w:spacing w:line="340" w:lineRule="exact"/>
              <w:jc w:val="center"/>
              <w:rPr>
                <w:rFonts w:ascii="华文楷体" w:hAnsi="华文楷体" w:eastAsia="华文楷体" w:cs="宋体"/>
                <w:kern w:val="0"/>
                <w:szCs w:val="21"/>
              </w:rPr>
            </w:pPr>
          </w:p>
        </w:tc>
        <w:tc>
          <w:tcPr>
            <w:tcW w:w="1001" w:type="dxa"/>
            <w:vMerge w:val="continue"/>
            <w:tcBorders>
              <w:top w:val="single" w:color="auto" w:sz="4" w:space="0"/>
              <w:left w:val="single" w:color="auto" w:sz="4" w:space="0"/>
              <w:bottom w:val="single" w:color="auto" w:sz="4" w:space="0"/>
              <w:right w:val="single" w:color="auto" w:sz="4" w:space="0"/>
            </w:tcBorders>
            <w:vAlign w:val="center"/>
          </w:tcPr>
          <w:p w14:paraId="21896FFF">
            <w:pPr>
              <w:widowControl/>
              <w:spacing w:line="340" w:lineRule="exact"/>
              <w:jc w:val="center"/>
              <w:textAlignment w:val="center"/>
              <w:rPr>
                <w:rFonts w:ascii="华文楷体" w:hAnsi="华文楷体" w:eastAsia="华文楷体" w:cs="宋体"/>
                <w:kern w:val="0"/>
                <w:szCs w:val="21"/>
                <w:lang w:bidi="ar"/>
              </w:rPr>
            </w:pPr>
          </w:p>
        </w:tc>
        <w:tc>
          <w:tcPr>
            <w:tcW w:w="709" w:type="dxa"/>
            <w:tcBorders>
              <w:top w:val="single" w:color="auto" w:sz="4" w:space="0"/>
              <w:left w:val="single" w:color="auto" w:sz="4" w:space="0"/>
              <w:bottom w:val="single" w:color="auto" w:sz="4" w:space="0"/>
              <w:right w:val="single" w:color="auto" w:sz="4" w:space="0"/>
            </w:tcBorders>
            <w:noWrap/>
            <w:vAlign w:val="center"/>
          </w:tcPr>
          <w:p w14:paraId="08523DF9">
            <w:pPr>
              <w:widowControl/>
              <w:spacing w:line="340" w:lineRule="exact"/>
              <w:jc w:val="center"/>
              <w:textAlignment w:val="center"/>
              <w:rPr>
                <w:rFonts w:ascii="华文楷体" w:hAnsi="华文楷体" w:eastAsia="华文楷体" w:cs="宋体"/>
                <w:kern w:val="0"/>
                <w:szCs w:val="21"/>
                <w:lang w:bidi="ar"/>
              </w:rPr>
            </w:pPr>
            <w:r>
              <w:rPr>
                <w:rFonts w:hint="eastAsia" w:ascii="华文楷体" w:hAnsi="华文楷体" w:eastAsia="华文楷体" w:cs="宋体"/>
                <w:kern w:val="0"/>
                <w:szCs w:val="21"/>
                <w:lang w:bidi="ar"/>
              </w:rPr>
              <w:t>23</w:t>
            </w:r>
          </w:p>
        </w:tc>
        <w:tc>
          <w:tcPr>
            <w:tcW w:w="2268" w:type="dxa"/>
            <w:tcBorders>
              <w:top w:val="single" w:color="auto" w:sz="4" w:space="0"/>
              <w:left w:val="single" w:color="auto" w:sz="4" w:space="0"/>
              <w:bottom w:val="single" w:color="auto" w:sz="4" w:space="0"/>
              <w:right w:val="single" w:color="auto" w:sz="4" w:space="0"/>
            </w:tcBorders>
            <w:vAlign w:val="center"/>
          </w:tcPr>
          <w:p w14:paraId="605A9157">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紧急撤离装置</w:t>
            </w:r>
          </w:p>
        </w:tc>
        <w:tc>
          <w:tcPr>
            <w:tcW w:w="993" w:type="dxa"/>
            <w:tcBorders>
              <w:top w:val="single" w:color="auto" w:sz="4" w:space="0"/>
              <w:left w:val="single" w:color="auto" w:sz="4" w:space="0"/>
              <w:bottom w:val="single" w:color="auto" w:sz="4" w:space="0"/>
              <w:right w:val="single" w:color="auto" w:sz="4" w:space="0"/>
            </w:tcBorders>
            <w:noWrap/>
            <w:vAlign w:val="center"/>
          </w:tcPr>
          <w:p w14:paraId="654D4A94">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6000</w:t>
            </w:r>
          </w:p>
        </w:tc>
        <w:tc>
          <w:tcPr>
            <w:tcW w:w="709" w:type="dxa"/>
            <w:tcBorders>
              <w:top w:val="single" w:color="auto" w:sz="4" w:space="0"/>
              <w:left w:val="single" w:color="auto" w:sz="4" w:space="0"/>
              <w:bottom w:val="single" w:color="auto" w:sz="4" w:space="0"/>
              <w:right w:val="single" w:color="auto" w:sz="4" w:space="0"/>
            </w:tcBorders>
            <w:vAlign w:val="center"/>
          </w:tcPr>
          <w:p w14:paraId="71A5E146">
            <w:pPr>
              <w:widowControl/>
              <w:spacing w:line="340" w:lineRule="exact"/>
              <w:jc w:val="center"/>
              <w:textAlignment w:val="center"/>
              <w:rPr>
                <w:rFonts w:ascii="华文楷体" w:hAnsi="华文楷体" w:eastAsia="华文楷体" w:cs="宋体"/>
                <w:szCs w:val="21"/>
              </w:rPr>
            </w:pPr>
            <w:r>
              <w:rPr>
                <w:rFonts w:ascii="华文楷体" w:hAnsi="华文楷体" w:eastAsia="华文楷体" w:cs="宋体"/>
                <w:szCs w:val="21"/>
              </w:rPr>
              <w:t>16</w:t>
            </w:r>
          </w:p>
        </w:tc>
        <w:tc>
          <w:tcPr>
            <w:tcW w:w="709" w:type="dxa"/>
            <w:tcBorders>
              <w:top w:val="single" w:color="auto" w:sz="4" w:space="0"/>
              <w:left w:val="single" w:color="auto" w:sz="4" w:space="0"/>
              <w:bottom w:val="single" w:color="auto" w:sz="4" w:space="0"/>
              <w:right w:val="single" w:color="auto" w:sz="4" w:space="0"/>
            </w:tcBorders>
            <w:vAlign w:val="center"/>
          </w:tcPr>
          <w:p w14:paraId="44B66B11">
            <w:pPr>
              <w:widowControl/>
              <w:spacing w:line="34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个</w:t>
            </w:r>
          </w:p>
        </w:tc>
        <w:tc>
          <w:tcPr>
            <w:tcW w:w="1133" w:type="dxa"/>
            <w:tcBorders>
              <w:top w:val="single" w:color="auto" w:sz="4" w:space="0"/>
              <w:left w:val="single" w:color="auto" w:sz="4" w:space="0"/>
              <w:bottom w:val="single" w:color="auto" w:sz="4" w:space="0"/>
              <w:right w:val="single" w:color="auto" w:sz="4" w:space="0"/>
            </w:tcBorders>
            <w:vAlign w:val="center"/>
          </w:tcPr>
          <w:p w14:paraId="13BA62B2">
            <w:pPr>
              <w:widowControl/>
              <w:spacing w:line="340" w:lineRule="exact"/>
              <w:jc w:val="center"/>
              <w:textAlignment w:val="center"/>
              <w:rPr>
                <w:rFonts w:ascii="华文楷体" w:hAnsi="华文楷体" w:eastAsia="华文楷体" w:cs="宋体"/>
                <w:szCs w:val="21"/>
              </w:rPr>
            </w:pPr>
            <w:r>
              <w:rPr>
                <w:rFonts w:hint="eastAsia" w:ascii="华文楷体" w:hAnsi="华文楷体" w:eastAsia="华文楷体"/>
                <w:szCs w:val="21"/>
              </w:rPr>
              <w:t>96000</w:t>
            </w:r>
          </w:p>
        </w:tc>
        <w:tc>
          <w:tcPr>
            <w:tcW w:w="1134" w:type="dxa"/>
            <w:tcBorders>
              <w:top w:val="single" w:color="auto" w:sz="4" w:space="0"/>
              <w:left w:val="single" w:color="auto" w:sz="4" w:space="0"/>
              <w:bottom w:val="single" w:color="auto" w:sz="4" w:space="0"/>
              <w:right w:val="single" w:color="auto" w:sz="4" w:space="0"/>
            </w:tcBorders>
            <w:vAlign w:val="center"/>
          </w:tcPr>
          <w:p w14:paraId="1ACD5810">
            <w:pPr>
              <w:widowControl/>
              <w:spacing w:line="340" w:lineRule="exact"/>
              <w:jc w:val="center"/>
              <w:textAlignment w:val="center"/>
              <w:rPr>
                <w:rFonts w:ascii="华文楷体" w:hAnsi="华文楷体" w:eastAsia="华文楷体" w:cs="宋体"/>
                <w:szCs w:val="21"/>
              </w:rPr>
            </w:pPr>
          </w:p>
        </w:tc>
        <w:tc>
          <w:tcPr>
            <w:tcW w:w="717" w:type="dxa"/>
            <w:tcBorders>
              <w:top w:val="single" w:color="auto" w:sz="4" w:space="0"/>
              <w:left w:val="single" w:color="auto" w:sz="4" w:space="0"/>
              <w:bottom w:val="single" w:color="auto" w:sz="4" w:space="0"/>
              <w:right w:val="single" w:color="auto" w:sz="4" w:space="0"/>
            </w:tcBorders>
            <w:vAlign w:val="center"/>
          </w:tcPr>
          <w:p w14:paraId="51FD8F2D">
            <w:pPr>
              <w:widowControl/>
              <w:spacing w:line="340" w:lineRule="exact"/>
              <w:jc w:val="center"/>
              <w:textAlignment w:val="center"/>
              <w:rPr>
                <w:rFonts w:ascii="华文楷体" w:hAnsi="华文楷体" w:eastAsia="华文楷体" w:cs="宋体"/>
                <w:szCs w:val="21"/>
              </w:rPr>
            </w:pPr>
          </w:p>
        </w:tc>
      </w:tr>
      <w:bookmarkEnd w:id="284"/>
      <w:bookmarkEnd w:id="285"/>
    </w:tbl>
    <w:p w14:paraId="24C8C20A">
      <w:pPr>
        <w:adjustRightInd w:val="0"/>
        <w:snapToGrid w:val="0"/>
        <w:spacing w:line="400" w:lineRule="exact"/>
        <w:ind w:firstLine="420" w:firstLineChars="200"/>
        <w:rPr>
          <w:rFonts w:ascii="华文楷体" w:hAnsi="华文楷体" w:eastAsia="华文楷体" w:cs="宋体"/>
          <w:sz w:val="21"/>
          <w:szCs w:val="21"/>
        </w:rPr>
      </w:pPr>
      <w:r>
        <w:rPr>
          <w:rFonts w:hint="eastAsia" w:ascii="华文楷体" w:hAnsi="华文楷体" w:eastAsia="华文楷体" w:cs="宋体"/>
          <w:sz w:val="21"/>
          <w:szCs w:val="21"/>
        </w:rPr>
        <w:t>注：1、采购一览表中带“</w:t>
      </w:r>
      <w:r>
        <w:rPr>
          <w:rFonts w:hint="eastAsia" w:ascii="华文楷体" w:hAnsi="华文楷体" w:eastAsia="华文楷体" w:cs="宋体"/>
          <w:b/>
          <w:szCs w:val="21"/>
        </w:rPr>
        <w:t>√</w:t>
      </w:r>
      <w:r>
        <w:rPr>
          <w:rFonts w:hint="eastAsia" w:ascii="华文楷体" w:hAnsi="华文楷体" w:eastAsia="华文楷体" w:cs="宋体"/>
          <w:sz w:val="21"/>
          <w:szCs w:val="21"/>
        </w:rPr>
        <w:t>”的须提供样品，带“●”的为核心产品。</w:t>
      </w:r>
    </w:p>
    <w:p w14:paraId="6DC2C856">
      <w:pPr>
        <w:adjustRightInd w:val="0"/>
        <w:snapToGrid w:val="0"/>
        <w:spacing w:line="400" w:lineRule="exact"/>
        <w:ind w:firstLine="840" w:firstLineChars="400"/>
        <w:rPr>
          <w:rFonts w:ascii="华文楷体" w:hAnsi="华文楷体" w:eastAsia="华文楷体" w:cs="宋体"/>
          <w:sz w:val="21"/>
          <w:szCs w:val="21"/>
        </w:rPr>
      </w:pPr>
      <w:r>
        <w:rPr>
          <w:rFonts w:hint="eastAsia" w:ascii="华文楷体" w:hAnsi="华文楷体" w:eastAsia="华文楷体" w:cs="宋体"/>
          <w:sz w:val="21"/>
          <w:szCs w:val="21"/>
        </w:rPr>
        <w:t>2、投标人必须对一个完整、独立的包进行投标，不得仅对一个包中的部分产品投标，否则投标无效。</w:t>
      </w:r>
    </w:p>
    <w:p w14:paraId="443D39A0">
      <w:pPr>
        <w:adjustRightInd w:val="0"/>
        <w:snapToGrid w:val="0"/>
        <w:spacing w:line="400" w:lineRule="exact"/>
        <w:ind w:firstLine="840" w:firstLineChars="400"/>
        <w:rPr>
          <w:rFonts w:ascii="华文楷体" w:hAnsi="华文楷体" w:eastAsia="华文楷体" w:cs="宋体"/>
          <w:sz w:val="21"/>
          <w:szCs w:val="21"/>
        </w:rPr>
        <w:sectPr>
          <w:footerReference r:id="rId6" w:type="default"/>
          <w:pgSz w:w="11906" w:h="16838"/>
          <w:pgMar w:top="1304" w:right="1247" w:bottom="1134" w:left="1247" w:header="851" w:footer="794" w:gutter="0"/>
          <w:cols w:space="720" w:num="1"/>
          <w:docGrid w:type="lines" w:linePitch="312" w:charSpace="0"/>
        </w:sectPr>
      </w:pPr>
      <w:r>
        <w:rPr>
          <w:rFonts w:hint="eastAsia" w:ascii="华文楷体" w:hAnsi="华文楷体" w:eastAsia="华文楷体" w:cs="宋体"/>
          <w:sz w:val="21"/>
          <w:szCs w:val="21"/>
        </w:rPr>
        <w:t>3、若核心产品有2家及以上投标人所投产品为同一品牌，则按本招标文件第二部分投标人须知19.6条的规定进行评审。</w:t>
      </w:r>
    </w:p>
    <w:p w14:paraId="38FE5C0A">
      <w:pPr>
        <w:rPr>
          <w:rFonts w:ascii="华文楷体" w:hAnsi="华文楷体" w:eastAsia="华文楷体"/>
          <w:b/>
          <w:bCs/>
          <w:sz w:val="32"/>
          <w:szCs w:val="32"/>
        </w:rPr>
      </w:pPr>
      <w:bookmarkStart w:id="286" w:name="_Toc81325236"/>
      <w:bookmarkStart w:id="287" w:name="_Toc22268"/>
      <w:r>
        <w:rPr>
          <w:rFonts w:hint="eastAsia" w:ascii="华文楷体" w:hAnsi="华文楷体" w:eastAsia="华文楷体"/>
          <w:b/>
          <w:bCs/>
          <w:sz w:val="32"/>
          <w:szCs w:val="32"/>
        </w:rPr>
        <w:t>2、样品清单</w:t>
      </w:r>
    </w:p>
    <w:p w14:paraId="0F2E7FA4">
      <w:pPr>
        <w:jc w:val="center"/>
        <w:rPr>
          <w:rFonts w:ascii="华文楷体" w:hAnsi="华文楷体" w:eastAsia="华文楷体"/>
          <w:b/>
          <w:bCs/>
          <w:sz w:val="32"/>
          <w:szCs w:val="32"/>
        </w:rPr>
      </w:pPr>
      <w:r>
        <w:rPr>
          <w:rFonts w:hint="eastAsia" w:ascii="华文楷体" w:hAnsi="华文楷体" w:eastAsia="华文楷体"/>
          <w:b/>
          <w:bCs/>
          <w:sz w:val="32"/>
          <w:szCs w:val="32"/>
        </w:rPr>
        <w:t>样品清单</w:t>
      </w:r>
    </w:p>
    <w:tbl>
      <w:tblPr>
        <w:tblStyle w:val="26"/>
        <w:tblW w:w="526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84"/>
        <w:gridCol w:w="5867"/>
        <w:gridCol w:w="1277"/>
        <w:gridCol w:w="773"/>
      </w:tblGrid>
      <w:tr w14:paraId="565C1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98" w:hRule="exact"/>
          <w:jc w:val="center"/>
        </w:trPr>
        <w:tc>
          <w:tcPr>
            <w:tcW w:w="553" w:type="pct"/>
            <w:vAlign w:val="center"/>
          </w:tcPr>
          <w:p w14:paraId="5642FBEF">
            <w:pPr>
              <w:jc w:val="center"/>
              <w:rPr>
                <w:rFonts w:ascii="华文楷体" w:hAnsi="华文楷体" w:eastAsia="华文楷体" w:cs="宋体"/>
              </w:rPr>
            </w:pPr>
            <w:r>
              <w:rPr>
                <w:rFonts w:hint="eastAsia" w:ascii="华文楷体" w:hAnsi="华文楷体" w:eastAsia="华文楷体" w:cs="宋体"/>
              </w:rPr>
              <w:t>分包</w:t>
            </w:r>
          </w:p>
        </w:tc>
        <w:tc>
          <w:tcPr>
            <w:tcW w:w="3294" w:type="pct"/>
            <w:vAlign w:val="center"/>
          </w:tcPr>
          <w:p w14:paraId="24901847">
            <w:pPr>
              <w:jc w:val="center"/>
              <w:rPr>
                <w:rFonts w:ascii="华文楷体" w:hAnsi="华文楷体" w:eastAsia="华文楷体" w:cs="宋体"/>
              </w:rPr>
            </w:pPr>
            <w:r>
              <w:rPr>
                <w:rFonts w:hint="eastAsia" w:ascii="华文楷体" w:hAnsi="华文楷体" w:eastAsia="华文楷体" w:cs="宋体"/>
              </w:rPr>
              <w:t>样品名称</w:t>
            </w:r>
          </w:p>
        </w:tc>
        <w:tc>
          <w:tcPr>
            <w:tcW w:w="717" w:type="pct"/>
            <w:vAlign w:val="center"/>
          </w:tcPr>
          <w:p w14:paraId="0CA15C5C">
            <w:pPr>
              <w:jc w:val="center"/>
              <w:rPr>
                <w:rFonts w:ascii="华文楷体" w:hAnsi="华文楷体" w:eastAsia="华文楷体" w:cs="宋体"/>
              </w:rPr>
            </w:pPr>
            <w:r>
              <w:rPr>
                <w:rFonts w:hint="eastAsia" w:ascii="华文楷体" w:hAnsi="华文楷体" w:eastAsia="华文楷体" w:cs="宋体"/>
              </w:rPr>
              <w:t>采购一览表序号</w:t>
            </w:r>
          </w:p>
        </w:tc>
        <w:tc>
          <w:tcPr>
            <w:tcW w:w="434" w:type="pct"/>
            <w:vAlign w:val="center"/>
          </w:tcPr>
          <w:p w14:paraId="48529152">
            <w:pPr>
              <w:jc w:val="center"/>
              <w:rPr>
                <w:rFonts w:ascii="华文楷体" w:hAnsi="华文楷体" w:eastAsia="华文楷体" w:cs="宋体"/>
              </w:rPr>
            </w:pPr>
            <w:r>
              <w:rPr>
                <w:rFonts w:hint="eastAsia" w:ascii="华文楷体" w:hAnsi="华文楷体" w:eastAsia="华文楷体" w:cs="宋体"/>
              </w:rPr>
              <w:t>备注</w:t>
            </w:r>
          </w:p>
        </w:tc>
      </w:tr>
      <w:tr w14:paraId="7DBF7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exact"/>
          <w:jc w:val="center"/>
        </w:trPr>
        <w:tc>
          <w:tcPr>
            <w:tcW w:w="553" w:type="pct"/>
            <w:vMerge w:val="restart"/>
            <w:vAlign w:val="center"/>
          </w:tcPr>
          <w:p w14:paraId="7D358DE3">
            <w:pPr>
              <w:jc w:val="center"/>
              <w:rPr>
                <w:rFonts w:ascii="华文楷体" w:hAnsi="华文楷体" w:eastAsia="华文楷体" w:cs="宋体"/>
              </w:rPr>
            </w:pPr>
            <w:r>
              <w:rPr>
                <w:rFonts w:hint="eastAsia" w:ascii="华文楷体" w:hAnsi="华文楷体" w:eastAsia="华文楷体" w:cs="宋体"/>
              </w:rPr>
              <w:t>包一</w:t>
            </w:r>
          </w:p>
        </w:tc>
        <w:tc>
          <w:tcPr>
            <w:tcW w:w="3294" w:type="pct"/>
            <w:vAlign w:val="center"/>
          </w:tcPr>
          <w:p w14:paraId="39BADB69">
            <w:pPr>
              <w:jc w:val="center"/>
              <w:rPr>
                <w:rFonts w:ascii="华文楷体" w:hAnsi="华文楷体" w:eastAsia="华文楷体" w:cs="宋体"/>
                <w:kern w:val="0"/>
                <w:szCs w:val="21"/>
              </w:rPr>
            </w:pPr>
            <w:r>
              <w:rPr>
                <w:rFonts w:hint="eastAsia" w:ascii="华文楷体" w:hAnsi="华文楷体" w:eastAsia="华文楷体" w:cs="宋体"/>
                <w:kern w:val="0"/>
                <w:szCs w:val="21"/>
              </w:rPr>
              <w:t>夜视全彩相机</w:t>
            </w:r>
          </w:p>
        </w:tc>
        <w:tc>
          <w:tcPr>
            <w:tcW w:w="717" w:type="pct"/>
            <w:vAlign w:val="center"/>
          </w:tcPr>
          <w:p w14:paraId="6E6FBCDC">
            <w:pPr>
              <w:jc w:val="center"/>
              <w:rPr>
                <w:rFonts w:ascii="华文楷体" w:hAnsi="华文楷体" w:eastAsia="华文楷体" w:cs="宋体"/>
              </w:rPr>
            </w:pPr>
            <w:r>
              <w:rPr>
                <w:rFonts w:ascii="华文楷体" w:hAnsi="华文楷体" w:eastAsia="华文楷体" w:cs="宋体"/>
              </w:rPr>
              <w:t>1</w:t>
            </w:r>
          </w:p>
        </w:tc>
        <w:tc>
          <w:tcPr>
            <w:tcW w:w="434" w:type="pct"/>
            <w:vAlign w:val="center"/>
          </w:tcPr>
          <w:p w14:paraId="088C637D">
            <w:pPr>
              <w:jc w:val="center"/>
              <w:rPr>
                <w:rFonts w:ascii="华文楷体" w:hAnsi="华文楷体" w:eastAsia="华文楷体" w:cs="宋体"/>
              </w:rPr>
            </w:pPr>
          </w:p>
        </w:tc>
      </w:tr>
      <w:tr w14:paraId="77B60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exact"/>
          <w:jc w:val="center"/>
        </w:trPr>
        <w:tc>
          <w:tcPr>
            <w:tcW w:w="553" w:type="pct"/>
            <w:vMerge w:val="continue"/>
            <w:vAlign w:val="center"/>
          </w:tcPr>
          <w:p w14:paraId="0FE60E08">
            <w:pPr>
              <w:jc w:val="center"/>
              <w:rPr>
                <w:rFonts w:ascii="华文楷体" w:hAnsi="华文楷体" w:eastAsia="华文楷体" w:cs="宋体"/>
              </w:rPr>
            </w:pPr>
          </w:p>
        </w:tc>
        <w:tc>
          <w:tcPr>
            <w:tcW w:w="3294" w:type="pct"/>
            <w:vAlign w:val="center"/>
          </w:tcPr>
          <w:p w14:paraId="2FC8C9F6">
            <w:pPr>
              <w:jc w:val="center"/>
              <w:rPr>
                <w:rFonts w:ascii="华文楷体" w:hAnsi="华文楷体" w:eastAsia="华文楷体" w:cs="宋体"/>
                <w:kern w:val="0"/>
                <w:szCs w:val="21"/>
              </w:rPr>
            </w:pPr>
            <w:r>
              <w:rPr>
                <w:rFonts w:hint="eastAsia" w:ascii="华文楷体" w:hAnsi="华文楷体" w:eastAsia="华文楷体" w:cs="宋体"/>
                <w:kern w:val="0"/>
                <w:szCs w:val="21"/>
              </w:rPr>
              <w:t>全画幅航测镜头</w:t>
            </w:r>
          </w:p>
        </w:tc>
        <w:tc>
          <w:tcPr>
            <w:tcW w:w="717" w:type="pct"/>
            <w:vAlign w:val="center"/>
          </w:tcPr>
          <w:p w14:paraId="6ABC3A04">
            <w:pPr>
              <w:jc w:val="center"/>
              <w:rPr>
                <w:rFonts w:ascii="华文楷体" w:hAnsi="华文楷体" w:eastAsia="华文楷体" w:cs="宋体"/>
              </w:rPr>
            </w:pPr>
            <w:r>
              <w:rPr>
                <w:rFonts w:ascii="华文楷体" w:hAnsi="华文楷体" w:eastAsia="华文楷体" w:cs="宋体"/>
              </w:rPr>
              <w:t>2</w:t>
            </w:r>
          </w:p>
        </w:tc>
        <w:tc>
          <w:tcPr>
            <w:tcW w:w="434" w:type="pct"/>
            <w:vAlign w:val="center"/>
          </w:tcPr>
          <w:p w14:paraId="5ADE05E4">
            <w:pPr>
              <w:jc w:val="center"/>
              <w:rPr>
                <w:rFonts w:ascii="华文楷体" w:hAnsi="华文楷体" w:eastAsia="华文楷体" w:cs="宋体"/>
              </w:rPr>
            </w:pPr>
          </w:p>
        </w:tc>
      </w:tr>
      <w:tr w14:paraId="02770A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8" w:hRule="exact"/>
          <w:jc w:val="center"/>
        </w:trPr>
        <w:tc>
          <w:tcPr>
            <w:tcW w:w="553" w:type="pct"/>
            <w:vMerge w:val="restart"/>
            <w:vAlign w:val="center"/>
          </w:tcPr>
          <w:p w14:paraId="68C10FE3">
            <w:pPr>
              <w:jc w:val="center"/>
              <w:rPr>
                <w:rFonts w:ascii="华文楷体" w:hAnsi="华文楷体" w:eastAsia="华文楷体" w:cs="宋体"/>
              </w:rPr>
            </w:pPr>
            <w:r>
              <w:rPr>
                <w:rFonts w:hint="eastAsia" w:ascii="华文楷体" w:hAnsi="华文楷体" w:eastAsia="华文楷体" w:cs="宋体"/>
              </w:rPr>
              <w:t>包三</w:t>
            </w:r>
          </w:p>
        </w:tc>
        <w:tc>
          <w:tcPr>
            <w:tcW w:w="3294" w:type="pct"/>
            <w:vAlign w:val="center"/>
          </w:tcPr>
          <w:p w14:paraId="5C5DBC7E">
            <w:pPr>
              <w:widowControl/>
              <w:spacing w:line="36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绳索救援套装（包含山岳头盔1顶、自制停式单凸轮下降器1个、游动止坠器1个、手式上升器（右手）1个、脚踏带1条、势能吸收器1条、牛尾绳1条、绳索救援手套2双、短连接1条、膝式辅助上升器1个、五点式全身安全吊带1套）</w:t>
            </w:r>
          </w:p>
        </w:tc>
        <w:tc>
          <w:tcPr>
            <w:tcW w:w="717" w:type="pct"/>
            <w:vAlign w:val="center"/>
          </w:tcPr>
          <w:p w14:paraId="0D61EBB8">
            <w:pPr>
              <w:jc w:val="center"/>
              <w:rPr>
                <w:rFonts w:ascii="华文楷体" w:hAnsi="华文楷体" w:eastAsia="华文楷体" w:cs="宋体"/>
              </w:rPr>
            </w:pPr>
            <w:r>
              <w:rPr>
                <w:rFonts w:ascii="华文楷体" w:hAnsi="华文楷体" w:eastAsia="华文楷体" w:cs="宋体"/>
              </w:rPr>
              <w:t>10</w:t>
            </w:r>
          </w:p>
        </w:tc>
        <w:tc>
          <w:tcPr>
            <w:tcW w:w="434" w:type="pct"/>
            <w:vAlign w:val="center"/>
          </w:tcPr>
          <w:p w14:paraId="405F2025">
            <w:pPr>
              <w:jc w:val="center"/>
              <w:rPr>
                <w:rFonts w:ascii="华文楷体" w:hAnsi="华文楷体" w:eastAsia="华文楷体" w:cs="宋体"/>
              </w:rPr>
            </w:pPr>
          </w:p>
        </w:tc>
      </w:tr>
      <w:tr w14:paraId="02D5F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60" w:hRule="exact"/>
          <w:jc w:val="center"/>
        </w:trPr>
        <w:tc>
          <w:tcPr>
            <w:tcW w:w="553" w:type="pct"/>
            <w:vMerge w:val="continue"/>
            <w:vAlign w:val="center"/>
          </w:tcPr>
          <w:p w14:paraId="27D5E5BD">
            <w:pPr>
              <w:jc w:val="center"/>
              <w:rPr>
                <w:rFonts w:ascii="华文楷体" w:hAnsi="华文楷体" w:eastAsia="华文楷体" w:cs="宋体"/>
              </w:rPr>
            </w:pPr>
          </w:p>
        </w:tc>
        <w:tc>
          <w:tcPr>
            <w:tcW w:w="3294" w:type="pct"/>
            <w:vAlign w:val="center"/>
          </w:tcPr>
          <w:p w14:paraId="2B6B55AC">
            <w:pPr>
              <w:widowControl/>
              <w:spacing w:line="36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夜视仪（头戴式）</w:t>
            </w:r>
          </w:p>
        </w:tc>
        <w:tc>
          <w:tcPr>
            <w:tcW w:w="717" w:type="pct"/>
            <w:vAlign w:val="center"/>
          </w:tcPr>
          <w:p w14:paraId="6B9A7E46">
            <w:pPr>
              <w:jc w:val="center"/>
              <w:rPr>
                <w:rFonts w:ascii="华文楷体" w:hAnsi="华文楷体" w:eastAsia="华文楷体" w:cs="宋体"/>
              </w:rPr>
            </w:pPr>
            <w:r>
              <w:rPr>
                <w:rFonts w:ascii="华文楷体" w:hAnsi="华文楷体" w:eastAsia="华文楷体" w:cs="宋体"/>
              </w:rPr>
              <w:t>14</w:t>
            </w:r>
          </w:p>
        </w:tc>
        <w:tc>
          <w:tcPr>
            <w:tcW w:w="434" w:type="pct"/>
            <w:vAlign w:val="center"/>
          </w:tcPr>
          <w:p w14:paraId="0A5166C4">
            <w:pPr>
              <w:jc w:val="center"/>
              <w:rPr>
                <w:rFonts w:ascii="华文楷体" w:hAnsi="华文楷体" w:eastAsia="华文楷体" w:cs="宋体"/>
              </w:rPr>
            </w:pPr>
          </w:p>
        </w:tc>
      </w:tr>
      <w:tr w14:paraId="41EC6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553" w:type="pct"/>
            <w:vMerge w:val="continue"/>
            <w:vAlign w:val="center"/>
          </w:tcPr>
          <w:p w14:paraId="64D83BC0">
            <w:pPr>
              <w:jc w:val="center"/>
              <w:rPr>
                <w:rFonts w:ascii="华文楷体" w:hAnsi="华文楷体" w:eastAsia="华文楷体" w:cs="宋体"/>
              </w:rPr>
            </w:pPr>
          </w:p>
        </w:tc>
        <w:tc>
          <w:tcPr>
            <w:tcW w:w="3294" w:type="pct"/>
            <w:vAlign w:val="center"/>
          </w:tcPr>
          <w:p w14:paraId="4F0B4E15">
            <w:pPr>
              <w:widowControl/>
              <w:spacing w:line="36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户外防寒套装</w:t>
            </w:r>
          </w:p>
          <w:p w14:paraId="1BA1BE4A">
            <w:pPr>
              <w:widowControl/>
              <w:spacing w:line="36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（包含高寒睡袋1个、双层防潮气垫1个、轻量徒步背包1个)</w:t>
            </w:r>
          </w:p>
        </w:tc>
        <w:tc>
          <w:tcPr>
            <w:tcW w:w="717" w:type="pct"/>
            <w:vAlign w:val="center"/>
          </w:tcPr>
          <w:p w14:paraId="18A6ECAF">
            <w:pPr>
              <w:jc w:val="center"/>
              <w:rPr>
                <w:rFonts w:ascii="华文楷体" w:hAnsi="华文楷体" w:eastAsia="华文楷体" w:cs="宋体"/>
              </w:rPr>
            </w:pPr>
            <w:r>
              <w:rPr>
                <w:rFonts w:ascii="华文楷体" w:hAnsi="华文楷体" w:eastAsia="华文楷体" w:cs="宋体"/>
              </w:rPr>
              <w:t>19</w:t>
            </w:r>
          </w:p>
        </w:tc>
        <w:tc>
          <w:tcPr>
            <w:tcW w:w="434" w:type="pct"/>
            <w:vAlign w:val="center"/>
          </w:tcPr>
          <w:p w14:paraId="1D892111">
            <w:pPr>
              <w:jc w:val="center"/>
              <w:rPr>
                <w:rFonts w:ascii="华文楷体" w:hAnsi="华文楷体" w:eastAsia="华文楷体" w:cs="宋体"/>
              </w:rPr>
            </w:pPr>
          </w:p>
        </w:tc>
      </w:tr>
      <w:tr w14:paraId="365520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5" w:hRule="exact"/>
          <w:jc w:val="center"/>
        </w:trPr>
        <w:tc>
          <w:tcPr>
            <w:tcW w:w="553" w:type="pct"/>
            <w:vMerge w:val="continue"/>
            <w:vAlign w:val="center"/>
          </w:tcPr>
          <w:p w14:paraId="4932CD52">
            <w:pPr>
              <w:jc w:val="center"/>
              <w:rPr>
                <w:rFonts w:ascii="华文楷体" w:hAnsi="华文楷体" w:eastAsia="华文楷体" w:cs="宋体"/>
              </w:rPr>
            </w:pPr>
          </w:p>
        </w:tc>
        <w:tc>
          <w:tcPr>
            <w:tcW w:w="3294" w:type="pct"/>
            <w:vAlign w:val="center"/>
          </w:tcPr>
          <w:p w14:paraId="6BA93849">
            <w:pPr>
              <w:widowControl/>
              <w:spacing w:line="36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户外高寒保暖套装（含户外头盔（带头灯）1顶、高寒内衣裤1套、男款立领抓绒外套1套、羽绒服1件、鹅绒户外羽绒裤1件、冲锋裤1件、三合一羽绒登山手套1双、保暖针织帽1顶、防水高山靴1双、户外救援雪镜1个、户外救援雪套1双、户外高寒防护全面罩1个）</w:t>
            </w:r>
          </w:p>
        </w:tc>
        <w:tc>
          <w:tcPr>
            <w:tcW w:w="717" w:type="pct"/>
            <w:vAlign w:val="center"/>
          </w:tcPr>
          <w:p w14:paraId="5F64C279">
            <w:pPr>
              <w:jc w:val="center"/>
              <w:rPr>
                <w:rFonts w:ascii="华文楷体" w:hAnsi="华文楷体" w:eastAsia="华文楷体" w:cs="宋体"/>
              </w:rPr>
            </w:pPr>
            <w:r>
              <w:rPr>
                <w:rFonts w:ascii="华文楷体" w:hAnsi="华文楷体" w:eastAsia="华文楷体" w:cs="宋体"/>
              </w:rPr>
              <w:t>20</w:t>
            </w:r>
          </w:p>
        </w:tc>
        <w:tc>
          <w:tcPr>
            <w:tcW w:w="434" w:type="pct"/>
            <w:vAlign w:val="center"/>
          </w:tcPr>
          <w:p w14:paraId="550197D6">
            <w:pPr>
              <w:jc w:val="center"/>
              <w:rPr>
                <w:rFonts w:ascii="华文楷体" w:hAnsi="华文楷体" w:eastAsia="华文楷体" w:cs="宋体"/>
              </w:rPr>
            </w:pPr>
          </w:p>
        </w:tc>
      </w:tr>
      <w:tr w14:paraId="2110E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553" w:type="pct"/>
            <w:vMerge w:val="continue"/>
            <w:vAlign w:val="center"/>
          </w:tcPr>
          <w:p w14:paraId="56E55722">
            <w:pPr>
              <w:jc w:val="center"/>
              <w:rPr>
                <w:rFonts w:ascii="华文楷体" w:hAnsi="华文楷体" w:eastAsia="华文楷体" w:cs="宋体"/>
              </w:rPr>
            </w:pPr>
          </w:p>
        </w:tc>
        <w:tc>
          <w:tcPr>
            <w:tcW w:w="3294" w:type="pct"/>
            <w:vAlign w:val="center"/>
          </w:tcPr>
          <w:p w14:paraId="6B8A07A8">
            <w:pPr>
              <w:widowControl/>
              <w:spacing w:line="36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摩托车骑行装具（包含摩托头盔1顶、风镜1个、骑行护具1套、骑行靴1双、骑行手套1双）</w:t>
            </w:r>
          </w:p>
        </w:tc>
        <w:tc>
          <w:tcPr>
            <w:tcW w:w="717" w:type="pct"/>
            <w:vAlign w:val="center"/>
          </w:tcPr>
          <w:p w14:paraId="0C4DB171">
            <w:pPr>
              <w:jc w:val="center"/>
              <w:rPr>
                <w:rFonts w:ascii="华文楷体" w:hAnsi="华文楷体" w:eastAsia="华文楷体" w:cs="宋体"/>
              </w:rPr>
            </w:pPr>
            <w:r>
              <w:rPr>
                <w:rFonts w:ascii="华文楷体" w:hAnsi="华文楷体" w:eastAsia="华文楷体" w:cs="宋体"/>
              </w:rPr>
              <w:t>21</w:t>
            </w:r>
          </w:p>
        </w:tc>
        <w:tc>
          <w:tcPr>
            <w:tcW w:w="434" w:type="pct"/>
            <w:vAlign w:val="center"/>
          </w:tcPr>
          <w:p w14:paraId="6CF93C97">
            <w:pPr>
              <w:jc w:val="center"/>
              <w:rPr>
                <w:rFonts w:ascii="华文楷体" w:hAnsi="华文楷体" w:eastAsia="华文楷体" w:cs="宋体"/>
              </w:rPr>
            </w:pPr>
          </w:p>
        </w:tc>
      </w:tr>
      <w:tr w14:paraId="32AC2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exact"/>
          <w:jc w:val="center"/>
        </w:trPr>
        <w:tc>
          <w:tcPr>
            <w:tcW w:w="553" w:type="pct"/>
            <w:vMerge w:val="continue"/>
            <w:vAlign w:val="center"/>
          </w:tcPr>
          <w:p w14:paraId="1C69ABEF">
            <w:pPr>
              <w:jc w:val="center"/>
              <w:rPr>
                <w:rFonts w:ascii="华文楷体" w:hAnsi="华文楷体" w:eastAsia="华文楷体" w:cs="宋体"/>
              </w:rPr>
            </w:pPr>
          </w:p>
        </w:tc>
        <w:tc>
          <w:tcPr>
            <w:tcW w:w="3294" w:type="pct"/>
            <w:vAlign w:val="center"/>
          </w:tcPr>
          <w:p w14:paraId="473AD191">
            <w:pPr>
              <w:widowControl/>
              <w:spacing w:line="360" w:lineRule="exact"/>
              <w:jc w:val="center"/>
              <w:rPr>
                <w:rFonts w:ascii="华文楷体" w:hAnsi="华文楷体" w:eastAsia="华文楷体" w:cs="宋体"/>
                <w:kern w:val="0"/>
                <w:szCs w:val="21"/>
              </w:rPr>
            </w:pPr>
            <w:r>
              <w:rPr>
                <w:rFonts w:hint="eastAsia" w:ascii="华文楷体" w:hAnsi="华文楷体" w:eastAsia="华文楷体" w:cs="宋体"/>
                <w:kern w:val="0"/>
                <w:szCs w:val="21"/>
              </w:rPr>
              <w:t>便携式复合气体检测仪</w:t>
            </w:r>
          </w:p>
        </w:tc>
        <w:tc>
          <w:tcPr>
            <w:tcW w:w="717" w:type="pct"/>
            <w:vAlign w:val="center"/>
          </w:tcPr>
          <w:p w14:paraId="27380F08">
            <w:pPr>
              <w:jc w:val="center"/>
              <w:rPr>
                <w:rFonts w:ascii="华文楷体" w:hAnsi="华文楷体" w:eastAsia="华文楷体" w:cs="宋体"/>
              </w:rPr>
            </w:pPr>
            <w:r>
              <w:rPr>
                <w:rFonts w:ascii="华文楷体" w:hAnsi="华文楷体" w:eastAsia="华文楷体" w:cs="宋体"/>
              </w:rPr>
              <w:t>22</w:t>
            </w:r>
          </w:p>
        </w:tc>
        <w:tc>
          <w:tcPr>
            <w:tcW w:w="434" w:type="pct"/>
            <w:vAlign w:val="center"/>
          </w:tcPr>
          <w:p w14:paraId="12A79530">
            <w:pPr>
              <w:jc w:val="center"/>
              <w:rPr>
                <w:rFonts w:ascii="华文楷体" w:hAnsi="华文楷体" w:eastAsia="华文楷体" w:cs="宋体"/>
              </w:rPr>
            </w:pPr>
          </w:p>
        </w:tc>
      </w:tr>
    </w:tbl>
    <w:p w14:paraId="36512D16">
      <w:pPr>
        <w:pStyle w:val="25"/>
        <w:rPr>
          <w:rFonts w:hint="eastAsia" w:ascii="华文楷体" w:hAnsi="华文楷体" w:eastAsia="华文楷体"/>
        </w:rPr>
      </w:pPr>
      <w:bookmarkStart w:id="288" w:name="_Toc184345957"/>
    </w:p>
    <w:p w14:paraId="6336AA4F">
      <w:pPr>
        <w:pStyle w:val="25"/>
        <w:rPr>
          <w:rFonts w:hint="eastAsia" w:ascii="华文楷体" w:hAnsi="华文楷体" w:eastAsia="华文楷体"/>
        </w:rPr>
      </w:pPr>
    </w:p>
    <w:p w14:paraId="54D9BB57">
      <w:pPr>
        <w:pStyle w:val="25"/>
        <w:rPr>
          <w:rFonts w:hint="eastAsia" w:ascii="华文楷体" w:hAnsi="华文楷体" w:eastAsia="华文楷体"/>
        </w:rPr>
      </w:pPr>
    </w:p>
    <w:p w14:paraId="3DB4ED51">
      <w:pPr>
        <w:pStyle w:val="25"/>
      </w:pPr>
      <w:r>
        <w:rPr>
          <w:rFonts w:hint="eastAsia" w:ascii="华文楷体" w:hAnsi="华文楷体" w:eastAsia="华文楷体"/>
        </w:rPr>
        <w:t>（三）技术要求</w:t>
      </w:r>
      <w:bookmarkEnd w:id="286"/>
      <w:bookmarkEnd w:id="287"/>
      <w:bookmarkEnd w:id="288"/>
    </w:p>
    <w:p w14:paraId="7340D008">
      <w:pPr>
        <w:adjustRightInd w:val="0"/>
        <w:snapToGrid w:val="0"/>
        <w:spacing w:line="360" w:lineRule="auto"/>
        <w:ind w:left="456" w:hanging="456"/>
        <w:rPr>
          <w:rFonts w:ascii="华文楷体" w:hAnsi="华文楷体" w:eastAsia="华文楷体" w:cs="宋体"/>
          <w:b/>
          <w:szCs w:val="21"/>
        </w:rPr>
      </w:pPr>
      <w:r>
        <w:rPr>
          <w:rFonts w:hint="eastAsia" w:ascii="华文楷体" w:hAnsi="华文楷体" w:eastAsia="华文楷体" w:cs="宋体"/>
          <w:b/>
          <w:szCs w:val="21"/>
        </w:rPr>
        <w:t>包一：技术参数具体要求</w:t>
      </w:r>
    </w:p>
    <w:tbl>
      <w:tblPr>
        <w:tblStyle w:val="26"/>
        <w:tblW w:w="5000" w:type="pct"/>
        <w:tblInd w:w="0" w:type="dxa"/>
        <w:tblLayout w:type="fixed"/>
        <w:tblCellMar>
          <w:top w:w="0" w:type="dxa"/>
          <w:left w:w="108" w:type="dxa"/>
          <w:bottom w:w="0" w:type="dxa"/>
          <w:right w:w="108" w:type="dxa"/>
        </w:tblCellMar>
      </w:tblPr>
      <w:tblGrid>
        <w:gridCol w:w="878"/>
        <w:gridCol w:w="1003"/>
        <w:gridCol w:w="6578"/>
      </w:tblGrid>
      <w:tr w14:paraId="755E4626">
        <w:tblPrEx>
          <w:tblCellMar>
            <w:top w:w="0" w:type="dxa"/>
            <w:left w:w="108" w:type="dxa"/>
            <w:bottom w:w="0" w:type="dxa"/>
            <w:right w:w="108" w:type="dxa"/>
          </w:tblCellMar>
        </w:tblPrEx>
        <w:trPr>
          <w:trHeight w:val="749" w:hRule="exact"/>
        </w:trPr>
        <w:tc>
          <w:tcPr>
            <w:tcW w:w="519" w:type="pct"/>
            <w:tcBorders>
              <w:top w:val="single" w:color="auto" w:sz="4" w:space="0"/>
              <w:left w:val="single" w:color="auto" w:sz="4" w:space="0"/>
              <w:bottom w:val="single" w:color="auto" w:sz="4" w:space="0"/>
              <w:right w:val="single" w:color="auto" w:sz="4" w:space="0"/>
            </w:tcBorders>
            <w:noWrap/>
            <w:vAlign w:val="center"/>
          </w:tcPr>
          <w:p w14:paraId="585C8943">
            <w:pPr>
              <w:widowControl/>
              <w:spacing w:line="360" w:lineRule="exact"/>
              <w:jc w:val="center"/>
              <w:rPr>
                <w:rFonts w:ascii="华文楷体" w:hAnsi="华文楷体" w:eastAsia="华文楷体" w:cs="宋体"/>
                <w:b/>
                <w:bCs/>
                <w:kern w:val="0"/>
              </w:rPr>
            </w:pPr>
            <w:r>
              <w:rPr>
                <w:rFonts w:hint="eastAsia" w:ascii="华文楷体" w:hAnsi="华文楷体" w:eastAsia="华文楷体" w:cs="宋体"/>
                <w:b/>
                <w:bCs/>
                <w:kern w:val="0"/>
              </w:rPr>
              <w:t>序号</w:t>
            </w:r>
          </w:p>
        </w:tc>
        <w:tc>
          <w:tcPr>
            <w:tcW w:w="593" w:type="pct"/>
            <w:tcBorders>
              <w:top w:val="single" w:color="auto" w:sz="4" w:space="0"/>
              <w:left w:val="nil"/>
              <w:bottom w:val="single" w:color="auto" w:sz="4" w:space="0"/>
              <w:right w:val="single" w:color="auto" w:sz="4" w:space="0"/>
            </w:tcBorders>
            <w:noWrap/>
            <w:vAlign w:val="center"/>
          </w:tcPr>
          <w:p w14:paraId="55BAE5BB">
            <w:pPr>
              <w:widowControl/>
              <w:spacing w:line="360" w:lineRule="exact"/>
              <w:jc w:val="center"/>
              <w:rPr>
                <w:rFonts w:ascii="华文楷体" w:hAnsi="华文楷体" w:eastAsia="华文楷体" w:cs="宋体"/>
                <w:b/>
                <w:bCs/>
                <w:kern w:val="0"/>
              </w:rPr>
            </w:pPr>
            <w:r>
              <w:rPr>
                <w:rFonts w:hint="eastAsia" w:ascii="华文楷体" w:hAnsi="华文楷体" w:eastAsia="华文楷体" w:cs="宋体"/>
                <w:b/>
                <w:bCs/>
                <w:kern w:val="0"/>
              </w:rPr>
              <w:t>采购</w:t>
            </w:r>
          </w:p>
          <w:p w14:paraId="190A4272">
            <w:pPr>
              <w:widowControl/>
              <w:spacing w:line="360" w:lineRule="exact"/>
              <w:jc w:val="center"/>
              <w:rPr>
                <w:rFonts w:ascii="华文楷体" w:hAnsi="华文楷体" w:eastAsia="华文楷体" w:cs="宋体"/>
                <w:b/>
                <w:bCs/>
                <w:kern w:val="0"/>
              </w:rPr>
            </w:pPr>
            <w:r>
              <w:rPr>
                <w:rFonts w:hint="eastAsia" w:ascii="华文楷体" w:hAnsi="华文楷体" w:eastAsia="华文楷体" w:cs="宋体"/>
                <w:b/>
                <w:bCs/>
                <w:kern w:val="0"/>
              </w:rPr>
              <w:t>内容</w:t>
            </w:r>
          </w:p>
        </w:tc>
        <w:tc>
          <w:tcPr>
            <w:tcW w:w="3886" w:type="pct"/>
            <w:tcBorders>
              <w:top w:val="single" w:color="auto" w:sz="4" w:space="0"/>
              <w:left w:val="single" w:color="auto" w:sz="4" w:space="0"/>
              <w:bottom w:val="single" w:color="auto" w:sz="4" w:space="0"/>
              <w:right w:val="single" w:color="auto" w:sz="4" w:space="0"/>
            </w:tcBorders>
            <w:noWrap/>
            <w:vAlign w:val="center"/>
          </w:tcPr>
          <w:p w14:paraId="219BF95A">
            <w:pPr>
              <w:widowControl/>
              <w:spacing w:line="360" w:lineRule="exact"/>
              <w:jc w:val="center"/>
              <w:rPr>
                <w:rFonts w:ascii="华文楷体" w:hAnsi="华文楷体" w:eastAsia="华文楷体" w:cs="宋体"/>
                <w:b/>
                <w:bCs/>
                <w:kern w:val="0"/>
              </w:rPr>
            </w:pPr>
            <w:r>
              <w:rPr>
                <w:rFonts w:hint="eastAsia" w:ascii="华文楷体" w:hAnsi="华文楷体" w:eastAsia="华文楷体" w:cs="宋体"/>
                <w:b/>
                <w:bCs/>
                <w:kern w:val="0"/>
              </w:rPr>
              <w:t>技术要求</w:t>
            </w:r>
          </w:p>
        </w:tc>
      </w:tr>
      <w:tr w14:paraId="6F329B57">
        <w:tblPrEx>
          <w:tblCellMar>
            <w:top w:w="0" w:type="dxa"/>
            <w:left w:w="108" w:type="dxa"/>
            <w:bottom w:w="0" w:type="dxa"/>
            <w:right w:w="108" w:type="dxa"/>
          </w:tblCellMar>
        </w:tblPrEx>
        <w:tc>
          <w:tcPr>
            <w:tcW w:w="519" w:type="pct"/>
            <w:tcBorders>
              <w:top w:val="single" w:color="auto" w:sz="4" w:space="0"/>
              <w:left w:val="single" w:color="auto" w:sz="4" w:space="0"/>
              <w:bottom w:val="single" w:color="auto" w:sz="4" w:space="0"/>
              <w:right w:val="single" w:color="auto" w:sz="4" w:space="0"/>
            </w:tcBorders>
            <w:noWrap/>
            <w:vAlign w:val="center"/>
          </w:tcPr>
          <w:p w14:paraId="070DC457">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w:t>
            </w:r>
          </w:p>
        </w:tc>
        <w:tc>
          <w:tcPr>
            <w:tcW w:w="593" w:type="pct"/>
            <w:tcBorders>
              <w:top w:val="single" w:color="auto" w:sz="4" w:space="0"/>
              <w:left w:val="nil"/>
              <w:bottom w:val="single" w:color="auto" w:sz="4" w:space="0"/>
              <w:right w:val="single" w:color="auto" w:sz="4" w:space="0"/>
            </w:tcBorders>
            <w:noWrap/>
            <w:vAlign w:val="center"/>
          </w:tcPr>
          <w:p w14:paraId="3290881C">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夜视全彩相机</w:t>
            </w:r>
          </w:p>
        </w:tc>
        <w:tc>
          <w:tcPr>
            <w:tcW w:w="3886" w:type="pct"/>
            <w:tcBorders>
              <w:top w:val="single" w:color="auto" w:sz="4" w:space="0"/>
              <w:left w:val="single" w:color="auto" w:sz="4" w:space="0"/>
              <w:bottom w:val="single" w:color="auto" w:sz="4" w:space="0"/>
              <w:right w:val="single" w:color="auto" w:sz="4" w:space="0"/>
            </w:tcBorders>
            <w:vAlign w:val="center"/>
          </w:tcPr>
          <w:p w14:paraId="0F63A9A0">
            <w:pPr>
              <w:widowControl/>
              <w:spacing w:line="360" w:lineRule="exact"/>
              <w:jc w:val="left"/>
              <w:rPr>
                <w:rFonts w:ascii="华文楷体" w:hAnsi="华文楷体" w:eastAsia="华文楷体"/>
              </w:rPr>
            </w:pPr>
            <w:r>
              <w:rPr>
                <w:rFonts w:hint="eastAsia" w:ascii="华文楷体" w:hAnsi="华文楷体" w:eastAsia="华文楷体"/>
              </w:rPr>
              <w:t>尺寸：≤125mm*85mm*115mm（云台及连接部件除外），重量（裸机）：≤1025g；</w:t>
            </w:r>
          </w:p>
          <w:p w14:paraId="2C6EF7D7">
            <w:pPr>
              <w:widowControl/>
              <w:spacing w:line="360" w:lineRule="exact"/>
              <w:jc w:val="left"/>
              <w:rPr>
                <w:rFonts w:ascii="华文楷体" w:hAnsi="华文楷体" w:eastAsia="华文楷体"/>
              </w:rPr>
            </w:pPr>
            <w:r>
              <w:rPr>
                <w:rFonts w:hint="eastAsia" w:ascii="华文楷体" w:hAnsi="华文楷体" w:eastAsia="华文楷体"/>
              </w:rPr>
              <w:t>▲防护等级：≥IP55；</w:t>
            </w:r>
          </w:p>
          <w:p w14:paraId="6913B076">
            <w:pPr>
              <w:widowControl/>
              <w:spacing w:line="360" w:lineRule="exact"/>
              <w:jc w:val="left"/>
              <w:rPr>
                <w:rFonts w:ascii="华文楷体" w:hAnsi="华文楷体" w:eastAsia="华文楷体"/>
              </w:rPr>
            </w:pPr>
            <w:r>
              <w:rPr>
                <w:rFonts w:hint="eastAsia" w:ascii="华文楷体" w:hAnsi="华文楷体" w:eastAsia="华文楷体"/>
              </w:rPr>
              <w:t>★支持机型：M300 &amp; M350RTK；</w:t>
            </w:r>
          </w:p>
          <w:p w14:paraId="6E3F5814">
            <w:pPr>
              <w:widowControl/>
              <w:spacing w:line="360" w:lineRule="exact"/>
              <w:jc w:val="left"/>
              <w:rPr>
                <w:rFonts w:ascii="华文楷体" w:hAnsi="华文楷体" w:eastAsia="华文楷体"/>
              </w:rPr>
            </w:pPr>
            <w:r>
              <w:rPr>
                <w:rFonts w:hint="eastAsia" w:ascii="华文楷体" w:hAnsi="华文楷体" w:eastAsia="华文楷体"/>
              </w:rPr>
              <w:t>支持云台：双挂载同时工作；</w:t>
            </w:r>
          </w:p>
          <w:p w14:paraId="3D8BF16D">
            <w:pPr>
              <w:widowControl/>
              <w:spacing w:line="360" w:lineRule="exact"/>
              <w:jc w:val="left"/>
              <w:rPr>
                <w:rFonts w:ascii="华文楷体" w:hAnsi="华文楷体" w:eastAsia="华文楷体"/>
              </w:rPr>
            </w:pPr>
            <w:r>
              <w:rPr>
                <w:rFonts w:hint="eastAsia" w:ascii="华文楷体" w:hAnsi="华文楷体" w:eastAsia="华文楷体"/>
              </w:rPr>
              <w:t>变焦相机</w:t>
            </w:r>
          </w:p>
          <w:p w14:paraId="240CECA9">
            <w:pPr>
              <w:widowControl/>
              <w:spacing w:line="360" w:lineRule="exact"/>
              <w:jc w:val="left"/>
              <w:rPr>
                <w:rFonts w:ascii="华文楷体" w:hAnsi="华文楷体" w:eastAsia="华文楷体"/>
              </w:rPr>
            </w:pPr>
            <w:r>
              <w:rPr>
                <w:rFonts w:hint="eastAsia" w:ascii="华文楷体" w:hAnsi="华文楷体" w:eastAsia="华文楷体"/>
              </w:rPr>
              <w:t>▲1.最低照度：无补光灯条件下：</w:t>
            </w:r>
          </w:p>
          <w:p w14:paraId="1A1457C2">
            <w:pPr>
              <w:widowControl/>
              <w:spacing w:line="360" w:lineRule="exact"/>
              <w:jc w:val="left"/>
              <w:rPr>
                <w:rFonts w:ascii="华文楷体" w:hAnsi="华文楷体" w:eastAsia="华文楷体"/>
              </w:rPr>
            </w:pPr>
            <w:r>
              <w:rPr>
                <w:rFonts w:hint="eastAsia" w:ascii="华文楷体" w:hAnsi="华文楷体" w:eastAsia="华文楷体"/>
              </w:rPr>
              <w:t>彩色≤0.0002Lx(IR CUT OFF,应能分辨反射式视频矩阵测试卡中彩色色块) ；</w:t>
            </w:r>
          </w:p>
          <w:p w14:paraId="5C070071">
            <w:pPr>
              <w:widowControl/>
              <w:spacing w:line="360" w:lineRule="exact"/>
              <w:jc w:val="left"/>
              <w:rPr>
                <w:rFonts w:ascii="华文楷体" w:hAnsi="华文楷体" w:eastAsia="华文楷体"/>
              </w:rPr>
            </w:pPr>
            <w:r>
              <w:rPr>
                <w:rFonts w:hint="eastAsia" w:ascii="华文楷体" w:hAnsi="华文楷体" w:eastAsia="华文楷体"/>
              </w:rPr>
              <w:t>黑白≤0.0001Lx(IR CUT ON,应能分辨反射式视频分辨率测试卡中圆形轮廓)；</w:t>
            </w:r>
          </w:p>
          <w:p w14:paraId="41AF8DD6">
            <w:pPr>
              <w:widowControl/>
              <w:spacing w:line="360" w:lineRule="exact"/>
              <w:jc w:val="left"/>
              <w:rPr>
                <w:rFonts w:ascii="华文楷体" w:hAnsi="华文楷体" w:eastAsia="华文楷体"/>
              </w:rPr>
            </w:pPr>
            <w:r>
              <w:rPr>
                <w:rFonts w:hint="eastAsia" w:ascii="华文楷体" w:hAnsi="华文楷体" w:eastAsia="华文楷体"/>
              </w:rPr>
              <w:t>2. 图像传感器：1/1.8''CMOS；</w:t>
            </w:r>
          </w:p>
          <w:p w14:paraId="37A780C0">
            <w:pPr>
              <w:widowControl/>
              <w:spacing w:line="360" w:lineRule="exact"/>
              <w:jc w:val="left"/>
              <w:rPr>
                <w:rFonts w:ascii="华文楷体" w:hAnsi="华文楷体" w:eastAsia="华文楷体"/>
              </w:rPr>
            </w:pPr>
            <w:r>
              <w:rPr>
                <w:rFonts w:hint="eastAsia" w:ascii="华文楷体" w:hAnsi="华文楷体" w:eastAsia="华文楷体"/>
              </w:rPr>
              <w:t>▲3.分辨率：2688*1520，最大分辨率不低于400W像素；</w:t>
            </w:r>
          </w:p>
          <w:p w14:paraId="2CD662ED">
            <w:pPr>
              <w:widowControl/>
              <w:spacing w:line="360" w:lineRule="exact"/>
              <w:jc w:val="left"/>
              <w:rPr>
                <w:rFonts w:ascii="华文楷体" w:hAnsi="华文楷体" w:eastAsia="华文楷体"/>
              </w:rPr>
            </w:pPr>
            <w:r>
              <w:rPr>
                <w:rFonts w:hint="eastAsia" w:ascii="华文楷体" w:hAnsi="华文楷体" w:eastAsia="华文楷体"/>
              </w:rPr>
              <w:t>4..焦距：f=7.1~171mm, 30倍光学变焦，光圈：f/1.6-f/5.1 ；</w:t>
            </w:r>
          </w:p>
          <w:p w14:paraId="7E4D2256">
            <w:pPr>
              <w:widowControl/>
              <w:spacing w:line="360" w:lineRule="exact"/>
              <w:jc w:val="left"/>
              <w:rPr>
                <w:rFonts w:ascii="华文楷体" w:hAnsi="华文楷体" w:eastAsia="华文楷体"/>
              </w:rPr>
            </w:pPr>
            <w:r>
              <w:rPr>
                <w:rFonts w:hint="eastAsia" w:ascii="华文楷体" w:hAnsi="华文楷体" w:eastAsia="华文楷体"/>
              </w:rPr>
              <w:t>5.视频帧率 5fps～30fps 实时视频；</w:t>
            </w:r>
          </w:p>
          <w:p w14:paraId="70C37387">
            <w:pPr>
              <w:widowControl/>
              <w:spacing w:line="360" w:lineRule="exact"/>
              <w:jc w:val="left"/>
              <w:rPr>
                <w:rFonts w:ascii="华文楷体" w:hAnsi="华文楷体" w:eastAsia="华文楷体"/>
              </w:rPr>
            </w:pPr>
            <w:r>
              <w:rPr>
                <w:rFonts w:hint="eastAsia" w:ascii="华文楷体" w:hAnsi="华文楷体" w:eastAsia="华文楷体"/>
              </w:rPr>
              <w:t>6.芯片能力：内置 NPU 芯片，算力不低于4TOPS；</w:t>
            </w:r>
          </w:p>
          <w:p w14:paraId="275F965A">
            <w:pPr>
              <w:widowControl/>
              <w:spacing w:line="360" w:lineRule="exact"/>
              <w:jc w:val="left"/>
              <w:rPr>
                <w:rFonts w:ascii="华文楷体" w:hAnsi="华文楷体" w:eastAsia="华文楷体"/>
              </w:rPr>
            </w:pPr>
            <w:r>
              <w:rPr>
                <w:rFonts w:hint="eastAsia" w:ascii="华文楷体" w:hAnsi="华文楷体" w:eastAsia="华文楷体"/>
              </w:rPr>
              <w:t>7.视频压缩：H.264 ；</w:t>
            </w:r>
          </w:p>
          <w:p w14:paraId="1CD966EE">
            <w:pPr>
              <w:widowControl/>
              <w:spacing w:line="360" w:lineRule="exact"/>
              <w:jc w:val="left"/>
              <w:rPr>
                <w:rFonts w:ascii="华文楷体" w:hAnsi="华文楷体" w:eastAsia="华文楷体"/>
              </w:rPr>
            </w:pPr>
            <w:r>
              <w:rPr>
                <w:rFonts w:hint="eastAsia" w:ascii="华文楷体" w:hAnsi="华文楷体" w:eastAsia="华文楷体"/>
              </w:rPr>
              <w:t>8.白平衡：自动 ；</w:t>
            </w:r>
          </w:p>
          <w:p w14:paraId="50AD143A">
            <w:pPr>
              <w:widowControl/>
              <w:spacing w:line="360" w:lineRule="exact"/>
              <w:jc w:val="left"/>
              <w:rPr>
                <w:rFonts w:ascii="华文楷体" w:hAnsi="华文楷体" w:eastAsia="华文楷体"/>
              </w:rPr>
            </w:pPr>
            <w:r>
              <w:rPr>
                <w:rFonts w:hint="eastAsia" w:ascii="华文楷体" w:hAnsi="华文楷体" w:eastAsia="华文楷体"/>
              </w:rPr>
              <w:t>9.增益控制：自动,视频信号随目标亮度的变化自动调整视频；</w:t>
            </w:r>
          </w:p>
          <w:p w14:paraId="452548FE">
            <w:pPr>
              <w:widowControl/>
              <w:spacing w:line="360" w:lineRule="exact"/>
              <w:jc w:val="left"/>
              <w:rPr>
                <w:rFonts w:ascii="华文楷体" w:hAnsi="华文楷体" w:eastAsia="华文楷体"/>
              </w:rPr>
            </w:pPr>
            <w:r>
              <w:rPr>
                <w:rFonts w:hint="eastAsia" w:ascii="华文楷体" w:hAnsi="华文楷体" w:eastAsia="华文楷体"/>
              </w:rPr>
              <w:t>10.宽动态（照度适应范围）：120dB ；</w:t>
            </w:r>
          </w:p>
          <w:p w14:paraId="2EBC48C5">
            <w:pPr>
              <w:widowControl/>
              <w:spacing w:line="360" w:lineRule="exact"/>
              <w:jc w:val="left"/>
              <w:rPr>
                <w:rFonts w:ascii="华文楷体" w:hAnsi="华文楷体" w:eastAsia="华文楷体"/>
              </w:rPr>
            </w:pPr>
            <w:r>
              <w:rPr>
                <w:rFonts w:hint="eastAsia" w:ascii="华文楷体" w:hAnsi="华文楷体" w:eastAsia="华文楷体"/>
              </w:rPr>
              <w:t>11.信噪比：≥48dB；</w:t>
            </w:r>
          </w:p>
          <w:p w14:paraId="3ABE893A">
            <w:pPr>
              <w:widowControl/>
              <w:spacing w:line="360" w:lineRule="exact"/>
              <w:jc w:val="left"/>
              <w:rPr>
                <w:rFonts w:ascii="华文楷体" w:hAnsi="华文楷体" w:eastAsia="华文楷体"/>
              </w:rPr>
            </w:pPr>
            <w:r>
              <w:rPr>
                <w:rFonts w:hint="eastAsia" w:ascii="华文楷体" w:hAnsi="华文楷体" w:eastAsia="华文楷体"/>
              </w:rPr>
              <w:t xml:space="preserve">12.色彩还原度：平均ΔEab≤15（6500K)，平均ΔEab≤25（其他色温）； </w:t>
            </w:r>
          </w:p>
          <w:p w14:paraId="35F49114">
            <w:pPr>
              <w:widowControl/>
              <w:spacing w:line="360" w:lineRule="exact"/>
              <w:jc w:val="left"/>
              <w:rPr>
                <w:rFonts w:ascii="华文楷体" w:hAnsi="华文楷体" w:eastAsia="华文楷体"/>
              </w:rPr>
            </w:pPr>
            <w:r>
              <w:rPr>
                <w:rFonts w:hint="eastAsia" w:ascii="华文楷体" w:hAnsi="华文楷体" w:eastAsia="华文楷体"/>
              </w:rPr>
              <w:t>13.支持AI数字降噪 ；</w:t>
            </w:r>
          </w:p>
          <w:p w14:paraId="0FDB92A3">
            <w:pPr>
              <w:widowControl/>
              <w:spacing w:line="360" w:lineRule="exact"/>
              <w:jc w:val="left"/>
              <w:rPr>
                <w:rFonts w:ascii="华文楷体" w:hAnsi="华文楷体" w:eastAsia="华文楷体"/>
              </w:rPr>
            </w:pPr>
            <w:r>
              <w:rPr>
                <w:rFonts w:hint="eastAsia" w:ascii="华文楷体" w:hAnsi="华文楷体" w:eastAsia="华文楷体"/>
              </w:rPr>
              <w:t>14.逆光补偿：具有逆光补偿调整功能 ；</w:t>
            </w:r>
          </w:p>
          <w:p w14:paraId="2AC8FE81">
            <w:pPr>
              <w:widowControl/>
              <w:spacing w:line="360" w:lineRule="exact"/>
              <w:jc w:val="left"/>
              <w:rPr>
                <w:rFonts w:ascii="华文楷体" w:hAnsi="华文楷体" w:eastAsia="华文楷体"/>
              </w:rPr>
            </w:pPr>
            <w:r>
              <w:rPr>
                <w:rFonts w:hint="eastAsia" w:ascii="华文楷体" w:hAnsi="华文楷体" w:eastAsia="华文楷体"/>
              </w:rPr>
              <w:t>15.自动曝光模式 ；</w:t>
            </w:r>
          </w:p>
          <w:p w14:paraId="7A463A46">
            <w:pPr>
              <w:widowControl/>
              <w:spacing w:line="360" w:lineRule="exact"/>
              <w:jc w:val="left"/>
              <w:rPr>
                <w:rFonts w:ascii="华文楷体" w:hAnsi="华文楷体" w:eastAsia="华文楷体"/>
              </w:rPr>
            </w:pPr>
            <w:r>
              <w:rPr>
                <w:rFonts w:hint="eastAsia" w:ascii="华文楷体" w:hAnsi="华文楷体" w:eastAsia="华文楷体"/>
              </w:rPr>
              <w:t>16.日夜模式：电动 IRCUT红外滤片 ；</w:t>
            </w:r>
          </w:p>
          <w:p w14:paraId="6E009362">
            <w:pPr>
              <w:widowControl/>
              <w:spacing w:line="360" w:lineRule="exact"/>
              <w:jc w:val="left"/>
              <w:rPr>
                <w:rFonts w:ascii="华文楷体" w:hAnsi="华文楷体" w:eastAsia="华文楷体"/>
              </w:rPr>
            </w:pPr>
            <w:r>
              <w:rPr>
                <w:rFonts w:hint="eastAsia" w:ascii="华文楷体" w:hAnsi="华文楷体" w:eastAsia="华文楷体"/>
              </w:rPr>
              <w:t>17.控制信号：UART/RS485 ；</w:t>
            </w:r>
          </w:p>
          <w:p w14:paraId="6DFE4D49">
            <w:pPr>
              <w:widowControl/>
              <w:spacing w:line="360" w:lineRule="exact"/>
              <w:jc w:val="left"/>
              <w:rPr>
                <w:rFonts w:ascii="华文楷体" w:hAnsi="华文楷体" w:eastAsia="华文楷体"/>
              </w:rPr>
            </w:pPr>
            <w:r>
              <w:rPr>
                <w:rFonts w:hint="eastAsia" w:ascii="华文楷体" w:hAnsi="华文楷体" w:eastAsia="华文楷体"/>
              </w:rPr>
              <w:t>18.视频信号：HDMI/以太网；</w:t>
            </w:r>
          </w:p>
          <w:p w14:paraId="39B94FCA">
            <w:pPr>
              <w:widowControl/>
              <w:spacing w:line="360" w:lineRule="exact"/>
              <w:jc w:val="left"/>
              <w:rPr>
                <w:rFonts w:ascii="华文楷体" w:hAnsi="华文楷体" w:eastAsia="华文楷体"/>
              </w:rPr>
            </w:pPr>
            <w:r>
              <w:rPr>
                <w:rFonts w:hint="eastAsia" w:ascii="华文楷体" w:hAnsi="华文楷体" w:eastAsia="华文楷体"/>
              </w:rPr>
              <w:t>激光测距</w:t>
            </w:r>
          </w:p>
          <w:p w14:paraId="7E9FE2BB">
            <w:pPr>
              <w:widowControl/>
              <w:spacing w:line="360" w:lineRule="exact"/>
              <w:jc w:val="left"/>
              <w:rPr>
                <w:rFonts w:ascii="华文楷体" w:hAnsi="华文楷体" w:eastAsia="华文楷体"/>
              </w:rPr>
            </w:pPr>
            <w:r>
              <w:rPr>
                <w:rFonts w:hint="eastAsia" w:ascii="华文楷体" w:hAnsi="华文楷体" w:eastAsia="华文楷体"/>
              </w:rPr>
              <w:t>▲19.距离：≥1500m；</w:t>
            </w:r>
          </w:p>
          <w:p w14:paraId="3F0EC1C2">
            <w:pPr>
              <w:widowControl/>
              <w:spacing w:line="360" w:lineRule="exact"/>
              <w:jc w:val="left"/>
              <w:rPr>
                <w:rFonts w:ascii="华文楷体" w:hAnsi="华文楷体" w:eastAsia="华文楷体"/>
              </w:rPr>
            </w:pPr>
            <w:r>
              <w:rPr>
                <w:rFonts w:hint="eastAsia" w:ascii="华文楷体" w:hAnsi="华文楷体" w:eastAsia="华文楷体"/>
              </w:rPr>
              <w:t>20.波长：905nm；</w:t>
            </w:r>
          </w:p>
          <w:p w14:paraId="2A3F638B">
            <w:pPr>
              <w:widowControl/>
              <w:spacing w:line="360" w:lineRule="exact"/>
              <w:jc w:val="left"/>
              <w:rPr>
                <w:rFonts w:ascii="华文楷体" w:hAnsi="华文楷体" w:eastAsia="华文楷体"/>
              </w:rPr>
            </w:pPr>
            <w:r>
              <w:rPr>
                <w:rFonts w:hint="eastAsia" w:ascii="华文楷体" w:hAnsi="华文楷体" w:eastAsia="华文楷体"/>
              </w:rPr>
              <w:t>21.测量精度：±1m；</w:t>
            </w:r>
          </w:p>
          <w:p w14:paraId="7A5D63C8">
            <w:pPr>
              <w:widowControl/>
              <w:spacing w:line="360" w:lineRule="exact"/>
              <w:jc w:val="left"/>
              <w:rPr>
                <w:rFonts w:ascii="华文楷体" w:hAnsi="华文楷体" w:eastAsia="华文楷体"/>
              </w:rPr>
            </w:pPr>
            <w:r>
              <w:rPr>
                <w:rFonts w:hint="eastAsia" w:ascii="华文楷体" w:hAnsi="华文楷体" w:eastAsia="华文楷体"/>
              </w:rPr>
              <w:t>热成像相机</w:t>
            </w:r>
          </w:p>
          <w:p w14:paraId="011550D1">
            <w:pPr>
              <w:widowControl/>
              <w:spacing w:line="360" w:lineRule="exact"/>
              <w:jc w:val="left"/>
              <w:rPr>
                <w:rFonts w:ascii="华文楷体" w:hAnsi="华文楷体" w:eastAsia="华文楷体"/>
              </w:rPr>
            </w:pPr>
            <w:r>
              <w:rPr>
                <w:rFonts w:hint="eastAsia" w:ascii="华文楷体" w:hAnsi="华文楷体" w:eastAsia="华文楷体"/>
              </w:rPr>
              <w:t>22.传感感器：非制冷氧化钒（VOx）；</w:t>
            </w:r>
          </w:p>
          <w:p w14:paraId="61BB770C">
            <w:pPr>
              <w:widowControl/>
              <w:spacing w:line="360" w:lineRule="exact"/>
              <w:jc w:val="left"/>
              <w:rPr>
                <w:rFonts w:ascii="华文楷体" w:hAnsi="华文楷体" w:eastAsia="华文楷体"/>
              </w:rPr>
            </w:pPr>
            <w:r>
              <w:rPr>
                <w:rFonts w:hint="eastAsia" w:ascii="华文楷体" w:hAnsi="华文楷体" w:eastAsia="华文楷体"/>
              </w:rPr>
              <w:t>23.焦距：19mm,光圈：f/1.0；</w:t>
            </w:r>
          </w:p>
          <w:p w14:paraId="7F3171AF">
            <w:pPr>
              <w:widowControl/>
              <w:spacing w:line="360" w:lineRule="exact"/>
              <w:jc w:val="left"/>
              <w:rPr>
                <w:rFonts w:ascii="华文楷体" w:hAnsi="华文楷体" w:eastAsia="华文楷体"/>
              </w:rPr>
            </w:pPr>
            <w:r>
              <w:rPr>
                <w:rFonts w:hint="eastAsia" w:ascii="华文楷体" w:hAnsi="华文楷体" w:eastAsia="华文楷体"/>
              </w:rPr>
              <w:t>24.数字变倍：8倍；</w:t>
            </w:r>
          </w:p>
          <w:p w14:paraId="2B436CE7">
            <w:pPr>
              <w:widowControl/>
              <w:spacing w:line="360" w:lineRule="exact"/>
              <w:jc w:val="left"/>
              <w:rPr>
                <w:rFonts w:ascii="华文楷体" w:hAnsi="华文楷体" w:eastAsia="华文楷体"/>
              </w:rPr>
            </w:pPr>
            <w:r>
              <w:rPr>
                <w:rFonts w:hint="eastAsia" w:ascii="华文楷体" w:hAnsi="华文楷体" w:eastAsia="华文楷体"/>
              </w:rPr>
              <w:t>25.光谱：8~14um；</w:t>
            </w:r>
          </w:p>
          <w:p w14:paraId="1D7CD2E3">
            <w:pPr>
              <w:widowControl/>
              <w:spacing w:line="360" w:lineRule="exact"/>
              <w:jc w:val="left"/>
              <w:rPr>
                <w:rFonts w:ascii="华文楷体" w:hAnsi="华文楷体" w:eastAsia="华文楷体"/>
              </w:rPr>
            </w:pPr>
            <w:r>
              <w:rPr>
                <w:rFonts w:hint="eastAsia" w:ascii="华文楷体" w:hAnsi="华文楷体" w:eastAsia="华文楷体"/>
              </w:rPr>
              <w:t>26.像元大小：12μm；</w:t>
            </w:r>
          </w:p>
          <w:p w14:paraId="7020D719">
            <w:pPr>
              <w:widowControl/>
              <w:spacing w:line="360" w:lineRule="exact"/>
              <w:jc w:val="left"/>
              <w:rPr>
                <w:rFonts w:ascii="华文楷体" w:hAnsi="华文楷体" w:eastAsia="华文楷体"/>
              </w:rPr>
            </w:pPr>
            <w:r>
              <w:rPr>
                <w:rFonts w:hint="eastAsia" w:ascii="华文楷体" w:hAnsi="华文楷体" w:eastAsia="华文楷体"/>
              </w:rPr>
              <w:t>27.帧频：25Hz/30Hz；</w:t>
            </w:r>
          </w:p>
          <w:p w14:paraId="3A3DBD96">
            <w:pPr>
              <w:widowControl/>
              <w:spacing w:line="360" w:lineRule="exact"/>
              <w:jc w:val="left"/>
              <w:rPr>
                <w:rFonts w:ascii="华文楷体" w:hAnsi="华文楷体" w:eastAsia="华文楷体"/>
              </w:rPr>
            </w:pPr>
            <w:r>
              <w:rPr>
                <w:rFonts w:hint="eastAsia" w:ascii="华文楷体" w:hAnsi="华文楷体" w:eastAsia="华文楷体"/>
              </w:rPr>
              <w:t>▲28.分辨率：640×512；</w:t>
            </w:r>
          </w:p>
          <w:p w14:paraId="32053B2F">
            <w:pPr>
              <w:widowControl/>
              <w:spacing w:line="360" w:lineRule="exact"/>
              <w:jc w:val="left"/>
              <w:rPr>
                <w:rFonts w:ascii="华文楷体" w:hAnsi="华文楷体" w:eastAsia="华文楷体"/>
              </w:rPr>
            </w:pPr>
            <w:r>
              <w:rPr>
                <w:rFonts w:hint="eastAsia" w:ascii="华文楷体" w:hAnsi="华文楷体" w:eastAsia="华文楷体"/>
              </w:rPr>
              <w:t>29.测温范围：-20℃~+150℃，1℃~+550℃；</w:t>
            </w:r>
          </w:p>
          <w:p w14:paraId="007587FC">
            <w:pPr>
              <w:widowControl/>
              <w:spacing w:line="360" w:lineRule="exact"/>
              <w:jc w:val="left"/>
              <w:rPr>
                <w:rFonts w:ascii="华文楷体" w:hAnsi="华文楷体" w:eastAsia="华文楷体"/>
              </w:rPr>
            </w:pPr>
            <w:r>
              <w:rPr>
                <w:rFonts w:hint="eastAsia" w:ascii="华文楷体" w:hAnsi="华文楷体" w:eastAsia="华文楷体"/>
              </w:rPr>
              <w:t>30.提供具有CNAS/CMA资质认证的第三方检测机构出具的检测报告。提供三年以上免费质保。</w:t>
            </w:r>
          </w:p>
        </w:tc>
      </w:tr>
      <w:tr w14:paraId="0C3AEDE0">
        <w:tblPrEx>
          <w:tblCellMar>
            <w:top w:w="0" w:type="dxa"/>
            <w:left w:w="108" w:type="dxa"/>
            <w:bottom w:w="0" w:type="dxa"/>
            <w:right w:w="108" w:type="dxa"/>
          </w:tblCellMar>
        </w:tblPrEx>
        <w:tc>
          <w:tcPr>
            <w:tcW w:w="519" w:type="pct"/>
            <w:tcBorders>
              <w:top w:val="nil"/>
              <w:left w:val="single" w:color="auto" w:sz="4" w:space="0"/>
              <w:bottom w:val="single" w:color="auto" w:sz="4" w:space="0"/>
              <w:right w:val="single" w:color="auto" w:sz="4" w:space="0"/>
            </w:tcBorders>
            <w:noWrap/>
            <w:vAlign w:val="center"/>
          </w:tcPr>
          <w:p w14:paraId="07F86057">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2</w:t>
            </w:r>
          </w:p>
        </w:tc>
        <w:tc>
          <w:tcPr>
            <w:tcW w:w="593" w:type="pct"/>
            <w:tcBorders>
              <w:top w:val="nil"/>
              <w:left w:val="nil"/>
              <w:bottom w:val="single" w:color="auto" w:sz="4" w:space="0"/>
              <w:right w:val="single" w:color="auto" w:sz="4" w:space="0"/>
            </w:tcBorders>
            <w:noWrap/>
            <w:vAlign w:val="center"/>
          </w:tcPr>
          <w:p w14:paraId="13C99ABF">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全画幅航测镜头</w:t>
            </w:r>
          </w:p>
        </w:tc>
        <w:tc>
          <w:tcPr>
            <w:tcW w:w="3886" w:type="pct"/>
            <w:tcBorders>
              <w:top w:val="nil"/>
              <w:left w:val="single" w:color="auto" w:sz="4" w:space="0"/>
              <w:bottom w:val="single" w:color="auto" w:sz="4" w:space="0"/>
              <w:right w:val="single" w:color="auto" w:sz="4" w:space="0"/>
            </w:tcBorders>
            <w:vAlign w:val="center"/>
          </w:tcPr>
          <w:p w14:paraId="73B5FDA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1、产品尺寸：≤200×170×130mm；</w:t>
            </w:r>
          </w:p>
          <w:p w14:paraId="2A4B5C3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2、重量：≤900g；</w:t>
            </w:r>
          </w:p>
          <w:p w14:paraId="4190E0D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3.传感器尺寸（照片）：≥35×24 mm （全画幅）；</w:t>
            </w:r>
          </w:p>
          <w:p w14:paraId="1F37011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4.传感器尺寸（最大视频尺寸）：≥34×19mm；</w:t>
            </w:r>
          </w:p>
          <w:p w14:paraId="0714CAB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★5.有效像素：≥4500万，单像元尺寸 ≥4.4 μm；</w:t>
            </w:r>
          </w:p>
          <w:p w14:paraId="39520A7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▲6.成果精度:二维和三维建模成果可达到平面精度优于5cm，高程精度优于10cm；</w:t>
            </w:r>
          </w:p>
          <w:p w14:paraId="2B1AADC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7.最小拍照间隔:≤0.7秒；</w:t>
            </w:r>
          </w:p>
          <w:p w14:paraId="46AFDF3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8.工作模式:支持拍照模式、录像模式、回放模式；</w:t>
            </w:r>
          </w:p>
          <w:p w14:paraId="36F84BA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9.支持24/35/50三种焦段专用DL卡口镜头；</w:t>
            </w:r>
          </w:p>
          <w:p w14:paraId="73916FD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10.稳定系统:3轴（俯仰，横滚，平移）；</w:t>
            </w:r>
          </w:p>
          <w:p w14:paraId="5292D6D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11.角度抖动量≤±0.01°</w:t>
            </w:r>
          </w:p>
          <w:p w14:paraId="7CF45F0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12.工作温度:-20℃ 至50℃；</w:t>
            </w:r>
          </w:p>
          <w:p w14:paraId="713CC91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▲13、测绘相机配备一年保险服务，满足在保障额度内不限次数的免费维修或置换服务，直至保障额度用完或日期截止。</w:t>
            </w:r>
          </w:p>
          <w:p w14:paraId="5276CB3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★可适配大疆经纬M300飞机。</w:t>
            </w:r>
          </w:p>
          <w:p w14:paraId="2E8651B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提供三年以上免费质保。</w:t>
            </w:r>
          </w:p>
        </w:tc>
      </w:tr>
      <w:tr w14:paraId="0365C897">
        <w:tblPrEx>
          <w:tblCellMar>
            <w:top w:w="0" w:type="dxa"/>
            <w:left w:w="108" w:type="dxa"/>
            <w:bottom w:w="0" w:type="dxa"/>
            <w:right w:w="108" w:type="dxa"/>
          </w:tblCellMar>
        </w:tblPrEx>
        <w:tc>
          <w:tcPr>
            <w:tcW w:w="519" w:type="pct"/>
            <w:tcBorders>
              <w:top w:val="single" w:color="auto" w:sz="4" w:space="0"/>
              <w:left w:val="single" w:color="auto" w:sz="4" w:space="0"/>
              <w:bottom w:val="single" w:color="auto" w:sz="4" w:space="0"/>
              <w:right w:val="single" w:color="auto" w:sz="4" w:space="0"/>
            </w:tcBorders>
            <w:noWrap/>
            <w:vAlign w:val="center"/>
          </w:tcPr>
          <w:p w14:paraId="72D14742">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3</w:t>
            </w:r>
          </w:p>
        </w:tc>
        <w:tc>
          <w:tcPr>
            <w:tcW w:w="593" w:type="pct"/>
            <w:tcBorders>
              <w:top w:val="single" w:color="auto" w:sz="4" w:space="0"/>
              <w:left w:val="single" w:color="auto" w:sz="4" w:space="0"/>
              <w:bottom w:val="single" w:color="auto" w:sz="4" w:space="0"/>
              <w:right w:val="single" w:color="auto" w:sz="4" w:space="0"/>
            </w:tcBorders>
            <w:noWrap/>
            <w:vAlign w:val="center"/>
          </w:tcPr>
          <w:p w14:paraId="76473A25">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高清摄像机</w:t>
            </w:r>
          </w:p>
        </w:tc>
        <w:tc>
          <w:tcPr>
            <w:tcW w:w="3886" w:type="pct"/>
            <w:tcBorders>
              <w:top w:val="single" w:color="auto" w:sz="4" w:space="0"/>
              <w:left w:val="single" w:color="auto" w:sz="4" w:space="0"/>
              <w:bottom w:val="single" w:color="auto" w:sz="4" w:space="0"/>
              <w:right w:val="single" w:color="auto" w:sz="4" w:space="0"/>
            </w:tcBorders>
            <w:vAlign w:val="center"/>
          </w:tcPr>
          <w:p w14:paraId="138DFC7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1、传感器尺寸：≥1/2.5英寸；</w:t>
            </w:r>
          </w:p>
          <w:p w14:paraId="1F9E8D7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▲2、动态有效像素：≥829万像素（16:9）；</w:t>
            </w:r>
          </w:p>
          <w:p w14:paraId="14C5002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▲3、光学变焦≥20倍；</w:t>
            </w:r>
          </w:p>
          <w:p w14:paraId="647C87C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▲4、数字变焦≥250x；</w:t>
            </w:r>
          </w:p>
          <w:p w14:paraId="0553554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5、镜头：蔡司镜头；</w:t>
            </w:r>
          </w:p>
          <w:p w14:paraId="1BC8CBE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6、液晶屏类型：支持触摸屏，翻转屏；</w:t>
            </w:r>
          </w:p>
          <w:p w14:paraId="1279891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7、液晶屏尺寸：≥3英寸；</w:t>
            </w:r>
          </w:p>
          <w:p w14:paraId="0F02F6B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8、液晶屏像素：≥ 92.1万像素液晶屏(16:9)；</w:t>
            </w:r>
          </w:p>
          <w:p w14:paraId="69D8EDF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9、对焦方式：支持自动对焦，手动对焦；</w:t>
            </w:r>
          </w:p>
          <w:p w14:paraId="6F08B4E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10、麦克风：内置麦克风；</w:t>
            </w:r>
          </w:p>
          <w:p w14:paraId="4224A71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11、防抖性能：≥5轴防抖(平稳光学防抖智能增强模式)；</w:t>
            </w:r>
          </w:p>
          <w:p w14:paraId="72ACC6B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12、HDMI接口：支持；</w:t>
            </w:r>
          </w:p>
          <w:p w14:paraId="096A902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13、支持多热靴接口；</w:t>
            </w:r>
          </w:p>
          <w:p w14:paraId="5E9E3D5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14、存储容量 ：≥128GB；</w:t>
            </w:r>
          </w:p>
          <w:p w14:paraId="6D14BB6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15、最大支持容量：≥256GB；</w:t>
            </w:r>
          </w:p>
          <w:p w14:paraId="4CB3DB4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16、产品尺寸：≤80mmx85mmx200mm；</w:t>
            </w:r>
          </w:p>
          <w:p w14:paraId="2FB809B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17、产品重量 ≤600g（仅机身）；</w:t>
            </w:r>
          </w:p>
          <w:p w14:paraId="561025F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提供三年以上免费质保。</w:t>
            </w:r>
          </w:p>
        </w:tc>
      </w:tr>
      <w:tr w14:paraId="1ED76AA4">
        <w:tblPrEx>
          <w:tblCellMar>
            <w:top w:w="0" w:type="dxa"/>
            <w:left w:w="108" w:type="dxa"/>
            <w:bottom w:w="0" w:type="dxa"/>
            <w:right w:w="108" w:type="dxa"/>
          </w:tblCellMar>
        </w:tblPrEx>
        <w:tc>
          <w:tcPr>
            <w:tcW w:w="519" w:type="pct"/>
            <w:tcBorders>
              <w:top w:val="single" w:color="auto" w:sz="4" w:space="0"/>
              <w:left w:val="single" w:color="auto" w:sz="4" w:space="0"/>
              <w:bottom w:val="single" w:color="auto" w:sz="4" w:space="0"/>
              <w:right w:val="single" w:color="auto" w:sz="4" w:space="0"/>
            </w:tcBorders>
            <w:noWrap/>
            <w:vAlign w:val="center"/>
          </w:tcPr>
          <w:p w14:paraId="3CFF8A86">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 xml:space="preserve">4 </w:t>
            </w:r>
          </w:p>
        </w:tc>
        <w:tc>
          <w:tcPr>
            <w:tcW w:w="593" w:type="pct"/>
            <w:tcBorders>
              <w:top w:val="single" w:color="auto" w:sz="4" w:space="0"/>
              <w:left w:val="nil"/>
              <w:bottom w:val="single" w:color="auto" w:sz="4" w:space="0"/>
              <w:right w:val="single" w:color="auto" w:sz="4" w:space="0"/>
            </w:tcBorders>
            <w:noWrap/>
            <w:vAlign w:val="center"/>
          </w:tcPr>
          <w:p w14:paraId="13767759">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复合翼无人机</w:t>
            </w:r>
          </w:p>
        </w:tc>
        <w:tc>
          <w:tcPr>
            <w:tcW w:w="3886" w:type="pct"/>
            <w:tcBorders>
              <w:top w:val="single" w:color="auto" w:sz="4" w:space="0"/>
              <w:left w:val="single" w:color="auto" w:sz="4" w:space="0"/>
              <w:bottom w:val="single" w:color="auto" w:sz="4" w:space="0"/>
              <w:right w:val="single" w:color="auto" w:sz="4" w:space="0"/>
            </w:tcBorders>
            <w:vAlign w:val="center"/>
          </w:tcPr>
          <w:p w14:paraId="589AFE2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飞行平台：</w:t>
            </w:r>
          </w:p>
          <w:p w14:paraId="30CBE3B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★1.具备单北斗定位模式；旋翼数量≥4；飞行时间≥3h；最大飞行速度≥18m/s。</w:t>
            </w:r>
          </w:p>
          <w:p w14:paraId="16C8208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▲2.起飞海拔≥4500m（配备高原桨）；最大控制距离≥100km；载重≥8kg。</w:t>
            </w:r>
          </w:p>
          <w:p w14:paraId="2752E7E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▲3.抗风能力等级≥6 级；防护等级≥IP43；工作温度-20度至 45 度。</w:t>
            </w:r>
          </w:p>
          <w:p w14:paraId="3DB2CFC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4.无人机须采用纯电动动力系统。</w:t>
            </w:r>
          </w:p>
          <w:p w14:paraId="4336462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5.起降方式为垂直起降。</w:t>
            </w:r>
          </w:p>
          <w:p w14:paraId="4270952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6.无人机须采用固定翼与多旋翼结合的复合翼布局形式。</w:t>
            </w:r>
          </w:p>
          <w:p w14:paraId="4B8EC32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7.机翼展≥3.54 米；机长≥1.8 米。</w:t>
            </w:r>
          </w:p>
          <w:p w14:paraId="708FC64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8.具备常用民用频段抗干扰能力。</w:t>
            </w:r>
          </w:p>
          <w:p w14:paraId="0D1488F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地面站及软件系统：</w:t>
            </w:r>
          </w:p>
          <w:p w14:paraId="018D3AD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1.综合显示系统状态和任务状态，包括并不限于姿态、速度、高度、位置、航线状态、电池状态、链路状态、吊舱状态等信息。</w:t>
            </w:r>
          </w:p>
          <w:p w14:paraId="6FA22FF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2.地面站外部接口要具备常用的音视频及数据传输标准接口。</w:t>
            </w:r>
          </w:p>
          <w:p w14:paraId="7E6982B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3.具备黑匣子功能，可记录飞行姿态、气压、高度、动力输出等飞行数据。</w:t>
            </w:r>
          </w:p>
          <w:p w14:paraId="77EAC61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吊舱功能：</w:t>
            </w:r>
          </w:p>
          <w:p w14:paraId="5349DB4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1.无线电设备满足工信部关于无人机要求的合法频段。</w:t>
            </w:r>
          </w:p>
          <w:p w14:paraId="5C25C62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2.光电吊舱类型采用三轴机械增稳三光吊舱（可见光+红外+激光测距）。</w:t>
            </w:r>
          </w:p>
          <w:p w14:paraId="74D103F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▲3.可见光摄像机光学变焦≥33 倍。</w:t>
            </w:r>
          </w:p>
          <w:p w14:paraId="5EAFC87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▲4.红外传感器分辨率≥640*480。</w:t>
            </w:r>
          </w:p>
          <w:p w14:paraId="010110C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▲5.激光测距测量范围≥2000m，测距精度±2m。</w:t>
            </w:r>
          </w:p>
          <w:p w14:paraId="6F3117F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▲电池：电池配比进行 1：4 进行配备。</w:t>
            </w:r>
          </w:p>
          <w:p w14:paraId="14C34B9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五目相机：</w:t>
            </w:r>
          </w:p>
          <w:p w14:paraId="14DC93E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工作温度：-20°C-65°C；</w:t>
            </w:r>
          </w:p>
          <w:p w14:paraId="661FEAD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★有效像素：单镜头≥4500万像素,总像素≥2.1亿像素；</w:t>
            </w:r>
          </w:p>
          <w:p w14:paraId="10A3F9D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镜头焦距：倾斜≥56mm，正射≥40mm；</w:t>
            </w:r>
          </w:p>
          <w:p w14:paraId="5FBFDCF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存储容量：≥1280GB；</w:t>
            </w:r>
          </w:p>
          <w:p w14:paraId="640A34C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拍照间隔：≤0.9s；</w:t>
            </w:r>
          </w:p>
          <w:p w14:paraId="2AB0ECA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支持IS0，白平衡，色彩模式，快门速度等设置修改，支持蓝牙调参；</w:t>
            </w:r>
          </w:p>
          <w:p w14:paraId="4104738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附加服务：</w:t>
            </w:r>
          </w:p>
          <w:p w14:paraId="2613151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▲1.提供一年内因意外飞行造成的无人机损坏维修服务，额度相当于一架新机价值，额度之内不限次数维修。</w:t>
            </w:r>
          </w:p>
          <w:p w14:paraId="7CE04B7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▲2.提供一年内因意外飞行造成的任务载荷损坏维修服务，额度相当于任务载荷新机总价值，额度之内不限次数维修。</w:t>
            </w:r>
          </w:p>
          <w:p w14:paraId="4D1C36B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▲3.提供三年内无人机意外造成的第三方赔付保险，额度100万。</w:t>
            </w:r>
          </w:p>
          <w:p w14:paraId="7D62CDB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▲4.提供与采购数量 2 倍（飞行器）等量的民航超视距驾驶员(Ⅲ类)考证培训及考证服务。</w:t>
            </w:r>
          </w:p>
          <w:p w14:paraId="4F7A371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5.提供质保期内集群制图服务，可满足该系统需具备集群工作能力, 二维制图能力需满足 20 分钟≥5 平方公里，精度优于 10 厘米分辨率；三维制图能力需满足 20 分钟≥1平方公里，精度优于 8 厘米分辨率。</w:t>
            </w:r>
          </w:p>
          <w:p w14:paraId="2447139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6.提供≥150km的图传链路。</w:t>
            </w:r>
          </w:p>
          <w:p w14:paraId="3CAAB518">
            <w:pPr>
              <w:pStyle w:val="2"/>
              <w:spacing w:line="360" w:lineRule="exact"/>
              <w:rPr>
                <w:rFonts w:eastAsia="华文楷体"/>
              </w:rPr>
            </w:pPr>
            <w:r>
              <w:rPr>
                <w:rFonts w:hint="eastAsia" w:ascii="华文楷体" w:hAnsi="华文楷体" w:eastAsia="华文楷体" w:cs="宋体"/>
                <w:kern w:val="0"/>
              </w:rPr>
              <w:t>注：附加服务1、2、3、4项提供加盖公章的佐证材料。</w:t>
            </w:r>
          </w:p>
        </w:tc>
      </w:tr>
    </w:tbl>
    <w:p w14:paraId="71831E6E">
      <w:pPr>
        <w:rPr>
          <w:rFonts w:ascii="华文楷体" w:hAnsi="华文楷体" w:eastAsia="华文楷体" w:cs="宋体"/>
          <w:b/>
          <w:szCs w:val="21"/>
        </w:rPr>
      </w:pPr>
    </w:p>
    <w:p w14:paraId="0EC455E7">
      <w:pPr>
        <w:pStyle w:val="2"/>
        <w:rPr>
          <w:rFonts w:ascii="华文楷体" w:hAnsi="华文楷体" w:eastAsia="华文楷体" w:cs="宋体"/>
          <w:b/>
          <w:szCs w:val="21"/>
        </w:rPr>
      </w:pPr>
    </w:p>
    <w:p w14:paraId="0114E00C">
      <w:pPr>
        <w:pStyle w:val="3"/>
        <w:ind w:left="480"/>
        <w:rPr>
          <w:rFonts w:ascii="华文楷体" w:hAnsi="华文楷体" w:eastAsia="华文楷体" w:cs="宋体"/>
          <w:b/>
          <w:szCs w:val="21"/>
        </w:rPr>
      </w:pPr>
    </w:p>
    <w:p w14:paraId="17FF76FD">
      <w:pPr>
        <w:pStyle w:val="4"/>
        <w:ind w:left="480"/>
        <w:rPr>
          <w:rFonts w:ascii="华文楷体" w:hAnsi="华文楷体" w:eastAsia="华文楷体" w:cs="宋体"/>
          <w:b/>
          <w:szCs w:val="21"/>
        </w:rPr>
      </w:pPr>
    </w:p>
    <w:p w14:paraId="1D5A5BD1">
      <w:pPr>
        <w:rPr>
          <w:rFonts w:ascii="华文楷体" w:hAnsi="华文楷体" w:eastAsia="华文楷体" w:cs="宋体"/>
          <w:b/>
          <w:szCs w:val="21"/>
        </w:rPr>
      </w:pPr>
    </w:p>
    <w:p w14:paraId="7B89E35A">
      <w:pPr>
        <w:pStyle w:val="2"/>
        <w:rPr>
          <w:rFonts w:ascii="华文楷体" w:hAnsi="华文楷体" w:eastAsia="华文楷体" w:cs="宋体"/>
          <w:b/>
          <w:szCs w:val="21"/>
        </w:rPr>
      </w:pPr>
    </w:p>
    <w:p w14:paraId="093A691F">
      <w:pPr>
        <w:pStyle w:val="3"/>
        <w:ind w:left="480"/>
        <w:rPr>
          <w:rFonts w:ascii="华文楷体" w:hAnsi="华文楷体" w:eastAsia="华文楷体" w:cs="宋体"/>
          <w:b/>
          <w:szCs w:val="21"/>
        </w:rPr>
      </w:pPr>
    </w:p>
    <w:p w14:paraId="40A2597C">
      <w:pPr>
        <w:pStyle w:val="4"/>
        <w:ind w:left="480"/>
        <w:rPr>
          <w:rFonts w:ascii="华文楷体" w:hAnsi="华文楷体" w:eastAsia="华文楷体" w:cs="宋体"/>
          <w:b/>
          <w:szCs w:val="21"/>
        </w:rPr>
      </w:pPr>
    </w:p>
    <w:p w14:paraId="15A6AE3D">
      <w:pPr>
        <w:rPr>
          <w:rFonts w:ascii="华文楷体" w:hAnsi="华文楷体" w:eastAsia="华文楷体" w:cs="宋体"/>
          <w:b/>
          <w:szCs w:val="21"/>
        </w:rPr>
      </w:pPr>
    </w:p>
    <w:p w14:paraId="1164DB68">
      <w:pPr>
        <w:pStyle w:val="2"/>
        <w:rPr>
          <w:rFonts w:ascii="华文楷体" w:hAnsi="华文楷体" w:eastAsia="华文楷体" w:cs="宋体"/>
          <w:b/>
          <w:szCs w:val="21"/>
        </w:rPr>
      </w:pPr>
    </w:p>
    <w:p w14:paraId="741CA3B6">
      <w:pPr>
        <w:pStyle w:val="3"/>
        <w:ind w:left="480"/>
        <w:rPr>
          <w:rFonts w:ascii="华文楷体" w:hAnsi="华文楷体" w:eastAsia="华文楷体" w:cs="宋体"/>
          <w:b/>
          <w:szCs w:val="21"/>
        </w:rPr>
      </w:pPr>
    </w:p>
    <w:p w14:paraId="78B32D18">
      <w:pPr>
        <w:pStyle w:val="4"/>
        <w:ind w:left="480"/>
      </w:pPr>
    </w:p>
    <w:p w14:paraId="0C97AB95"/>
    <w:p w14:paraId="72ADA7B2">
      <w:pPr>
        <w:pStyle w:val="2"/>
      </w:pPr>
    </w:p>
    <w:p w14:paraId="5936C555">
      <w:pPr>
        <w:pStyle w:val="3"/>
        <w:ind w:left="0" w:leftChars="0"/>
      </w:pPr>
    </w:p>
    <w:p w14:paraId="7175D531">
      <w:pPr>
        <w:pStyle w:val="4"/>
      </w:pPr>
    </w:p>
    <w:p w14:paraId="656C788C">
      <w:pPr>
        <w:pStyle w:val="3"/>
        <w:ind w:left="480"/>
        <w:rPr>
          <w:rFonts w:ascii="华文楷体" w:hAnsi="华文楷体" w:eastAsia="华文楷体" w:cs="宋体"/>
          <w:b/>
          <w:sz w:val="24"/>
        </w:rPr>
      </w:pPr>
      <w:r>
        <w:rPr>
          <w:rFonts w:hint="eastAsia" w:ascii="华文楷体" w:hAnsi="华文楷体" w:eastAsia="华文楷体" w:cs="宋体"/>
          <w:b/>
          <w:sz w:val="24"/>
        </w:rPr>
        <w:t>包三：技术参数具体要求</w:t>
      </w:r>
    </w:p>
    <w:tbl>
      <w:tblPr>
        <w:tblStyle w:val="26"/>
        <w:tblW w:w="5241" w:type="pct"/>
        <w:tblInd w:w="-176" w:type="dxa"/>
        <w:tblLayout w:type="fixed"/>
        <w:tblCellMar>
          <w:top w:w="0" w:type="dxa"/>
          <w:left w:w="108" w:type="dxa"/>
          <w:bottom w:w="0" w:type="dxa"/>
          <w:right w:w="108" w:type="dxa"/>
        </w:tblCellMar>
      </w:tblPr>
      <w:tblGrid>
        <w:gridCol w:w="851"/>
        <w:gridCol w:w="1401"/>
        <w:gridCol w:w="6615"/>
      </w:tblGrid>
      <w:tr w14:paraId="7291C15A">
        <w:tblPrEx>
          <w:tblCellMar>
            <w:top w:w="0" w:type="dxa"/>
            <w:left w:w="108" w:type="dxa"/>
            <w:bottom w:w="0" w:type="dxa"/>
            <w:right w:w="108" w:type="dxa"/>
          </w:tblCellMar>
        </w:tblPrEx>
        <w:trPr>
          <w:trHeight w:val="570" w:hRule="exact"/>
        </w:trPr>
        <w:tc>
          <w:tcPr>
            <w:tcW w:w="480" w:type="pct"/>
            <w:tcBorders>
              <w:top w:val="single" w:color="auto" w:sz="4" w:space="0"/>
              <w:left w:val="single" w:color="auto" w:sz="4" w:space="0"/>
              <w:bottom w:val="single" w:color="auto" w:sz="4" w:space="0"/>
              <w:right w:val="single" w:color="auto" w:sz="4" w:space="0"/>
            </w:tcBorders>
            <w:noWrap/>
            <w:vAlign w:val="center"/>
          </w:tcPr>
          <w:p w14:paraId="343AD7F7">
            <w:pPr>
              <w:widowControl/>
              <w:spacing w:line="360" w:lineRule="exact"/>
              <w:jc w:val="center"/>
              <w:rPr>
                <w:rFonts w:ascii="华文楷体" w:hAnsi="华文楷体" w:eastAsia="华文楷体" w:cs="宋体"/>
                <w:b/>
                <w:bCs/>
                <w:kern w:val="0"/>
              </w:rPr>
            </w:pPr>
            <w:r>
              <w:rPr>
                <w:rFonts w:hint="eastAsia" w:ascii="华文楷体" w:hAnsi="华文楷体" w:eastAsia="华文楷体" w:cs="宋体"/>
                <w:b/>
                <w:bCs/>
                <w:kern w:val="0"/>
              </w:rPr>
              <w:t>序号</w:t>
            </w:r>
          </w:p>
        </w:tc>
        <w:tc>
          <w:tcPr>
            <w:tcW w:w="790" w:type="pct"/>
            <w:tcBorders>
              <w:top w:val="single" w:color="auto" w:sz="4" w:space="0"/>
              <w:left w:val="nil"/>
              <w:bottom w:val="single" w:color="auto" w:sz="4" w:space="0"/>
              <w:right w:val="single" w:color="auto" w:sz="4" w:space="0"/>
            </w:tcBorders>
            <w:noWrap/>
            <w:vAlign w:val="center"/>
          </w:tcPr>
          <w:p w14:paraId="4B6FA01E">
            <w:pPr>
              <w:widowControl/>
              <w:spacing w:line="360" w:lineRule="exact"/>
              <w:jc w:val="center"/>
              <w:rPr>
                <w:rFonts w:ascii="华文楷体" w:hAnsi="华文楷体" w:eastAsia="华文楷体" w:cs="宋体"/>
                <w:b/>
                <w:bCs/>
                <w:kern w:val="0"/>
              </w:rPr>
            </w:pPr>
            <w:r>
              <w:rPr>
                <w:rFonts w:hint="eastAsia" w:ascii="华文楷体" w:hAnsi="华文楷体" w:eastAsia="华文楷体" w:cs="宋体"/>
                <w:b/>
                <w:bCs/>
                <w:kern w:val="0"/>
              </w:rPr>
              <w:t>采购内容</w:t>
            </w:r>
          </w:p>
        </w:tc>
        <w:tc>
          <w:tcPr>
            <w:tcW w:w="3730" w:type="pct"/>
            <w:tcBorders>
              <w:top w:val="single" w:color="auto" w:sz="4" w:space="0"/>
              <w:left w:val="single" w:color="auto" w:sz="4" w:space="0"/>
              <w:bottom w:val="single" w:color="auto" w:sz="4" w:space="0"/>
              <w:right w:val="single" w:color="auto" w:sz="4" w:space="0"/>
            </w:tcBorders>
            <w:noWrap/>
            <w:vAlign w:val="center"/>
          </w:tcPr>
          <w:p w14:paraId="09C41246">
            <w:pPr>
              <w:widowControl/>
              <w:spacing w:line="360" w:lineRule="exact"/>
              <w:jc w:val="center"/>
              <w:rPr>
                <w:rFonts w:ascii="华文楷体" w:hAnsi="华文楷体" w:eastAsia="华文楷体" w:cs="宋体"/>
                <w:b/>
                <w:bCs/>
                <w:kern w:val="0"/>
              </w:rPr>
            </w:pPr>
            <w:r>
              <w:rPr>
                <w:rFonts w:hint="eastAsia" w:ascii="华文楷体" w:hAnsi="华文楷体" w:eastAsia="华文楷体" w:cs="宋体"/>
                <w:b/>
                <w:bCs/>
                <w:kern w:val="0"/>
              </w:rPr>
              <w:t>技术要求</w:t>
            </w:r>
          </w:p>
        </w:tc>
      </w:tr>
      <w:tr w14:paraId="66894D35">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23E75C64">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w:t>
            </w:r>
          </w:p>
        </w:tc>
        <w:tc>
          <w:tcPr>
            <w:tcW w:w="790" w:type="pct"/>
            <w:tcBorders>
              <w:top w:val="single" w:color="auto" w:sz="4" w:space="0"/>
              <w:left w:val="nil"/>
              <w:bottom w:val="single" w:color="auto" w:sz="4" w:space="0"/>
              <w:right w:val="single" w:color="auto" w:sz="4" w:space="0"/>
            </w:tcBorders>
            <w:noWrap/>
            <w:vAlign w:val="center"/>
          </w:tcPr>
          <w:p w14:paraId="79978E91">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耐低温防冻服</w:t>
            </w:r>
          </w:p>
        </w:tc>
        <w:tc>
          <w:tcPr>
            <w:tcW w:w="3730" w:type="pct"/>
            <w:tcBorders>
              <w:top w:val="single" w:color="auto" w:sz="4" w:space="0"/>
              <w:left w:val="single" w:color="auto" w:sz="4" w:space="0"/>
              <w:bottom w:val="single" w:color="auto" w:sz="4" w:space="0"/>
              <w:right w:val="single" w:color="auto" w:sz="4" w:space="0"/>
            </w:tcBorders>
            <w:vAlign w:val="center"/>
          </w:tcPr>
          <w:p w14:paraId="47D39F3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1、采用多层透气防水复合材质或优于该材质；</w:t>
            </w:r>
          </w:p>
          <w:p w14:paraId="2852CE0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2、由连体头罩、低温连体服、连体呼吸器背囊、低温手套、低温靴子等组成；</w:t>
            </w:r>
          </w:p>
          <w:p w14:paraId="7DA3590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10CDAF7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★3.1、温度：≤-160℃（有效防御）；</w:t>
            </w:r>
          </w:p>
          <w:p w14:paraId="631383E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3.2、颜色：蓝色；</w:t>
            </w:r>
          </w:p>
          <w:p w14:paraId="645E505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22C5664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5、提供具有CNAS/CMA资质认证的第三方检测机构出具的检测报告。提供三年以上免费质保。</w:t>
            </w:r>
          </w:p>
        </w:tc>
      </w:tr>
      <w:tr w14:paraId="3A7E884D">
        <w:tblPrEx>
          <w:tblCellMar>
            <w:top w:w="0" w:type="dxa"/>
            <w:left w:w="108" w:type="dxa"/>
            <w:bottom w:w="0" w:type="dxa"/>
            <w:right w:w="108" w:type="dxa"/>
          </w:tblCellMar>
        </w:tblPrEx>
        <w:tc>
          <w:tcPr>
            <w:tcW w:w="480" w:type="pct"/>
            <w:tcBorders>
              <w:top w:val="nil"/>
              <w:left w:val="single" w:color="auto" w:sz="4" w:space="0"/>
              <w:bottom w:val="single" w:color="auto" w:sz="4" w:space="0"/>
              <w:right w:val="single" w:color="auto" w:sz="4" w:space="0"/>
            </w:tcBorders>
            <w:noWrap/>
            <w:vAlign w:val="center"/>
          </w:tcPr>
          <w:p w14:paraId="0ED45414">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2</w:t>
            </w:r>
          </w:p>
        </w:tc>
        <w:tc>
          <w:tcPr>
            <w:tcW w:w="790" w:type="pct"/>
            <w:tcBorders>
              <w:top w:val="nil"/>
              <w:left w:val="nil"/>
              <w:bottom w:val="single" w:color="auto" w:sz="4" w:space="0"/>
              <w:right w:val="single" w:color="auto" w:sz="4" w:space="0"/>
            </w:tcBorders>
            <w:noWrap/>
            <w:vAlign w:val="center"/>
          </w:tcPr>
          <w:p w14:paraId="4BAF3B64">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防辐射服</w:t>
            </w:r>
          </w:p>
        </w:tc>
        <w:tc>
          <w:tcPr>
            <w:tcW w:w="3730" w:type="pct"/>
            <w:tcBorders>
              <w:top w:val="nil"/>
              <w:left w:val="single" w:color="auto" w:sz="4" w:space="0"/>
              <w:bottom w:val="single" w:color="auto" w:sz="4" w:space="0"/>
              <w:right w:val="single" w:color="auto" w:sz="4" w:space="0"/>
            </w:tcBorders>
            <w:vAlign w:val="center"/>
          </w:tcPr>
          <w:p w14:paraId="3325567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符合GB/T 19001-2016《质量体系认证》标准；</w:t>
            </w:r>
          </w:p>
          <w:p w14:paraId="665DC0A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1、柔性辐射铅屏蔽复合材料和阻燃防化混炼材料（或优于）材质，叠层制作的核生化连体防护服；</w:t>
            </w:r>
          </w:p>
          <w:p w14:paraId="764B684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2、具有防辐射、防化学、防穿刺、屏蔽、阻燃等性能；</w:t>
            </w:r>
          </w:p>
          <w:p w14:paraId="306CE55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1FEA0A4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★3.1、核辐射防护皮鞋耐磨、耐酸碱、防滑，屏蔽性能≥0.25mmPb；鞋帮撕裂性能≥320N；</w:t>
            </w:r>
          </w:p>
          <w:p w14:paraId="17FC4D2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3.2、电绝缘性能：≥5000V；</w:t>
            </w:r>
          </w:p>
          <w:p w14:paraId="1ABDB52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3.3、鞋底防刺穿性能:≥780N；</w:t>
            </w:r>
          </w:p>
          <w:p w14:paraId="0614A77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3.4、抗硫酸、硝酸、氢氧化钠的渗透时间：≥4h；</w:t>
            </w:r>
          </w:p>
          <w:p w14:paraId="6020433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▲3.5、断裂强力：经纬向：≥450N，撕裂强力：≥32N；</w:t>
            </w:r>
          </w:p>
          <w:p w14:paraId="532C1D3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3.6、阻燃性能：≤3s（有焰燃烧环境下）；</w:t>
            </w:r>
          </w:p>
          <w:p w14:paraId="7482B50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3.7、耐寒性能：≤-25℃ 5min；</w:t>
            </w:r>
          </w:p>
          <w:p w14:paraId="421FE08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4、配备携行箱；</w:t>
            </w:r>
          </w:p>
          <w:p w14:paraId="56835C7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5、具有永久性标志及产品数据标识；</w:t>
            </w:r>
          </w:p>
          <w:p w14:paraId="0A8C22D5">
            <w:pPr>
              <w:widowControl/>
              <w:spacing w:line="360" w:lineRule="exact"/>
              <w:jc w:val="left"/>
              <w:rPr>
                <w:rFonts w:ascii="华文楷体" w:hAnsi="华文楷体" w:eastAsia="华文楷体"/>
              </w:rPr>
            </w:pPr>
            <w:r>
              <w:rPr>
                <w:rFonts w:hint="eastAsia" w:ascii="华文楷体" w:hAnsi="华文楷体" w:eastAsia="华文楷体" w:cs="宋体"/>
                <w:kern w:val="0"/>
              </w:rPr>
              <w:t>6、提供具有CNAS/CMA资质认证的第三方检测机构出具的检测报告。提供三年以上免费质保。</w:t>
            </w:r>
          </w:p>
        </w:tc>
      </w:tr>
      <w:tr w14:paraId="06D40CDF">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34989FBD">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3</w:t>
            </w:r>
          </w:p>
        </w:tc>
        <w:tc>
          <w:tcPr>
            <w:tcW w:w="790" w:type="pct"/>
            <w:tcBorders>
              <w:top w:val="single" w:color="auto" w:sz="4" w:space="0"/>
              <w:left w:val="single" w:color="auto" w:sz="4" w:space="0"/>
              <w:bottom w:val="single" w:color="auto" w:sz="4" w:space="0"/>
              <w:right w:val="single" w:color="auto" w:sz="4" w:space="0"/>
            </w:tcBorders>
            <w:noWrap/>
            <w:vAlign w:val="center"/>
          </w:tcPr>
          <w:p w14:paraId="4BBAD0E2">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柔性堵漏工具</w:t>
            </w:r>
          </w:p>
        </w:tc>
        <w:tc>
          <w:tcPr>
            <w:tcW w:w="3730" w:type="pct"/>
            <w:tcBorders>
              <w:top w:val="single" w:color="auto" w:sz="4" w:space="0"/>
              <w:left w:val="single" w:color="auto" w:sz="4" w:space="0"/>
              <w:bottom w:val="single" w:color="auto" w:sz="4" w:space="0"/>
              <w:right w:val="single" w:color="auto" w:sz="4" w:space="0"/>
            </w:tcBorders>
            <w:vAlign w:val="center"/>
          </w:tcPr>
          <w:p w14:paraId="04D8339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符合GB 23440-2009《无机防水堵漏材料》、XF1025-2012《消防产品消防安全要求》、GB33372-2020《胶粘剂挥发性有机化合物限量》、GB/T 10686-2013《铜合金工具防爆性能试验方法》；</w:t>
            </w:r>
          </w:p>
          <w:p w14:paraId="57BDCC0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1、由动力源、注射设备、拉紧装置、柔性防爆锁具带、密封材料等组成；</w:t>
            </w:r>
          </w:p>
          <w:p w14:paraId="2B94BCC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★2.1、动力源压力等级：≥70MPa；</w:t>
            </w:r>
          </w:p>
          <w:p w14:paraId="046FADB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2.2、抗拉载荷：≥28KN；</w:t>
            </w:r>
          </w:p>
          <w:p w14:paraId="5D3AE9E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▲2.3、承载能力≥13t；</w:t>
            </w:r>
          </w:p>
          <w:p w14:paraId="4CA4E5E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2.4、封堵直径：Ø8mm- Ø2500mm；</w:t>
            </w:r>
          </w:p>
          <w:p w14:paraId="115A4BA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2.5、温度：-380℃～950℃；</w:t>
            </w:r>
          </w:p>
          <w:p w14:paraId="4489F79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▲2.6、压力：0MPa-20MPa；</w:t>
            </w:r>
          </w:p>
          <w:p w14:paraId="722502A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3、拉紧工具箱：（液压索具拉紧装置0-60MPa）</w:t>
            </w:r>
          </w:p>
          <w:p w14:paraId="04325B0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3.1、动力源压力等级：≥70MPa；</w:t>
            </w:r>
          </w:p>
          <w:p w14:paraId="298BE1E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3.2、动力源输出油量：一级≥3.0ml/min，二级≥14ml/min；</w:t>
            </w:r>
          </w:p>
          <w:p w14:paraId="4B944AA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 承载能力：≥13t；</w:t>
            </w:r>
          </w:p>
          <w:p w14:paraId="4CFC403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3.4、行程高度：≥70mm；</w:t>
            </w:r>
          </w:p>
          <w:p w14:paraId="4B7ECD8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3.5、适用温度：-190℃～900℃；</w:t>
            </w:r>
          </w:p>
          <w:p w14:paraId="7DA0578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3.6、适用压力：≤20MPa；</w:t>
            </w:r>
          </w:p>
          <w:p w14:paraId="74F2ECC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4、注射工具箱：注射装置0-60MPa；</w:t>
            </w:r>
          </w:p>
          <w:p w14:paraId="5E7B0E9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4.1、动力源压力等级：≥70MPa；</w:t>
            </w:r>
          </w:p>
          <w:p w14:paraId="5001E57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4.2、流量：≥5L/min；</w:t>
            </w:r>
          </w:p>
          <w:p w14:paraId="4712365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4.3、通径：≥2mm；</w:t>
            </w:r>
          </w:p>
          <w:p w14:paraId="7A932A1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5、配件箱：封堵模块；</w:t>
            </w:r>
          </w:p>
          <w:p w14:paraId="3618B29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5.1、由法兰封堵模块、直管封堵模块、罐体封堵模块、阀门封堵模块、端面封堵模块、弯头封堵模块、根部封堵模块、螺孔注胶接头模块等组成；</w:t>
            </w:r>
          </w:p>
          <w:p w14:paraId="10DCBB4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5.2、封堵性能：</w:t>
            </w:r>
          </w:p>
          <w:p w14:paraId="1C193C1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5.2.1、可封堵直径：φ8mm～φ2500mm；</w:t>
            </w:r>
          </w:p>
          <w:p w14:paraId="36216AD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5.2.2、适用介质温度：≥500℃；</w:t>
            </w:r>
          </w:p>
          <w:p w14:paraId="0D2EE3C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5.2.3、适用介质压力：0MPa-20MPa；</w:t>
            </w:r>
          </w:p>
          <w:p w14:paraId="356F00F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5.2.4、封堵时间：≤13min；</w:t>
            </w:r>
          </w:p>
          <w:p w14:paraId="6482F83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5.2.5、可封堵泄漏口径：孔洞直径：φ100mm～φ200mm，裂纹长度：100mm～300mm；</w:t>
            </w:r>
          </w:p>
          <w:p w14:paraId="174124D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6、耗材箱：柔性防爆索具带；</w:t>
            </w:r>
          </w:p>
          <w:p w14:paraId="3DF5DD5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6.1、抗拉载荷≥25kN；</w:t>
            </w:r>
          </w:p>
          <w:p w14:paraId="6BFAFC9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6.2、最小弯曲直径：≤16mm； </w:t>
            </w:r>
          </w:p>
          <w:p w14:paraId="77A7C7C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7、具有永久性标志及产品数据标识；</w:t>
            </w:r>
          </w:p>
          <w:p w14:paraId="7D9428E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8、提供具有国家级或CNAS/CMA资质认证的第三方检测机构出具的检测报告。提供三年以上免费质保。</w:t>
            </w:r>
          </w:p>
        </w:tc>
      </w:tr>
      <w:tr w14:paraId="545549A8">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60CC4CB1">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4</w:t>
            </w:r>
          </w:p>
        </w:tc>
        <w:tc>
          <w:tcPr>
            <w:tcW w:w="790" w:type="pct"/>
            <w:tcBorders>
              <w:top w:val="single" w:color="auto" w:sz="4" w:space="0"/>
              <w:left w:val="nil"/>
              <w:bottom w:val="single" w:color="auto" w:sz="4" w:space="0"/>
              <w:right w:val="single" w:color="auto" w:sz="4" w:space="0"/>
            </w:tcBorders>
            <w:noWrap/>
            <w:vAlign w:val="center"/>
          </w:tcPr>
          <w:p w14:paraId="6A2007DC">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磁压式堵漏工具</w:t>
            </w:r>
          </w:p>
        </w:tc>
        <w:tc>
          <w:tcPr>
            <w:tcW w:w="3730" w:type="pct"/>
            <w:tcBorders>
              <w:top w:val="single" w:color="auto" w:sz="4" w:space="0"/>
              <w:left w:val="single" w:color="auto" w:sz="4" w:space="0"/>
              <w:bottom w:val="single" w:color="auto" w:sz="4" w:space="0"/>
              <w:right w:val="single" w:color="auto" w:sz="4" w:space="0"/>
            </w:tcBorders>
            <w:vAlign w:val="center"/>
          </w:tcPr>
          <w:p w14:paraId="587103F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1、配备磁压器1个，极靴4块，快速堵漏胶2条，不干胶1卷，铝合金或优于该材质携带箱1个。</w:t>
            </w:r>
          </w:p>
          <w:p w14:paraId="5AD5EE7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2、主要参数：</w:t>
            </w:r>
          </w:p>
          <w:p w14:paraId="4D877AF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▲2.1、适用压力：≥1.8MPa；</w:t>
            </w:r>
          </w:p>
          <w:p w14:paraId="4B9F2C4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2.2、适用温度：≤80℃；</w:t>
            </w:r>
          </w:p>
          <w:p w14:paraId="62B9CED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★2.3、最大吸附力：≥300kg；</w:t>
            </w:r>
          </w:p>
          <w:p w14:paraId="22CCB5B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2.4、孔洞状泄漏口，直径≤Ф15mm，堵漏速度≤10min。</w:t>
            </w:r>
          </w:p>
          <w:p w14:paraId="12531C7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2.5、线状泄漏口，长*宽≤50*5mm；堵漏速度≤10min。</w:t>
            </w:r>
          </w:p>
          <w:p w14:paraId="7D219BA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3、具有永久性标志及产品数据标识；</w:t>
            </w:r>
          </w:p>
          <w:p w14:paraId="6DC6F70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4、提供具有国家级或CNAS/CMA资质认证的第三方检测机构出具的检测报告。提供三年以上免费质保。</w:t>
            </w:r>
          </w:p>
        </w:tc>
      </w:tr>
      <w:tr w14:paraId="2A152D48">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77FFDB8B">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5</w:t>
            </w:r>
          </w:p>
        </w:tc>
        <w:tc>
          <w:tcPr>
            <w:tcW w:w="790" w:type="pct"/>
            <w:tcBorders>
              <w:top w:val="single" w:color="auto" w:sz="4" w:space="0"/>
              <w:left w:val="nil"/>
              <w:bottom w:val="single" w:color="auto" w:sz="4" w:space="0"/>
              <w:right w:val="single" w:color="auto" w:sz="4" w:space="0"/>
            </w:tcBorders>
            <w:noWrap/>
            <w:vAlign w:val="center"/>
          </w:tcPr>
          <w:p w14:paraId="7B0E465D">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工业级带压堵漏法兰夹具</w:t>
            </w:r>
          </w:p>
        </w:tc>
        <w:tc>
          <w:tcPr>
            <w:tcW w:w="3730" w:type="pct"/>
            <w:tcBorders>
              <w:top w:val="single" w:color="auto" w:sz="4" w:space="0"/>
              <w:left w:val="single" w:color="auto" w:sz="4" w:space="0"/>
              <w:bottom w:val="single" w:color="auto" w:sz="4" w:space="0"/>
              <w:right w:val="single" w:color="auto" w:sz="4" w:space="0"/>
            </w:tcBorders>
            <w:vAlign w:val="center"/>
          </w:tcPr>
          <w:p w14:paraId="187890E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 GB/T9124.1-2019 《钢制管法兰 PN 系列法兰类型、代号及使用范围》标准；</w:t>
            </w:r>
          </w:p>
          <w:p w14:paraId="3498251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1、主要性能：</w:t>
            </w:r>
          </w:p>
          <w:p w14:paraId="6B8172D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1.1、夹具内径为：Φ95mm、Φ105mm、Φ115mm、Φ135mm、Φ145mm、Φ165mm、Φ180mm、Φ195mm、Φ210mm、Φ230mm、Φ250mm、Φ270mm；</w:t>
            </w:r>
          </w:p>
          <w:p w14:paraId="29294E1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1.2、配备盘根、携行箱；</w:t>
            </w:r>
          </w:p>
          <w:p w14:paraId="5A9AA58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2、主要参数：</w:t>
            </w:r>
          </w:p>
          <w:p w14:paraId="3A8E438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2.1、适用介质温度（℃）:－200～＋750；</w:t>
            </w:r>
          </w:p>
          <w:p w14:paraId="110786F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2.2、套具壁厚：≥20mm；</w:t>
            </w:r>
          </w:p>
          <w:p w14:paraId="35E419F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▲2.3、适用压力：-1.0MPa—2.5MPa；</w:t>
            </w:r>
          </w:p>
          <w:p w14:paraId="0CFAB23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★2.4、螺栓强度：≥8.8级高强螺栓；</w:t>
            </w:r>
          </w:p>
          <w:p w14:paraId="2E8F68A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3、具有永久性标志及产品数据标识；</w:t>
            </w:r>
          </w:p>
          <w:p w14:paraId="49629A7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4、提供具有国家级或CNAS/CMA资质认证的第三方检测机构出具的检测报告。</w:t>
            </w:r>
          </w:p>
          <w:p w14:paraId="35CB410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提供三年以上免费质保。</w:t>
            </w:r>
          </w:p>
        </w:tc>
      </w:tr>
      <w:tr w14:paraId="477FEC41">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732AD66E">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6</w:t>
            </w:r>
          </w:p>
        </w:tc>
        <w:tc>
          <w:tcPr>
            <w:tcW w:w="790" w:type="pct"/>
            <w:tcBorders>
              <w:top w:val="single" w:color="auto" w:sz="4" w:space="0"/>
              <w:left w:val="nil"/>
              <w:bottom w:val="single" w:color="auto" w:sz="4" w:space="0"/>
              <w:right w:val="single" w:color="auto" w:sz="4" w:space="0"/>
            </w:tcBorders>
            <w:noWrap/>
            <w:vAlign w:val="center"/>
          </w:tcPr>
          <w:p w14:paraId="0B158CD2">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堵漏工具</w:t>
            </w:r>
          </w:p>
          <w:p w14:paraId="3C63A82F">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（包含外封式堵漏袋1套、捆绑式堵漏工具1套、金属堵漏套管1套、气动吸盘式堵漏器1套、注入式堵漏工具1套）</w:t>
            </w:r>
          </w:p>
        </w:tc>
        <w:tc>
          <w:tcPr>
            <w:tcW w:w="3730" w:type="pct"/>
            <w:tcBorders>
              <w:top w:val="single" w:color="auto" w:sz="4" w:space="0"/>
              <w:left w:val="single" w:color="auto" w:sz="4" w:space="0"/>
              <w:bottom w:val="single" w:color="auto" w:sz="4" w:space="0"/>
              <w:right w:val="single" w:color="auto" w:sz="4" w:space="0"/>
            </w:tcBorders>
            <w:vAlign w:val="center"/>
          </w:tcPr>
          <w:p w14:paraId="77B3ED5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符合GB 23440-2009《无机防水堵漏材料》、XF1025-2012《消防产品 消防安全要求》；</w:t>
            </w:r>
          </w:p>
          <w:p w14:paraId="0B1530F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1、外封式堵漏袋</w:t>
            </w:r>
          </w:p>
          <w:p w14:paraId="6A64A77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1.1、材质：由高强度橡胶和增强材料复合制成或优于该材质；</w:t>
            </w:r>
          </w:p>
          <w:p w14:paraId="5ECEC56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1.2、由绑带及锁紧器、结漏袋、转气接头、压力表、排气阀、脚踏泵、通气软管等组成，配备携行箱；</w:t>
            </w:r>
          </w:p>
          <w:p w14:paraId="3DB0E83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1.3、重量(Kg)：≤11（含携行箱）；</w:t>
            </w:r>
          </w:p>
          <w:p w14:paraId="0479245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★1.4、工作压力(MPa)：≥0.15。</w:t>
            </w:r>
          </w:p>
          <w:p w14:paraId="36AE9F6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1.5、充气时间（s）：≤60；</w:t>
            </w:r>
          </w:p>
          <w:p w14:paraId="5696E09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2、捆绑式堵漏袋</w:t>
            </w:r>
          </w:p>
          <w:p w14:paraId="5442793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2.1、材质：由高强度橡胶和增强材料复合制成或优于该材质；</w:t>
            </w:r>
          </w:p>
          <w:p w14:paraId="6C91DBB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2.2、由绑带及锁紧器、结漏袋、转气接头、压力表、排气阀、脚踏泵、通气软管等组成，配备携行箱；</w:t>
            </w:r>
          </w:p>
          <w:p w14:paraId="04D50E6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★2.3、工作压力(MPa)：≥0.15。</w:t>
            </w:r>
          </w:p>
          <w:p w14:paraId="0059CE5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2.4、充气时间（s）：≤60；</w:t>
            </w:r>
          </w:p>
          <w:p w14:paraId="678ADBA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3、金属堵漏套管</w:t>
            </w:r>
          </w:p>
          <w:p w14:paraId="508F4A8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3.1、材质：金属、橡胶或优于该材质；</w:t>
            </w:r>
          </w:p>
          <w:p w14:paraId="4DB4735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3.2、由不锈钢板，密封垫，固定架，锁紧架，六角螺母， 平垫圈，加强半圆头方颈螺栓，可逆式棘轮扳手，手动套筒扳 手套筒头，双头呆扳手组成，配备携行箱；</w:t>
            </w:r>
          </w:p>
          <w:p w14:paraId="049ABB0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3.3、适用介质温度：-70℃～250℃；</w:t>
            </w:r>
          </w:p>
          <w:p w14:paraId="0647007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★3.4、堵漏压力：2.5MPa；</w:t>
            </w:r>
          </w:p>
          <w:p w14:paraId="499F81C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4、气动吸盘式堵漏器</w:t>
            </w:r>
          </w:p>
          <w:p w14:paraId="7CC942A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4.1、由吸盘、排流系统、真空系统、排流管、充气软管、截流阀、压力表组成，配备携行箱；</w:t>
            </w:r>
          </w:p>
          <w:p w14:paraId="68EE4CD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4.2、尺寸大小：≥Φ500mm；</w:t>
            </w:r>
          </w:p>
          <w:p w14:paraId="794DFE6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4.3、封堵面积：≥Φ500/200mm；</w:t>
            </w:r>
          </w:p>
          <w:p w14:paraId="4DDB767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4.4、充气压力：≥0.8MPa；</w:t>
            </w:r>
          </w:p>
          <w:p w14:paraId="7FCA8B9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★4.5、真空压力：≥</w:t>
            </w:r>
            <w:r>
              <w:rPr>
                <w:rFonts w:hint="eastAsia" w:ascii="宋体" w:hAnsi="宋体" w:eastAsia="宋体" w:cs="宋体"/>
                <w:highlight w:val="none"/>
                <w:lang w:val="en-US" w:eastAsia="zh-CN"/>
              </w:rPr>
              <w:t>－0.085MPa</w:t>
            </w:r>
            <w:r>
              <w:rPr>
                <w:rFonts w:hint="eastAsia" w:ascii="华文楷体" w:hAnsi="华文楷体" w:eastAsia="华文楷体" w:cs="宋体"/>
                <w:kern w:val="0"/>
              </w:rPr>
              <w:t>；</w:t>
            </w:r>
          </w:p>
          <w:p w14:paraId="1ECC133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4.6、重量：≤5.5kg；</w:t>
            </w:r>
          </w:p>
          <w:p w14:paraId="3067447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5、注入式堵漏工具</w:t>
            </w:r>
          </w:p>
          <w:p w14:paraId="1D99700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5.1、由注胶枪，堵漏胶，手压泵，专用高压油泵（附快速接头），油管，注射阀，角向接头，注胶螺母，注胶螺栓，专用润滑松动喷剂，专用扳手等组成，配备携行箱；</w:t>
            </w:r>
          </w:p>
          <w:p w14:paraId="1002FFD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★5.2、额定压力:≥63MPa；</w:t>
            </w:r>
          </w:p>
          <w:p w14:paraId="17FAA5D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5.3、重量:≤18kg；</w:t>
            </w:r>
          </w:p>
          <w:p w14:paraId="2AC1360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▲5.4、工作温度：-200-750℃；</w:t>
            </w:r>
          </w:p>
          <w:p w14:paraId="0F51E05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6、具有永久性标志及产品数据标识；</w:t>
            </w:r>
          </w:p>
          <w:p w14:paraId="3BF56DC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7、★提供满足物品清单和型号参数的承诺（加盖公章，格式自拟）；</w:t>
            </w:r>
          </w:p>
          <w:p w14:paraId="0F3BD88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8、提交物品时必须提供具有国家级或CNAS/CMA资质认证的第三方检测机构出具的检测报告。提供三年以上免费质保。</w:t>
            </w:r>
          </w:p>
        </w:tc>
      </w:tr>
      <w:tr w14:paraId="13C4DC22">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58CDCEB8">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7</w:t>
            </w:r>
          </w:p>
        </w:tc>
        <w:tc>
          <w:tcPr>
            <w:tcW w:w="790" w:type="pct"/>
            <w:tcBorders>
              <w:top w:val="single" w:color="auto" w:sz="4" w:space="0"/>
              <w:left w:val="nil"/>
              <w:bottom w:val="single" w:color="auto" w:sz="4" w:space="0"/>
              <w:right w:val="single" w:color="auto" w:sz="4" w:space="0"/>
            </w:tcBorders>
            <w:noWrap/>
            <w:vAlign w:val="center"/>
          </w:tcPr>
          <w:p w14:paraId="66B87980">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超低延展静力绳（100米）</w:t>
            </w:r>
          </w:p>
        </w:tc>
        <w:tc>
          <w:tcPr>
            <w:tcW w:w="3730" w:type="pct"/>
            <w:tcBorders>
              <w:top w:val="single" w:color="auto" w:sz="4" w:space="0"/>
              <w:left w:val="single" w:color="auto" w:sz="4" w:space="0"/>
              <w:bottom w:val="single" w:color="auto" w:sz="4" w:space="0"/>
              <w:right w:val="single" w:color="auto" w:sz="4" w:space="0"/>
            </w:tcBorders>
            <w:vAlign w:val="center"/>
          </w:tcPr>
          <w:p w14:paraId="590AE67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1、符合XF494-2023《消防用防坠落装备》标准；</w:t>
            </w:r>
          </w:p>
          <w:p w14:paraId="0063ECA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2、材料为尼龙或优于该材质；</w:t>
            </w:r>
          </w:p>
          <w:p w14:paraId="3F25BD0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57B59D2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3.1、直径：10.5mm；</w:t>
            </w:r>
          </w:p>
          <w:p w14:paraId="74767EB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▲3.2、静态延伸率:≤3%；</w:t>
            </w:r>
          </w:p>
          <w:p w14:paraId="48FF6CF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★3.3、最小断裂负荷：≥29kN；</w:t>
            </w:r>
          </w:p>
          <w:p w14:paraId="1C9985A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3.4、重量：≤96g/m；</w:t>
            </w:r>
          </w:p>
          <w:p w14:paraId="2194A63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 打结强力:≥17.5 kN；</w:t>
            </w:r>
          </w:p>
          <w:p w14:paraId="284A2CA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360F32B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5、提供具有国家级或CNAS/CMA资质认证的第三方检测机构出具的检测报告。提供三年以上免费质保。</w:t>
            </w:r>
          </w:p>
        </w:tc>
      </w:tr>
      <w:tr w14:paraId="400E6393">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293AE33E">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8</w:t>
            </w:r>
          </w:p>
        </w:tc>
        <w:tc>
          <w:tcPr>
            <w:tcW w:w="790" w:type="pct"/>
            <w:tcBorders>
              <w:top w:val="single" w:color="auto" w:sz="4" w:space="0"/>
              <w:left w:val="nil"/>
              <w:bottom w:val="single" w:color="auto" w:sz="4" w:space="0"/>
              <w:right w:val="single" w:color="auto" w:sz="4" w:space="0"/>
            </w:tcBorders>
            <w:noWrap/>
            <w:vAlign w:val="center"/>
          </w:tcPr>
          <w:p w14:paraId="072F5165">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绳索收纳包</w:t>
            </w:r>
          </w:p>
        </w:tc>
        <w:tc>
          <w:tcPr>
            <w:tcW w:w="3730" w:type="pct"/>
            <w:tcBorders>
              <w:top w:val="single" w:color="auto" w:sz="4" w:space="0"/>
              <w:left w:val="single" w:color="auto" w:sz="4" w:space="0"/>
              <w:bottom w:val="single" w:color="auto" w:sz="4" w:space="0"/>
              <w:right w:val="single" w:color="auto" w:sz="4" w:space="0"/>
            </w:tcBorders>
            <w:vAlign w:val="center"/>
          </w:tcPr>
          <w:p w14:paraId="7621574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1、主要性能：</w:t>
            </w:r>
          </w:p>
          <w:p w14:paraId="38A9E3B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1.1、采用环保TPU材料或优于该材质，</w:t>
            </w:r>
          </w:p>
          <w:p w14:paraId="50FDC44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1.2、内部配有连接环，可以连接绳头和装备；</w:t>
            </w:r>
          </w:p>
          <w:p w14:paraId="7D622B6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1.3、绳包口为卷口设计；</w:t>
            </w:r>
          </w:p>
          <w:p w14:paraId="2675F0D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1.4、至少配有两个大提手，装载重物≥50kg，内置一个挂点提手；</w:t>
            </w:r>
          </w:p>
          <w:p w14:paraId="48BDB58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1.5、配备有双肩肩带，可背负；</w:t>
            </w:r>
          </w:p>
          <w:p w14:paraId="6CF57B8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1.6、外部需要有拉链袋和标记区域；</w:t>
            </w:r>
          </w:p>
          <w:p w14:paraId="1AA3A13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1.7、颜色：黄色；</w:t>
            </w:r>
          </w:p>
          <w:p w14:paraId="2D20269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★1.8、容量≥45L，</w:t>
            </w:r>
          </w:p>
          <w:p w14:paraId="40FB458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1.9、重量≤900g；</w:t>
            </w:r>
          </w:p>
          <w:p w14:paraId="42EF6D5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2、具有永久性标志及产品数据标识；</w:t>
            </w:r>
          </w:p>
          <w:p w14:paraId="0BBD3AB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3、提供具有CNAS/CMA资质认证的第三方检测机构出具的检测报告。提供三年以上免费质保。</w:t>
            </w:r>
          </w:p>
        </w:tc>
      </w:tr>
      <w:tr w14:paraId="20279FDD">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5988D969">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9</w:t>
            </w:r>
          </w:p>
        </w:tc>
        <w:tc>
          <w:tcPr>
            <w:tcW w:w="790" w:type="pct"/>
            <w:tcBorders>
              <w:top w:val="single" w:color="auto" w:sz="4" w:space="0"/>
              <w:left w:val="nil"/>
              <w:bottom w:val="single" w:color="auto" w:sz="4" w:space="0"/>
              <w:right w:val="single" w:color="auto" w:sz="4" w:space="0"/>
            </w:tcBorders>
            <w:noWrap/>
            <w:vAlign w:val="center"/>
          </w:tcPr>
          <w:p w14:paraId="3078ABA8">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胸灯</w:t>
            </w:r>
          </w:p>
        </w:tc>
        <w:tc>
          <w:tcPr>
            <w:tcW w:w="3730" w:type="pct"/>
            <w:tcBorders>
              <w:top w:val="single" w:color="auto" w:sz="4" w:space="0"/>
              <w:left w:val="single" w:color="auto" w:sz="4" w:space="0"/>
              <w:bottom w:val="single" w:color="auto" w:sz="4" w:space="0"/>
              <w:right w:val="single" w:color="auto" w:sz="4" w:space="0"/>
            </w:tcBorders>
            <w:vAlign w:val="center"/>
          </w:tcPr>
          <w:p w14:paraId="6982691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1、符合GB 30734-2014《消防员照明灯具》安全性防爆设计； </w:t>
            </w:r>
          </w:p>
          <w:p w14:paraId="53EC603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2、主要参数：</w:t>
            </w:r>
          </w:p>
          <w:p w14:paraId="40A9F22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2.1、电池规格：3.7V，容量：≥2Wh；</w:t>
            </w:r>
          </w:p>
          <w:p w14:paraId="596B45D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2.2、循环寿命：≥1000次循环；</w:t>
            </w:r>
          </w:p>
          <w:p w14:paraId="1673F9A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2.3、防护等级：≥IP66；</w:t>
            </w:r>
          </w:p>
          <w:p w14:paraId="41565ED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★2.4、光源寿命：≥100000h；</w:t>
            </w:r>
          </w:p>
          <w:p w14:paraId="5B0204C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2.5、工作时间：强光：≥ 9h，工作光：≥10h；照明方式：工作光、强光、爆闪工作光三档调节、</w:t>
            </w:r>
          </w:p>
          <w:p w14:paraId="3825986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▲2.6、照明功率≥3w；</w:t>
            </w:r>
          </w:p>
          <w:p w14:paraId="3E1C25A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2.7、充电时间：≤10h；</w:t>
            </w:r>
          </w:p>
          <w:p w14:paraId="4BE570D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2.8、重 量：≤260g；</w:t>
            </w:r>
          </w:p>
          <w:p w14:paraId="719054D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2.9、充电口：Type-C；</w:t>
            </w:r>
          </w:p>
          <w:p w14:paraId="7E0B025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3、具有永久性标志及产品数据标识；</w:t>
            </w:r>
          </w:p>
          <w:p w14:paraId="7212AD8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4、提供具有CNAS/CMA资质认证的第三方检测机构出具的检测报告。提供三年以上免费质保。</w:t>
            </w:r>
          </w:p>
        </w:tc>
      </w:tr>
      <w:tr w14:paraId="25105D1C">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52CC6FC5">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10</w:t>
            </w:r>
          </w:p>
        </w:tc>
        <w:tc>
          <w:tcPr>
            <w:tcW w:w="790" w:type="pct"/>
            <w:tcBorders>
              <w:top w:val="single" w:color="auto" w:sz="4" w:space="0"/>
              <w:left w:val="nil"/>
              <w:bottom w:val="single" w:color="auto" w:sz="4" w:space="0"/>
              <w:right w:val="single" w:color="auto" w:sz="4" w:space="0"/>
            </w:tcBorders>
            <w:noWrap/>
            <w:vAlign w:val="center"/>
          </w:tcPr>
          <w:p w14:paraId="78D9FF04">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绳索救援套装</w:t>
            </w:r>
          </w:p>
          <w:p w14:paraId="2BACDEEE">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（包含山岳头盔1顶、自制停式单凸轮下降器1个、游动止坠器1个、手式上升器（右手）1个、脚踏带1条、势能吸收器1条、牛尾绳1条、绳索救援手套2双、短连接1条、膝式辅助上升器1个、五点式全身安全吊带1套）</w:t>
            </w:r>
          </w:p>
        </w:tc>
        <w:tc>
          <w:tcPr>
            <w:tcW w:w="3730" w:type="pct"/>
            <w:tcBorders>
              <w:top w:val="single" w:color="auto" w:sz="4" w:space="0"/>
              <w:left w:val="single" w:color="auto" w:sz="4" w:space="0"/>
              <w:bottom w:val="single" w:color="auto" w:sz="4" w:space="0"/>
              <w:right w:val="single" w:color="auto" w:sz="4" w:space="0"/>
            </w:tcBorders>
            <w:vAlign w:val="center"/>
          </w:tcPr>
          <w:p w14:paraId="14DE1B9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符合XF494/2023《消防用防坠落装备》，GB/T 38305-2019《头部防护—救援头盔》、GB 24541-2022《手部防护机械危害防护手套》标准；</w:t>
            </w:r>
          </w:p>
          <w:p w14:paraId="5F97DD1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一、山岳头盔：</w:t>
            </w:r>
          </w:p>
          <w:p w14:paraId="79F718B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1、主要性能：</w:t>
            </w:r>
          </w:p>
          <w:p w14:paraId="139AA8E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1.1、外壳为ABS或优于该材质材质，头顶内衬为六点式悬浮织带；</w:t>
            </w:r>
          </w:p>
          <w:p w14:paraId="66E5C42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1.2、下颏带配有调节扣；</w:t>
            </w:r>
          </w:p>
          <w:p w14:paraId="5BD419F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1.3、下颏带宽度≥15mm；</w:t>
            </w:r>
          </w:p>
          <w:p w14:paraId="3E68BC5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1.4、头盔上配有带滑动开关的通风孔，通风孔数量≥12；</w:t>
            </w:r>
          </w:p>
          <w:p w14:paraId="048B3BF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1.5、配备具有专用支架的头灯，护目镜，听力保护，加装防晒帽檐等装置；</w:t>
            </w:r>
          </w:p>
          <w:p w14:paraId="1EE7041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1.6、外置卡扣数量≥5个，其中一个必须为前置，左右各1个头灯安装槽；</w:t>
            </w:r>
          </w:p>
          <w:p w14:paraId="516C14E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2、头围可调节范围应至少满足：53-63cm；</w:t>
            </w:r>
          </w:p>
          <w:p w14:paraId="5BBC29A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3、重量：≤500g；</w:t>
            </w:r>
          </w:p>
          <w:p w14:paraId="1EF0364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二、自制停式单凸轮下降器：</w:t>
            </w:r>
          </w:p>
          <w:p w14:paraId="432D5AB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2.1、手柄为非金属材质或优于该材质，自动回弹，通过手柄的不同位置实现下降、存储、锁止等功能；</w:t>
            </w:r>
          </w:p>
          <w:p w14:paraId="5BE8EEF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▲2.2、具备至少两个摩擦位置，至少包含1个钢制V形摩擦槽和1个侧板的钢制摩擦唇或优于该形式；</w:t>
            </w:r>
          </w:p>
          <w:p w14:paraId="515B638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2.3、侧板在连接状态下打开，也通过自带螺丝锁定；</w:t>
            </w:r>
          </w:p>
          <w:p w14:paraId="76F1137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2.4、通过按压凸轮送绳；</w:t>
            </w:r>
          </w:p>
          <w:p w14:paraId="21CAEBC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2.5、绳索直径范围：9.5mm-14mm；</w:t>
            </w:r>
          </w:p>
          <w:p w14:paraId="2A286D3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★2.6、最大工作负荷：≥250kg；</w:t>
            </w:r>
          </w:p>
          <w:p w14:paraId="3EB6D65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2.7、重量：≤600g；</w:t>
            </w:r>
          </w:p>
          <w:p w14:paraId="28E5164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2.8、在锁止状态下的滑移不应大于125mm，卸载后应能正常解锁，承受最大载荷3min；</w:t>
            </w:r>
          </w:p>
          <w:p w14:paraId="55E0C72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2.9、颜色：通体颜色黑色；</w:t>
            </w:r>
          </w:p>
          <w:p w14:paraId="0A9EC76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三、游动止坠器：</w:t>
            </w:r>
          </w:p>
          <w:p w14:paraId="5A66360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3.1、材质为铝合金材质或优于该材质；</w:t>
            </w:r>
          </w:p>
          <w:p w14:paraId="734C45D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3.2、出现突然加速或坠落时迅速制停；</w:t>
            </w:r>
          </w:p>
          <w:p w14:paraId="1A526B7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3.3、锁定机构包裹在框架内部；</w:t>
            </w:r>
          </w:p>
          <w:p w14:paraId="58080D2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▲3.4、具备独立的锁定模式开关；</w:t>
            </w:r>
          </w:p>
          <w:p w14:paraId="4CE87D3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★3.5、工作负载≥1.3KN；</w:t>
            </w:r>
          </w:p>
          <w:p w14:paraId="0964D68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3.6、绳索直径范围：9.5mm-14mm；</w:t>
            </w:r>
          </w:p>
          <w:p w14:paraId="1C95C63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3.7、重量：≤450g；</w:t>
            </w:r>
          </w:p>
          <w:p w14:paraId="2437312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四、手式上升器(右手)：</w:t>
            </w:r>
          </w:p>
          <w:p w14:paraId="430EDC0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4.1、材质为铝合金或优于该材质；</w:t>
            </w:r>
          </w:p>
          <w:p w14:paraId="5B34090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4.2、凸轮为不锈钢或优于该材质；</w:t>
            </w:r>
          </w:p>
          <w:p w14:paraId="1E71F9C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4.3、绳索直径范围：9.5mm-14mm；</w:t>
            </w:r>
          </w:p>
          <w:p w14:paraId="761513F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4.4、重量：≤220g；</w:t>
            </w:r>
          </w:p>
          <w:p w14:paraId="462D6A7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五、脚踏带：</w:t>
            </w:r>
          </w:p>
          <w:p w14:paraId="332D657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5.1、材质为尼龙材质或优于该材质；</w:t>
            </w:r>
          </w:p>
          <w:p w14:paraId="056F1D4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5.2、脚踏环上具备可调节高度的弹性带，使其可固定在鞋上；</w:t>
            </w:r>
          </w:p>
          <w:p w14:paraId="691CC67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5.3、最大长度：≥125cm；</w:t>
            </w:r>
          </w:p>
          <w:p w14:paraId="2ABFA0C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5.4、重量≤40g；</w:t>
            </w:r>
          </w:p>
          <w:p w14:paraId="197BDE7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六、势能吸收器：</w:t>
            </w:r>
          </w:p>
          <w:p w14:paraId="59F5A44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6.1、长度≥20cm；</w:t>
            </w:r>
          </w:p>
          <w:p w14:paraId="5275B89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6.2、材质：涤纶或优于该材质；</w:t>
            </w:r>
          </w:p>
          <w:p w14:paraId="012B9A1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6.3、重量≤210g；</w:t>
            </w:r>
          </w:p>
          <w:p w14:paraId="63CA702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6.4、配有可打开的保护包；</w:t>
            </w:r>
          </w:p>
          <w:p w14:paraId="595D5C9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6.5、两端配有橡胶固定套；</w:t>
            </w:r>
          </w:p>
          <w:p w14:paraId="65372F1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七、牛尾绳：</w:t>
            </w:r>
          </w:p>
          <w:p w14:paraId="470F60A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7.1、双臂挽索；</w:t>
            </w:r>
          </w:p>
          <w:p w14:paraId="15D1551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7.2、固定臂长度：≥65cm；</w:t>
            </w:r>
          </w:p>
          <w:p w14:paraId="58E2AE7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▲7.3、可调节臂：≥95cm；</w:t>
            </w:r>
          </w:p>
          <w:p w14:paraId="3939150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7.4、绳径为：9mm-11mm；</w:t>
            </w:r>
          </w:p>
          <w:p w14:paraId="23DDAD4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7.5、动力绳设计；</w:t>
            </w:r>
          </w:p>
          <w:p w14:paraId="67527B3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7.6、末端配有固定套；</w:t>
            </w:r>
          </w:p>
          <w:p w14:paraId="22C40BF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7.7、重量：≤230g；</w:t>
            </w:r>
          </w:p>
          <w:p w14:paraId="630E66C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八、绳索救援手套：</w:t>
            </w:r>
          </w:p>
          <w:p w14:paraId="0B30199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8.1、双层皮革或优于该材质；</w:t>
            </w:r>
          </w:p>
          <w:p w14:paraId="296EEFA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8.2、指尖和其他高磨损区域均加耐磨处理；</w:t>
            </w:r>
          </w:p>
          <w:p w14:paraId="1551651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8.3、背面弹性透气纤维或优于该材质；</w:t>
            </w:r>
          </w:p>
          <w:p w14:paraId="5E91439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8.4、腕部用氯丁橡胶制造或优于该材质，采用魔术贴固定，上设小孔连接挂钩；</w:t>
            </w:r>
          </w:p>
          <w:p w14:paraId="4CCFED3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九、短连接：</w:t>
            </w:r>
          </w:p>
          <w:p w14:paraId="6CD0BA7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9.1、材料为聚酯纤维或优于该材质；</w:t>
            </w:r>
          </w:p>
          <w:p w14:paraId="38A00EE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9.2、重量：≤15g；</w:t>
            </w:r>
          </w:p>
          <w:p w14:paraId="1C7BDA1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★9.3、破断强度：≥22KN；</w:t>
            </w:r>
          </w:p>
          <w:p w14:paraId="118CB9C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9.4、长度：11cm-12cm；</w:t>
            </w:r>
          </w:p>
          <w:p w14:paraId="785CE0F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十、膝式辅助上升器：</w:t>
            </w:r>
          </w:p>
          <w:p w14:paraId="48DD30E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10.1、集成内置胸式上升器；</w:t>
            </w:r>
          </w:p>
          <w:p w14:paraId="73EC2D8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10.2、采用大力马纤维、尼龙、纤维、涤纶、不锈钢、硅胶、铝等材质或优于该材质；</w:t>
            </w:r>
          </w:p>
          <w:p w14:paraId="133F04C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★10.3、工作负荷：≥5KN；</w:t>
            </w:r>
          </w:p>
          <w:p w14:paraId="4C1646D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10.4、重量：≤350g；</w:t>
            </w:r>
          </w:p>
          <w:p w14:paraId="72B0DF5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十一、五点式全身安全吊带：</w:t>
            </w:r>
          </w:p>
          <w:p w14:paraId="289CD60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11.1、全身式安全带内置集成一体式胸式上升器；</w:t>
            </w:r>
          </w:p>
          <w:p w14:paraId="7115CF6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11.2兼容绳索直径范围：8mm-13mm；</w:t>
            </w:r>
          </w:p>
          <w:p w14:paraId="098C154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11.3肩带，腰带和腿环使用尼龙、透气泡棉或优于该材质；</w:t>
            </w:r>
          </w:p>
          <w:p w14:paraId="6E891D9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▲11.4、金属挂点：≥6，材质为铝合金或优于该材质；</w:t>
            </w:r>
          </w:p>
          <w:p w14:paraId="0AF93F4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11.5、工具挂环：≥2；</w:t>
            </w:r>
          </w:p>
          <w:p w14:paraId="58F4D61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11.6、肩带、腰带、腿带和背带调节；</w:t>
            </w:r>
          </w:p>
          <w:p w14:paraId="1296BC1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11.7、左侧肩，腿带配有双保险自动卡扣；</w:t>
            </w:r>
          </w:p>
          <w:p w14:paraId="3728199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★11.8、工作负荷：≥1400N；</w:t>
            </w:r>
          </w:p>
          <w:p w14:paraId="500C99C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11.9、重量：≤2100g；</w:t>
            </w:r>
          </w:p>
          <w:p w14:paraId="497DA39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11.10、颜色：黑色、黄色为主；</w:t>
            </w:r>
          </w:p>
          <w:p w14:paraId="72D44A0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12、具有永久性标志及产品数据标识；</w:t>
            </w:r>
          </w:p>
          <w:p w14:paraId="6022F12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13、★提供满足物品清单和型号参数的承诺（加盖公章，格式自拟）；</w:t>
            </w:r>
          </w:p>
          <w:p w14:paraId="74372F4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14、提交物品时必须提供具有国家级或CNAS/CMA资质认证的第三方检测机构出具的检测报告。提供三年以上免费质保。</w:t>
            </w:r>
          </w:p>
        </w:tc>
      </w:tr>
      <w:tr w14:paraId="65702FA6">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24A11F40">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11</w:t>
            </w:r>
          </w:p>
        </w:tc>
        <w:tc>
          <w:tcPr>
            <w:tcW w:w="790" w:type="pct"/>
            <w:tcBorders>
              <w:top w:val="single" w:color="auto" w:sz="4" w:space="0"/>
              <w:left w:val="nil"/>
              <w:bottom w:val="single" w:color="auto" w:sz="4" w:space="0"/>
              <w:right w:val="single" w:color="auto" w:sz="4" w:space="0"/>
            </w:tcBorders>
            <w:noWrap/>
            <w:vAlign w:val="center"/>
          </w:tcPr>
          <w:p w14:paraId="10321940">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强光户外应急救援灯</w:t>
            </w:r>
          </w:p>
        </w:tc>
        <w:tc>
          <w:tcPr>
            <w:tcW w:w="3730" w:type="pct"/>
            <w:tcBorders>
              <w:top w:val="single" w:color="auto" w:sz="4" w:space="0"/>
              <w:left w:val="single" w:color="auto" w:sz="4" w:space="0"/>
              <w:bottom w:val="single" w:color="auto" w:sz="4" w:space="0"/>
              <w:right w:val="single" w:color="auto" w:sz="4" w:space="0"/>
            </w:tcBorders>
            <w:vAlign w:val="center"/>
          </w:tcPr>
          <w:p w14:paraId="5636D656">
            <w:pPr>
              <w:widowControl/>
              <w:spacing w:line="360" w:lineRule="exact"/>
              <w:jc w:val="left"/>
              <w:rPr>
                <w:rFonts w:hint="eastAsia" w:ascii="宋体" w:hAnsi="宋体" w:eastAsia="宋体" w:cs="宋体"/>
                <w:highlight w:val="none"/>
                <w:vertAlign w:val="baseline"/>
              </w:rPr>
            </w:pPr>
            <w:r>
              <w:rPr>
                <w:rFonts w:hint="eastAsia" w:ascii="华文楷体" w:hAnsi="华文楷体" w:eastAsia="华文楷体" w:cs="宋体"/>
                <w:kern w:val="0"/>
              </w:rPr>
              <w:t>1、</w:t>
            </w:r>
            <w:r>
              <w:rPr>
                <w:rFonts w:hint="eastAsia" w:ascii="宋体" w:hAnsi="宋体" w:eastAsia="宋体" w:cs="宋体"/>
                <w:highlight w:val="none"/>
                <w:vertAlign w:val="baseline"/>
              </w:rPr>
              <w:t>符合GB 30734-2014《消防员照明灯具》标准；</w:t>
            </w:r>
          </w:p>
          <w:p w14:paraId="557D7A6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2、材质为铝合金或优于该材质；</w:t>
            </w:r>
          </w:p>
          <w:p w14:paraId="65E6AE1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48C1699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★3.1、最大流明：≥200000；</w:t>
            </w:r>
          </w:p>
          <w:p w14:paraId="6B7BF1C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3.2、最大光强：≥655000坎德拉；</w:t>
            </w:r>
          </w:p>
          <w:p w14:paraId="31D46F8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▲3.3、最大射程：≥1000米；</w:t>
            </w:r>
          </w:p>
          <w:p w14:paraId="72B15AE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3.4、最大功率：≥200W；</w:t>
            </w:r>
          </w:p>
          <w:p w14:paraId="028C23D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▲3.5、风扇转速：≥10500转/分；</w:t>
            </w:r>
          </w:p>
          <w:p w14:paraId="1DF7604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3.6、充电时间：≤5小时；</w:t>
            </w:r>
          </w:p>
          <w:p w14:paraId="2A7FFAC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3.7、防水标准：≥IP56；</w:t>
            </w:r>
          </w:p>
          <w:p w14:paraId="039121D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6947112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5、提供具有CNAS/CMA资质认证的第三方检测机构出具的检测报告。提供三年以上免费质保。</w:t>
            </w:r>
          </w:p>
        </w:tc>
      </w:tr>
      <w:tr w14:paraId="6E4F1BF5">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7E2D393D">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12</w:t>
            </w:r>
          </w:p>
        </w:tc>
        <w:tc>
          <w:tcPr>
            <w:tcW w:w="790" w:type="pct"/>
            <w:tcBorders>
              <w:top w:val="single" w:color="auto" w:sz="4" w:space="0"/>
              <w:left w:val="nil"/>
              <w:bottom w:val="single" w:color="auto" w:sz="4" w:space="0"/>
              <w:right w:val="single" w:color="auto" w:sz="4" w:space="0"/>
            </w:tcBorders>
            <w:noWrap/>
            <w:vAlign w:val="center"/>
          </w:tcPr>
          <w:p w14:paraId="23C464D6">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户外便携式卡式炉(大)</w:t>
            </w:r>
          </w:p>
        </w:tc>
        <w:tc>
          <w:tcPr>
            <w:tcW w:w="3730" w:type="pct"/>
            <w:tcBorders>
              <w:top w:val="single" w:color="auto" w:sz="4" w:space="0"/>
              <w:left w:val="single" w:color="auto" w:sz="4" w:space="0"/>
              <w:bottom w:val="single" w:color="auto" w:sz="4" w:space="0"/>
              <w:right w:val="single" w:color="auto" w:sz="4" w:space="0"/>
            </w:tcBorders>
            <w:vAlign w:val="center"/>
          </w:tcPr>
          <w:p w14:paraId="159F394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1、符合GB/T 38522-2020《户外燃气燃烧器具》标准；</w:t>
            </w:r>
          </w:p>
          <w:p w14:paraId="44B886B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2、材质为：不锈钢、铝合金、铜或优于该材质；产品配套三种不同接口（高山罐接口、长气罐接口、煤气罐接口）、收纳袋、防风圈；</w:t>
            </w:r>
          </w:p>
          <w:p w14:paraId="4EE0BCB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7A3D59E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3.1、点火方式：电子点火；</w:t>
            </w:r>
          </w:p>
          <w:p w14:paraId="1EEA38A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3.2、产品尺寸：直径≤300mm,高≤130mm；</w:t>
            </w:r>
          </w:p>
          <w:p w14:paraId="3CD21A8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499DC97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5、提供国家级或具有CNAS/CMA资质认证的第三方检测机构出具的检测报告。提供三年以上免费质保。</w:t>
            </w:r>
          </w:p>
        </w:tc>
      </w:tr>
      <w:tr w14:paraId="458D60F8">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17FC32DF">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13</w:t>
            </w:r>
          </w:p>
        </w:tc>
        <w:tc>
          <w:tcPr>
            <w:tcW w:w="790" w:type="pct"/>
            <w:tcBorders>
              <w:top w:val="single" w:color="auto" w:sz="4" w:space="0"/>
              <w:left w:val="nil"/>
              <w:bottom w:val="single" w:color="auto" w:sz="4" w:space="0"/>
              <w:right w:val="single" w:color="auto" w:sz="4" w:space="0"/>
            </w:tcBorders>
            <w:noWrap/>
            <w:vAlign w:val="center"/>
          </w:tcPr>
          <w:p w14:paraId="551D23AA">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户外便携式卡式炉</w:t>
            </w:r>
          </w:p>
        </w:tc>
        <w:tc>
          <w:tcPr>
            <w:tcW w:w="3730" w:type="pct"/>
            <w:tcBorders>
              <w:top w:val="single" w:color="auto" w:sz="4" w:space="0"/>
              <w:left w:val="single" w:color="auto" w:sz="4" w:space="0"/>
              <w:bottom w:val="single" w:color="auto" w:sz="4" w:space="0"/>
              <w:right w:val="single" w:color="auto" w:sz="4" w:space="0"/>
            </w:tcBorders>
            <w:vAlign w:val="center"/>
          </w:tcPr>
          <w:p w14:paraId="330656F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1、符合GB/T 38522-2020《户外燃气燃烧器具》标准；</w:t>
            </w:r>
          </w:p>
          <w:p w14:paraId="307DE10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2、主要性能：</w:t>
            </w:r>
          </w:p>
          <w:p w14:paraId="1F9CDC8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2.1、材质为：不锈钢、铝合金、铜或优于该材质；</w:t>
            </w:r>
          </w:p>
          <w:p w14:paraId="0913075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2.2、适用环境：高寒环境；</w:t>
            </w:r>
          </w:p>
          <w:p w14:paraId="63F22C5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2.3、产品配备收纳袋、防风圈；</w:t>
            </w:r>
          </w:p>
          <w:p w14:paraId="4B8E51A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4FB9B71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3.1、点火方式：电子点火；</w:t>
            </w:r>
          </w:p>
          <w:p w14:paraId="467D382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3.2、产品尺寸：直径≤270mm,高≤130mm（展开尺寸），直径≤180mm,高≤140mm(收纳尺寸)；</w:t>
            </w:r>
          </w:p>
          <w:p w14:paraId="0853518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704BD66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5、提供具有国家级或CNAS/CMA资质认证的第三方检测机构出具的检测报告。提供三年以上免费质保。</w:t>
            </w:r>
          </w:p>
        </w:tc>
      </w:tr>
      <w:tr w14:paraId="1A7C4A2F">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5B405E62">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14</w:t>
            </w:r>
          </w:p>
        </w:tc>
        <w:tc>
          <w:tcPr>
            <w:tcW w:w="790" w:type="pct"/>
            <w:tcBorders>
              <w:top w:val="single" w:color="auto" w:sz="4" w:space="0"/>
              <w:left w:val="nil"/>
              <w:bottom w:val="single" w:color="auto" w:sz="4" w:space="0"/>
              <w:right w:val="single" w:color="auto" w:sz="4" w:space="0"/>
            </w:tcBorders>
            <w:noWrap/>
            <w:vAlign w:val="center"/>
          </w:tcPr>
          <w:p w14:paraId="61129B1D">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夜视仪（头戴式）</w:t>
            </w:r>
          </w:p>
        </w:tc>
        <w:tc>
          <w:tcPr>
            <w:tcW w:w="3730" w:type="pct"/>
            <w:tcBorders>
              <w:top w:val="single" w:color="auto" w:sz="4" w:space="0"/>
              <w:left w:val="single" w:color="auto" w:sz="4" w:space="0"/>
              <w:bottom w:val="single" w:color="auto" w:sz="4" w:space="0"/>
              <w:right w:val="single" w:color="auto" w:sz="4" w:space="0"/>
            </w:tcBorders>
            <w:vAlign w:val="center"/>
          </w:tcPr>
          <w:p w14:paraId="2E59E4C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1、符合GJB851-1990《夜视仪通用规范》标准；</w:t>
            </w:r>
          </w:p>
          <w:p w14:paraId="04D9B72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2、主要性能：</w:t>
            </w:r>
          </w:p>
          <w:p w14:paraId="7536CEA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2.1、外观样式：双目双简；</w:t>
            </w:r>
          </w:p>
          <w:p w14:paraId="4904BC7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2.2、镜片镀膜类型：宽带多层增透膜；</w:t>
            </w:r>
          </w:p>
          <w:p w14:paraId="37C7D4F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2.3、具有防强光保护、方向感应自动开关、自动亮度、红外辅助灯、内置红外灯指示等功能；</w:t>
            </w:r>
          </w:p>
          <w:p w14:paraId="7D4BA72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6118ADD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★3.1、增像管级别：2代+(Gen2+)；</w:t>
            </w:r>
          </w:p>
          <w:p w14:paraId="431A240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▲3.2、分辨率(线对，lp/mm)：48-65（±5）；</w:t>
            </w:r>
          </w:p>
          <w:p w14:paraId="455E399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3.3、光学灵敏度(微安/流明，HA/m)：550-1000（±50）；</w:t>
            </w:r>
          </w:p>
          <w:p w14:paraId="06135F4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3.4、信噪比：17-28（±2）；</w:t>
            </w:r>
          </w:p>
          <w:p w14:paraId="4BA8060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▲3.5、放大倍率(倍，X)：1x(可更换高倍镜头4X/6X/8X)；</w:t>
            </w:r>
          </w:p>
          <w:p w14:paraId="242C05F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3.6、视场(度，°)：40（±5）；</w:t>
            </w:r>
          </w:p>
          <w:p w14:paraId="2992659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3.7、视度调节范围(屈光度)(度，°)：+5/-5；</w:t>
            </w:r>
          </w:p>
          <w:p w14:paraId="232873D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3.8、物镜调节范围(米，m)：0.25--∞；</w:t>
            </w:r>
          </w:p>
          <w:p w14:paraId="3A03B85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3.9、电池类型：锂电池；</w:t>
            </w:r>
          </w:p>
          <w:p w14:paraId="06596F2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3.10、连续工作时间(小时,h)：≥80（未开红外），≥40（开启红）；</w:t>
            </w:r>
          </w:p>
          <w:p w14:paraId="177C6B1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▲3.11、红外灯波长(nm)：≥850；</w:t>
            </w:r>
          </w:p>
          <w:p w14:paraId="53B38CF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3.12、重量(g)：≤750；</w:t>
            </w:r>
          </w:p>
          <w:p w14:paraId="154E3BA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3.13、防尘防水级别：≥IP65；</w:t>
            </w:r>
          </w:p>
          <w:p w14:paraId="4B0BB42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3B86947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5、提供具有CNAS/CMA资质认证的第三方检测机构出具的检测报告。提供三年以上免费质保。</w:t>
            </w:r>
          </w:p>
        </w:tc>
      </w:tr>
      <w:tr w14:paraId="159DCFD2">
        <w:tblPrEx>
          <w:tblCellMar>
            <w:top w:w="0" w:type="dxa"/>
            <w:left w:w="108" w:type="dxa"/>
            <w:bottom w:w="0" w:type="dxa"/>
            <w:right w:w="108" w:type="dxa"/>
          </w:tblCellMar>
        </w:tblPrEx>
        <w:trPr>
          <w:trHeight w:val="2493" w:hRule="atLeast"/>
        </w:trPr>
        <w:tc>
          <w:tcPr>
            <w:tcW w:w="480" w:type="pct"/>
            <w:tcBorders>
              <w:top w:val="single" w:color="auto" w:sz="4" w:space="0"/>
              <w:left w:val="single" w:color="auto" w:sz="4" w:space="0"/>
              <w:bottom w:val="single" w:color="auto" w:sz="4" w:space="0"/>
              <w:right w:val="single" w:color="auto" w:sz="4" w:space="0"/>
            </w:tcBorders>
            <w:noWrap/>
            <w:vAlign w:val="center"/>
          </w:tcPr>
          <w:p w14:paraId="7AB2F91A">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15</w:t>
            </w:r>
          </w:p>
        </w:tc>
        <w:tc>
          <w:tcPr>
            <w:tcW w:w="790" w:type="pct"/>
            <w:tcBorders>
              <w:top w:val="single" w:color="auto" w:sz="4" w:space="0"/>
              <w:left w:val="nil"/>
              <w:bottom w:val="single" w:color="auto" w:sz="4" w:space="0"/>
              <w:right w:val="single" w:color="auto" w:sz="4" w:space="0"/>
            </w:tcBorders>
            <w:noWrap/>
            <w:vAlign w:val="center"/>
          </w:tcPr>
          <w:p w14:paraId="6EE12334">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户外救生毯</w:t>
            </w:r>
          </w:p>
        </w:tc>
        <w:tc>
          <w:tcPr>
            <w:tcW w:w="3730" w:type="pct"/>
            <w:tcBorders>
              <w:top w:val="single" w:color="auto" w:sz="4" w:space="0"/>
              <w:left w:val="single" w:color="auto" w:sz="4" w:space="0"/>
              <w:bottom w:val="single" w:color="auto" w:sz="4" w:space="0"/>
              <w:right w:val="single" w:color="auto" w:sz="4" w:space="0"/>
            </w:tcBorders>
            <w:vAlign w:val="center"/>
          </w:tcPr>
          <w:p w14:paraId="1A8920F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1、主要参数：</w:t>
            </w:r>
          </w:p>
          <w:p w14:paraId="421B3BF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1.1、材质：PE铝膜或优于该材质；</w:t>
            </w:r>
          </w:p>
          <w:p w14:paraId="2C9DA8E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1.2、重量：≤65g；</w:t>
            </w:r>
          </w:p>
          <w:p w14:paraId="6475328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1.3、展开尺寸：≥210cm*130cm；</w:t>
            </w:r>
          </w:p>
          <w:p w14:paraId="305610A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1.4、收纳尺寸：≤12cm*8cm；</w:t>
            </w:r>
          </w:p>
        </w:tc>
      </w:tr>
      <w:tr w14:paraId="6E9439B6">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111862A0">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16</w:t>
            </w:r>
          </w:p>
        </w:tc>
        <w:tc>
          <w:tcPr>
            <w:tcW w:w="790" w:type="pct"/>
            <w:tcBorders>
              <w:top w:val="single" w:color="auto" w:sz="4" w:space="0"/>
              <w:left w:val="nil"/>
              <w:bottom w:val="single" w:color="auto" w:sz="4" w:space="0"/>
              <w:right w:val="single" w:color="auto" w:sz="4" w:space="0"/>
            </w:tcBorders>
            <w:noWrap/>
            <w:vAlign w:val="center"/>
          </w:tcPr>
          <w:p w14:paraId="164E43B0">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手持火焰信号</w:t>
            </w:r>
          </w:p>
        </w:tc>
        <w:tc>
          <w:tcPr>
            <w:tcW w:w="3730" w:type="pct"/>
            <w:tcBorders>
              <w:top w:val="single" w:color="auto" w:sz="4" w:space="0"/>
              <w:left w:val="single" w:color="auto" w:sz="4" w:space="0"/>
              <w:bottom w:val="single" w:color="auto" w:sz="4" w:space="0"/>
              <w:right w:val="single" w:color="auto" w:sz="4" w:space="0"/>
            </w:tcBorders>
            <w:vAlign w:val="center"/>
          </w:tcPr>
          <w:p w14:paraId="464DF09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1、主要参数：</w:t>
            </w:r>
          </w:p>
          <w:p w14:paraId="0D17527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1.1、持续时间：≥90s；</w:t>
            </w:r>
          </w:p>
          <w:p w14:paraId="2BCCEC6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1.2、火焰颜色：红色；</w:t>
            </w:r>
          </w:p>
        </w:tc>
      </w:tr>
      <w:tr w14:paraId="77C23496">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7470CAA0">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17</w:t>
            </w:r>
          </w:p>
        </w:tc>
        <w:tc>
          <w:tcPr>
            <w:tcW w:w="790" w:type="pct"/>
            <w:tcBorders>
              <w:top w:val="single" w:color="auto" w:sz="4" w:space="0"/>
              <w:left w:val="nil"/>
              <w:bottom w:val="single" w:color="auto" w:sz="4" w:space="0"/>
              <w:right w:val="single" w:color="auto" w:sz="4" w:space="0"/>
            </w:tcBorders>
            <w:noWrap/>
            <w:vAlign w:val="center"/>
          </w:tcPr>
          <w:p w14:paraId="7A3F13BB">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高寒营帐</w:t>
            </w:r>
          </w:p>
        </w:tc>
        <w:tc>
          <w:tcPr>
            <w:tcW w:w="3730" w:type="pct"/>
            <w:tcBorders>
              <w:top w:val="single" w:color="auto" w:sz="4" w:space="0"/>
              <w:left w:val="single" w:color="auto" w:sz="4" w:space="0"/>
              <w:bottom w:val="single" w:color="auto" w:sz="4" w:space="0"/>
              <w:right w:val="single" w:color="auto" w:sz="4" w:space="0"/>
            </w:tcBorders>
            <w:vAlign w:val="center"/>
          </w:tcPr>
          <w:p w14:paraId="52A6E7D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1、符合GB/Z 27735-2022《野营帐篷》标准；</w:t>
            </w:r>
          </w:p>
          <w:p w14:paraId="5379F14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2、材质：</w:t>
            </w:r>
          </w:p>
          <w:p w14:paraId="286634D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2.1、面料：120D涤纶或优于该材质；</w:t>
            </w:r>
          </w:p>
          <w:p w14:paraId="4AB9D3C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2.2、地布：150D帐底布或优于该材质；</w:t>
            </w:r>
          </w:p>
          <w:p w14:paraId="26DA587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2.3、支架材质：铝合金或优于该材质；</w:t>
            </w:r>
          </w:p>
          <w:p w14:paraId="4F79AB0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2.4、帐杆：铝合金或优于该材质；</w:t>
            </w:r>
          </w:p>
          <w:p w14:paraId="6E84762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7FF144B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▲3.1、主杆直径：≥13mm；</w:t>
            </w:r>
          </w:p>
          <w:p w14:paraId="238113B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▲3.2、辅杆直径：≥11mm；</w:t>
            </w:r>
          </w:p>
          <w:p w14:paraId="3A15C66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3.3、帐钉：六角地钉；</w:t>
            </w:r>
          </w:p>
          <w:p w14:paraId="5B94A95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3.4、外帐防水指数：≥2000mm；</w:t>
            </w:r>
          </w:p>
          <w:p w14:paraId="27505BB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3.5、携带重量：≤26KG；</w:t>
            </w:r>
          </w:p>
          <w:p w14:paraId="243F0F1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3.6、使用人数：≥6人；</w:t>
            </w:r>
          </w:p>
          <w:p w14:paraId="1B02828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3.7展开尺寸：≥6000*3500*2000mm</w:t>
            </w:r>
          </w:p>
          <w:p w14:paraId="1A18D5D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▲3.8、适应气候：高海拔严寒，冬季；</w:t>
            </w:r>
          </w:p>
          <w:p w14:paraId="09EB0C7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0836EC4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5、提供具有国家级或CNAS/CMA资质认证的第三方检测机构出具的检测报告。提供三年以上免费质保。</w:t>
            </w:r>
          </w:p>
        </w:tc>
      </w:tr>
      <w:tr w14:paraId="40C47133">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51787D49">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18</w:t>
            </w:r>
          </w:p>
        </w:tc>
        <w:tc>
          <w:tcPr>
            <w:tcW w:w="790" w:type="pct"/>
            <w:tcBorders>
              <w:top w:val="single" w:color="auto" w:sz="4" w:space="0"/>
              <w:left w:val="nil"/>
              <w:bottom w:val="single" w:color="auto" w:sz="4" w:space="0"/>
              <w:right w:val="single" w:color="auto" w:sz="4" w:space="0"/>
            </w:tcBorders>
            <w:noWrap/>
            <w:vAlign w:val="center"/>
          </w:tcPr>
          <w:p w14:paraId="3DE6BB37">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高寒帐篷</w:t>
            </w:r>
          </w:p>
        </w:tc>
        <w:tc>
          <w:tcPr>
            <w:tcW w:w="3730" w:type="pct"/>
            <w:tcBorders>
              <w:top w:val="single" w:color="auto" w:sz="4" w:space="0"/>
              <w:left w:val="single" w:color="auto" w:sz="4" w:space="0"/>
              <w:bottom w:val="single" w:color="auto" w:sz="4" w:space="0"/>
              <w:right w:val="single" w:color="auto" w:sz="4" w:space="0"/>
            </w:tcBorders>
            <w:vAlign w:val="center"/>
          </w:tcPr>
          <w:p w14:paraId="7732D79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1、符合GB/Z 27735-2022《野营帐篷》标准；</w:t>
            </w:r>
          </w:p>
          <w:p w14:paraId="5A097EF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2、材质：</w:t>
            </w:r>
          </w:p>
          <w:p w14:paraId="68E9979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2.1、外账：涤纶或优于该材质；</w:t>
            </w:r>
          </w:p>
          <w:p w14:paraId="2624525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2.2、内账：20D尼龙防撕裂+B3网帐或优于该材质；</w:t>
            </w:r>
          </w:p>
          <w:p w14:paraId="2D9A332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2.3、帐底：聚酯纤维或优于该材质；；</w:t>
            </w:r>
          </w:p>
          <w:p w14:paraId="7F6192B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2.4、支架材质：铝合金或优于该材质；</w:t>
            </w:r>
          </w:p>
          <w:p w14:paraId="1D6BAB0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3、主要参数：</w:t>
            </w:r>
          </w:p>
          <w:p w14:paraId="54CB61F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▲3.1、主杆直径：≥13mm；</w:t>
            </w:r>
          </w:p>
          <w:p w14:paraId="1F57F5B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▲3.2、辅杆直径：≥9.5mm；</w:t>
            </w:r>
          </w:p>
          <w:p w14:paraId="1D232DA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3.3、帐钉：六角地钉；</w:t>
            </w:r>
          </w:p>
          <w:p w14:paraId="65A0D48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3.4、外帐防水指数：≥2000mm；</w:t>
            </w:r>
          </w:p>
          <w:p w14:paraId="1E29471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3.5、携带重量：≤6.94kg；</w:t>
            </w:r>
          </w:p>
          <w:p w14:paraId="1CBD7A9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3.6、使用人数：≥2人；</w:t>
            </w:r>
          </w:p>
          <w:p w14:paraId="47A3912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▲3.7、适应气候：高海拔严寒，冬季；根据甲方要求提供颜色、标志</w:t>
            </w:r>
          </w:p>
          <w:p w14:paraId="527B1CF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4BAD9E6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5、提供具有国家级或CNAS/CMA资质认证的第三方检测机构出具的检测报告。提供三年以上免费质保。</w:t>
            </w:r>
          </w:p>
        </w:tc>
      </w:tr>
      <w:tr w14:paraId="1C293171">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26BA11C5">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19</w:t>
            </w:r>
          </w:p>
        </w:tc>
        <w:tc>
          <w:tcPr>
            <w:tcW w:w="790" w:type="pct"/>
            <w:tcBorders>
              <w:top w:val="single" w:color="auto" w:sz="4" w:space="0"/>
              <w:left w:val="nil"/>
              <w:bottom w:val="single" w:color="auto" w:sz="4" w:space="0"/>
              <w:right w:val="single" w:color="auto" w:sz="4" w:space="0"/>
            </w:tcBorders>
            <w:noWrap/>
            <w:vAlign w:val="center"/>
          </w:tcPr>
          <w:p w14:paraId="73AAB58C">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户外防寒套装</w:t>
            </w:r>
          </w:p>
          <w:p w14:paraId="5CF14EFD">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（包含高寒睡袋1个、双层防潮气垫1个、轻量徒步背包1个)</w:t>
            </w:r>
          </w:p>
          <w:p w14:paraId="244370C8">
            <w:pPr>
              <w:widowControl/>
              <w:spacing w:line="360" w:lineRule="exact"/>
              <w:jc w:val="center"/>
              <w:rPr>
                <w:rFonts w:ascii="华文楷体" w:hAnsi="华文楷体" w:eastAsia="华文楷体" w:cs="宋体"/>
                <w:kern w:val="0"/>
              </w:rPr>
            </w:pPr>
          </w:p>
        </w:tc>
        <w:tc>
          <w:tcPr>
            <w:tcW w:w="3730" w:type="pct"/>
            <w:tcBorders>
              <w:top w:val="single" w:color="auto" w:sz="4" w:space="0"/>
              <w:left w:val="single" w:color="auto" w:sz="4" w:space="0"/>
              <w:bottom w:val="single" w:color="auto" w:sz="4" w:space="0"/>
              <w:right w:val="single" w:color="auto" w:sz="4" w:space="0"/>
            </w:tcBorders>
            <w:vAlign w:val="center"/>
          </w:tcPr>
          <w:p w14:paraId="70CCD4D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符合GB/T3917.3-2009《纺织品 织物撕破性能 第3部分：梯形试样撕破强力的测定》、GB/T 4745-2012《纺织品　防水性能的检测和评价　沾水法》标准；</w:t>
            </w:r>
          </w:p>
          <w:p w14:paraId="3676860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一、高寒睡袋</w:t>
            </w:r>
          </w:p>
          <w:p w14:paraId="1192C7B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1.1、材质：尼丝纺或优于该材质；</w:t>
            </w:r>
          </w:p>
          <w:p w14:paraId="03C9A48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1.2、填充物：鹅绒；</w:t>
            </w:r>
          </w:p>
          <w:p w14:paraId="01250C3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▲1.3、充绒量：≥85%；</w:t>
            </w:r>
          </w:p>
          <w:p w14:paraId="2B60775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1.4、尺寸：≥210*80CM；</w:t>
            </w:r>
          </w:p>
          <w:p w14:paraId="19D86CD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1.5、净重；≥1650g，</w:t>
            </w:r>
          </w:p>
          <w:p w14:paraId="550EDBD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★1.6、极端温度：≤-31℃。</w:t>
            </w:r>
          </w:p>
          <w:p w14:paraId="39973D6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1.7、配备携行包；</w:t>
            </w:r>
          </w:p>
          <w:p w14:paraId="0E2B911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二、防潮垫</w:t>
            </w:r>
          </w:p>
          <w:p w14:paraId="4BDA7FB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2.1、材质：尼龙或优于该材质；</w:t>
            </w:r>
          </w:p>
          <w:p w14:paraId="78004D7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2.2、自回弹单项充气结构，支持手动和充气泵两种充气方式：                                                                                                                                                                                           </w:t>
            </w:r>
          </w:p>
          <w:p w14:paraId="4ABEDDD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2.4、尺寸：≥190*60*10cm，（充气后）</w:t>
            </w:r>
          </w:p>
          <w:p w14:paraId="1763876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2.5、净重:≤950g；</w:t>
            </w:r>
          </w:p>
          <w:p w14:paraId="37EEF91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2.6、配备一体式枕头及携行包；</w:t>
            </w:r>
          </w:p>
          <w:p w14:paraId="05C507F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三、背包：</w:t>
            </w:r>
          </w:p>
          <w:p w14:paraId="5354A9E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3.1、材质：主体尼龙或优于该材质；</w:t>
            </w:r>
          </w:p>
          <w:p w14:paraId="2EABDBD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3.2、重量：≤1.8KG；</w:t>
            </w:r>
          </w:p>
          <w:p w14:paraId="4B9737E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3.3、负重：≥12KG；</w:t>
            </w:r>
          </w:p>
          <w:p w14:paraId="49D462D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总容量：≥48L；3.5、分仓室设计，背包后背、腰垫、肩垫均使用高透气网布，背囊分为顶包、主包、背负系统、扣件、拉链、织带等附属配件,背负系统:高强背负系统和肩带收紧系统构成背囊的背负系统，内藏式骨架由航空铝材制作。</w:t>
            </w:r>
          </w:p>
          <w:p w14:paraId="15D077B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4C3EE05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w:t>
            </w:r>
            <w:r>
              <w:rPr>
                <w:rFonts w:ascii="华文楷体" w:hAnsi="华文楷体" w:eastAsia="华文楷体" w:cs="宋体"/>
                <w:kern w:val="0"/>
              </w:rPr>
              <w:t>★提供满足物品清单和型号参数的承诺（加盖公章，格式自拟）；</w:t>
            </w:r>
          </w:p>
          <w:p w14:paraId="4380FAF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w:t>
            </w:r>
            <w:r>
              <w:rPr>
                <w:rFonts w:ascii="华文楷体" w:hAnsi="华文楷体" w:eastAsia="华文楷体" w:cs="宋体"/>
                <w:kern w:val="0"/>
              </w:rPr>
              <w:t>提交物品时必须提供具有国家级或CNAS/CMA资质认证的第三方检测机构出具的检测报告</w:t>
            </w:r>
            <w:r>
              <w:rPr>
                <w:rFonts w:hint="eastAsia" w:ascii="华文楷体" w:hAnsi="华文楷体" w:eastAsia="华文楷体" w:cs="宋体"/>
                <w:kern w:val="0"/>
              </w:rPr>
              <w:t>。提供一年以上免费质保。</w:t>
            </w:r>
          </w:p>
        </w:tc>
      </w:tr>
      <w:tr w14:paraId="4EAD15F7">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45D493D8">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20</w:t>
            </w:r>
          </w:p>
        </w:tc>
        <w:tc>
          <w:tcPr>
            <w:tcW w:w="790" w:type="pct"/>
            <w:tcBorders>
              <w:top w:val="single" w:color="auto" w:sz="4" w:space="0"/>
              <w:left w:val="nil"/>
              <w:bottom w:val="single" w:color="auto" w:sz="4" w:space="0"/>
              <w:right w:val="single" w:color="auto" w:sz="4" w:space="0"/>
            </w:tcBorders>
            <w:noWrap/>
            <w:vAlign w:val="center"/>
          </w:tcPr>
          <w:p w14:paraId="4C1F1DA7">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户外高寒保暖套装</w:t>
            </w:r>
          </w:p>
          <w:p w14:paraId="3CB5FFA4">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含户外头盔（带头灯架）1顶、高寒内衣裤1套、男款立领抓绒外套1套、羽绒服1件、鹅绒户外羽绒裤1件、冲锋裤1件、三合一羽绒登山手套1双、保暖针织帽1顶、防水高山靴1双、户外救援雪镜1个、户外救援雪套1双、户外高寒防护全面罩1个）</w:t>
            </w:r>
          </w:p>
        </w:tc>
        <w:tc>
          <w:tcPr>
            <w:tcW w:w="3730" w:type="pct"/>
            <w:tcBorders>
              <w:top w:val="single" w:color="auto" w:sz="4" w:space="0"/>
              <w:left w:val="single" w:color="auto" w:sz="4" w:space="0"/>
              <w:bottom w:val="single" w:color="auto" w:sz="4" w:space="0"/>
              <w:right w:val="single" w:color="auto" w:sz="4" w:space="0"/>
            </w:tcBorders>
            <w:vAlign w:val="center"/>
          </w:tcPr>
          <w:p w14:paraId="7C54FEC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符合GB/T 38305-2019《头部防护—救援头盔》、符合GB 30734-2014《消防员照明灯具》、GB 18401-2010《 国家纺织产品基本安全规范》、GB/T 14272-2021《羽绒服装》、GB/T 32614-2023 户外运动服装 冲锋衣、GB/T 38304-2019《手部防护 防寒手套》、QB/T 4553-2013《轻型登山鞋》</w:t>
            </w:r>
          </w:p>
          <w:p w14:paraId="180DDD0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一、户外头盔                                                                      </w:t>
            </w:r>
          </w:p>
          <w:p w14:paraId="46EDB72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1.1.材质：外壳采用碳纤维或优于该材质、内衬采用聚丙烯塑料发泡或优于该材质；                                                          </w:t>
            </w:r>
          </w:p>
          <w:p w14:paraId="027DD2C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1.2.头盔前额设有挂架卡槽用于连接头灯、加装摄影器械，头盔后部设有OCC旋钮可调节头围尺寸，头盔系带采用卡扣式；</w:t>
            </w:r>
          </w:p>
          <w:p w14:paraId="2404202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1.3.头围尺寸：53-63cm；</w:t>
            </w:r>
          </w:p>
          <w:p w14:paraId="342249D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1.4.重量：≤750g；</w:t>
            </w:r>
          </w:p>
          <w:p w14:paraId="29A088F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二、头灯架                                                                                      </w:t>
            </w:r>
          </w:p>
          <w:p w14:paraId="6390699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2.1、适配该头盔使用；                                                                                       </w:t>
            </w:r>
          </w:p>
          <w:p w14:paraId="4CF1684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2.2、支持多角度旋转                                                                                                                                                                                                            </w:t>
            </w:r>
          </w:p>
          <w:p w14:paraId="51D4516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三、高寒内衣裤参数：                                                                                                                                                </w:t>
            </w:r>
          </w:p>
          <w:p w14:paraId="474653D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3.1、面料：聚酯纤维或优于该材质、</w:t>
            </w:r>
          </w:p>
          <w:p w14:paraId="6C1CAA4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3.2.成分：棉≥45%、聚酯纤维≤45%、氨纶≤10%。                                                                                                </w:t>
            </w:r>
          </w:p>
          <w:p w14:paraId="5C5952B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四、男款立领抓绒外套                                                                         </w:t>
            </w:r>
          </w:p>
          <w:p w14:paraId="3D6C28B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4.1、面料成分：聚酯纤维≥90%，氨纶≤10%；需配备收纳袋</w:t>
            </w:r>
          </w:p>
          <w:p w14:paraId="10354D4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五、羽绒服 增加面料材质                                          </w:t>
            </w:r>
          </w:p>
          <w:p w14:paraId="3A71ED1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5.1、具有攀登防护结构设计；                          </w:t>
            </w:r>
          </w:p>
          <w:p w14:paraId="46EC05A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★5.2、填充鹅绒：≥90%；                                                  </w:t>
            </w:r>
          </w:p>
          <w:p w14:paraId="568F94F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▲5.3、抗寒极限温度：≤-30℃；                                        </w:t>
            </w:r>
          </w:p>
          <w:p w14:paraId="6927E51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5.4、重量：≥300g； 需配备收纳袋                                             </w:t>
            </w:r>
          </w:p>
          <w:p w14:paraId="7A74564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六、鹅绒户外羽绒裤  </w:t>
            </w:r>
          </w:p>
          <w:p w14:paraId="3B73267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6.1、面料：尼龙或优于该材质、                                                                                                                                                                       </w:t>
            </w:r>
          </w:p>
          <w:p w14:paraId="74CCB57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★6.2、填充鹅绒：≥90%；</w:t>
            </w:r>
          </w:p>
          <w:p w14:paraId="4C37473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6.3、总重：≥340g；                                                                     </w:t>
            </w:r>
          </w:p>
          <w:p w14:paraId="27E9A21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6.4、需配备收纳袋；                                                                                        </w:t>
            </w:r>
          </w:p>
          <w:p w14:paraId="46F63E8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七、冲锋裤需增加防水透气指数</w:t>
            </w:r>
          </w:p>
          <w:p w14:paraId="52F82BF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7.1 、材质：面料采用尼龙材质或优于该材质；                                                                                         </w:t>
            </w:r>
          </w:p>
          <w:p w14:paraId="1761241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7.2、主布面:聚酯纤维含量≥98%，主布底/脚边棉纶含量≥95%；                                       </w:t>
            </w:r>
          </w:p>
          <w:p w14:paraId="5C00BC1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八、三合一登山手套                                                           </w:t>
            </w:r>
          </w:p>
          <w:p w14:paraId="65F77AB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8.1、掌心应采用外层采用羊皮；</w:t>
            </w:r>
          </w:p>
          <w:p w14:paraId="0ABD1E1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▲8.2、里料聚酯纤维填充物：白鹅绒≥70%、聚酯纤维≤30；                                    </w:t>
            </w:r>
          </w:p>
          <w:p w14:paraId="42C99F3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九、保暖针织帽                                                </w:t>
            </w:r>
          </w:p>
          <w:p w14:paraId="5D0F195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9.1、帽高 ≥21.5cm，帽围 ≥58cm；                                    </w:t>
            </w:r>
          </w:p>
          <w:p w14:paraId="6816EE0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9.2、面料:≥80%羊毛；外层为保暖针织绵羊毛内里为抓绒布内里；                                                                   </w:t>
            </w:r>
          </w:p>
          <w:p w14:paraId="3ABD317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9.3、厚度:双层加厚；                                    </w:t>
            </w:r>
          </w:p>
          <w:p w14:paraId="1027FDD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十、防水高山靴                                                                           </w:t>
            </w:r>
          </w:p>
          <w:p w14:paraId="577EA18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10.1、材质：采用牛皮或优于该材质；                                                                                              </w:t>
            </w:r>
          </w:p>
          <w:p w14:paraId="7F6BA2A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▲10.2、鞋底：防滑大底，前后全卡冰爪设计（可拆卸）。                         </w:t>
            </w:r>
          </w:p>
          <w:p w14:paraId="050B206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10.3  重量：≤550g(42码/单只)；                                                                                           </w:t>
            </w:r>
          </w:p>
          <w:p w14:paraId="510B8DE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十一、户外救援雪镜                                         </w:t>
            </w:r>
          </w:p>
          <w:p w14:paraId="759F84D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11.1、镜框材质：聚氨酯弹性体或优于该材质；镜片材质：聚碳酸酯镀膜或优于该材料；                          </w:t>
            </w:r>
          </w:p>
          <w:p w14:paraId="00F609C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11.2、防紫外：≥UV400（能够阻挡波长在400纳米以下的紫外线辐射）；                                                     </w:t>
            </w:r>
          </w:p>
          <w:p w14:paraId="4987008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11.3、绑带宽度≥450mm且带有可更换卡扣及防滑硅胶带；                                                               </w:t>
            </w:r>
          </w:p>
          <w:p w14:paraId="33186D9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十二、户外救援雪套   </w:t>
            </w:r>
          </w:p>
          <w:p w14:paraId="2B81F1F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12.1、材质：尼龙或优于该材料；</w:t>
            </w:r>
          </w:p>
          <w:p w14:paraId="24B27EC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12.2、底部设有调节扣带；</w:t>
            </w:r>
          </w:p>
          <w:p w14:paraId="23266B8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12.3、表面防水处理；</w:t>
            </w:r>
          </w:p>
          <w:p w14:paraId="289B7A3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十三、户外高寒防护面罩；</w:t>
            </w:r>
          </w:p>
          <w:p w14:paraId="7B4B3B9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13.1、面料成分：羊毛≥80%；</w:t>
            </w:r>
          </w:p>
          <w:p w14:paraId="761ED4D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十四、具有永久性标志及产品数据标识；</w:t>
            </w:r>
          </w:p>
          <w:p w14:paraId="6769927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十五、</w:t>
            </w:r>
            <w:r>
              <w:rPr>
                <w:rFonts w:ascii="华文楷体" w:hAnsi="华文楷体" w:eastAsia="华文楷体" w:cs="宋体"/>
                <w:kern w:val="0"/>
              </w:rPr>
              <w:t>★提供满足物品清单和型号参数的承诺（加盖公章，格式自拟）；</w:t>
            </w:r>
          </w:p>
          <w:p w14:paraId="5EA3DF5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十六、</w:t>
            </w:r>
            <w:r>
              <w:rPr>
                <w:rFonts w:ascii="华文楷体" w:hAnsi="华文楷体" w:eastAsia="华文楷体" w:cs="宋体"/>
                <w:kern w:val="0"/>
              </w:rPr>
              <w:t>提交物品时必须提供具有国家级或CNAS/CMA资质认证的第三方检测机构出具的检测报告</w:t>
            </w:r>
            <w:r>
              <w:rPr>
                <w:rFonts w:hint="eastAsia" w:ascii="华文楷体" w:hAnsi="华文楷体" w:eastAsia="华文楷体" w:cs="宋体"/>
                <w:kern w:val="0"/>
              </w:rPr>
              <w:t xml:space="preserve">。提供三年以上免费质保。                                                                                                                                                                                                                                                                   </w:t>
            </w:r>
          </w:p>
        </w:tc>
      </w:tr>
      <w:tr w14:paraId="6CC23875">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65CB6686">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21</w:t>
            </w:r>
          </w:p>
        </w:tc>
        <w:tc>
          <w:tcPr>
            <w:tcW w:w="790" w:type="pct"/>
            <w:tcBorders>
              <w:top w:val="single" w:color="auto" w:sz="4" w:space="0"/>
              <w:left w:val="nil"/>
              <w:bottom w:val="single" w:color="auto" w:sz="4" w:space="0"/>
              <w:right w:val="single" w:color="auto" w:sz="4" w:space="0"/>
            </w:tcBorders>
            <w:noWrap/>
            <w:vAlign w:val="center"/>
          </w:tcPr>
          <w:p w14:paraId="3B6635AB">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摩托车骑行装具</w:t>
            </w:r>
          </w:p>
          <w:p w14:paraId="263A0DAD">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（包含摩托头盔1顶、风镜1个、骑行护具1套、骑行靴1双、骑行手套1双）</w:t>
            </w:r>
          </w:p>
        </w:tc>
        <w:tc>
          <w:tcPr>
            <w:tcW w:w="3730" w:type="pct"/>
            <w:tcBorders>
              <w:top w:val="single" w:color="auto" w:sz="4" w:space="0"/>
              <w:left w:val="single" w:color="auto" w:sz="4" w:space="0"/>
              <w:bottom w:val="single" w:color="auto" w:sz="4" w:space="0"/>
              <w:right w:val="single" w:color="auto" w:sz="4" w:space="0"/>
            </w:tcBorders>
            <w:vAlign w:val="center"/>
          </w:tcPr>
          <w:p w14:paraId="7CC60DC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符合GB 811-2022《摩托车、电动自行车乘员头盔》、GB 14866—2006《个人用眼护具技术要求》等标准；</w:t>
            </w:r>
          </w:p>
          <w:p w14:paraId="60C9B1D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1、头盔参数：</w:t>
            </w:r>
          </w:p>
          <w:p w14:paraId="4368354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1.1、款式为全盔；</w:t>
            </w:r>
          </w:p>
          <w:p w14:paraId="6537539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▲1.2、材质为复合纤维或优于该材质；</w:t>
            </w:r>
          </w:p>
          <w:p w14:paraId="7833F20C">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1.3、重量≤1500g；</w:t>
            </w:r>
          </w:p>
          <w:p w14:paraId="249262A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1.4、镜片颜色；透明+彩色；</w:t>
            </w:r>
          </w:p>
          <w:p w14:paraId="68DB30B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1.5、规格：头围尺寸 ：50-64cm（可调节）；</w:t>
            </w:r>
          </w:p>
          <w:p w14:paraId="67139BD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★1.6、认证：3C；</w:t>
            </w:r>
          </w:p>
          <w:p w14:paraId="763EAE4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2、风镜参数：</w:t>
            </w:r>
          </w:p>
          <w:p w14:paraId="2241FD2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▲2.1、硬框材质为PC或优于该材质，软框材质为PTU或优于该材质，镜片材质为PC镀膜或优于该材质；</w:t>
            </w:r>
          </w:p>
          <w:p w14:paraId="6498D3E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2.2、重量：≤190g</w:t>
            </w:r>
          </w:p>
          <w:p w14:paraId="09EC1B9A">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3、骑行护具参数：</w:t>
            </w:r>
          </w:p>
          <w:p w14:paraId="68AD7CE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3.1、由护甲、护膝、护肘组成；</w:t>
            </w:r>
          </w:p>
          <w:p w14:paraId="2EAA8F9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▲3.2、材质采用高性能聚合材料或优于该材质；</w:t>
            </w:r>
          </w:p>
          <w:p w14:paraId="1899580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3.3、内层带有软式缓冲材质；</w:t>
            </w:r>
          </w:p>
          <w:p w14:paraId="16378FB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3.4、规格：重量为≤2000g；</w:t>
            </w:r>
          </w:p>
          <w:p w14:paraId="4B7692C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4、骑行靴参数：</w:t>
            </w:r>
          </w:p>
          <w:p w14:paraId="1BD34CB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4.1、鞋面材质为PVC+超纤或优于该材质；鞋底为橡胶或优于该材质；</w:t>
            </w:r>
          </w:p>
          <w:p w14:paraId="727260B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4.2、尺码：39 ~46；</w:t>
            </w:r>
          </w:p>
          <w:p w14:paraId="499C115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5、骑行手套：</w:t>
            </w:r>
          </w:p>
          <w:p w14:paraId="15D8D77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▲5.1、主体材质为羊皮或优于该材质，关节材质为碳纤维或优于该材质；</w:t>
            </w:r>
          </w:p>
          <w:p w14:paraId="70B960F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6、具有永久性标志及产品数据标识；</w:t>
            </w:r>
          </w:p>
          <w:p w14:paraId="06F16A5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7、</w:t>
            </w:r>
            <w:r>
              <w:rPr>
                <w:rFonts w:ascii="华文楷体" w:hAnsi="华文楷体" w:eastAsia="华文楷体" w:cs="宋体"/>
                <w:kern w:val="0"/>
              </w:rPr>
              <w:t>★提供满足物品清单和型号参数的承诺（加盖公章，格式自拟）；</w:t>
            </w:r>
          </w:p>
          <w:p w14:paraId="3F1EA81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8、</w:t>
            </w:r>
            <w:r>
              <w:rPr>
                <w:rFonts w:ascii="华文楷体" w:hAnsi="华文楷体" w:eastAsia="华文楷体" w:cs="宋体"/>
                <w:kern w:val="0"/>
              </w:rPr>
              <w:t>提交物品时必须提供具有国家级或CNAS/CMA资质认证的第三方检测机构出具的检测报告</w:t>
            </w:r>
            <w:r>
              <w:rPr>
                <w:rFonts w:hint="eastAsia" w:ascii="华文楷体" w:hAnsi="华文楷体" w:eastAsia="华文楷体" w:cs="宋体"/>
                <w:kern w:val="0"/>
              </w:rPr>
              <w:t>。提供一年以上免费质保。</w:t>
            </w:r>
          </w:p>
        </w:tc>
      </w:tr>
      <w:tr w14:paraId="7B8D03F7">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709E91FA">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22</w:t>
            </w:r>
          </w:p>
        </w:tc>
        <w:tc>
          <w:tcPr>
            <w:tcW w:w="790" w:type="pct"/>
            <w:tcBorders>
              <w:top w:val="single" w:color="auto" w:sz="4" w:space="0"/>
              <w:left w:val="nil"/>
              <w:bottom w:val="single" w:color="auto" w:sz="4" w:space="0"/>
              <w:right w:val="single" w:color="auto" w:sz="4" w:space="0"/>
            </w:tcBorders>
            <w:noWrap/>
            <w:vAlign w:val="center"/>
          </w:tcPr>
          <w:p w14:paraId="0F02AABC">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便携式复合气体检测仪</w:t>
            </w:r>
          </w:p>
        </w:tc>
        <w:tc>
          <w:tcPr>
            <w:tcW w:w="3730" w:type="pct"/>
            <w:tcBorders>
              <w:top w:val="single" w:color="auto" w:sz="4" w:space="0"/>
              <w:left w:val="single" w:color="auto" w:sz="4" w:space="0"/>
              <w:bottom w:val="single" w:color="auto" w:sz="4" w:space="0"/>
              <w:right w:val="single" w:color="auto" w:sz="4" w:space="0"/>
            </w:tcBorders>
            <w:vAlign w:val="center"/>
          </w:tcPr>
          <w:p w14:paraId="6A9632D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符合GB/T50493-2019《石油化工可燃气体检测报警设计》标准；</w:t>
            </w:r>
          </w:p>
          <w:p w14:paraId="02885B7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★1、检测气体：至少检测空气中的可燃气、氧气、一氧化碳、硫化氢、二氧化硫、有机挥发性气体等有毒有害气体浓度；LEL传感器检测范围≥0~100%LEL，分辨率≤1%LEL，响应时间≤10 s；O2传感器检测范围≥0~30%VOL，分辨率≤0.1%VOL，响应时间≤10s； CO传感器检测范围≥0~2000ppm，分辨率≤1ppm，响应时间≤15s；H2S传感器检测范围≥0~200ppm，分辨率≤1ppm，响应时间≤15s；SO2传感器检测范围≥0~20ppm，分辨率≤0.1 ppm，响应时间≤10s；VOC PID传感器检测范围≥0~2000ppm，分辨率≤0.1 ppm，响应时间≤30s；</w:t>
            </w:r>
          </w:p>
          <w:p w14:paraId="05EF0FE8">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 xml:space="preserve">2.1、响应时间：≤30s； </w:t>
            </w:r>
          </w:p>
          <w:p w14:paraId="7690652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2.2、显示方式：彩色 LCD 屏或优于该型式；</w:t>
            </w:r>
          </w:p>
          <w:p w14:paraId="6218457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2.3、探头使用年限：≥2年；</w:t>
            </w:r>
          </w:p>
          <w:p w14:paraId="337B49E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2.4、重量：≤450g；</w:t>
            </w:r>
          </w:p>
          <w:p w14:paraId="77DD99DB">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2.5、防护等级：≥IP65；</w:t>
            </w:r>
          </w:p>
          <w:p w14:paraId="2965ACA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★2.6、检测方式：泵吸式，配软管；</w:t>
            </w:r>
          </w:p>
          <w:p w14:paraId="7AF49C5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2.7、报警方式：声音、光报警、震动报警等三种以上方式；报警记录：≥5000条可存储查看；供电方式：锂电池，配备备用电池；</w:t>
            </w:r>
          </w:p>
          <w:p w14:paraId="0E4647D1">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2.8、配备携行箱、Type-C充电器；</w:t>
            </w:r>
          </w:p>
          <w:p w14:paraId="16E4D7D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2.9、防爆等级：≥EXd ia IIC T4Gb；</w:t>
            </w:r>
          </w:p>
          <w:p w14:paraId="06C0A1D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▲3、5年内按照标定要求进行标定；（提供加盖公章的佐证材料）</w:t>
            </w:r>
          </w:p>
          <w:p w14:paraId="38DB591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3.1、工作温度：-20℃-50℃；</w:t>
            </w:r>
          </w:p>
          <w:p w14:paraId="3F6F8D47">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4、具有永久性标志及产品数据标识；</w:t>
            </w:r>
          </w:p>
          <w:p w14:paraId="2797892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5、提供具有CNAS/CMA资质认证的第三方检测机构出具的检测报告。</w:t>
            </w:r>
          </w:p>
        </w:tc>
      </w:tr>
      <w:tr w14:paraId="6563E1D0">
        <w:tblPrEx>
          <w:tblCellMar>
            <w:top w:w="0" w:type="dxa"/>
            <w:left w:w="108" w:type="dxa"/>
            <w:bottom w:w="0" w:type="dxa"/>
            <w:right w:w="108" w:type="dxa"/>
          </w:tblCellMar>
        </w:tblPrEx>
        <w:tc>
          <w:tcPr>
            <w:tcW w:w="480" w:type="pct"/>
            <w:tcBorders>
              <w:top w:val="single" w:color="auto" w:sz="4" w:space="0"/>
              <w:left w:val="single" w:color="auto" w:sz="4" w:space="0"/>
              <w:bottom w:val="single" w:color="auto" w:sz="4" w:space="0"/>
              <w:right w:val="single" w:color="auto" w:sz="4" w:space="0"/>
            </w:tcBorders>
            <w:noWrap/>
            <w:vAlign w:val="center"/>
          </w:tcPr>
          <w:p w14:paraId="0005CD54">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23</w:t>
            </w:r>
          </w:p>
        </w:tc>
        <w:tc>
          <w:tcPr>
            <w:tcW w:w="790" w:type="pct"/>
            <w:tcBorders>
              <w:top w:val="single" w:color="auto" w:sz="4" w:space="0"/>
              <w:left w:val="nil"/>
              <w:bottom w:val="single" w:color="auto" w:sz="4" w:space="0"/>
              <w:right w:val="single" w:color="auto" w:sz="4" w:space="0"/>
            </w:tcBorders>
            <w:noWrap/>
            <w:vAlign w:val="center"/>
          </w:tcPr>
          <w:p w14:paraId="1D5224B9">
            <w:pPr>
              <w:widowControl/>
              <w:spacing w:line="360" w:lineRule="exact"/>
              <w:jc w:val="center"/>
              <w:rPr>
                <w:rFonts w:ascii="华文楷体" w:hAnsi="华文楷体" w:eastAsia="华文楷体" w:cs="宋体"/>
                <w:kern w:val="0"/>
              </w:rPr>
            </w:pPr>
            <w:r>
              <w:rPr>
                <w:rFonts w:hint="eastAsia" w:ascii="华文楷体" w:hAnsi="华文楷体" w:eastAsia="华文楷体" w:cs="宋体"/>
                <w:kern w:val="0"/>
              </w:rPr>
              <w:t>紧急撤离装置</w:t>
            </w:r>
          </w:p>
        </w:tc>
        <w:tc>
          <w:tcPr>
            <w:tcW w:w="3730" w:type="pct"/>
            <w:tcBorders>
              <w:top w:val="single" w:color="auto" w:sz="4" w:space="0"/>
              <w:left w:val="single" w:color="auto" w:sz="4" w:space="0"/>
              <w:bottom w:val="single" w:color="auto" w:sz="4" w:space="0"/>
              <w:right w:val="single" w:color="auto" w:sz="4" w:space="0"/>
            </w:tcBorders>
            <w:vAlign w:val="center"/>
          </w:tcPr>
          <w:p w14:paraId="0EDF840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1、主要性能：</w:t>
            </w:r>
          </w:p>
          <w:p w14:paraId="0D01D70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1.1、由括气瓶、高音喇叭、连接软管组成；</w:t>
            </w:r>
          </w:p>
          <w:p w14:paraId="4973D6BF">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1.2、设备箱体采用铝合金或优于该材质；</w:t>
            </w:r>
          </w:p>
          <w:p w14:paraId="18805FE6">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1.3、气瓶可拆卸，接口与正压式空气呼气气瓶通用；</w:t>
            </w:r>
          </w:p>
          <w:p w14:paraId="3A9F9F33">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2、主要参数：</w:t>
            </w:r>
          </w:p>
          <w:p w14:paraId="4BB12BB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2.1、使用温度范围：-40°C ~ 90°C；</w:t>
            </w:r>
          </w:p>
          <w:p w14:paraId="1A717F9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2.2、总质量：≤8kg；</w:t>
            </w:r>
          </w:p>
          <w:p w14:paraId="7801291D">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★2.3、气瓶耐压：≥25MPa；</w:t>
            </w:r>
          </w:p>
          <w:p w14:paraId="198A57B0">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2.4、气瓶容积：≥3.0L；</w:t>
            </w:r>
          </w:p>
          <w:p w14:paraId="48662DA4">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2.5、使用时长：≥120S；</w:t>
            </w:r>
          </w:p>
          <w:p w14:paraId="3874BF55">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▲2.6、高压气喇叭声级水平：≥110dB；</w:t>
            </w:r>
          </w:p>
          <w:p w14:paraId="7736064E">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2.7气喇叭可以用气瓶气源供气,也可切换至锂电池供气（配锂电池供气装置）。</w:t>
            </w:r>
          </w:p>
          <w:p w14:paraId="247C9EB2">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3、具有永久性标志及产品数据标识；</w:t>
            </w:r>
          </w:p>
          <w:p w14:paraId="35B32B09">
            <w:pPr>
              <w:widowControl/>
              <w:spacing w:line="360" w:lineRule="exact"/>
              <w:jc w:val="left"/>
              <w:rPr>
                <w:rFonts w:ascii="华文楷体" w:hAnsi="华文楷体" w:eastAsia="华文楷体" w:cs="宋体"/>
                <w:kern w:val="0"/>
              </w:rPr>
            </w:pPr>
            <w:r>
              <w:rPr>
                <w:rFonts w:hint="eastAsia" w:ascii="华文楷体" w:hAnsi="华文楷体" w:eastAsia="华文楷体" w:cs="宋体"/>
                <w:kern w:val="0"/>
              </w:rPr>
              <w:t>4、提供具有CNAS/CMA资质认证的第三方检测机构出具的检测报告。提供三年以上免费质保。</w:t>
            </w:r>
          </w:p>
        </w:tc>
      </w:tr>
    </w:tbl>
    <w:p w14:paraId="64C71A6C">
      <w:pPr>
        <w:widowControl/>
        <w:spacing w:line="360" w:lineRule="exact"/>
        <w:jc w:val="left"/>
        <w:rPr>
          <w:rFonts w:ascii="华文楷体" w:hAnsi="华文楷体" w:eastAsia="华文楷体" w:cs="宋体"/>
          <w:kern w:val="0"/>
          <w:lang w:val="zh-CN"/>
        </w:rPr>
      </w:pPr>
      <w:r>
        <w:rPr>
          <w:rFonts w:hint="eastAsia" w:ascii="华文楷体" w:hAnsi="华文楷体" w:eastAsia="华文楷体" w:cs="宋体"/>
          <w:kern w:val="0"/>
        </w:rPr>
        <w:t>注：</w:t>
      </w:r>
      <w:bookmarkStart w:id="289" w:name="_Toc184345958"/>
      <w:r>
        <w:rPr>
          <w:rFonts w:hint="eastAsia" w:ascii="华文楷体" w:hAnsi="华文楷体" w:eastAsia="华文楷体" w:cs="宋体"/>
          <w:kern w:val="0"/>
          <w:lang w:val="zh-CN"/>
        </w:rPr>
        <w:t>“技术参数”中用“★”符号标注的属于重要技术参数、指标，必须完全响应，</w:t>
      </w:r>
      <w:r>
        <w:rPr>
          <w:rFonts w:hint="eastAsia" w:ascii="华文楷体" w:hAnsi="华文楷体" w:eastAsia="华文楷体" w:cs="宋体"/>
          <w:kern w:val="0"/>
        </w:rPr>
        <w:t>除技术参数、指标中特别指定的技术支持资料以外，其余“</w:t>
      </w:r>
      <w:r>
        <w:rPr>
          <w:rFonts w:hint="eastAsia" w:ascii="华文楷体" w:hAnsi="华文楷体" w:eastAsia="华文楷体" w:cs="宋体"/>
          <w:kern w:val="0"/>
          <w:lang w:val="zh-CN"/>
        </w:rPr>
        <w:t>★</w:t>
      </w:r>
      <w:r>
        <w:rPr>
          <w:rFonts w:hint="eastAsia" w:ascii="华文楷体" w:hAnsi="华文楷体" w:eastAsia="华文楷体" w:cs="宋体"/>
          <w:kern w:val="0"/>
        </w:rPr>
        <w:t>”标注的技术参数、指标的技术支持资料均为检测报告</w:t>
      </w:r>
      <w:r>
        <w:rPr>
          <w:rFonts w:hint="eastAsia" w:ascii="华文楷体" w:hAnsi="华文楷体" w:eastAsia="华文楷体" w:cs="宋体"/>
          <w:kern w:val="0"/>
          <w:lang w:val="zh-CN"/>
        </w:rPr>
        <w:t>。否则，投标无效。</w:t>
      </w:r>
    </w:p>
    <w:p w14:paraId="2F57EDDB">
      <w:pPr>
        <w:pStyle w:val="4"/>
        <w:spacing w:line="540" w:lineRule="exact"/>
        <w:ind w:left="0" w:leftChars="0" w:firstLine="0" w:firstLineChars="0"/>
        <w:rPr>
          <w:rFonts w:ascii="华文楷体" w:hAnsi="华文楷体" w:eastAsia="华文楷体" w:cs="宋体"/>
          <w:b/>
          <w:bCs/>
          <w:sz w:val="32"/>
          <w:szCs w:val="32"/>
        </w:rPr>
      </w:pPr>
    </w:p>
    <w:p w14:paraId="79481E6C">
      <w:pPr>
        <w:rPr>
          <w:rFonts w:ascii="华文楷体" w:hAnsi="华文楷体" w:eastAsia="华文楷体" w:cs="宋体"/>
          <w:b/>
          <w:bCs/>
          <w:sz w:val="32"/>
          <w:szCs w:val="32"/>
        </w:rPr>
      </w:pPr>
    </w:p>
    <w:p w14:paraId="5C390887">
      <w:pPr>
        <w:pStyle w:val="2"/>
        <w:rPr>
          <w:rFonts w:ascii="华文楷体" w:hAnsi="华文楷体" w:eastAsia="华文楷体" w:cs="宋体"/>
          <w:b/>
          <w:bCs/>
          <w:sz w:val="32"/>
          <w:szCs w:val="32"/>
        </w:rPr>
      </w:pPr>
    </w:p>
    <w:p w14:paraId="3D41C613">
      <w:pPr>
        <w:pStyle w:val="3"/>
        <w:ind w:left="480"/>
        <w:rPr>
          <w:rFonts w:ascii="华文楷体" w:hAnsi="华文楷体" w:eastAsia="华文楷体" w:cs="宋体"/>
          <w:b/>
          <w:bCs/>
          <w:sz w:val="32"/>
          <w:szCs w:val="32"/>
        </w:rPr>
      </w:pPr>
    </w:p>
    <w:p w14:paraId="20EE5284">
      <w:pPr>
        <w:pStyle w:val="4"/>
        <w:ind w:left="480" w:firstLine="641"/>
        <w:rPr>
          <w:rFonts w:ascii="华文楷体" w:hAnsi="华文楷体" w:eastAsia="华文楷体" w:cs="宋体"/>
          <w:b/>
          <w:bCs/>
          <w:sz w:val="32"/>
          <w:szCs w:val="32"/>
        </w:rPr>
      </w:pPr>
    </w:p>
    <w:p w14:paraId="15E239B1">
      <w:pPr>
        <w:rPr>
          <w:rFonts w:ascii="华文楷体" w:hAnsi="华文楷体" w:eastAsia="华文楷体" w:cs="宋体"/>
          <w:b/>
          <w:bCs/>
          <w:sz w:val="32"/>
          <w:szCs w:val="32"/>
        </w:rPr>
      </w:pPr>
    </w:p>
    <w:p w14:paraId="57F2D155">
      <w:pPr>
        <w:pStyle w:val="2"/>
        <w:rPr>
          <w:rFonts w:ascii="华文楷体" w:hAnsi="华文楷体" w:eastAsia="华文楷体" w:cs="宋体"/>
          <w:b/>
          <w:bCs/>
          <w:sz w:val="32"/>
          <w:szCs w:val="32"/>
        </w:rPr>
      </w:pPr>
    </w:p>
    <w:p w14:paraId="4414502C">
      <w:pPr>
        <w:pStyle w:val="3"/>
        <w:ind w:left="480"/>
        <w:rPr>
          <w:rFonts w:ascii="华文楷体" w:hAnsi="华文楷体" w:eastAsia="华文楷体" w:cs="宋体"/>
          <w:b/>
          <w:bCs/>
          <w:sz w:val="32"/>
          <w:szCs w:val="32"/>
        </w:rPr>
      </w:pPr>
    </w:p>
    <w:p w14:paraId="0C14972F">
      <w:pPr>
        <w:pStyle w:val="4"/>
        <w:ind w:left="480" w:firstLine="641"/>
        <w:rPr>
          <w:rFonts w:ascii="华文楷体" w:hAnsi="华文楷体" w:eastAsia="华文楷体" w:cs="宋体"/>
          <w:b/>
          <w:bCs/>
          <w:sz w:val="32"/>
          <w:szCs w:val="32"/>
        </w:rPr>
      </w:pPr>
    </w:p>
    <w:p w14:paraId="0E08BDAE">
      <w:pPr>
        <w:rPr>
          <w:rFonts w:ascii="华文楷体" w:hAnsi="华文楷体" w:eastAsia="华文楷体" w:cs="宋体"/>
          <w:b/>
          <w:bCs/>
          <w:sz w:val="32"/>
          <w:szCs w:val="32"/>
        </w:rPr>
      </w:pPr>
    </w:p>
    <w:p w14:paraId="65410265">
      <w:pPr>
        <w:pStyle w:val="2"/>
        <w:rPr>
          <w:rFonts w:ascii="华文楷体" w:hAnsi="华文楷体" w:eastAsia="华文楷体" w:cs="宋体"/>
          <w:b/>
          <w:bCs/>
          <w:sz w:val="32"/>
          <w:szCs w:val="32"/>
        </w:rPr>
      </w:pPr>
    </w:p>
    <w:p w14:paraId="1A7FB966">
      <w:pPr>
        <w:pStyle w:val="3"/>
        <w:ind w:left="480"/>
        <w:rPr>
          <w:rFonts w:ascii="华文楷体" w:hAnsi="华文楷体" w:eastAsia="华文楷体" w:cs="宋体"/>
          <w:b/>
          <w:bCs/>
          <w:sz w:val="32"/>
          <w:szCs w:val="32"/>
        </w:rPr>
      </w:pPr>
    </w:p>
    <w:p w14:paraId="65D6B848">
      <w:pPr>
        <w:pStyle w:val="4"/>
        <w:ind w:left="0" w:leftChars="0" w:firstLine="0" w:firstLineChars="0"/>
        <w:rPr>
          <w:rFonts w:hint="eastAsia"/>
        </w:rPr>
      </w:pPr>
    </w:p>
    <w:p w14:paraId="588B68DE">
      <w:pPr>
        <w:rPr>
          <w:rFonts w:hint="eastAsia"/>
        </w:rPr>
      </w:pPr>
    </w:p>
    <w:p w14:paraId="11F28DC4">
      <w:pPr>
        <w:pStyle w:val="2"/>
        <w:rPr>
          <w:rFonts w:hint="eastAsia"/>
        </w:rPr>
      </w:pPr>
    </w:p>
    <w:p w14:paraId="44775504">
      <w:pPr>
        <w:pStyle w:val="3"/>
        <w:rPr>
          <w:rFonts w:hint="eastAsia"/>
        </w:rPr>
      </w:pPr>
    </w:p>
    <w:p w14:paraId="60AA798A">
      <w:pPr>
        <w:pStyle w:val="3"/>
        <w:ind w:left="480"/>
      </w:pPr>
    </w:p>
    <w:p w14:paraId="50202D5F">
      <w:pPr>
        <w:rPr>
          <w:rStyle w:val="50"/>
          <w:rFonts w:ascii="华文楷体" w:hAnsi="华文楷体" w:eastAsia="华文楷体"/>
        </w:rPr>
      </w:pPr>
      <w:r>
        <w:rPr>
          <w:rStyle w:val="50"/>
          <w:rFonts w:hint="eastAsia" w:ascii="华文楷体" w:hAnsi="华文楷体" w:eastAsia="华文楷体"/>
        </w:rPr>
        <w:t>（四） 商务要求</w:t>
      </w:r>
      <w:bookmarkEnd w:id="289"/>
    </w:p>
    <w:p w14:paraId="56187954">
      <w:pPr>
        <w:adjustRightInd w:val="0"/>
        <w:snapToGrid w:val="0"/>
        <w:spacing w:line="360" w:lineRule="auto"/>
        <w:ind w:firstLine="482" w:firstLineChars="200"/>
        <w:rPr>
          <w:rFonts w:ascii="华文楷体" w:hAnsi="华文楷体" w:eastAsia="华文楷体" w:cs="宋体"/>
          <w:b/>
          <w:bCs/>
          <w:szCs w:val="21"/>
        </w:rPr>
      </w:pPr>
      <w:r>
        <w:rPr>
          <w:rFonts w:hint="eastAsia" w:ascii="华文楷体" w:hAnsi="华文楷体" w:eastAsia="华文楷体" w:cs="宋体"/>
          <w:b/>
          <w:bCs/>
          <w:szCs w:val="21"/>
        </w:rPr>
        <w:t>1、产品运输、保险及保管</w:t>
      </w:r>
    </w:p>
    <w:p w14:paraId="4034D67C">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1.1.中标人负责产品全部运输，包括装卸及现场搬运及保管，直至项目验收合格；</w:t>
      </w:r>
    </w:p>
    <w:p w14:paraId="66D59E20">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1.2中标人负责其派出的工作人员的人身意外保险。</w:t>
      </w:r>
    </w:p>
    <w:p w14:paraId="3DA8911C">
      <w:pPr>
        <w:adjustRightInd w:val="0"/>
        <w:snapToGrid w:val="0"/>
        <w:spacing w:line="360" w:lineRule="auto"/>
        <w:ind w:firstLine="482" w:firstLineChars="200"/>
        <w:rPr>
          <w:rFonts w:ascii="华文楷体" w:hAnsi="华文楷体" w:eastAsia="华文楷体" w:cs="宋体"/>
          <w:b/>
          <w:bCs/>
          <w:szCs w:val="21"/>
        </w:rPr>
      </w:pPr>
      <w:r>
        <w:rPr>
          <w:rFonts w:hint="eastAsia" w:ascii="华文楷体" w:hAnsi="华文楷体" w:eastAsia="华文楷体" w:cs="宋体"/>
          <w:b/>
          <w:bCs/>
          <w:szCs w:val="21"/>
        </w:rPr>
        <w:t>2、验收条件</w:t>
      </w:r>
    </w:p>
    <w:p w14:paraId="68B52C0B">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产品交付验收前，必须达到下列基本条件，否则不予验收。</w:t>
      </w:r>
    </w:p>
    <w:p w14:paraId="6CD55694">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2.1必须提供完整准确的操作使用中文说明书,电子版一份、纸质版二份。纸质版的必须印制精美,装订成册；电子版必须复制保存到U盘；</w:t>
      </w:r>
    </w:p>
    <w:p w14:paraId="6BE0C6A6">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2.2所有产品外包装箱、单个产品包装盒及装备上必须具有下列基本信息：产品制造商、生产日期、有效期、制造商联系人、联系电话；代理商联系人、联系电话、售后联系人、联系方式。</w:t>
      </w:r>
    </w:p>
    <w:p w14:paraId="42C81231">
      <w:pPr>
        <w:numPr>
          <w:ilvl w:val="0"/>
          <w:numId w:val="9"/>
        </w:numPr>
        <w:adjustRightInd w:val="0"/>
        <w:snapToGrid w:val="0"/>
        <w:spacing w:line="360" w:lineRule="auto"/>
        <w:ind w:firstLine="480" w:firstLineChars="200"/>
        <w:rPr>
          <w:rFonts w:ascii="华文楷体" w:hAnsi="华文楷体" w:eastAsia="华文楷体" w:cs="宋体"/>
          <w:bCs/>
          <w:szCs w:val="21"/>
        </w:rPr>
      </w:pPr>
      <w:r>
        <w:rPr>
          <w:rFonts w:hint="eastAsia" w:ascii="华文楷体" w:hAnsi="华文楷体" w:eastAsia="华文楷体" w:cs="宋体"/>
          <w:bCs/>
          <w:szCs w:val="21"/>
        </w:rPr>
        <w:t>货物验收</w:t>
      </w:r>
    </w:p>
    <w:p w14:paraId="4132B03E">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bCs/>
          <w:szCs w:val="21"/>
        </w:rPr>
        <w:t>3.1</w:t>
      </w:r>
      <w:r>
        <w:rPr>
          <w:rFonts w:hint="eastAsia" w:ascii="华文楷体" w:hAnsi="华文楷体" w:eastAsia="华文楷体" w:cs="宋体"/>
          <w:szCs w:val="21"/>
        </w:rPr>
        <w:t>乙方保证提供给甲方的货物是货物生产厂商原造的，全新的，并完全符合甲方的各项使用目的或在采购时提出的各项需要。根据《国家消防救援局办公室关于推广应用新版消防装备管理系统的通知》要求，中标人在交付装备时须附着由“消防装备物资信息采集系统”生成数据制作的二维码和 RFID。</w:t>
      </w:r>
    </w:p>
    <w:p w14:paraId="5FD91094">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3.2甲方应在乙方交付时，根据货物的技术规格要求和质量标准对货物进行检查验收，对货物有异议，甲方有权当场拒收。如果发现数量不足或有质量、技术等问题，乙方应负责按照甲方的要求采取补足、更换或退货等处理措施，并承担由此发生的一切损失和费用。甲方有权邀请法定的质量检测机构参加验收，由其出具验收报告，参加验收的成员应当在验收书上签字，并承担相应的法律责任，检测费用由乙方承担。甲方也可以在收到货物后15日内向乙方提出书面异议，经双方核实确属乙方责任的，甲方有权退货。</w:t>
      </w:r>
    </w:p>
    <w:p w14:paraId="2202806C">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3.3乙方在其投标文件技术规格响应表中标明的正偏离或无偏离设备，在验收、安装调试等环节如发现所供货物技术参数指标实际为负偏离或所供货物技术性能与投标响应不符的，甲方有权拒收。</w:t>
      </w:r>
    </w:p>
    <w:p w14:paraId="67D7D208">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3.4乙方应当出具货物的合格证书、出厂检验报告等相关质量证明文件（加盖乙方公章），乙方未能提供上述资料的，甲方有权拒收。</w:t>
      </w:r>
    </w:p>
    <w:p w14:paraId="3FCD336A">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3.5甲方有权在验货时对货物进行抽样并送交权威检测机构按相关标准进行检测，验货及抽样检测不合格的，相关费用均由乙方承担。</w:t>
      </w:r>
    </w:p>
    <w:p w14:paraId="53096E17">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3.6甲方将按照招标文件、乙方投标文件及本合同作为验收的依据，如乙方不能通过甲方验收的，甲方有权提出退货并扣除质保金，或要求乙方按照验收标准进行整改。如2次验收后，仍验收不合格的，甲方有权终止合同，乙方应向甲方支付违约金并返还甲方已支付价款。</w:t>
      </w:r>
    </w:p>
    <w:p w14:paraId="5FE183D1">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3.7交货时，乙方应将货物、产品合格证等质量证明文件、使用说明及保修文件、其他配套物品和资料等全部交付给甲方，由乙方送货人员与甲方收货负责人共同签字确认，双方签字确认之日即为该批货物交付之日。验收不合格，甲方拒收或退货的，乙方负责退换货并承担增加的费用和给甲方造成的损失。</w:t>
      </w:r>
    </w:p>
    <w:p w14:paraId="3EFAEC46">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3.8货物验收合格后，填写《验收单》，并由甲乙双方共同盖章后方可生效。</w:t>
      </w:r>
    </w:p>
    <w:p w14:paraId="1B7A8886">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3.9本合同下的货物及追加、更换、补充的货物(含零件、部件、配件)的风险自货物交付甲方且由甲方确认验收合格时转移。乙方应承担货物在交付甲方且由甲方确认验收合格前的一切风险，除非货损是由于甲方明显不当的作为所直接引起的，但该作为不包括验收的行为。</w:t>
      </w:r>
    </w:p>
    <w:p w14:paraId="550E115A">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3.10乙方在约定的时间内未能弥补缺陷，甲方可采取必要的补救措施，但其风险和费用将由乙方承担，甲方根据合同规定对乙方行使的其他权利不受影响。</w:t>
      </w:r>
    </w:p>
    <w:p w14:paraId="67ADE8FF">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3.11补救措施和索赔</w:t>
      </w:r>
    </w:p>
    <w:p w14:paraId="4E7CDEFC">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3.11.1甲方有权根据质量检测部门出具的检验证书向乙方提出索赔。</w:t>
      </w:r>
    </w:p>
    <w:p w14:paraId="2553A057">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3.11.2在检验期和质保期内，如果乙方对缺陷产品负有责任而甲方提出索赔，乙方应按照甲方同意的下列一种或多种方式解决索赔事宜：</w:t>
      </w:r>
    </w:p>
    <w:p w14:paraId="09C921D9">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3.11.3乙方同意对货物进行免费更换，由此发生的一切费用和损失由乙方承担，并向甲方支付延迟供货违约金；</w:t>
      </w:r>
    </w:p>
    <w:p w14:paraId="5DC6AB36">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3.11.4乙方同意退货并将货款退还给甲方，由此发生的一切费用和损失由乙方承担，并向甲方支付退货货物价款的违约金；</w:t>
      </w:r>
    </w:p>
    <w:p w14:paraId="0159D2FC">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3.11.5根据货物的质量状况以及甲方所遭受的损失，经过甲乙双方商定降低货物的价格；</w:t>
      </w:r>
    </w:p>
    <w:p w14:paraId="4B7D6DE0">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3.11.6乙方应在接到甲方通知后七天内负责采用符合合同规定的规格、质量和性能要求的新零件、部件和设备来更换有缺陷的部分或修补缺陷部分，其费用由乙方负担。同时，乙方应在约定的质保期基础上相应延长修补和/或更换件的质保期。</w:t>
      </w:r>
    </w:p>
    <w:p w14:paraId="1D49DB24">
      <w:pPr>
        <w:adjustRightInd w:val="0"/>
        <w:snapToGrid w:val="0"/>
        <w:spacing w:line="360" w:lineRule="auto"/>
        <w:ind w:firstLine="480" w:firstLineChars="200"/>
        <w:rPr>
          <w:rFonts w:ascii="华文楷体" w:hAnsi="华文楷体" w:eastAsia="华文楷体" w:cs="宋体"/>
        </w:rPr>
      </w:pPr>
      <w:r>
        <w:rPr>
          <w:rFonts w:hint="eastAsia" w:ascii="华文楷体" w:hAnsi="华文楷体" w:eastAsia="华文楷体" w:cs="宋体"/>
          <w:szCs w:val="21"/>
        </w:rPr>
        <w:t>3.11.7如果在甲方发出索赔通知后十天内乙方未作答复，上述索赔应视为已被乙方接受。如果乙方未能在甲方索赔通知后十天内或甲方同意延长的期限内，按照上述规定的任何一种方法采取补救措施，甲方有权从应付货款中扣除索赔金额或没收履约保证金，如不足以弥补甲方损失的，甲方有权向乙方提出赔偿损失的要求。</w:t>
      </w:r>
    </w:p>
    <w:p w14:paraId="5279CB9F">
      <w:pPr>
        <w:adjustRightInd w:val="0"/>
        <w:snapToGrid w:val="0"/>
        <w:spacing w:line="360" w:lineRule="auto"/>
        <w:ind w:firstLine="480" w:firstLineChars="200"/>
        <w:rPr>
          <w:rFonts w:ascii="华文楷体" w:hAnsi="华文楷体" w:eastAsia="华文楷体" w:cs="宋体"/>
          <w:bCs/>
          <w:szCs w:val="21"/>
        </w:rPr>
      </w:pPr>
      <w:r>
        <w:rPr>
          <w:rFonts w:hint="eastAsia" w:ascii="华文楷体" w:hAnsi="华文楷体" w:eastAsia="华文楷体" w:cs="宋体"/>
          <w:bCs/>
          <w:szCs w:val="21"/>
        </w:rPr>
        <w:t>3.12采购人有权在质保期内对所供货物进行抽样并送交检测机构进行检测，抽样检测不合格的，同批次全部产品将做退货处理并追究中标人相关责任。</w:t>
      </w:r>
    </w:p>
    <w:p w14:paraId="4043B029">
      <w:pPr>
        <w:adjustRightInd w:val="0"/>
        <w:snapToGrid w:val="0"/>
        <w:spacing w:line="360" w:lineRule="auto"/>
        <w:ind w:firstLine="480" w:firstLineChars="200"/>
        <w:rPr>
          <w:rFonts w:ascii="华文楷体" w:hAnsi="华文楷体" w:eastAsia="华文楷体" w:cs="宋体"/>
          <w:bCs/>
          <w:szCs w:val="21"/>
        </w:rPr>
      </w:pPr>
      <w:r>
        <w:rPr>
          <w:rFonts w:hint="eastAsia" w:ascii="华文楷体" w:hAnsi="华文楷体" w:eastAsia="华文楷体" w:cs="宋体"/>
          <w:bCs/>
          <w:szCs w:val="21"/>
        </w:rPr>
        <w:t>3.13供应商就招标文件要求不得作出虚假承诺、虚假响应，投标文件中所提供全部资料：资格证明材料、业绩证明材料、技术响应证明材料等应当真实有效。中标人应根据采购人要求提供投标文件中相应原件备查，以核实投标文件的真实性。投标文件内容不实的，属于“提供虚假材料谋取中标、 成交”的违法行为，采购人将报告财政部门依照《政府采购法》等相关法律法规追究相应责任。</w:t>
      </w:r>
    </w:p>
    <w:p w14:paraId="14E8945B">
      <w:pPr>
        <w:adjustRightInd w:val="0"/>
        <w:snapToGrid w:val="0"/>
        <w:spacing w:line="360" w:lineRule="auto"/>
        <w:ind w:firstLine="482" w:firstLineChars="200"/>
        <w:rPr>
          <w:rFonts w:ascii="华文楷体" w:hAnsi="华文楷体" w:eastAsia="华文楷体" w:cs="宋体"/>
          <w:b/>
          <w:bCs/>
          <w:szCs w:val="21"/>
        </w:rPr>
      </w:pPr>
      <w:r>
        <w:rPr>
          <w:rFonts w:hint="eastAsia" w:ascii="华文楷体" w:hAnsi="华文楷体" w:eastAsia="华文楷体" w:cs="宋体"/>
          <w:b/>
          <w:bCs/>
          <w:szCs w:val="21"/>
        </w:rPr>
        <w:t>4、质量保证</w:t>
      </w:r>
    </w:p>
    <w:p w14:paraId="671CB336">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4.1 所投产品所有部件的质量保证及售后服务均由中标人负责，所有部件的质保期为三年；</w:t>
      </w:r>
    </w:p>
    <w:p w14:paraId="4291D8AE">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4.2中标人提供的产品应是原装正品，符合国家质量检验标准，具有出厂合格证或国家鉴定合格证，能提供全套原产地证明、产品合格证；</w:t>
      </w:r>
    </w:p>
    <w:p w14:paraId="05F2C174">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4.3 其他方面必须符合应急管理部消防救援局检验合格标准。</w:t>
      </w:r>
    </w:p>
    <w:p w14:paraId="128BDE69">
      <w:pPr>
        <w:adjustRightInd w:val="0"/>
        <w:snapToGrid w:val="0"/>
        <w:spacing w:line="360" w:lineRule="auto"/>
        <w:ind w:firstLine="482" w:firstLineChars="200"/>
        <w:rPr>
          <w:rFonts w:ascii="华文楷体" w:hAnsi="华文楷体" w:eastAsia="华文楷体" w:cs="宋体"/>
          <w:b/>
          <w:bCs/>
          <w:szCs w:val="21"/>
        </w:rPr>
      </w:pPr>
      <w:r>
        <w:rPr>
          <w:rFonts w:hint="eastAsia" w:ascii="华文楷体" w:hAnsi="华文楷体" w:eastAsia="华文楷体" w:cs="宋体"/>
          <w:b/>
          <w:bCs/>
          <w:szCs w:val="21"/>
        </w:rPr>
        <w:t>5、质保期：项目整体质保期限为三年，（国家法律、法规等规定的质保期长于上述质保期的，实行国家法律、法规等规定。）参数有具体要求的以参数为准，质保期从货物验收合格交付后开始计算。</w:t>
      </w:r>
    </w:p>
    <w:p w14:paraId="680FD071">
      <w:pPr>
        <w:adjustRightInd w:val="0"/>
        <w:snapToGrid w:val="0"/>
        <w:spacing w:line="360" w:lineRule="auto"/>
        <w:ind w:firstLine="482" w:firstLineChars="200"/>
        <w:rPr>
          <w:rFonts w:ascii="华文楷体" w:hAnsi="华文楷体" w:eastAsia="华文楷体" w:cs="宋体"/>
          <w:b/>
          <w:bCs/>
          <w:szCs w:val="21"/>
        </w:rPr>
      </w:pPr>
      <w:r>
        <w:rPr>
          <w:rFonts w:hint="eastAsia" w:ascii="华文楷体" w:hAnsi="华文楷体" w:eastAsia="华文楷体" w:cs="宋体"/>
          <w:b/>
          <w:bCs/>
          <w:szCs w:val="21"/>
        </w:rPr>
        <w:t>6、售后服务</w:t>
      </w:r>
    </w:p>
    <w:p w14:paraId="3573D282">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6.1提供7*24小时的技术咨询服务。</w:t>
      </w:r>
    </w:p>
    <w:p w14:paraId="58F2E594">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6.2在质保期内，如有制造质量问题或技术缺陷造成设备故障或损坏，中标人在24小时内无法修复或需要返厂进行维修的，中标人必须予以免费整体更换相应设备，以保证采购人最终用户单位工作正常开展；在采购人最终用户单位使用的前三个月，同一设备出现第二次质量问题，中标人必须予以免费整体更换该设备。</w:t>
      </w:r>
    </w:p>
    <w:p w14:paraId="62CC7EAC">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6.3培训：中标人应按采购人要求提供安装前技术指导和系统调试时的现场指导，按采购人要求进行调试和验收。且培训2名操作管理及维护人员，达到熟练掌握产品性能，能及时排除一般故障的程度，并提供其他一切所必须的技术支持。</w:t>
      </w:r>
    </w:p>
    <w:p w14:paraId="02AD014C">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6.4定期巡检：产品交付使用后，中标人负责每半年要深入产品使用单位进行一次巡检服务，巡检服务情况要经采购人装备管理部门签署意见后备查。</w:t>
      </w:r>
    </w:p>
    <w:p w14:paraId="488763E1">
      <w:pPr>
        <w:adjustRightInd w:val="0"/>
        <w:snapToGrid w:val="0"/>
        <w:spacing w:line="360" w:lineRule="auto"/>
        <w:ind w:firstLine="480" w:firstLineChars="200"/>
        <w:rPr>
          <w:rFonts w:ascii="华文楷体" w:hAnsi="华文楷体" w:eastAsia="华文楷体" w:cs="宋体"/>
          <w:szCs w:val="21"/>
        </w:rPr>
      </w:pPr>
      <w:r>
        <w:rPr>
          <w:rFonts w:hint="eastAsia" w:ascii="华文楷体" w:hAnsi="华文楷体" w:eastAsia="华文楷体" w:cs="宋体"/>
          <w:szCs w:val="21"/>
        </w:rPr>
        <w:t>6.5伴随保障服务:在采购人拉练、执行抢险救援任务等突发情况时，中标人需提供伴随保障服务，提供技术支持。</w:t>
      </w:r>
    </w:p>
    <w:p w14:paraId="377CACD4">
      <w:pPr>
        <w:adjustRightInd w:val="0"/>
        <w:snapToGrid w:val="0"/>
        <w:spacing w:line="360" w:lineRule="auto"/>
        <w:ind w:firstLine="482" w:firstLineChars="200"/>
        <w:rPr>
          <w:rFonts w:ascii="华文楷体" w:hAnsi="华文楷体" w:eastAsia="华文楷体" w:cs="宋体"/>
          <w:b/>
          <w:bCs/>
          <w:szCs w:val="21"/>
        </w:rPr>
      </w:pPr>
      <w:r>
        <w:rPr>
          <w:rFonts w:hint="eastAsia" w:ascii="华文楷体" w:hAnsi="华文楷体" w:eastAsia="华文楷体" w:cs="宋体"/>
          <w:b/>
          <w:bCs/>
          <w:szCs w:val="21"/>
        </w:rPr>
        <w:t>7.合同履行期限及地点</w:t>
      </w:r>
    </w:p>
    <w:p w14:paraId="2F2592A0">
      <w:pPr>
        <w:tabs>
          <w:tab w:val="left" w:pos="3832"/>
        </w:tabs>
        <w:spacing w:line="360" w:lineRule="auto"/>
        <w:ind w:firstLine="480" w:firstLineChars="200"/>
        <w:rPr>
          <w:rFonts w:hint="eastAsia" w:ascii="华文楷体" w:hAnsi="华文楷体" w:eastAsia="华文楷体" w:cs="宋体"/>
          <w:lang w:eastAsia="zh-CN"/>
        </w:rPr>
      </w:pPr>
      <w:r>
        <w:rPr>
          <w:rFonts w:hint="eastAsia" w:ascii="华文楷体" w:hAnsi="华文楷体" w:eastAsia="华文楷体" w:cs="宋体"/>
        </w:rPr>
        <w:t>7.1、合同履行期限及地点</w:t>
      </w:r>
      <w:r>
        <w:rPr>
          <w:rFonts w:hint="eastAsia" w:ascii="华文楷体" w:hAnsi="华文楷体" w:eastAsia="华文楷体" w:cs="宋体"/>
          <w:lang w:eastAsia="zh-CN"/>
        </w:rPr>
        <w:tab/>
      </w:r>
    </w:p>
    <w:p w14:paraId="74087414">
      <w:pPr>
        <w:spacing w:line="360" w:lineRule="auto"/>
        <w:ind w:firstLine="480" w:firstLineChars="200"/>
        <w:rPr>
          <w:rFonts w:ascii="华文楷体" w:hAnsi="华文楷体" w:eastAsia="华文楷体" w:cs="宋体"/>
        </w:rPr>
      </w:pPr>
      <w:r>
        <w:rPr>
          <w:rFonts w:hint="eastAsia" w:ascii="华文楷体" w:hAnsi="华文楷体" w:eastAsia="华文楷体" w:cs="宋体"/>
        </w:rPr>
        <w:t>合同履行期限：</w:t>
      </w:r>
      <w:r>
        <w:rPr>
          <w:rFonts w:hint="eastAsia" w:ascii="华文楷体" w:hAnsi="华文楷体" w:eastAsia="华文楷体" w:cs="宋体"/>
          <w:lang w:val="zh-CN"/>
        </w:rPr>
        <w:t>自合同签订之日起60日内供货至采购人指定地点</w:t>
      </w:r>
      <w:r>
        <w:rPr>
          <w:rFonts w:hint="eastAsia" w:ascii="华文楷体" w:hAnsi="华文楷体" w:eastAsia="华文楷体" w:cs="宋体"/>
        </w:rPr>
        <w:t>。</w:t>
      </w:r>
    </w:p>
    <w:p w14:paraId="1815B3B4">
      <w:pPr>
        <w:spacing w:line="360" w:lineRule="auto"/>
        <w:ind w:firstLine="480" w:firstLineChars="200"/>
        <w:rPr>
          <w:rFonts w:ascii="华文楷体" w:hAnsi="华文楷体" w:eastAsia="华文楷体" w:cs="宋体"/>
        </w:rPr>
      </w:pPr>
      <w:r>
        <w:rPr>
          <w:rFonts w:hint="eastAsia" w:ascii="华文楷体" w:hAnsi="华文楷体" w:eastAsia="华文楷体" w:cs="宋体"/>
        </w:rPr>
        <w:t>交货地点：格尔木市消防救援支队</w:t>
      </w:r>
    </w:p>
    <w:p w14:paraId="22C9199F">
      <w:pPr>
        <w:jc w:val="center"/>
        <w:outlineLvl w:val="1"/>
        <w:rPr>
          <w:rFonts w:ascii="华文楷体" w:hAnsi="华文楷体" w:eastAsia="华文楷体" w:cs="宋体"/>
          <w:b/>
          <w:bCs/>
          <w:kern w:val="0"/>
        </w:rPr>
      </w:pPr>
      <w:r>
        <w:rPr>
          <w:rFonts w:hint="eastAsia" w:ascii="华文楷体" w:hAnsi="华文楷体" w:eastAsia="华文楷体" w:cs="宋体"/>
          <w:b/>
          <w:bCs/>
          <w:sz w:val="28"/>
          <w:szCs w:val="28"/>
        </w:rPr>
        <w:br w:type="page"/>
      </w:r>
      <w:bookmarkStart w:id="290" w:name="_Toc184345959"/>
      <w:r>
        <w:rPr>
          <w:rStyle w:val="50"/>
          <w:rFonts w:hint="eastAsia" w:ascii="华文楷体" w:hAnsi="华文楷体" w:eastAsia="华文楷体"/>
        </w:rPr>
        <w:t>（五）样品提交要求</w:t>
      </w:r>
      <w:bookmarkEnd w:id="290"/>
    </w:p>
    <w:p w14:paraId="278455E3">
      <w:pPr>
        <w:adjustRightInd w:val="0"/>
        <w:snapToGrid w:val="0"/>
        <w:spacing w:line="340" w:lineRule="exact"/>
        <w:ind w:firstLine="482" w:firstLineChars="200"/>
        <w:rPr>
          <w:rFonts w:ascii="华文楷体" w:hAnsi="华文楷体" w:eastAsia="华文楷体" w:cs="宋体"/>
          <w:bCs/>
          <w:kern w:val="0"/>
          <w:highlight w:val="none"/>
        </w:rPr>
      </w:pPr>
      <w:r>
        <w:rPr>
          <w:rFonts w:hint="eastAsia" w:ascii="华文楷体" w:hAnsi="华文楷体" w:eastAsia="华文楷体" w:cs="宋体"/>
          <w:b/>
          <w:bCs/>
          <w:kern w:val="0"/>
          <w:highlight w:val="none"/>
        </w:rPr>
        <w:t>1、提交截止时间：2025年0</w:t>
      </w:r>
      <w:r>
        <w:rPr>
          <w:rFonts w:hint="eastAsia" w:ascii="华文楷体" w:hAnsi="华文楷体" w:eastAsia="华文楷体" w:cs="宋体"/>
          <w:b/>
          <w:bCs/>
          <w:kern w:val="0"/>
          <w:highlight w:val="none"/>
          <w:lang w:val="en-US" w:eastAsia="zh-CN"/>
        </w:rPr>
        <w:t>4</w:t>
      </w:r>
      <w:r>
        <w:rPr>
          <w:rFonts w:hint="eastAsia" w:ascii="华文楷体" w:hAnsi="华文楷体" w:eastAsia="华文楷体" w:cs="宋体"/>
          <w:b/>
          <w:bCs/>
          <w:kern w:val="0"/>
          <w:highlight w:val="none"/>
        </w:rPr>
        <w:t>月2</w:t>
      </w:r>
      <w:r>
        <w:rPr>
          <w:rFonts w:hint="eastAsia" w:ascii="华文楷体" w:hAnsi="华文楷体" w:eastAsia="华文楷体" w:cs="宋体"/>
          <w:b/>
          <w:bCs/>
          <w:kern w:val="0"/>
          <w:highlight w:val="none"/>
          <w:lang w:val="en-US" w:eastAsia="zh-CN"/>
        </w:rPr>
        <w:t>4</w:t>
      </w:r>
      <w:r>
        <w:rPr>
          <w:rFonts w:hint="eastAsia" w:ascii="华文楷体" w:hAnsi="华文楷体" w:eastAsia="华文楷体" w:cs="宋体"/>
          <w:b/>
          <w:bCs/>
          <w:kern w:val="0"/>
          <w:highlight w:val="none"/>
        </w:rPr>
        <w:t>日</w:t>
      </w:r>
      <w:r>
        <w:rPr>
          <w:rFonts w:hint="eastAsia" w:ascii="华文楷体" w:hAnsi="华文楷体" w:eastAsia="华文楷体" w:cs="宋体"/>
          <w:b/>
          <w:bCs/>
          <w:kern w:val="0"/>
          <w:highlight w:val="none"/>
          <w:lang w:val="en-US" w:eastAsia="zh-CN"/>
        </w:rPr>
        <w:t>09</w:t>
      </w:r>
      <w:r>
        <w:rPr>
          <w:rFonts w:hint="eastAsia" w:ascii="华文楷体" w:hAnsi="华文楷体" w:eastAsia="华文楷体" w:cs="宋体"/>
          <w:b/>
          <w:bCs/>
          <w:kern w:val="0"/>
          <w:highlight w:val="none"/>
        </w:rPr>
        <w:t>时</w:t>
      </w:r>
      <w:r>
        <w:rPr>
          <w:rFonts w:hint="eastAsia" w:ascii="华文楷体" w:hAnsi="华文楷体" w:eastAsia="华文楷体" w:cs="宋体"/>
          <w:b/>
          <w:bCs/>
          <w:kern w:val="0"/>
          <w:highlight w:val="none"/>
          <w:lang w:val="en-US" w:eastAsia="zh-CN"/>
        </w:rPr>
        <w:t>30</w:t>
      </w:r>
      <w:r>
        <w:rPr>
          <w:rFonts w:hint="eastAsia" w:ascii="华文楷体" w:hAnsi="华文楷体" w:eastAsia="华文楷体" w:cs="宋体"/>
          <w:b/>
          <w:bCs/>
          <w:kern w:val="0"/>
          <w:highlight w:val="none"/>
        </w:rPr>
        <w:t>分（北京时间）</w:t>
      </w:r>
    </w:p>
    <w:p w14:paraId="0638C989">
      <w:pPr>
        <w:adjustRightInd w:val="0"/>
        <w:snapToGrid w:val="0"/>
        <w:spacing w:line="340" w:lineRule="exact"/>
        <w:ind w:firstLine="482" w:firstLineChars="200"/>
        <w:rPr>
          <w:rFonts w:hint="eastAsia" w:ascii="华文楷体" w:hAnsi="华文楷体" w:eastAsia="华文楷体" w:cs="宋体"/>
          <w:b/>
          <w:bCs/>
          <w:kern w:val="0"/>
          <w:lang w:val="zh-CN"/>
        </w:rPr>
      </w:pPr>
      <w:r>
        <w:rPr>
          <w:rFonts w:hint="eastAsia" w:ascii="华文楷体" w:hAnsi="华文楷体" w:eastAsia="华文楷体" w:cs="宋体"/>
          <w:b/>
          <w:bCs/>
          <w:kern w:val="0"/>
        </w:rPr>
        <w:t>2、地点：</w:t>
      </w:r>
      <w:r>
        <w:rPr>
          <w:rFonts w:hint="eastAsia" w:ascii="华文楷体" w:hAnsi="华文楷体" w:eastAsia="华文楷体" w:cs="宋体"/>
          <w:b/>
          <w:lang w:val="zh-CN"/>
        </w:rPr>
        <w:t>西宁市公共资源交易中心</w:t>
      </w:r>
      <w:r>
        <w:rPr>
          <w:rFonts w:hint="eastAsia" w:ascii="华文楷体" w:hAnsi="华文楷体" w:eastAsia="华文楷体" w:cs="宋体"/>
          <w:b/>
          <w:u w:val="single"/>
        </w:rPr>
        <w:t>5号</w:t>
      </w:r>
      <w:r>
        <w:rPr>
          <w:rFonts w:hint="eastAsia" w:ascii="华文楷体" w:hAnsi="华文楷体" w:eastAsia="华文楷体" w:cs="宋体"/>
          <w:b/>
          <w:lang w:val="zh-CN"/>
        </w:rPr>
        <w:t>开标室</w:t>
      </w:r>
      <w:r>
        <w:rPr>
          <w:rFonts w:hint="eastAsia" w:ascii="华文楷体" w:hAnsi="华文楷体" w:eastAsia="华文楷体" w:cs="宋体"/>
          <w:b/>
          <w:bCs/>
          <w:kern w:val="0"/>
        </w:rPr>
        <w:t>。（地址：西宁市</w:t>
      </w:r>
      <w:r>
        <w:rPr>
          <w:rFonts w:hint="eastAsia" w:ascii="华文楷体" w:hAnsi="华文楷体" w:eastAsia="华文楷体" w:cs="宋体"/>
          <w:b/>
          <w:bCs/>
          <w:kern w:val="0"/>
          <w:lang w:val="zh-CN"/>
        </w:rPr>
        <w:t>城中区南川西路沈家寨省团校对面西宁市市民中心四楼）</w:t>
      </w:r>
    </w:p>
    <w:p w14:paraId="3DD38D90">
      <w:pPr>
        <w:adjustRightInd w:val="0"/>
        <w:snapToGrid w:val="0"/>
        <w:spacing w:line="340" w:lineRule="exact"/>
        <w:ind w:firstLine="482" w:firstLineChars="200"/>
        <w:rPr>
          <w:rFonts w:ascii="华文楷体" w:hAnsi="华文楷体" w:eastAsia="华文楷体" w:cs="宋体"/>
          <w:bCs/>
          <w:kern w:val="0"/>
        </w:rPr>
      </w:pPr>
      <w:r>
        <w:rPr>
          <w:rFonts w:hint="eastAsia" w:ascii="华文楷体" w:hAnsi="华文楷体" w:eastAsia="华文楷体" w:cs="宋体"/>
          <w:b/>
          <w:lang w:val="zh-CN"/>
        </w:rPr>
        <w:t>3、样品</w:t>
      </w:r>
      <w:r>
        <w:rPr>
          <w:rFonts w:hint="eastAsia" w:ascii="华文楷体" w:hAnsi="华文楷体" w:eastAsia="华文楷体" w:cs="宋体"/>
          <w:b/>
        </w:rPr>
        <w:t>提交清单</w:t>
      </w:r>
      <w:r>
        <w:rPr>
          <w:rFonts w:hint="eastAsia" w:ascii="华文楷体" w:hAnsi="华文楷体" w:eastAsia="华文楷体" w:cs="宋体"/>
          <w:b/>
          <w:lang w:val="zh-CN"/>
        </w:rPr>
        <w:t>：</w:t>
      </w:r>
    </w:p>
    <w:p w14:paraId="68087CBB">
      <w:pPr>
        <w:pStyle w:val="2"/>
        <w:spacing w:line="340" w:lineRule="exact"/>
        <w:jc w:val="center"/>
        <w:rPr>
          <w:rFonts w:ascii="华文楷体" w:hAnsi="华文楷体" w:eastAsia="华文楷体" w:cs="宋体"/>
          <w:b/>
        </w:rPr>
      </w:pPr>
      <w:r>
        <w:rPr>
          <w:rFonts w:hint="eastAsia" w:ascii="华文楷体" w:hAnsi="华文楷体" w:eastAsia="华文楷体" w:cs="宋体"/>
          <w:b/>
        </w:rPr>
        <w:t>样品提交清单</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4"/>
        <w:gridCol w:w="5483"/>
        <w:gridCol w:w="1296"/>
        <w:gridCol w:w="876"/>
      </w:tblGrid>
      <w:tr w14:paraId="3697C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exact"/>
        </w:trPr>
        <w:tc>
          <w:tcPr>
            <w:tcW w:w="475" w:type="pct"/>
            <w:tcBorders>
              <w:top w:val="single" w:color="auto" w:sz="4" w:space="0"/>
              <w:left w:val="single" w:color="auto" w:sz="4" w:space="0"/>
              <w:bottom w:val="single" w:color="auto" w:sz="4" w:space="0"/>
              <w:right w:val="single" w:color="auto" w:sz="4" w:space="0"/>
            </w:tcBorders>
            <w:vAlign w:val="center"/>
          </w:tcPr>
          <w:p w14:paraId="25F053FA">
            <w:pPr>
              <w:jc w:val="center"/>
              <w:rPr>
                <w:rFonts w:ascii="华文楷体" w:hAnsi="华文楷体" w:eastAsia="华文楷体" w:cs="宋体"/>
              </w:rPr>
            </w:pPr>
            <w:r>
              <w:rPr>
                <w:rFonts w:hint="eastAsia" w:ascii="华文楷体" w:hAnsi="华文楷体" w:eastAsia="华文楷体" w:cs="宋体"/>
              </w:rPr>
              <w:t>分包</w:t>
            </w:r>
          </w:p>
        </w:tc>
        <w:tc>
          <w:tcPr>
            <w:tcW w:w="3240" w:type="pct"/>
            <w:tcBorders>
              <w:top w:val="single" w:color="auto" w:sz="4" w:space="0"/>
              <w:left w:val="single" w:color="auto" w:sz="4" w:space="0"/>
              <w:bottom w:val="single" w:color="auto" w:sz="4" w:space="0"/>
              <w:right w:val="single" w:color="auto" w:sz="4" w:space="0"/>
            </w:tcBorders>
            <w:vAlign w:val="center"/>
          </w:tcPr>
          <w:p w14:paraId="20B3497A">
            <w:pPr>
              <w:jc w:val="center"/>
              <w:rPr>
                <w:rFonts w:ascii="华文楷体" w:hAnsi="华文楷体" w:eastAsia="华文楷体" w:cs="宋体"/>
              </w:rPr>
            </w:pPr>
            <w:r>
              <w:rPr>
                <w:rFonts w:hint="eastAsia" w:ascii="华文楷体" w:hAnsi="华文楷体" w:eastAsia="华文楷体" w:cs="宋体"/>
              </w:rPr>
              <w:t>样品名称</w:t>
            </w:r>
          </w:p>
        </w:tc>
        <w:tc>
          <w:tcPr>
            <w:tcW w:w="766" w:type="pct"/>
            <w:tcBorders>
              <w:top w:val="single" w:color="auto" w:sz="4" w:space="0"/>
              <w:left w:val="single" w:color="auto" w:sz="4" w:space="0"/>
              <w:bottom w:val="single" w:color="auto" w:sz="4" w:space="0"/>
              <w:right w:val="single" w:color="auto" w:sz="4" w:space="0"/>
            </w:tcBorders>
            <w:vAlign w:val="center"/>
          </w:tcPr>
          <w:p w14:paraId="3CC07117">
            <w:pPr>
              <w:spacing w:line="260" w:lineRule="exact"/>
              <w:jc w:val="center"/>
              <w:rPr>
                <w:rFonts w:ascii="华文楷体" w:hAnsi="华文楷体" w:eastAsia="华文楷体" w:cs="宋体"/>
              </w:rPr>
            </w:pPr>
            <w:r>
              <w:rPr>
                <w:rFonts w:hint="eastAsia" w:ascii="华文楷体" w:hAnsi="华文楷体" w:eastAsia="华文楷体" w:cs="宋体"/>
              </w:rPr>
              <w:t>采购一览表序号</w:t>
            </w:r>
          </w:p>
        </w:tc>
        <w:tc>
          <w:tcPr>
            <w:tcW w:w="517" w:type="pct"/>
            <w:tcBorders>
              <w:top w:val="single" w:color="auto" w:sz="4" w:space="0"/>
              <w:left w:val="single" w:color="auto" w:sz="4" w:space="0"/>
              <w:bottom w:val="single" w:color="auto" w:sz="4" w:space="0"/>
              <w:right w:val="single" w:color="auto" w:sz="4" w:space="0"/>
            </w:tcBorders>
            <w:vAlign w:val="center"/>
          </w:tcPr>
          <w:p w14:paraId="1433D8D4">
            <w:pPr>
              <w:jc w:val="center"/>
              <w:rPr>
                <w:rFonts w:ascii="华文楷体" w:hAnsi="华文楷体" w:eastAsia="华文楷体" w:cs="宋体"/>
              </w:rPr>
            </w:pPr>
            <w:r>
              <w:rPr>
                <w:rFonts w:hint="eastAsia" w:ascii="华文楷体" w:hAnsi="华文楷体" w:eastAsia="华文楷体" w:cs="宋体"/>
              </w:rPr>
              <w:t>数量</w:t>
            </w:r>
          </w:p>
        </w:tc>
      </w:tr>
      <w:tr w14:paraId="2539D6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475" w:type="pct"/>
            <w:vMerge w:val="restart"/>
            <w:tcBorders>
              <w:top w:val="single" w:color="auto" w:sz="4" w:space="0"/>
              <w:left w:val="single" w:color="auto" w:sz="4" w:space="0"/>
              <w:right w:val="single" w:color="auto" w:sz="4" w:space="0"/>
            </w:tcBorders>
            <w:vAlign w:val="center"/>
          </w:tcPr>
          <w:p w14:paraId="05C02F31">
            <w:pPr>
              <w:jc w:val="center"/>
              <w:rPr>
                <w:rFonts w:ascii="华文楷体" w:hAnsi="华文楷体" w:eastAsia="华文楷体" w:cs="宋体"/>
              </w:rPr>
            </w:pPr>
            <w:r>
              <w:rPr>
                <w:rFonts w:hint="eastAsia" w:ascii="华文楷体" w:hAnsi="华文楷体" w:eastAsia="华文楷体" w:cs="宋体"/>
              </w:rPr>
              <w:t>包一</w:t>
            </w:r>
          </w:p>
        </w:tc>
        <w:tc>
          <w:tcPr>
            <w:tcW w:w="3240" w:type="pct"/>
            <w:tcBorders>
              <w:top w:val="single" w:color="auto" w:sz="4" w:space="0"/>
              <w:left w:val="single" w:color="auto" w:sz="4" w:space="0"/>
              <w:bottom w:val="single" w:color="auto" w:sz="4" w:space="0"/>
              <w:right w:val="single" w:color="auto" w:sz="4" w:space="0"/>
            </w:tcBorders>
            <w:vAlign w:val="center"/>
          </w:tcPr>
          <w:p w14:paraId="0570AB51">
            <w:pPr>
              <w:jc w:val="center"/>
              <w:rPr>
                <w:rFonts w:ascii="华文楷体" w:hAnsi="华文楷体" w:eastAsia="华文楷体" w:cs="宋体"/>
              </w:rPr>
            </w:pPr>
            <w:r>
              <w:rPr>
                <w:rFonts w:hint="eastAsia" w:ascii="华文楷体" w:hAnsi="华文楷体" w:eastAsia="华文楷体" w:cs="宋体"/>
              </w:rPr>
              <w:t>夜视全彩相机</w:t>
            </w:r>
          </w:p>
        </w:tc>
        <w:tc>
          <w:tcPr>
            <w:tcW w:w="766" w:type="pct"/>
            <w:tcBorders>
              <w:top w:val="single" w:color="auto" w:sz="4" w:space="0"/>
              <w:left w:val="single" w:color="auto" w:sz="4" w:space="0"/>
              <w:bottom w:val="single" w:color="auto" w:sz="4" w:space="0"/>
              <w:right w:val="single" w:color="auto" w:sz="4" w:space="0"/>
            </w:tcBorders>
            <w:vAlign w:val="center"/>
          </w:tcPr>
          <w:p w14:paraId="314F0332">
            <w:pPr>
              <w:jc w:val="center"/>
              <w:rPr>
                <w:rFonts w:ascii="华文楷体" w:hAnsi="华文楷体" w:eastAsia="华文楷体" w:cs="宋体"/>
              </w:rPr>
            </w:pPr>
            <w:r>
              <w:rPr>
                <w:rFonts w:ascii="华文楷体" w:hAnsi="华文楷体" w:eastAsia="华文楷体" w:cs="宋体"/>
              </w:rPr>
              <w:t>1</w:t>
            </w:r>
          </w:p>
        </w:tc>
        <w:tc>
          <w:tcPr>
            <w:tcW w:w="517" w:type="pct"/>
            <w:tcBorders>
              <w:top w:val="single" w:color="auto" w:sz="4" w:space="0"/>
              <w:left w:val="single" w:color="auto" w:sz="4" w:space="0"/>
              <w:bottom w:val="single" w:color="auto" w:sz="4" w:space="0"/>
              <w:right w:val="single" w:color="auto" w:sz="4" w:space="0"/>
            </w:tcBorders>
            <w:vAlign w:val="center"/>
          </w:tcPr>
          <w:p w14:paraId="47EEF666">
            <w:pPr>
              <w:jc w:val="center"/>
              <w:rPr>
                <w:rFonts w:ascii="华文楷体" w:hAnsi="华文楷体" w:eastAsia="华文楷体" w:cs="宋体"/>
              </w:rPr>
            </w:pPr>
          </w:p>
        </w:tc>
      </w:tr>
      <w:tr w14:paraId="25F7D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exact"/>
        </w:trPr>
        <w:tc>
          <w:tcPr>
            <w:tcW w:w="475" w:type="pct"/>
            <w:vMerge w:val="continue"/>
            <w:tcBorders>
              <w:left w:val="single" w:color="auto" w:sz="4" w:space="0"/>
              <w:bottom w:val="single" w:color="auto" w:sz="4" w:space="0"/>
              <w:right w:val="single" w:color="auto" w:sz="4" w:space="0"/>
            </w:tcBorders>
            <w:vAlign w:val="center"/>
          </w:tcPr>
          <w:p w14:paraId="71F439BE">
            <w:pPr>
              <w:jc w:val="center"/>
              <w:rPr>
                <w:rFonts w:ascii="华文楷体" w:hAnsi="华文楷体" w:eastAsia="华文楷体" w:cs="宋体"/>
              </w:rPr>
            </w:pPr>
          </w:p>
        </w:tc>
        <w:tc>
          <w:tcPr>
            <w:tcW w:w="3240" w:type="pct"/>
            <w:tcBorders>
              <w:top w:val="single" w:color="auto" w:sz="4" w:space="0"/>
              <w:left w:val="single" w:color="auto" w:sz="4" w:space="0"/>
              <w:bottom w:val="single" w:color="auto" w:sz="4" w:space="0"/>
              <w:right w:val="single" w:color="auto" w:sz="4" w:space="0"/>
            </w:tcBorders>
            <w:vAlign w:val="center"/>
          </w:tcPr>
          <w:p w14:paraId="7D8B4130">
            <w:pPr>
              <w:jc w:val="center"/>
              <w:rPr>
                <w:rFonts w:ascii="华文楷体" w:hAnsi="华文楷体" w:eastAsia="华文楷体" w:cs="宋体"/>
              </w:rPr>
            </w:pPr>
            <w:r>
              <w:rPr>
                <w:rFonts w:hint="eastAsia" w:ascii="华文楷体" w:hAnsi="华文楷体" w:eastAsia="华文楷体" w:cs="宋体"/>
              </w:rPr>
              <w:t>全画幅航测镜头</w:t>
            </w:r>
          </w:p>
        </w:tc>
        <w:tc>
          <w:tcPr>
            <w:tcW w:w="766" w:type="pct"/>
            <w:tcBorders>
              <w:top w:val="single" w:color="auto" w:sz="4" w:space="0"/>
              <w:left w:val="single" w:color="auto" w:sz="4" w:space="0"/>
              <w:bottom w:val="single" w:color="auto" w:sz="4" w:space="0"/>
              <w:right w:val="single" w:color="auto" w:sz="4" w:space="0"/>
            </w:tcBorders>
            <w:vAlign w:val="center"/>
          </w:tcPr>
          <w:p w14:paraId="5643728F">
            <w:pPr>
              <w:jc w:val="center"/>
              <w:rPr>
                <w:rFonts w:ascii="华文楷体" w:hAnsi="华文楷体" w:eastAsia="华文楷体" w:cs="宋体"/>
              </w:rPr>
            </w:pPr>
            <w:r>
              <w:rPr>
                <w:rFonts w:ascii="华文楷体" w:hAnsi="华文楷体" w:eastAsia="华文楷体" w:cs="宋体"/>
              </w:rPr>
              <w:t>2</w:t>
            </w:r>
          </w:p>
        </w:tc>
        <w:tc>
          <w:tcPr>
            <w:tcW w:w="517" w:type="pct"/>
            <w:tcBorders>
              <w:top w:val="single" w:color="auto" w:sz="4" w:space="0"/>
              <w:left w:val="single" w:color="auto" w:sz="4" w:space="0"/>
              <w:bottom w:val="single" w:color="auto" w:sz="4" w:space="0"/>
              <w:right w:val="single" w:color="auto" w:sz="4" w:space="0"/>
            </w:tcBorders>
            <w:vAlign w:val="center"/>
          </w:tcPr>
          <w:p w14:paraId="3E1FBEDB">
            <w:pPr>
              <w:jc w:val="center"/>
              <w:rPr>
                <w:rFonts w:ascii="华文楷体" w:hAnsi="华文楷体" w:eastAsia="华文楷体" w:cs="宋体"/>
              </w:rPr>
            </w:pPr>
          </w:p>
        </w:tc>
      </w:tr>
      <w:tr w14:paraId="1D4557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7" w:hRule="exact"/>
        </w:trPr>
        <w:tc>
          <w:tcPr>
            <w:tcW w:w="475" w:type="pct"/>
            <w:vMerge w:val="restart"/>
            <w:tcBorders>
              <w:top w:val="single" w:color="auto" w:sz="4" w:space="0"/>
              <w:left w:val="single" w:color="auto" w:sz="4" w:space="0"/>
              <w:right w:val="single" w:color="auto" w:sz="4" w:space="0"/>
            </w:tcBorders>
            <w:vAlign w:val="center"/>
          </w:tcPr>
          <w:p w14:paraId="6D0ACF0B">
            <w:pPr>
              <w:jc w:val="center"/>
              <w:rPr>
                <w:rFonts w:ascii="华文楷体" w:hAnsi="华文楷体" w:eastAsia="华文楷体" w:cs="宋体"/>
              </w:rPr>
            </w:pPr>
            <w:r>
              <w:rPr>
                <w:rFonts w:hint="eastAsia" w:ascii="华文楷体" w:hAnsi="华文楷体" w:eastAsia="华文楷体" w:cs="宋体"/>
              </w:rPr>
              <w:t>包三</w:t>
            </w:r>
          </w:p>
        </w:tc>
        <w:tc>
          <w:tcPr>
            <w:tcW w:w="3240" w:type="pct"/>
            <w:tcBorders>
              <w:top w:val="single" w:color="auto" w:sz="4" w:space="0"/>
              <w:left w:val="single" w:color="auto" w:sz="4" w:space="0"/>
              <w:bottom w:val="single" w:color="auto" w:sz="4" w:space="0"/>
              <w:right w:val="single" w:color="auto" w:sz="4" w:space="0"/>
            </w:tcBorders>
            <w:vAlign w:val="center"/>
          </w:tcPr>
          <w:p w14:paraId="4D49E84E">
            <w:pPr>
              <w:spacing w:line="340" w:lineRule="exact"/>
              <w:jc w:val="center"/>
              <w:rPr>
                <w:rFonts w:ascii="华文楷体" w:hAnsi="华文楷体" w:eastAsia="华文楷体" w:cs="宋体"/>
              </w:rPr>
            </w:pPr>
            <w:r>
              <w:rPr>
                <w:rFonts w:hint="eastAsia" w:ascii="华文楷体" w:hAnsi="华文楷体" w:eastAsia="华文楷体" w:cs="宋体"/>
              </w:rPr>
              <w:t>绳索救援套装（包含山岳头盔1顶、自制停式单凸轮下降器1个、游动止坠器1个、手式上升器（右手）1个、脚踏带1条、势能吸收器1条、牛尾绳1条、绳索救援手套2双、短连接1条、膝式辅助上升器1个、五点式全身安全吊带1套）</w:t>
            </w:r>
          </w:p>
        </w:tc>
        <w:tc>
          <w:tcPr>
            <w:tcW w:w="766" w:type="pct"/>
            <w:tcBorders>
              <w:top w:val="single" w:color="auto" w:sz="4" w:space="0"/>
              <w:left w:val="single" w:color="auto" w:sz="4" w:space="0"/>
              <w:bottom w:val="single" w:color="auto" w:sz="4" w:space="0"/>
              <w:right w:val="single" w:color="auto" w:sz="4" w:space="0"/>
            </w:tcBorders>
            <w:vAlign w:val="center"/>
          </w:tcPr>
          <w:p w14:paraId="134F131B">
            <w:pPr>
              <w:jc w:val="center"/>
              <w:rPr>
                <w:rFonts w:ascii="华文楷体" w:hAnsi="华文楷体" w:eastAsia="华文楷体" w:cs="宋体"/>
              </w:rPr>
            </w:pPr>
            <w:r>
              <w:rPr>
                <w:rFonts w:ascii="华文楷体" w:hAnsi="华文楷体" w:eastAsia="华文楷体" w:cs="宋体"/>
              </w:rPr>
              <w:t>10</w:t>
            </w:r>
          </w:p>
        </w:tc>
        <w:tc>
          <w:tcPr>
            <w:tcW w:w="517" w:type="pct"/>
            <w:tcBorders>
              <w:top w:val="single" w:color="auto" w:sz="4" w:space="0"/>
              <w:left w:val="single" w:color="auto" w:sz="4" w:space="0"/>
              <w:bottom w:val="single" w:color="auto" w:sz="4" w:space="0"/>
              <w:right w:val="single" w:color="auto" w:sz="4" w:space="0"/>
            </w:tcBorders>
            <w:vAlign w:val="center"/>
          </w:tcPr>
          <w:p w14:paraId="207AAD65">
            <w:pPr>
              <w:jc w:val="center"/>
              <w:rPr>
                <w:rFonts w:ascii="华文楷体" w:hAnsi="华文楷体" w:eastAsia="华文楷体" w:cs="宋体"/>
              </w:rPr>
            </w:pPr>
          </w:p>
        </w:tc>
      </w:tr>
      <w:tr w14:paraId="4C281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exact"/>
        </w:trPr>
        <w:tc>
          <w:tcPr>
            <w:tcW w:w="475" w:type="pct"/>
            <w:vMerge w:val="continue"/>
            <w:tcBorders>
              <w:left w:val="single" w:color="auto" w:sz="4" w:space="0"/>
              <w:right w:val="single" w:color="auto" w:sz="4" w:space="0"/>
            </w:tcBorders>
            <w:vAlign w:val="center"/>
          </w:tcPr>
          <w:p w14:paraId="1B6B4C1F">
            <w:pPr>
              <w:jc w:val="center"/>
              <w:rPr>
                <w:rFonts w:ascii="华文楷体" w:hAnsi="华文楷体" w:eastAsia="华文楷体" w:cs="宋体"/>
              </w:rPr>
            </w:pPr>
          </w:p>
        </w:tc>
        <w:tc>
          <w:tcPr>
            <w:tcW w:w="3240" w:type="pct"/>
            <w:tcBorders>
              <w:top w:val="single" w:color="auto" w:sz="4" w:space="0"/>
              <w:left w:val="single" w:color="auto" w:sz="4" w:space="0"/>
              <w:bottom w:val="single" w:color="auto" w:sz="4" w:space="0"/>
              <w:right w:val="single" w:color="auto" w:sz="4" w:space="0"/>
            </w:tcBorders>
            <w:vAlign w:val="center"/>
          </w:tcPr>
          <w:p w14:paraId="63B66087">
            <w:pPr>
              <w:spacing w:line="340" w:lineRule="exact"/>
              <w:jc w:val="center"/>
              <w:rPr>
                <w:rFonts w:ascii="华文楷体" w:hAnsi="华文楷体" w:eastAsia="华文楷体" w:cs="宋体"/>
              </w:rPr>
            </w:pPr>
            <w:r>
              <w:rPr>
                <w:rFonts w:hint="eastAsia" w:ascii="华文楷体" w:hAnsi="华文楷体" w:eastAsia="华文楷体" w:cs="宋体"/>
              </w:rPr>
              <w:t>夜视仪（头戴式）</w:t>
            </w:r>
          </w:p>
        </w:tc>
        <w:tc>
          <w:tcPr>
            <w:tcW w:w="766" w:type="pct"/>
            <w:tcBorders>
              <w:top w:val="single" w:color="auto" w:sz="4" w:space="0"/>
              <w:left w:val="single" w:color="auto" w:sz="4" w:space="0"/>
              <w:bottom w:val="single" w:color="auto" w:sz="4" w:space="0"/>
              <w:right w:val="single" w:color="auto" w:sz="4" w:space="0"/>
            </w:tcBorders>
            <w:vAlign w:val="center"/>
          </w:tcPr>
          <w:p w14:paraId="4353752F">
            <w:pPr>
              <w:jc w:val="center"/>
              <w:rPr>
                <w:rFonts w:ascii="华文楷体" w:hAnsi="华文楷体" w:eastAsia="华文楷体" w:cs="宋体"/>
              </w:rPr>
            </w:pPr>
            <w:r>
              <w:rPr>
                <w:rFonts w:ascii="华文楷体" w:hAnsi="华文楷体" w:eastAsia="华文楷体" w:cs="宋体"/>
              </w:rPr>
              <w:t>14</w:t>
            </w:r>
          </w:p>
        </w:tc>
        <w:tc>
          <w:tcPr>
            <w:tcW w:w="517" w:type="pct"/>
            <w:tcBorders>
              <w:top w:val="single" w:color="auto" w:sz="4" w:space="0"/>
              <w:left w:val="single" w:color="auto" w:sz="4" w:space="0"/>
              <w:bottom w:val="single" w:color="auto" w:sz="4" w:space="0"/>
              <w:right w:val="single" w:color="auto" w:sz="4" w:space="0"/>
            </w:tcBorders>
            <w:vAlign w:val="center"/>
          </w:tcPr>
          <w:p w14:paraId="2C8AF0CE">
            <w:pPr>
              <w:jc w:val="center"/>
              <w:rPr>
                <w:rFonts w:ascii="华文楷体" w:hAnsi="华文楷体" w:eastAsia="华文楷体" w:cs="宋体"/>
              </w:rPr>
            </w:pPr>
          </w:p>
        </w:tc>
      </w:tr>
      <w:tr w14:paraId="3F0285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6" w:hRule="exact"/>
        </w:trPr>
        <w:tc>
          <w:tcPr>
            <w:tcW w:w="475" w:type="pct"/>
            <w:vMerge w:val="continue"/>
            <w:tcBorders>
              <w:left w:val="single" w:color="auto" w:sz="4" w:space="0"/>
              <w:right w:val="single" w:color="auto" w:sz="4" w:space="0"/>
            </w:tcBorders>
            <w:vAlign w:val="center"/>
          </w:tcPr>
          <w:p w14:paraId="3E5DFDCA">
            <w:pPr>
              <w:jc w:val="center"/>
              <w:rPr>
                <w:rFonts w:ascii="华文楷体" w:hAnsi="华文楷体" w:eastAsia="华文楷体" w:cs="宋体"/>
              </w:rPr>
            </w:pPr>
          </w:p>
        </w:tc>
        <w:tc>
          <w:tcPr>
            <w:tcW w:w="3240" w:type="pct"/>
            <w:tcBorders>
              <w:top w:val="single" w:color="auto" w:sz="4" w:space="0"/>
              <w:left w:val="single" w:color="auto" w:sz="4" w:space="0"/>
              <w:bottom w:val="single" w:color="auto" w:sz="4" w:space="0"/>
              <w:right w:val="single" w:color="auto" w:sz="4" w:space="0"/>
            </w:tcBorders>
            <w:vAlign w:val="center"/>
          </w:tcPr>
          <w:p w14:paraId="69C1D14F">
            <w:pPr>
              <w:spacing w:line="340" w:lineRule="exact"/>
              <w:jc w:val="center"/>
              <w:rPr>
                <w:rFonts w:ascii="华文楷体" w:hAnsi="华文楷体" w:eastAsia="华文楷体" w:cs="宋体"/>
              </w:rPr>
            </w:pPr>
            <w:r>
              <w:rPr>
                <w:rFonts w:hint="eastAsia" w:ascii="华文楷体" w:hAnsi="华文楷体" w:eastAsia="华文楷体" w:cs="宋体"/>
              </w:rPr>
              <w:t>户外防寒套装</w:t>
            </w:r>
          </w:p>
          <w:p w14:paraId="38D92B6D">
            <w:pPr>
              <w:spacing w:line="340" w:lineRule="exact"/>
              <w:jc w:val="center"/>
              <w:rPr>
                <w:rFonts w:ascii="华文楷体" w:hAnsi="华文楷体" w:eastAsia="华文楷体" w:cs="宋体"/>
              </w:rPr>
            </w:pPr>
            <w:r>
              <w:rPr>
                <w:rFonts w:hint="eastAsia" w:ascii="华文楷体" w:hAnsi="华文楷体" w:eastAsia="华文楷体" w:cs="宋体"/>
              </w:rPr>
              <w:t>（包含高寒睡袋1个、双层防潮气垫1个、轻量徒步背包1个)</w:t>
            </w:r>
          </w:p>
        </w:tc>
        <w:tc>
          <w:tcPr>
            <w:tcW w:w="766" w:type="pct"/>
            <w:tcBorders>
              <w:top w:val="single" w:color="auto" w:sz="4" w:space="0"/>
              <w:left w:val="single" w:color="auto" w:sz="4" w:space="0"/>
              <w:bottom w:val="single" w:color="auto" w:sz="4" w:space="0"/>
              <w:right w:val="single" w:color="auto" w:sz="4" w:space="0"/>
            </w:tcBorders>
            <w:vAlign w:val="center"/>
          </w:tcPr>
          <w:p w14:paraId="7529F226">
            <w:pPr>
              <w:jc w:val="center"/>
              <w:rPr>
                <w:rFonts w:ascii="华文楷体" w:hAnsi="华文楷体" w:eastAsia="华文楷体" w:cs="宋体"/>
              </w:rPr>
            </w:pPr>
            <w:r>
              <w:rPr>
                <w:rFonts w:ascii="华文楷体" w:hAnsi="华文楷体" w:eastAsia="华文楷体" w:cs="宋体"/>
              </w:rPr>
              <w:t>19</w:t>
            </w:r>
          </w:p>
        </w:tc>
        <w:tc>
          <w:tcPr>
            <w:tcW w:w="517" w:type="pct"/>
            <w:tcBorders>
              <w:top w:val="single" w:color="auto" w:sz="4" w:space="0"/>
              <w:left w:val="single" w:color="auto" w:sz="4" w:space="0"/>
              <w:bottom w:val="single" w:color="auto" w:sz="4" w:space="0"/>
              <w:right w:val="single" w:color="auto" w:sz="4" w:space="0"/>
            </w:tcBorders>
            <w:vAlign w:val="center"/>
          </w:tcPr>
          <w:p w14:paraId="0EA2AAF3">
            <w:pPr>
              <w:jc w:val="center"/>
              <w:rPr>
                <w:rFonts w:ascii="华文楷体" w:hAnsi="华文楷体" w:eastAsia="华文楷体" w:cs="宋体"/>
              </w:rPr>
            </w:pPr>
          </w:p>
        </w:tc>
      </w:tr>
      <w:tr w14:paraId="2C220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7" w:hRule="exact"/>
        </w:trPr>
        <w:tc>
          <w:tcPr>
            <w:tcW w:w="475" w:type="pct"/>
            <w:vMerge w:val="continue"/>
            <w:tcBorders>
              <w:left w:val="single" w:color="auto" w:sz="4" w:space="0"/>
              <w:right w:val="single" w:color="auto" w:sz="4" w:space="0"/>
            </w:tcBorders>
            <w:vAlign w:val="center"/>
          </w:tcPr>
          <w:p w14:paraId="6083AA8F">
            <w:pPr>
              <w:jc w:val="center"/>
              <w:rPr>
                <w:rFonts w:ascii="华文楷体" w:hAnsi="华文楷体" w:eastAsia="华文楷体" w:cs="宋体"/>
              </w:rPr>
            </w:pPr>
          </w:p>
        </w:tc>
        <w:tc>
          <w:tcPr>
            <w:tcW w:w="3240" w:type="pct"/>
            <w:tcBorders>
              <w:top w:val="single" w:color="auto" w:sz="4" w:space="0"/>
              <w:left w:val="single" w:color="auto" w:sz="4" w:space="0"/>
              <w:bottom w:val="single" w:color="auto" w:sz="4" w:space="0"/>
              <w:right w:val="single" w:color="auto" w:sz="4" w:space="0"/>
            </w:tcBorders>
            <w:vAlign w:val="center"/>
          </w:tcPr>
          <w:p w14:paraId="564A4EF2">
            <w:pPr>
              <w:spacing w:line="340" w:lineRule="exact"/>
              <w:jc w:val="center"/>
              <w:rPr>
                <w:rFonts w:ascii="华文楷体" w:hAnsi="华文楷体" w:eastAsia="华文楷体" w:cs="宋体"/>
              </w:rPr>
            </w:pPr>
            <w:r>
              <w:rPr>
                <w:rFonts w:hint="eastAsia" w:ascii="华文楷体" w:hAnsi="华文楷体" w:eastAsia="华文楷体" w:cs="宋体"/>
              </w:rPr>
              <w:t>户外高寒保暖套装（含户外头盔（带头灯）1顶、高寒内衣裤1套、男款立领抓绒外套1套、羽绒服1件、鹅绒户外羽绒裤1件、冲锋裤1件、三合一羽绒登山手套1双、保暖针织帽1顶、防水高山靴1双、户外救援雪镜1个、户外救援雪套1双、户外高寒防护全面罩1个）</w:t>
            </w:r>
          </w:p>
        </w:tc>
        <w:tc>
          <w:tcPr>
            <w:tcW w:w="766" w:type="pct"/>
            <w:tcBorders>
              <w:top w:val="single" w:color="auto" w:sz="4" w:space="0"/>
              <w:left w:val="single" w:color="auto" w:sz="4" w:space="0"/>
              <w:bottom w:val="single" w:color="auto" w:sz="4" w:space="0"/>
              <w:right w:val="single" w:color="auto" w:sz="4" w:space="0"/>
            </w:tcBorders>
            <w:vAlign w:val="center"/>
          </w:tcPr>
          <w:p w14:paraId="6B05AABD">
            <w:pPr>
              <w:jc w:val="center"/>
              <w:rPr>
                <w:rFonts w:ascii="华文楷体" w:hAnsi="华文楷体" w:eastAsia="华文楷体" w:cs="宋体"/>
              </w:rPr>
            </w:pPr>
            <w:r>
              <w:rPr>
                <w:rFonts w:ascii="华文楷体" w:hAnsi="华文楷体" w:eastAsia="华文楷体" w:cs="宋体"/>
              </w:rPr>
              <w:t>20</w:t>
            </w:r>
          </w:p>
        </w:tc>
        <w:tc>
          <w:tcPr>
            <w:tcW w:w="517" w:type="pct"/>
            <w:tcBorders>
              <w:top w:val="single" w:color="auto" w:sz="4" w:space="0"/>
              <w:left w:val="single" w:color="auto" w:sz="4" w:space="0"/>
              <w:bottom w:val="single" w:color="auto" w:sz="4" w:space="0"/>
              <w:right w:val="single" w:color="auto" w:sz="4" w:space="0"/>
            </w:tcBorders>
            <w:vAlign w:val="center"/>
          </w:tcPr>
          <w:p w14:paraId="317291CF">
            <w:pPr>
              <w:jc w:val="center"/>
              <w:rPr>
                <w:rFonts w:ascii="华文楷体" w:hAnsi="华文楷体" w:eastAsia="华文楷体" w:cs="宋体"/>
              </w:rPr>
            </w:pPr>
          </w:p>
        </w:tc>
      </w:tr>
      <w:tr w14:paraId="24AF2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9" w:hRule="exact"/>
        </w:trPr>
        <w:tc>
          <w:tcPr>
            <w:tcW w:w="475" w:type="pct"/>
            <w:vMerge w:val="continue"/>
            <w:tcBorders>
              <w:left w:val="single" w:color="auto" w:sz="4" w:space="0"/>
              <w:right w:val="single" w:color="auto" w:sz="4" w:space="0"/>
            </w:tcBorders>
            <w:vAlign w:val="center"/>
          </w:tcPr>
          <w:p w14:paraId="2A95DDA5">
            <w:pPr>
              <w:jc w:val="center"/>
              <w:rPr>
                <w:rFonts w:ascii="华文楷体" w:hAnsi="华文楷体" w:eastAsia="华文楷体" w:cs="宋体"/>
              </w:rPr>
            </w:pPr>
          </w:p>
        </w:tc>
        <w:tc>
          <w:tcPr>
            <w:tcW w:w="3240" w:type="pct"/>
            <w:tcBorders>
              <w:top w:val="single" w:color="auto" w:sz="4" w:space="0"/>
              <w:left w:val="single" w:color="auto" w:sz="4" w:space="0"/>
              <w:bottom w:val="single" w:color="auto" w:sz="4" w:space="0"/>
              <w:right w:val="single" w:color="auto" w:sz="4" w:space="0"/>
            </w:tcBorders>
            <w:vAlign w:val="center"/>
          </w:tcPr>
          <w:p w14:paraId="6F25EA5D">
            <w:pPr>
              <w:spacing w:line="340" w:lineRule="exact"/>
              <w:jc w:val="center"/>
              <w:rPr>
                <w:rFonts w:ascii="华文楷体" w:hAnsi="华文楷体" w:eastAsia="华文楷体" w:cs="宋体"/>
              </w:rPr>
            </w:pPr>
            <w:r>
              <w:rPr>
                <w:rFonts w:hint="eastAsia" w:ascii="华文楷体" w:hAnsi="华文楷体" w:eastAsia="华文楷体" w:cs="宋体"/>
              </w:rPr>
              <w:t>摩托车骑行装具（包含摩托头盔1顶、风镜1个、骑行护具1套、骑行靴1双、骑行手套1双）</w:t>
            </w:r>
          </w:p>
        </w:tc>
        <w:tc>
          <w:tcPr>
            <w:tcW w:w="766" w:type="pct"/>
            <w:tcBorders>
              <w:top w:val="single" w:color="auto" w:sz="4" w:space="0"/>
              <w:left w:val="single" w:color="auto" w:sz="4" w:space="0"/>
              <w:bottom w:val="single" w:color="auto" w:sz="4" w:space="0"/>
              <w:right w:val="single" w:color="auto" w:sz="4" w:space="0"/>
            </w:tcBorders>
            <w:vAlign w:val="center"/>
          </w:tcPr>
          <w:p w14:paraId="5F8FDE4B">
            <w:pPr>
              <w:jc w:val="center"/>
              <w:rPr>
                <w:rFonts w:ascii="华文楷体" w:hAnsi="华文楷体" w:eastAsia="华文楷体" w:cs="宋体"/>
              </w:rPr>
            </w:pPr>
            <w:r>
              <w:rPr>
                <w:rFonts w:ascii="华文楷体" w:hAnsi="华文楷体" w:eastAsia="华文楷体" w:cs="宋体"/>
              </w:rPr>
              <w:t>21</w:t>
            </w:r>
          </w:p>
        </w:tc>
        <w:tc>
          <w:tcPr>
            <w:tcW w:w="517" w:type="pct"/>
            <w:tcBorders>
              <w:top w:val="single" w:color="auto" w:sz="4" w:space="0"/>
              <w:left w:val="single" w:color="auto" w:sz="4" w:space="0"/>
              <w:bottom w:val="single" w:color="auto" w:sz="4" w:space="0"/>
              <w:right w:val="single" w:color="auto" w:sz="4" w:space="0"/>
            </w:tcBorders>
            <w:vAlign w:val="center"/>
          </w:tcPr>
          <w:p w14:paraId="2251A1A7">
            <w:pPr>
              <w:jc w:val="center"/>
              <w:rPr>
                <w:rFonts w:ascii="华文楷体" w:hAnsi="华文楷体" w:eastAsia="华文楷体" w:cs="宋体"/>
              </w:rPr>
            </w:pPr>
          </w:p>
        </w:tc>
      </w:tr>
      <w:tr w14:paraId="29B29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exact"/>
        </w:trPr>
        <w:tc>
          <w:tcPr>
            <w:tcW w:w="475" w:type="pct"/>
            <w:vMerge w:val="continue"/>
            <w:tcBorders>
              <w:left w:val="single" w:color="auto" w:sz="4" w:space="0"/>
              <w:bottom w:val="single" w:color="auto" w:sz="4" w:space="0"/>
              <w:right w:val="single" w:color="auto" w:sz="4" w:space="0"/>
            </w:tcBorders>
            <w:vAlign w:val="center"/>
          </w:tcPr>
          <w:p w14:paraId="21322C43">
            <w:pPr>
              <w:jc w:val="center"/>
              <w:rPr>
                <w:rFonts w:ascii="华文楷体" w:hAnsi="华文楷体" w:eastAsia="华文楷体" w:cs="宋体"/>
              </w:rPr>
            </w:pPr>
          </w:p>
        </w:tc>
        <w:tc>
          <w:tcPr>
            <w:tcW w:w="3240" w:type="pct"/>
            <w:tcBorders>
              <w:top w:val="single" w:color="auto" w:sz="4" w:space="0"/>
              <w:left w:val="single" w:color="auto" w:sz="4" w:space="0"/>
              <w:bottom w:val="single" w:color="auto" w:sz="4" w:space="0"/>
              <w:right w:val="single" w:color="auto" w:sz="4" w:space="0"/>
            </w:tcBorders>
            <w:vAlign w:val="center"/>
          </w:tcPr>
          <w:p w14:paraId="6F479B08">
            <w:pPr>
              <w:jc w:val="center"/>
              <w:rPr>
                <w:rFonts w:ascii="华文楷体" w:hAnsi="华文楷体" w:eastAsia="华文楷体" w:cs="宋体"/>
              </w:rPr>
            </w:pPr>
            <w:r>
              <w:rPr>
                <w:rFonts w:hint="eastAsia" w:ascii="华文楷体" w:hAnsi="华文楷体" w:eastAsia="华文楷体" w:cs="宋体"/>
              </w:rPr>
              <w:t>便携式复合气体检测仪</w:t>
            </w:r>
          </w:p>
        </w:tc>
        <w:tc>
          <w:tcPr>
            <w:tcW w:w="766" w:type="pct"/>
            <w:tcBorders>
              <w:top w:val="single" w:color="auto" w:sz="4" w:space="0"/>
              <w:left w:val="single" w:color="auto" w:sz="4" w:space="0"/>
              <w:bottom w:val="single" w:color="auto" w:sz="4" w:space="0"/>
              <w:right w:val="single" w:color="auto" w:sz="4" w:space="0"/>
            </w:tcBorders>
            <w:vAlign w:val="center"/>
          </w:tcPr>
          <w:p w14:paraId="43A873E8">
            <w:pPr>
              <w:jc w:val="center"/>
              <w:rPr>
                <w:rFonts w:ascii="华文楷体" w:hAnsi="华文楷体" w:eastAsia="华文楷体" w:cs="宋体"/>
              </w:rPr>
            </w:pPr>
            <w:r>
              <w:rPr>
                <w:rFonts w:ascii="华文楷体" w:hAnsi="华文楷体" w:eastAsia="华文楷体" w:cs="宋体"/>
              </w:rPr>
              <w:t>22</w:t>
            </w:r>
          </w:p>
        </w:tc>
        <w:tc>
          <w:tcPr>
            <w:tcW w:w="517" w:type="pct"/>
            <w:tcBorders>
              <w:top w:val="single" w:color="auto" w:sz="4" w:space="0"/>
              <w:left w:val="single" w:color="auto" w:sz="4" w:space="0"/>
              <w:bottom w:val="single" w:color="auto" w:sz="4" w:space="0"/>
              <w:right w:val="single" w:color="auto" w:sz="4" w:space="0"/>
            </w:tcBorders>
            <w:vAlign w:val="center"/>
          </w:tcPr>
          <w:p w14:paraId="5E842655">
            <w:pPr>
              <w:jc w:val="center"/>
              <w:rPr>
                <w:rFonts w:ascii="华文楷体" w:hAnsi="华文楷体" w:eastAsia="华文楷体" w:cs="宋体"/>
              </w:rPr>
            </w:pPr>
          </w:p>
        </w:tc>
      </w:tr>
    </w:tbl>
    <w:p w14:paraId="2E2D878E">
      <w:pPr>
        <w:autoSpaceDE w:val="0"/>
        <w:autoSpaceDN w:val="0"/>
        <w:spacing w:line="380" w:lineRule="exact"/>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投标人：             （公章）</w:t>
      </w:r>
    </w:p>
    <w:p w14:paraId="6A060FA6">
      <w:pPr>
        <w:autoSpaceDE w:val="0"/>
        <w:autoSpaceDN w:val="0"/>
        <w:spacing w:line="380" w:lineRule="exact"/>
        <w:jc w:val="center"/>
        <w:rPr>
          <w:rFonts w:ascii="华文楷体" w:hAnsi="华文楷体" w:eastAsia="华文楷体" w:cs="宋体"/>
          <w:b/>
          <w:bCs/>
          <w:kern w:val="0"/>
          <w:lang w:val="zh-CN"/>
        </w:rPr>
      </w:pPr>
      <w:r>
        <w:rPr>
          <w:rFonts w:hint="eastAsia" w:ascii="华文楷体" w:hAnsi="华文楷体" w:eastAsia="华文楷体" w:cs="宋体"/>
          <w:b/>
          <w:bCs/>
          <w:kern w:val="0"/>
          <w:lang w:val="zh-CN"/>
        </w:rPr>
        <w:t>法定代表人或委托代理人：        （签字或盖章）</w:t>
      </w:r>
    </w:p>
    <w:p w14:paraId="177CB7C2">
      <w:pPr>
        <w:autoSpaceDE w:val="0"/>
        <w:autoSpaceDN w:val="0"/>
        <w:spacing w:line="380" w:lineRule="exact"/>
        <w:jc w:val="center"/>
        <w:rPr>
          <w:rFonts w:hint="eastAsia" w:ascii="华文楷体" w:hAnsi="华文楷体" w:eastAsia="华文楷体" w:cs="宋体"/>
          <w:b/>
          <w:bCs/>
          <w:kern w:val="0"/>
          <w:lang w:val="zh-CN"/>
        </w:rPr>
      </w:pPr>
      <w:r>
        <w:rPr>
          <w:rFonts w:hint="eastAsia" w:ascii="华文楷体" w:hAnsi="华文楷体" w:eastAsia="华文楷体" w:cs="宋体"/>
          <w:b/>
          <w:bCs/>
          <w:kern w:val="0"/>
          <w:lang w:val="zh-CN"/>
        </w:rPr>
        <w:t>年   月   日</w:t>
      </w:r>
    </w:p>
    <w:p w14:paraId="2A444A0D">
      <w:pPr>
        <w:pStyle w:val="2"/>
        <w:rPr>
          <w:lang w:val="zh-CN"/>
        </w:rPr>
      </w:pPr>
    </w:p>
    <w:p w14:paraId="5A80909A">
      <w:pPr>
        <w:spacing w:line="400" w:lineRule="exact"/>
        <w:ind w:firstLine="480" w:firstLineChars="200"/>
        <w:jc w:val="left"/>
        <w:rPr>
          <w:rFonts w:ascii="华文楷体" w:hAnsi="华文楷体" w:eastAsia="华文楷体"/>
        </w:rPr>
      </w:pPr>
      <w:r>
        <w:rPr>
          <w:rFonts w:hint="eastAsia" w:ascii="华文楷体" w:hAnsi="华文楷体" w:eastAsia="华文楷体"/>
        </w:rPr>
        <w:t>4、样品要求：4.1投标人提交样品前须将样品调试好，备齐测试所须配材和配件（电子产品请安装好电池或充满电），确保能直接进行测试。因样品配件不全影响测试及评分的，其后果由投标人自行承担。</w:t>
      </w:r>
    </w:p>
    <w:p w14:paraId="602787C5">
      <w:pPr>
        <w:spacing w:line="400" w:lineRule="exact"/>
        <w:ind w:firstLine="480" w:firstLineChars="200"/>
        <w:jc w:val="left"/>
        <w:rPr>
          <w:rFonts w:ascii="华文楷体" w:hAnsi="华文楷体" w:eastAsia="华文楷体"/>
        </w:rPr>
      </w:pPr>
      <w:r>
        <w:rPr>
          <w:rFonts w:ascii="华文楷体" w:hAnsi="华文楷体" w:eastAsia="华文楷体"/>
        </w:rPr>
        <w:t>4.2样品递交方式：投标人现场递交，不接受邮寄，逾期送达的样品不予接收。</w:t>
      </w:r>
      <w:r>
        <w:rPr>
          <w:rFonts w:ascii="华文楷体" w:hAnsi="华文楷体" w:eastAsia="华文楷体"/>
        </w:rPr>
        <w:br w:type="textWrapping"/>
      </w:r>
      <w:r>
        <w:rPr>
          <w:rFonts w:ascii="华文楷体" w:hAnsi="华文楷体" w:eastAsia="华文楷体"/>
        </w:rPr>
        <w:t>5、递交说明：</w:t>
      </w:r>
      <w:r>
        <w:rPr>
          <w:rFonts w:ascii="华文楷体" w:hAnsi="华文楷体" w:eastAsia="华文楷体"/>
        </w:rPr>
        <w:br w:type="textWrapping"/>
      </w:r>
      <w:r>
        <w:rPr>
          <w:rFonts w:hint="eastAsia" w:ascii="华文楷体" w:hAnsi="华文楷体" w:eastAsia="华文楷体"/>
        </w:rPr>
        <w:t xml:space="preserve">     5.1样品递交要求：提供样品数量均为“1”。</w:t>
      </w:r>
      <w:r>
        <w:rPr>
          <w:rFonts w:hint="eastAsia" w:ascii="华文楷体" w:hAnsi="华文楷体" w:eastAsia="华文楷体"/>
        </w:rPr>
        <w:br w:type="textWrapping"/>
      </w:r>
      <w:r>
        <w:rPr>
          <w:rFonts w:hint="eastAsia" w:ascii="华文楷体" w:hAnsi="华文楷体" w:eastAsia="华文楷体"/>
        </w:rPr>
        <w:t xml:space="preserve">     5.2样品制作的标准和要求：以第五部分技术要求中技术参数为准。</w:t>
      </w:r>
      <w:r>
        <w:rPr>
          <w:rFonts w:hint="eastAsia" w:ascii="华文楷体" w:hAnsi="华文楷体" w:eastAsia="华文楷体"/>
        </w:rPr>
        <w:br w:type="textWrapping"/>
      </w:r>
      <w:r>
        <w:rPr>
          <w:rFonts w:hint="eastAsia" w:ascii="华文楷体" w:hAnsi="华文楷体" w:eastAsia="华文楷体"/>
        </w:rPr>
        <w:t xml:space="preserve">     5.3 样品的评审方法以及评审标准：详见评审标准。</w:t>
      </w:r>
      <w:r>
        <w:rPr>
          <w:rFonts w:hint="eastAsia" w:ascii="华文楷体" w:hAnsi="华文楷体" w:eastAsia="华文楷体"/>
        </w:rPr>
        <w:br w:type="textWrapping"/>
      </w:r>
      <w:r>
        <w:rPr>
          <w:rFonts w:hint="eastAsia" w:ascii="华文楷体" w:hAnsi="华文楷体" w:eastAsia="华文楷体"/>
        </w:rPr>
        <w:t xml:space="preserve">     5.4样品的密封及包装：投标人所提交样品须按每包单项产品分别密封包装，如单项产品内涉及样品过多或过大，可分箱密封，</w:t>
      </w:r>
      <w:r>
        <w:rPr>
          <w:rFonts w:ascii="华文楷体" w:hAnsi="华文楷体" w:eastAsia="华文楷体"/>
        </w:rPr>
        <w:t>并在外包装上仅注明“项目名称、项目编号、所投包号、样品名称”</w:t>
      </w:r>
      <w:r>
        <w:rPr>
          <w:rFonts w:hint="eastAsia" w:ascii="华文楷体" w:hAnsi="华文楷体" w:eastAsia="华文楷体"/>
        </w:rPr>
        <w:t>，见下表，</w:t>
      </w:r>
      <w:r>
        <w:rPr>
          <w:rFonts w:ascii="华文楷体" w:hAnsi="华文楷体" w:eastAsia="华文楷体"/>
        </w:rPr>
        <w:t>样品标识表应</w:t>
      </w:r>
      <w:r>
        <w:rPr>
          <w:rFonts w:hint="eastAsia" w:ascii="华文楷体" w:hAnsi="华文楷体" w:eastAsia="华文楷体"/>
        </w:rPr>
        <w:t>贴</w:t>
      </w:r>
      <w:r>
        <w:rPr>
          <w:rFonts w:ascii="华文楷体" w:hAnsi="华文楷体" w:eastAsia="华文楷体"/>
        </w:rPr>
        <w:t>于正常开箱不会损坏的位置；</w:t>
      </w:r>
      <w:r>
        <w:rPr>
          <w:rFonts w:hint="eastAsia" w:ascii="华文楷体" w:hAnsi="华文楷体" w:eastAsia="华文楷体"/>
        </w:rPr>
        <w:t>投标人提交的样品外包装不得体现所投产品信息，否则采购代理机构不予接收。</w:t>
      </w:r>
    </w:p>
    <w:p w14:paraId="72FB12E7">
      <w:pPr>
        <w:spacing w:line="400" w:lineRule="exact"/>
        <w:ind w:firstLine="480" w:firstLineChars="200"/>
        <w:jc w:val="left"/>
        <w:rPr>
          <w:rFonts w:ascii="华文楷体" w:hAnsi="华文楷体" w:eastAsia="华文楷体"/>
        </w:rPr>
      </w:pPr>
      <w:r>
        <w:rPr>
          <w:rFonts w:hint="eastAsia" w:ascii="华文楷体" w:hAnsi="华文楷体" w:eastAsia="华文楷体"/>
        </w:rPr>
        <w:t>5.5投标人应将技术支持资料随样品一并封装提交，根据招标文件要求的技术支持资料，技术支持资料的内容应与投标文件技术支持资料内容一致。</w:t>
      </w:r>
    </w:p>
    <w:p w14:paraId="1593CDE4">
      <w:pPr>
        <w:spacing w:line="400" w:lineRule="exact"/>
        <w:ind w:firstLine="480" w:firstLineChars="200"/>
        <w:jc w:val="left"/>
        <w:rPr>
          <w:rFonts w:ascii="华文楷体" w:hAnsi="华文楷体" w:eastAsia="华文楷体"/>
        </w:rPr>
      </w:pPr>
      <w:r>
        <w:rPr>
          <w:rFonts w:hint="eastAsia" w:ascii="华文楷体" w:hAnsi="华文楷体" w:eastAsia="华文楷体"/>
        </w:rPr>
        <w:t>5.6视频演示递交要求：投标人应将视频演示的U盘按所投标包单独密封在档案带或信封中，密封内容须注明“项目名称、</w:t>
      </w:r>
      <w:r>
        <w:rPr>
          <w:rFonts w:ascii="华文楷体" w:hAnsi="华文楷体" w:eastAsia="华文楷体"/>
        </w:rPr>
        <w:t>项目编号、所投</w:t>
      </w:r>
      <w:r>
        <w:rPr>
          <w:rFonts w:hint="eastAsia" w:ascii="华文楷体" w:hAnsi="华文楷体" w:eastAsia="华文楷体"/>
        </w:rPr>
        <w:t>包号、视频演示设备名称、投标人名称”，提交时间同投标截止时间，逾期提交的采购代理机构不予接收。</w:t>
      </w:r>
    </w:p>
    <w:p w14:paraId="5D295F20">
      <w:pPr>
        <w:spacing w:line="400" w:lineRule="exact"/>
        <w:jc w:val="left"/>
        <w:rPr>
          <w:rStyle w:val="75"/>
          <w:rFonts w:hint="default" w:ascii="华文楷体" w:hAnsi="华文楷体" w:eastAsia="华文楷体" w:cs="宋体"/>
          <w:b/>
          <w:bCs/>
          <w:color w:val="auto"/>
        </w:rPr>
      </w:pPr>
      <w:r>
        <w:rPr>
          <w:rStyle w:val="75"/>
          <w:rFonts w:hint="default" w:ascii="华文楷体" w:hAnsi="华文楷体" w:eastAsia="华文楷体" w:cs="宋体"/>
          <w:b/>
          <w:bCs/>
          <w:color w:val="auto"/>
        </w:rPr>
        <w:t>特别说明：</w:t>
      </w:r>
    </w:p>
    <w:p w14:paraId="524CC841">
      <w:pPr>
        <w:spacing w:line="400" w:lineRule="exact"/>
        <w:ind w:firstLine="480" w:firstLineChars="200"/>
        <w:jc w:val="left"/>
        <w:rPr>
          <w:rStyle w:val="75"/>
          <w:rFonts w:hint="default" w:ascii="华文楷体" w:hAnsi="华文楷体" w:eastAsia="华文楷体" w:cs="宋体"/>
          <w:color w:val="auto"/>
        </w:rPr>
      </w:pPr>
      <w:r>
        <w:rPr>
          <w:rStyle w:val="75"/>
          <w:rFonts w:hint="default" w:ascii="华文楷体" w:hAnsi="华文楷体" w:eastAsia="华文楷体" w:cs="宋体"/>
          <w:color w:val="auto"/>
        </w:rPr>
        <w:t>（1）评标专家有权力对样品按招标文件要求进行性能测试，如有损坏，采购人、代理机构和评标专家概不承担任何责任，一旦投标则自动视为投标人同意评标专家进行性能测试，否则请勿投标。</w:t>
      </w:r>
    </w:p>
    <w:p w14:paraId="08F809A3">
      <w:pPr>
        <w:spacing w:line="400" w:lineRule="exact"/>
        <w:ind w:firstLine="480" w:firstLineChars="200"/>
        <w:jc w:val="left"/>
        <w:rPr>
          <w:rStyle w:val="75"/>
          <w:rFonts w:hint="default" w:ascii="华文楷体" w:hAnsi="华文楷体" w:eastAsia="华文楷体" w:cs="宋体"/>
          <w:color w:val="auto"/>
        </w:rPr>
      </w:pPr>
      <w:r>
        <w:rPr>
          <w:rStyle w:val="75"/>
          <w:rFonts w:hint="default" w:ascii="华文楷体" w:hAnsi="华文楷体" w:eastAsia="华文楷体" w:cs="宋体"/>
          <w:color w:val="auto"/>
        </w:rPr>
        <w:t>（2）投标人应对所投标的样品具有所有权，并确保采购人和采购代理机构免于受到第三人基于样品所有权产生的起诉。</w:t>
      </w:r>
    </w:p>
    <w:p w14:paraId="735470E9">
      <w:pPr>
        <w:spacing w:line="400" w:lineRule="exact"/>
        <w:ind w:firstLine="480" w:firstLineChars="200"/>
        <w:jc w:val="left"/>
        <w:rPr>
          <w:rStyle w:val="75"/>
          <w:rFonts w:hint="default" w:ascii="华文楷体" w:hAnsi="华文楷体" w:eastAsia="华文楷体" w:cs="宋体"/>
          <w:color w:val="auto"/>
        </w:rPr>
      </w:pPr>
      <w:r>
        <w:rPr>
          <w:rStyle w:val="75"/>
          <w:rFonts w:hint="default" w:ascii="华文楷体" w:hAnsi="华文楷体" w:eastAsia="华文楷体" w:cs="宋体"/>
          <w:color w:val="auto"/>
        </w:rPr>
        <w:t>（3）评审结束后，中标人的样品将封存于指定地点，作为履约验收的参考，待交货验收完毕后退还。未中标人的投标样品在规定时间内退回或由采购代理机构邮寄退回，邮寄样品所产生的费用由投标人承担。若未中标人未按时回收样品又拒绝以邮寄形式退回样品，则视为同意采购代理机构自行处置相关样品。</w:t>
      </w:r>
      <w:r>
        <w:rPr>
          <w:rStyle w:val="75"/>
          <w:rFonts w:hint="default" w:ascii="华文楷体" w:hAnsi="华文楷体" w:eastAsia="华文楷体" w:cs="宋体"/>
          <w:color w:val="auto"/>
        </w:rPr>
        <w:br w:type="textWrapping"/>
      </w:r>
      <w:r>
        <w:rPr>
          <w:rStyle w:val="75"/>
          <w:rFonts w:hint="default" w:ascii="华文楷体" w:hAnsi="华文楷体" w:eastAsia="华文楷体" w:cs="宋体"/>
          <w:color w:val="auto"/>
        </w:rPr>
        <w:t xml:space="preserve">   （4）经未中标人同意以邮寄方式退回样品的，由于物流等第三方及不可抗力因素导致的包裹丢失或损毁的，采购人及采购代理机构不承担任何责任。</w:t>
      </w:r>
    </w:p>
    <w:p w14:paraId="22C627F7">
      <w:pPr>
        <w:pStyle w:val="2"/>
      </w:pPr>
    </w:p>
    <w:p w14:paraId="3505FA96">
      <w:pPr>
        <w:pStyle w:val="3"/>
        <w:ind w:left="480"/>
      </w:pPr>
    </w:p>
    <w:p w14:paraId="62E339D5">
      <w:pPr>
        <w:pStyle w:val="4"/>
        <w:ind w:left="480"/>
      </w:pPr>
    </w:p>
    <w:p w14:paraId="4DAC8EA0">
      <w:pPr>
        <w:pStyle w:val="2"/>
      </w:pPr>
    </w:p>
    <w:p w14:paraId="10C4D5E8">
      <w:pPr>
        <w:jc w:val="center"/>
        <w:rPr>
          <w:rFonts w:ascii="华文楷体" w:hAnsi="华文楷体" w:eastAsia="华文楷体"/>
          <w:b/>
          <w:sz w:val="28"/>
          <w:szCs w:val="28"/>
        </w:rPr>
      </w:pPr>
      <w:r>
        <w:rPr>
          <w:rFonts w:hint="eastAsia" w:ascii="华文楷体" w:hAnsi="华文楷体" w:eastAsia="华文楷体"/>
          <w:b/>
          <w:sz w:val="28"/>
          <w:szCs w:val="28"/>
        </w:rPr>
        <w:t>样品标识表</w:t>
      </w:r>
    </w:p>
    <w:tbl>
      <w:tblPr>
        <w:tblStyle w:val="2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35"/>
        <w:gridCol w:w="6224"/>
      </w:tblGrid>
      <w:tr w14:paraId="293774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exact"/>
        </w:trPr>
        <w:tc>
          <w:tcPr>
            <w:tcW w:w="1985" w:type="dxa"/>
            <w:vAlign w:val="center"/>
          </w:tcPr>
          <w:p w14:paraId="51B070AA">
            <w:pPr>
              <w:pStyle w:val="25"/>
              <w:spacing w:before="0" w:after="0" w:line="400" w:lineRule="exact"/>
              <w:rPr>
                <w:rFonts w:ascii="华文楷体" w:hAnsi="华文楷体" w:eastAsia="华文楷体" w:cs="宋体"/>
                <w:sz w:val="28"/>
                <w:szCs w:val="28"/>
                <w:lang w:val="zh-CN"/>
              </w:rPr>
            </w:pPr>
            <w:bookmarkStart w:id="291" w:name="_Toc184345960"/>
            <w:bookmarkStart w:id="292" w:name="_Toc117785684"/>
            <w:r>
              <w:rPr>
                <w:rFonts w:hint="eastAsia" w:ascii="华文楷体" w:hAnsi="华文楷体" w:eastAsia="华文楷体" w:cs="宋体"/>
                <w:sz w:val="28"/>
                <w:szCs w:val="28"/>
                <w:lang w:val="zh-CN"/>
              </w:rPr>
              <w:t>项目名称</w:t>
            </w:r>
            <w:bookmarkEnd w:id="291"/>
            <w:bookmarkEnd w:id="292"/>
          </w:p>
        </w:tc>
        <w:tc>
          <w:tcPr>
            <w:tcW w:w="1985" w:type="dxa"/>
            <w:vAlign w:val="center"/>
          </w:tcPr>
          <w:p w14:paraId="3AF40C3D">
            <w:pPr>
              <w:pStyle w:val="25"/>
              <w:spacing w:before="0" w:after="0" w:line="400" w:lineRule="exact"/>
              <w:jc w:val="both"/>
              <w:rPr>
                <w:rFonts w:ascii="华文楷体" w:hAnsi="华文楷体" w:eastAsia="华文楷体" w:cs="宋体"/>
                <w:sz w:val="28"/>
                <w:szCs w:val="28"/>
                <w:lang w:val="zh-CN"/>
              </w:rPr>
            </w:pPr>
          </w:p>
        </w:tc>
      </w:tr>
      <w:tr w14:paraId="081CB4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exact"/>
        </w:trPr>
        <w:tc>
          <w:tcPr>
            <w:tcW w:w="1985" w:type="dxa"/>
            <w:vAlign w:val="center"/>
          </w:tcPr>
          <w:p w14:paraId="697198C2">
            <w:pPr>
              <w:pStyle w:val="25"/>
              <w:spacing w:before="0" w:after="0" w:line="400" w:lineRule="exact"/>
              <w:rPr>
                <w:rFonts w:ascii="华文楷体" w:hAnsi="华文楷体" w:eastAsia="华文楷体" w:cs="宋体"/>
                <w:sz w:val="28"/>
                <w:szCs w:val="28"/>
                <w:lang w:val="zh-CN"/>
              </w:rPr>
            </w:pPr>
            <w:bookmarkStart w:id="293" w:name="_Toc184345961"/>
            <w:bookmarkStart w:id="294" w:name="_Toc117785685"/>
            <w:r>
              <w:rPr>
                <w:rFonts w:hint="eastAsia" w:ascii="华文楷体" w:hAnsi="华文楷体" w:eastAsia="华文楷体" w:cs="宋体"/>
                <w:sz w:val="28"/>
                <w:szCs w:val="28"/>
                <w:lang w:val="zh-CN"/>
              </w:rPr>
              <w:t>项目编号</w:t>
            </w:r>
            <w:bookmarkEnd w:id="293"/>
            <w:bookmarkEnd w:id="294"/>
          </w:p>
        </w:tc>
        <w:tc>
          <w:tcPr>
            <w:tcW w:w="1985" w:type="dxa"/>
            <w:vAlign w:val="center"/>
          </w:tcPr>
          <w:p w14:paraId="5E99F8F3">
            <w:pPr>
              <w:pStyle w:val="25"/>
              <w:spacing w:before="0" w:after="0" w:line="400" w:lineRule="exact"/>
              <w:jc w:val="both"/>
              <w:rPr>
                <w:rFonts w:ascii="华文楷体" w:hAnsi="华文楷体" w:eastAsia="华文楷体" w:cs="宋体"/>
                <w:sz w:val="28"/>
                <w:szCs w:val="28"/>
                <w:lang w:val="zh-CN"/>
              </w:rPr>
            </w:pPr>
          </w:p>
        </w:tc>
      </w:tr>
      <w:tr w14:paraId="40BC8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8" w:hRule="exact"/>
        </w:trPr>
        <w:tc>
          <w:tcPr>
            <w:tcW w:w="1985" w:type="dxa"/>
            <w:vAlign w:val="center"/>
          </w:tcPr>
          <w:p w14:paraId="32ADA400">
            <w:pPr>
              <w:pStyle w:val="25"/>
              <w:spacing w:before="0" w:after="0" w:line="400" w:lineRule="exact"/>
              <w:rPr>
                <w:rFonts w:ascii="华文楷体" w:hAnsi="华文楷体" w:eastAsia="华文楷体" w:cs="宋体"/>
                <w:sz w:val="28"/>
                <w:szCs w:val="28"/>
                <w:lang w:val="zh-CN"/>
              </w:rPr>
            </w:pPr>
            <w:bookmarkStart w:id="295" w:name="_Toc184345962"/>
            <w:bookmarkStart w:id="296" w:name="_Toc117785686"/>
            <w:r>
              <w:rPr>
                <w:rFonts w:hint="eastAsia" w:ascii="华文楷体" w:hAnsi="华文楷体" w:eastAsia="华文楷体" w:cs="宋体"/>
                <w:sz w:val="28"/>
                <w:szCs w:val="28"/>
                <w:lang w:val="zh-CN"/>
              </w:rPr>
              <w:t>包号</w:t>
            </w:r>
            <w:bookmarkEnd w:id="295"/>
            <w:bookmarkEnd w:id="296"/>
          </w:p>
        </w:tc>
        <w:tc>
          <w:tcPr>
            <w:tcW w:w="1985" w:type="dxa"/>
            <w:vAlign w:val="center"/>
          </w:tcPr>
          <w:p w14:paraId="7BBA6C38">
            <w:pPr>
              <w:pStyle w:val="25"/>
              <w:spacing w:before="0" w:after="0" w:line="400" w:lineRule="exact"/>
              <w:jc w:val="both"/>
              <w:rPr>
                <w:rFonts w:ascii="华文楷体" w:hAnsi="华文楷体" w:eastAsia="华文楷体" w:cs="宋体"/>
                <w:sz w:val="28"/>
                <w:szCs w:val="28"/>
                <w:lang w:val="zh-CN"/>
              </w:rPr>
            </w:pPr>
          </w:p>
        </w:tc>
      </w:tr>
      <w:tr w14:paraId="4DE53C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8" w:hRule="exact"/>
        </w:trPr>
        <w:tc>
          <w:tcPr>
            <w:tcW w:w="2235" w:type="dxa"/>
            <w:vAlign w:val="center"/>
          </w:tcPr>
          <w:p w14:paraId="7BA5882B">
            <w:pPr>
              <w:pStyle w:val="25"/>
              <w:spacing w:before="0" w:after="0" w:line="400" w:lineRule="exact"/>
              <w:rPr>
                <w:rFonts w:ascii="华文楷体" w:hAnsi="华文楷体" w:eastAsia="华文楷体" w:cs="宋体"/>
                <w:sz w:val="28"/>
                <w:szCs w:val="28"/>
                <w:lang w:val="zh-CN"/>
              </w:rPr>
            </w:pPr>
            <w:bookmarkStart w:id="297" w:name="_Toc117785687"/>
            <w:bookmarkStart w:id="298" w:name="_Toc184345963"/>
            <w:r>
              <w:rPr>
                <w:rFonts w:hint="eastAsia" w:ascii="华文楷体" w:hAnsi="华文楷体" w:eastAsia="华文楷体" w:cs="宋体"/>
                <w:sz w:val="28"/>
                <w:szCs w:val="28"/>
                <w:lang w:val="zh-CN"/>
              </w:rPr>
              <w:t>样品名称</w:t>
            </w:r>
            <w:bookmarkEnd w:id="297"/>
            <w:bookmarkEnd w:id="298"/>
          </w:p>
        </w:tc>
        <w:tc>
          <w:tcPr>
            <w:tcW w:w="6224" w:type="dxa"/>
            <w:vAlign w:val="center"/>
          </w:tcPr>
          <w:p w14:paraId="484999FE">
            <w:pPr>
              <w:pStyle w:val="25"/>
              <w:spacing w:before="0" w:after="0" w:line="400" w:lineRule="exact"/>
              <w:jc w:val="both"/>
              <w:rPr>
                <w:rFonts w:ascii="华文楷体" w:hAnsi="华文楷体" w:eastAsia="华文楷体" w:cs="宋体"/>
                <w:sz w:val="28"/>
                <w:szCs w:val="28"/>
                <w:lang w:val="zh-CN"/>
              </w:rPr>
            </w:pPr>
          </w:p>
        </w:tc>
      </w:tr>
    </w:tbl>
    <w:p w14:paraId="57699E67">
      <w:pPr>
        <w:pStyle w:val="2"/>
      </w:pPr>
    </w:p>
    <w:sectPr>
      <w:headerReference r:id="rId7" w:type="default"/>
      <w:footerReference r:id="rId8" w:type="default"/>
      <w:pgSz w:w="11849" w:h="16781"/>
      <w:pgMar w:top="1440" w:right="1803" w:bottom="1440" w:left="1803" w:header="851" w:footer="992" w:gutter="0"/>
      <w:cols w:space="720" w:num="1"/>
      <w:docGrid w:linePitch="39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monospace">
    <w:altName w:val="Times New Roman"/>
    <w:panose1 w:val="00000000000000000000"/>
    <w:charset w:val="00"/>
    <w:family w:val="auto"/>
    <w:pitch w:val="default"/>
    <w:sig w:usb0="00000000" w:usb1="00000000" w:usb2="00000000" w:usb3="00000000" w:csb0="00040001" w:csb1="00000000"/>
  </w:font>
  <w:font w:name="微软雅黑">
    <w:panose1 w:val="020B0503020204020204"/>
    <w:charset w:val="86"/>
    <w:family w:val="swiss"/>
    <w:pitch w:val="default"/>
    <w:sig w:usb0="80000287" w:usb1="2ACF3C50" w:usb2="00000016" w:usb3="00000000" w:csb0="0004001F" w:csb1="00000000"/>
  </w:font>
  <w:font w:name="华文中宋">
    <w:altName w:val="宋体"/>
    <w:panose1 w:val="02010600040101010101"/>
    <w:charset w:val="86"/>
    <w:family w:val="auto"/>
    <w:pitch w:val="default"/>
    <w:sig w:usb0="00000000" w:usb1="00000000" w:usb2="00000010" w:usb3="00000000" w:csb0="0004009F" w:csb1="00000000"/>
  </w:font>
  <w:font w:name="方正仿宋_GBK">
    <w:altName w:val="微软雅黑"/>
    <w:panose1 w:val="00000000000000000000"/>
    <w:charset w:val="86"/>
    <w:family w:val="auto"/>
    <w:pitch w:val="default"/>
    <w:sig w:usb0="00000000" w:usb1="00000000" w:usb2="00082016"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楷体">
    <w:panose1 w:val="02010609060101010101"/>
    <w:charset w:val="86"/>
    <w:family w:val="modern"/>
    <w:pitch w:val="default"/>
    <w:sig w:usb0="800002BF" w:usb1="38CF7CFA" w:usb2="00000016"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EEAE7E">
    <w:pPr>
      <w:tabs>
        <w:tab w:val="center" w:pos="4121"/>
      </w:tabs>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0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0FD8800C">
                          <w:pPr>
                            <w:pStyle w:val="19"/>
                          </w:pPr>
                          <w:r>
                            <w:fldChar w:fldCharType="begin"/>
                          </w:r>
                          <w:r>
                            <w:instrText xml:space="preserve"> PAGE  \* MERGEFORMAT </w:instrText>
                          </w:r>
                          <w:r>
                            <w:fldChar w:fldCharType="separate"/>
                          </w:r>
                          <w:r>
                            <w:t>66</w:t>
                          </w:r>
                          <w:r>
                            <w:fldChar w:fldCharType="end"/>
                          </w:r>
                        </w:p>
                      </w:txbxContent>
                    </wps:txbx>
                    <wps:bodyPr vert="horz" wrap="none" lIns="0" tIns="0" rIns="0" bIns="0" anchor="t" anchorCtr="0">
                      <a:spAutoFit/>
                    </wps:bodyPr>
                  </wps:wsp>
                </a:graphicData>
              </a:graphic>
            </wp:anchor>
          </w:drawing>
        </mc:Choice>
        <mc:Fallback>
          <w:pict>
            <v:shape id="文本框 103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zL2QN8BAADDAwAADgAAAGRycy9lMm9Eb2MueG1srVPNjtMwEL4j8Q6W&#10;7zRpV0JV1XS1UC1CQoC07AO4jtNYsj2Wx21SHgDegBMX7jxXn4Oxk3RhuexhL8n8+Zv5Po/X1701&#10;7KgCanAVn89KzpSTUGu3r/j9l9tXS84wClcLA05V/KSQX29evlh3fqUW0IKpVWAE4nDV+Yq3MfpV&#10;UaBslRU4A68cJRsIVkRyw76og+gI3ZpiUZaviw5C7QNIhUjR7ZDkI2J4CiA0jZZqC/JglYsDalBG&#10;RKKErfbIN3naplEyfmoaVJGZihPTmL/UhOxd+habtVjtg/CtluMI4ikjPOJkhXbU9AK1FVGwQ9D/&#10;QVktAyA0cSbBFgORrAixmJePtLlrhVeZC0mN/iI6Ph+s/Hj8HJiuK77gzAlLF37+8f388/f51zc2&#10;L6+ukkKdxxUV3nkqjf0b6GlvpjhSMBHvm2DTnygxypO+p4u+qo9MpkPLxXJZUkpSbnIIv3g47gPG&#10;dwosS0bFA11g1lUcP2AcSqeS1M3BrTYmX6Jx/wQIc4iovAXj6cRkmDhZsd/1I70d1CdiR++CurYQ&#10;vnLW0VZU3NEj4My8dyR6WqDJCJOxmwzhJB2seORsMN/GvGhpLPQ3h0izZgqp9dCPqCeH7jaLMO5h&#10;Wp6//Vz18PY2fwB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DOqXm5zwAAAAUBAAAPAAAAAAAAAAEA&#10;IAAAACIAAABkcnMvZG93bnJldi54bWxQSwECFAAUAAAACACHTuJAizL2QN8BAADDAwAADgAAAAAA&#10;AAABACAAAAAeAQAAZHJzL2Uyb0RvYy54bWxQSwUGAAAAAAYABgBZAQAAbwUAAAAA&#10;">
              <v:fill on="f" focussize="0,0"/>
              <v:stroke on="f"/>
              <v:imagedata o:title=""/>
              <o:lock v:ext="edit" aspectratio="f"/>
              <v:textbox inset="0mm,0mm,0mm,0mm" style="mso-fit-shape-to-text:t;">
                <w:txbxContent>
                  <w:p w14:paraId="0FD8800C">
                    <w:pPr>
                      <w:pStyle w:val="19"/>
                    </w:pPr>
                    <w:r>
                      <w:fldChar w:fldCharType="begin"/>
                    </w:r>
                    <w:r>
                      <w:instrText xml:space="preserve"> PAGE  \* MERGEFORMAT </w:instrText>
                    </w:r>
                    <w:r>
                      <w:fldChar w:fldCharType="separate"/>
                    </w:r>
                    <w:r>
                      <w:t>66</w:t>
                    </w:r>
                    <w:r>
                      <w:fldChar w:fldCharType="end"/>
                    </w:r>
                  </w:p>
                </w:txbxContent>
              </v:textbox>
            </v:shape>
          </w:pict>
        </mc:Fallback>
      </mc:AlternateContent>
    </w: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01D413">
    <w:pPr>
      <w:pStyle w:val="19"/>
      <w:ind w:left="840"/>
      <w:jc w:val="center"/>
    </w:pPr>
    <w:r>
      <w:fldChar w:fldCharType="begin"/>
    </w:r>
    <w:r>
      <w:instrText xml:space="preserve">PAGE   \* MERGEFORMAT</w:instrText>
    </w:r>
    <w:r>
      <w:fldChar w:fldCharType="separate"/>
    </w:r>
    <w:r>
      <w:rPr>
        <w:lang w:val="zh-CN"/>
      </w:rPr>
      <w:t>77</w:t>
    </w:r>
    <w:r>
      <w:rPr>
        <w:lang w:val="zh-CN"/>
      </w:rPr>
      <w:fldChar w:fldCharType="end"/>
    </w:r>
  </w:p>
  <w:p w14:paraId="0DF364C5">
    <w:pPr>
      <w:pStyle w:val="19"/>
      <w:tabs>
        <w:tab w:val="right" w:pos="9053"/>
        <w:tab w:val="clear" w:pos="4153"/>
        <w:tab w:val="clear" w:pos="8306"/>
      </w:tabs>
      <w:ind w:left="180" w:right="410" w:rightChars="171" w:hanging="180" w:hangingChars="100"/>
      <w:rPr>
        <w:rFonts w:ascii="仿宋" w:hAnsi="仿宋" w:eastAsia="仿宋" w:cs="仿宋"/>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E1AA5C">
    <w:pPr>
      <w:pStyle w:val="19"/>
      <w:ind w:left="840"/>
      <w:jc w:val="center"/>
    </w:pPr>
    <w:r>
      <w:fldChar w:fldCharType="begin"/>
    </w:r>
    <w:r>
      <w:instrText xml:space="preserve">PAGE   \* MERGEFORMAT</w:instrText>
    </w:r>
    <w:r>
      <w:fldChar w:fldCharType="separate"/>
    </w:r>
    <w:r>
      <w:rPr>
        <w:lang w:val="zh-CN"/>
      </w:rPr>
      <w:t>86</w:t>
    </w:r>
    <w:r>
      <w:rPr>
        <w:lang w:val="zh-CN"/>
      </w:rPr>
      <w:fldChar w:fldCharType="end"/>
    </w:r>
  </w:p>
  <w:p w14:paraId="25E67AF4">
    <w:pPr>
      <w:pStyle w:val="19"/>
      <w:tabs>
        <w:tab w:val="right" w:pos="9053"/>
        <w:tab w:val="clear" w:pos="4153"/>
        <w:tab w:val="clear" w:pos="8306"/>
      </w:tabs>
      <w:ind w:left="180" w:right="410" w:rightChars="171" w:hanging="180" w:hangingChars="100"/>
      <w:rPr>
        <w:rFonts w:ascii="仿宋" w:hAnsi="仿宋" w:eastAsia="仿宋" w:cs="仿宋"/>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2DA6A">
    <w:r>
      <mc:AlternateContent>
        <mc:Choice Requires="wps">
          <w:drawing>
            <wp:anchor distT="0" distB="0" distL="114300" distR="114300" simplePos="0" relativeHeight="251660288" behindDoc="0" locked="0" layoutInCell="1" allowOverlap="1">
              <wp:simplePos x="0" y="0"/>
              <wp:positionH relativeFrom="margin">
                <wp:posOffset>2576830</wp:posOffset>
              </wp:positionH>
              <wp:positionV relativeFrom="paragraph">
                <wp:posOffset>-49530</wp:posOffset>
              </wp:positionV>
              <wp:extent cx="219710" cy="165100"/>
              <wp:effectExtent l="0" t="0" r="0" b="0"/>
              <wp:wrapNone/>
              <wp:docPr id="3" name="文本框 1034"/>
              <wp:cNvGraphicFramePr/>
              <a:graphic xmlns:a="http://schemas.openxmlformats.org/drawingml/2006/main">
                <a:graphicData uri="http://schemas.microsoft.com/office/word/2010/wordprocessingShape">
                  <wps:wsp>
                    <wps:cNvSpPr txBox="1"/>
                    <wps:spPr>
                      <a:xfrm>
                        <a:off x="0" y="0"/>
                        <a:ext cx="219710" cy="165100"/>
                      </a:xfrm>
                      <a:prstGeom prst="rect">
                        <a:avLst/>
                      </a:prstGeom>
                      <a:noFill/>
                      <a:ln>
                        <a:noFill/>
                      </a:ln>
                      <a:effectLst/>
                    </wps:spPr>
                    <wps:txbx>
                      <w:txbxContent>
                        <w:p w14:paraId="304BF87C">
                          <w:pPr>
                            <w:pStyle w:val="19"/>
                          </w:pPr>
                          <w:r>
                            <w:fldChar w:fldCharType="begin"/>
                          </w:r>
                          <w:r>
                            <w:instrText xml:space="preserve"> PAGE  \* MERGEFORMAT </w:instrText>
                          </w:r>
                          <w:r>
                            <w:fldChar w:fldCharType="separate"/>
                          </w:r>
                          <w:r>
                            <w:t>119</w:t>
                          </w:r>
                          <w:r>
                            <w:fldChar w:fldCharType="end"/>
                          </w:r>
                        </w:p>
                      </w:txbxContent>
                    </wps:txbx>
                    <wps:bodyPr vert="horz" wrap="square" lIns="0" tIns="0" rIns="0" bIns="0" anchor="t" anchorCtr="0">
                      <a:noAutofit/>
                    </wps:bodyPr>
                  </wps:wsp>
                </a:graphicData>
              </a:graphic>
            </wp:anchor>
          </w:drawing>
        </mc:Choice>
        <mc:Fallback>
          <w:pict>
            <v:shape id="文本框 1034" o:spid="_x0000_s1026" o:spt="202" type="#_x0000_t202" style="position:absolute;left:0pt;margin-left:202.9pt;margin-top:-3.9pt;height:13pt;width:17.3pt;mso-position-horizontal-relative:margin;z-index:251660288;mso-width-relative:page;mso-height-relative:page;" filled="f" stroked="f" coordsize="21600,21600" o:gfxdata="UEsDBAoAAAAAAIdO4kAAAAAAAAAAAAAAAAAEAAAAZHJzL1BLAwQUAAAACACHTuJABNzvxdgAAAAJ&#10;AQAADwAAAGRycy9kb3ducmV2LnhtbE2PTU/DMAyG70j8h8hI3LZkUxmjNJ0QghMSoisHjmnjtdEa&#10;pzTZB/8ec2Iny/Kj189bbM5+EEecogukYTFXIJDaYB11Gj7r19kaREyGrBkCoYYfjLApr68Kk9tw&#10;ogqP29QJDqGYGw19SmMuZWx79CbOw4jEt12YvEm8Tp20kzlxuB/kUqmV9MYRf+jNiM89tvvtwWt4&#10;+qLqxX2/Nx/VrnJ1/aDobbXX+vZmoR5BJDynfxj+9FkdSnZqwoFsFIOGTN2xetIwu+fJQJapDETD&#10;5HoJsizkZYPyF1BLAwQUAAAACACHTuJAqY/UC+QBAADDAwAADgAAAGRycy9lMm9Eb2MueG1srVPB&#10;jtMwEL0j8Q+W7zRJFxaImq6AahESAqSFD3Adu7Fke4ztNikfAH/AiQt3vqvfwdhJurBc9sAlGc+M&#10;38x7M15dDUaTg/BBgW1otSgpEZZDq+yuoZ8+Xj96RkmIzLZMgxUNPYpAr9YPH6x6V4sldKBb4QmC&#10;2FD3rqFdjK4uisA7YVhYgBMWgxK8YRGPfle0nvWIbnSxLMvLogffOg9chIDezRikE6K/DyBIqbjY&#10;AN8bYeOI6oVmESmFTrlA17lbKQWP76UMIhLdUGQa8xeLoL1N32K9YvXOM9cpPrXA7tPCHU6GKYtF&#10;z1AbFhnZe/UPlFHcQwAZFxxMMRLJiiCLqryjzU3HnMhcUOrgzqKH/wfL3x0+eKLahl5QYpnBgZ++&#10;fzv9+HX6+ZVU5cXjpFDvQo2JNw5T4/ASBtyb2R/QmYgP0pv0R0oE46jv8ayvGCLh6FxWz59WGOEY&#10;qi6fVGXWv7i97HyIrwUYkoyGehxfVpUd3oaIjWDqnJJqWbhWWucRavuXAxNHj8g7MN1OPMZ+kxWH&#10;7TCR20J7RG74KrBqB/4LJT3uREPD5z3zghL9xqLoaYFmw8/GdjaY5Xi1oZGS0XwV86KNjb3YR5Aq&#10;k0jFx4rIKB1wtpnbtIdpef4856zbt7f+DV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ATc78XYAAAA&#10;CQEAAA8AAAAAAAAAAQAgAAAAIgAAAGRycy9kb3ducmV2LnhtbFBLAQIUABQAAAAIAIdO4kCpj9QL&#10;5AEAAMMDAAAOAAAAAAAAAAEAIAAAACcBAABkcnMvZTJvRG9jLnhtbFBLBQYAAAAABgAGAFkBAAB9&#10;BQAAAAA=&#10;">
              <v:fill on="f" focussize="0,0"/>
              <v:stroke on="f"/>
              <v:imagedata o:title=""/>
              <o:lock v:ext="edit" aspectratio="f"/>
              <v:textbox inset="0mm,0mm,0mm,0mm">
                <w:txbxContent>
                  <w:p w14:paraId="304BF87C">
                    <w:pPr>
                      <w:pStyle w:val="19"/>
                    </w:pPr>
                    <w:r>
                      <w:fldChar w:fldCharType="begin"/>
                    </w:r>
                    <w:r>
                      <w:instrText xml:space="preserve"> PAGE  \* MERGEFORMAT </w:instrText>
                    </w:r>
                    <w:r>
                      <w:fldChar w:fldCharType="separate"/>
                    </w:r>
                    <w:r>
                      <w:t>119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4FF9B9">
    <w:pPr>
      <w:pStyle w:val="20"/>
      <w:pBdr>
        <w:bottom w:val="single" w:color="auto" w:sz="4" w:space="1"/>
      </w:pBdr>
      <w:ind w:firstLine="6947" w:firstLineChars="3460"/>
      <w:jc w:val="both"/>
      <w:rPr>
        <w:rFonts w:ascii="楷体" w:hAnsi="楷体" w:eastAsia="楷体" w:cs="楷体"/>
        <w:b/>
        <w:bCs/>
        <w:sz w:val="20"/>
        <w:szCs w:val="20"/>
      </w:rPr>
    </w:pPr>
    <w:r>
      <w:rPr>
        <w:rFonts w:hint="eastAsia" w:ascii="楷体" w:hAnsi="楷体" w:eastAsia="楷体" w:cs="楷体"/>
        <w:b/>
        <w:bCs/>
        <w:sz w:val="20"/>
        <w:szCs w:val="20"/>
      </w:rPr>
      <w:drawing>
        <wp:anchor distT="0" distB="0" distL="114300" distR="114300" simplePos="0" relativeHeight="251661312" behindDoc="0" locked="0" layoutInCell="1" allowOverlap="1">
          <wp:simplePos x="0" y="0"/>
          <wp:positionH relativeFrom="column">
            <wp:posOffset>-141605</wp:posOffset>
          </wp:positionH>
          <wp:positionV relativeFrom="paragraph">
            <wp:posOffset>-305435</wp:posOffset>
          </wp:positionV>
          <wp:extent cx="787400" cy="463550"/>
          <wp:effectExtent l="19050" t="0" r="0" b="0"/>
          <wp:wrapNone/>
          <wp:docPr id="6" name="图片 1" descr="锦茂 定稿_画板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锦茂 定稿_画板 1"/>
                  <pic:cNvPicPr>
                    <a:picLocks noChangeAspect="1" noChangeArrowheads="1"/>
                  </pic:cNvPicPr>
                </pic:nvPicPr>
                <pic:blipFill>
                  <a:blip r:embed="rId1"/>
                  <a:srcRect b="28766"/>
                  <a:stretch>
                    <a:fillRect/>
                  </a:stretch>
                </pic:blipFill>
                <pic:spPr>
                  <a:xfrm>
                    <a:off x="0" y="0"/>
                    <a:ext cx="787400" cy="463550"/>
                  </a:xfrm>
                  <a:prstGeom prst="rect">
                    <a:avLst/>
                  </a:prstGeom>
                  <a:noFill/>
                  <a:ln w="9525">
                    <a:noFill/>
                    <a:miter lim="800000"/>
                    <a:headEnd/>
                    <a:tailEnd/>
                  </a:ln>
                </pic:spPr>
              </pic:pic>
            </a:graphicData>
          </a:graphic>
        </wp:anchor>
      </w:drawing>
    </w:r>
    <w:r>
      <w:rPr>
        <w:rFonts w:hint="eastAsia" w:ascii="楷体" w:hAnsi="楷体" w:eastAsia="楷体" w:cs="楷体"/>
        <w:b/>
        <w:bCs/>
        <w:sz w:val="20"/>
        <w:szCs w:val="20"/>
      </w:rPr>
      <w:t>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B68632">
    <w:pPr>
      <w:pStyle w:val="20"/>
      <w:pBdr>
        <w:bottom w:val="single" w:color="auto" w:sz="4" w:space="1"/>
      </w:pBdr>
      <w:ind w:firstLine="6947" w:firstLineChars="3460"/>
      <w:jc w:val="both"/>
      <w:rPr>
        <w:rFonts w:ascii="楷体" w:hAnsi="楷体" w:eastAsia="楷体" w:cs="楷体"/>
        <w:b/>
        <w:bCs/>
        <w:sz w:val="20"/>
        <w:szCs w:val="20"/>
      </w:rPr>
    </w:pPr>
    <w:r>
      <w:rPr>
        <w:rFonts w:hint="eastAsia" w:ascii="楷体" w:hAnsi="楷体" w:eastAsia="楷体" w:cs="楷体"/>
        <w:b/>
        <w:bCs/>
        <w:sz w:val="20"/>
        <w:szCs w:val="20"/>
      </w:rPr>
      <w:drawing>
        <wp:anchor distT="0" distB="0" distL="114300" distR="114300" simplePos="0" relativeHeight="251662336" behindDoc="0" locked="0" layoutInCell="1" allowOverlap="1">
          <wp:simplePos x="0" y="0"/>
          <wp:positionH relativeFrom="column">
            <wp:posOffset>-141605</wp:posOffset>
          </wp:positionH>
          <wp:positionV relativeFrom="paragraph">
            <wp:posOffset>-305435</wp:posOffset>
          </wp:positionV>
          <wp:extent cx="787400" cy="463550"/>
          <wp:effectExtent l="19050" t="0" r="0" b="0"/>
          <wp:wrapNone/>
          <wp:docPr id="1" name="图片 1" descr="锦茂 定稿_画板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锦茂 定稿_画板 1"/>
                  <pic:cNvPicPr>
                    <a:picLocks noChangeAspect="1" noChangeArrowheads="1"/>
                  </pic:cNvPicPr>
                </pic:nvPicPr>
                <pic:blipFill>
                  <a:blip r:embed="rId1"/>
                  <a:srcRect b="28766"/>
                  <a:stretch>
                    <a:fillRect/>
                  </a:stretch>
                </pic:blipFill>
                <pic:spPr>
                  <a:xfrm>
                    <a:off x="0" y="0"/>
                    <a:ext cx="787400" cy="463550"/>
                  </a:xfrm>
                  <a:prstGeom prst="rect">
                    <a:avLst/>
                  </a:prstGeom>
                  <a:noFill/>
                  <a:ln w="9525">
                    <a:noFill/>
                    <a:miter lim="800000"/>
                    <a:headEnd/>
                    <a:tailEnd/>
                  </a:ln>
                </pic:spPr>
              </pic:pic>
            </a:graphicData>
          </a:graphic>
        </wp:anchor>
      </w:drawing>
    </w:r>
    <w:r>
      <w:rPr>
        <w:rFonts w:hint="eastAsia" w:ascii="楷体" w:hAnsi="楷体" w:eastAsia="楷体" w:cs="楷体"/>
        <w:b/>
        <w:bCs/>
        <w:sz w:val="20"/>
        <w:szCs w:val="20"/>
      </w:rPr>
      <w:t>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0C8B736"/>
    <w:multiLevelType w:val="singleLevel"/>
    <w:tmpl w:val="F0C8B736"/>
    <w:lvl w:ilvl="0" w:tentative="0">
      <w:start w:val="3"/>
      <w:numFmt w:val="decimal"/>
      <w:suff w:val="nothing"/>
      <w:lvlText w:val="%1、"/>
      <w:lvlJc w:val="left"/>
    </w:lvl>
  </w:abstractNum>
  <w:abstractNum w:abstractNumId="1">
    <w:nsid w:val="1101BF9B"/>
    <w:multiLevelType w:val="singleLevel"/>
    <w:tmpl w:val="1101BF9B"/>
    <w:lvl w:ilvl="0" w:tentative="0">
      <w:start w:val="2"/>
      <w:numFmt w:val="decimal"/>
      <w:suff w:val="nothing"/>
      <w:lvlText w:val="%1、"/>
      <w:lvlJc w:val="left"/>
    </w:lvl>
  </w:abstractNum>
  <w:abstractNum w:abstractNumId="2">
    <w:nsid w:val="59B11739"/>
    <w:multiLevelType w:val="singleLevel"/>
    <w:tmpl w:val="59B11739"/>
    <w:lvl w:ilvl="0" w:tentative="0">
      <w:start w:val="1"/>
      <w:numFmt w:val="decimal"/>
      <w:suff w:val="nothing"/>
      <w:lvlText w:val="（%1）"/>
      <w:lvlJc w:val="left"/>
    </w:lvl>
  </w:abstractNum>
  <w:abstractNum w:abstractNumId="3">
    <w:nsid w:val="59FC3E95"/>
    <w:multiLevelType w:val="singleLevel"/>
    <w:tmpl w:val="59FC3E95"/>
    <w:lvl w:ilvl="0" w:tentative="0">
      <w:start w:val="1"/>
      <w:numFmt w:val="decimal"/>
      <w:lvlText w:val="(%1)"/>
      <w:lvlJc w:val="left"/>
      <w:pPr>
        <w:tabs>
          <w:tab w:val="left" w:pos="312"/>
        </w:tabs>
      </w:pPr>
    </w:lvl>
  </w:abstractNum>
  <w:abstractNum w:abstractNumId="4">
    <w:nsid w:val="59FC4271"/>
    <w:multiLevelType w:val="singleLevel"/>
    <w:tmpl w:val="59FC4271"/>
    <w:lvl w:ilvl="0" w:tentative="0">
      <w:start w:val="1"/>
      <w:numFmt w:val="decimal"/>
      <w:suff w:val="nothing"/>
      <w:lvlText w:val="（%1）"/>
      <w:lvlJc w:val="left"/>
    </w:lvl>
  </w:abstractNum>
  <w:abstractNum w:abstractNumId="5">
    <w:nsid w:val="59FC4698"/>
    <w:multiLevelType w:val="singleLevel"/>
    <w:tmpl w:val="59FC4698"/>
    <w:lvl w:ilvl="0" w:tentative="0">
      <w:start w:val="1"/>
      <w:numFmt w:val="decimal"/>
      <w:suff w:val="nothing"/>
      <w:lvlText w:val="（%1）"/>
      <w:lvlJc w:val="left"/>
    </w:lvl>
  </w:abstractNum>
  <w:abstractNum w:abstractNumId="6">
    <w:nsid w:val="59FC4CCC"/>
    <w:multiLevelType w:val="singleLevel"/>
    <w:tmpl w:val="59FC4CCC"/>
    <w:lvl w:ilvl="0" w:tentative="0">
      <w:start w:val="1"/>
      <w:numFmt w:val="decimal"/>
      <w:suff w:val="nothing"/>
      <w:lvlText w:val="（%1）"/>
      <w:lvlJc w:val="left"/>
    </w:lvl>
  </w:abstractNum>
  <w:abstractNum w:abstractNumId="7">
    <w:nsid w:val="64E854B5"/>
    <w:multiLevelType w:val="multilevel"/>
    <w:tmpl w:val="64E854B5"/>
    <w:lvl w:ilvl="0" w:tentative="0">
      <w:start w:val="1"/>
      <w:numFmt w:val="decimal"/>
      <w:suff w:val="space"/>
      <w:lvlText w:val="%1"/>
      <w:lvlJc w:val="left"/>
      <w:pPr>
        <w:ind w:left="0" w:firstLine="0"/>
      </w:pPr>
      <w:rPr>
        <w:rFonts w:hint="eastAsia" w:ascii="黑体" w:eastAsia="黑体" w:cs="Times New Roman"/>
      </w:rPr>
    </w:lvl>
    <w:lvl w:ilvl="1" w:tentative="0">
      <w:start w:val="1"/>
      <w:numFmt w:val="decimal"/>
      <w:suff w:val="space"/>
      <w:lvlText w:val="%1.%2"/>
      <w:lvlJc w:val="left"/>
      <w:pPr>
        <w:ind w:left="0" w:firstLine="0"/>
      </w:pPr>
      <w:rPr>
        <w:rFonts w:hint="eastAsia" w:cs="Times New Roman"/>
        <w:b w:val="0"/>
        <w:sz w:val="30"/>
        <w:szCs w:val="30"/>
      </w:rPr>
    </w:lvl>
    <w:lvl w:ilvl="2" w:tentative="0">
      <w:start w:val="1"/>
      <w:numFmt w:val="decimal"/>
      <w:suff w:val="space"/>
      <w:lvlText w:val="%1.%2.%3"/>
      <w:lvlJc w:val="left"/>
      <w:pPr>
        <w:ind w:left="426" w:firstLine="0"/>
      </w:pPr>
      <w:rPr>
        <w:rFonts w:hint="eastAsia" w:ascii="黑体" w:hAnsi="Times New Roman" w:eastAsia="黑体" w:cs="Times New Roman"/>
        <w:b w:val="0"/>
        <w:bCs w:val="0"/>
        <w:i w:val="0"/>
        <w:iCs w:val="0"/>
        <w:caps w:val="0"/>
        <w:smallCaps w:val="0"/>
        <w:strike w:val="0"/>
        <w:dstrike w:val="0"/>
        <w:snapToGrid w:val="0"/>
        <w:vanish w:val="0"/>
        <w:color w:val="000000"/>
        <w:spacing w:val="0"/>
        <w:w w:val="0"/>
        <w:kern w:val="0"/>
        <w:position w:val="0"/>
        <w:szCs w:val="0"/>
        <w:u w:val="none"/>
        <w:vertAlign w:val="baseline"/>
      </w:rPr>
    </w:lvl>
    <w:lvl w:ilvl="3" w:tentative="0">
      <w:start w:val="1"/>
      <w:numFmt w:val="decimal"/>
      <w:pStyle w:val="8"/>
      <w:suff w:val="space"/>
      <w:lvlText w:val="%1.%2.%3.%4"/>
      <w:lvlJc w:val="left"/>
      <w:pPr>
        <w:ind w:left="8080" w:firstLine="0"/>
      </w:pPr>
      <w:rPr>
        <w:rFonts w:hint="eastAsia" w:cs="Times New Roman"/>
      </w:rPr>
    </w:lvl>
    <w:lvl w:ilvl="4" w:tentative="0">
      <w:start w:val="1"/>
      <w:numFmt w:val="decimal"/>
      <w:lvlText w:val="%1.%2.%3.%4.%5"/>
      <w:lvlJc w:val="left"/>
      <w:pPr>
        <w:ind w:left="0" w:firstLine="0"/>
      </w:pPr>
      <w:rPr>
        <w:rFonts w:hint="eastAsia" w:cs="Times New Roman"/>
      </w:rPr>
    </w:lvl>
    <w:lvl w:ilvl="5" w:tentative="0">
      <w:start w:val="1"/>
      <w:numFmt w:val="decimal"/>
      <w:lvlText w:val="%1.%2.%3.%4.%5.%6"/>
      <w:lvlJc w:val="left"/>
      <w:pPr>
        <w:ind w:left="0" w:firstLine="0"/>
      </w:pPr>
      <w:rPr>
        <w:rFonts w:hint="eastAsia" w:cs="Times New Roman"/>
      </w:rPr>
    </w:lvl>
    <w:lvl w:ilvl="6" w:tentative="0">
      <w:start w:val="1"/>
      <w:numFmt w:val="decimal"/>
      <w:lvlText w:val="%1.%2.%3.%4.%5.%6.%7"/>
      <w:lvlJc w:val="left"/>
      <w:pPr>
        <w:ind w:left="0" w:firstLine="0"/>
      </w:pPr>
      <w:rPr>
        <w:rFonts w:hint="eastAsia" w:cs="Times New Roman"/>
      </w:rPr>
    </w:lvl>
    <w:lvl w:ilvl="7" w:tentative="0">
      <w:start w:val="1"/>
      <w:numFmt w:val="decimal"/>
      <w:lvlRestart w:val="2"/>
      <w:pStyle w:val="9"/>
      <w:suff w:val="space"/>
      <w:lvlText w:val="图%1.%2.%8"/>
      <w:lvlJc w:val="center"/>
      <w:pPr>
        <w:ind w:left="0" w:firstLine="0"/>
      </w:pPr>
      <w:rPr>
        <w:rFonts w:hint="eastAsia" w:ascii="黑体" w:hAnsi="Times New Roman" w:eastAsia="黑体" w:cs="Times New Roman"/>
        <w:b w:val="0"/>
        <w:bCs w:val="0"/>
        <w:i w:val="0"/>
        <w:iCs w:val="0"/>
        <w:caps w:val="0"/>
        <w:smallCaps w:val="0"/>
        <w:strike w:val="0"/>
        <w:dstrike w:val="0"/>
        <w:snapToGrid w:val="0"/>
        <w:vanish w:val="0"/>
        <w:color w:val="000000"/>
        <w:spacing w:val="0"/>
        <w:w w:val="0"/>
        <w:kern w:val="0"/>
        <w:position w:val="0"/>
        <w:sz w:val="24"/>
        <w:szCs w:val="24"/>
        <w:u w:val="none"/>
        <w:vertAlign w:val="baseline"/>
      </w:rPr>
    </w:lvl>
    <w:lvl w:ilvl="8" w:tentative="0">
      <w:start w:val="1"/>
      <w:numFmt w:val="decimal"/>
      <w:lvlRestart w:val="2"/>
      <w:pStyle w:val="10"/>
      <w:suff w:val="space"/>
      <w:lvlText w:val="表%1.%2.%9"/>
      <w:lvlJc w:val="center"/>
      <w:pPr>
        <w:ind w:left="4253" w:firstLine="0"/>
      </w:pPr>
      <w:rPr>
        <w:rFonts w:hint="eastAsia" w:ascii="黑体" w:hAnsi="Times New Roman" w:eastAsia="黑体" w:cs="Times New Roman"/>
        <w:b w:val="0"/>
        <w:bCs w:val="0"/>
        <w:i w:val="0"/>
        <w:iCs w:val="0"/>
        <w:caps w:val="0"/>
        <w:smallCaps w:val="0"/>
        <w:strike w:val="0"/>
        <w:dstrike w:val="0"/>
        <w:snapToGrid w:val="0"/>
        <w:vanish w:val="0"/>
        <w:color w:val="000000"/>
        <w:spacing w:val="0"/>
        <w:w w:val="0"/>
        <w:kern w:val="0"/>
        <w:position w:val="0"/>
        <w:szCs w:val="0"/>
        <w:u w:val="none"/>
        <w:vertAlign w:val="baseline"/>
        <w:lang w:val="en-US"/>
      </w:rPr>
    </w:lvl>
  </w:abstractNum>
  <w:abstractNum w:abstractNumId="8">
    <w:nsid w:val="6B03DC25"/>
    <w:multiLevelType w:val="singleLevel"/>
    <w:tmpl w:val="6B03DC25"/>
    <w:lvl w:ilvl="0" w:tentative="0">
      <w:start w:val="1"/>
      <w:numFmt w:val="decimal"/>
      <w:suff w:val="nothing"/>
      <w:lvlText w:val="（%1）"/>
      <w:lvlJc w:val="left"/>
    </w:lvl>
  </w:abstractNum>
  <w:num w:numId="1">
    <w:abstractNumId w:val="7"/>
  </w:num>
  <w:num w:numId="2">
    <w:abstractNumId w:val="1"/>
  </w:num>
  <w:num w:numId="3">
    <w:abstractNumId w:val="3"/>
  </w:num>
  <w:num w:numId="4">
    <w:abstractNumId w:val="4"/>
  </w:num>
  <w:num w:numId="5">
    <w:abstractNumId w:val="5"/>
  </w:num>
  <w:num w:numId="6">
    <w:abstractNumId w:val="8"/>
  </w:num>
  <w:num w:numId="7">
    <w:abstractNumId w:val="6"/>
  </w:num>
  <w:num w:numId="8">
    <w:abstractNumId w:val="2"/>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40"/>
  <w:drawingGridVerticalSpacing w:val="199"/>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M2MjU0NDk1ZWM3NDg5NzY3NjBiZDg5YjIyNjEwNzQifQ=="/>
  </w:docVars>
  <w:rsids>
    <w:rsidRoot w:val="00686935"/>
    <w:rsid w:val="000007B0"/>
    <w:rsid w:val="000010FB"/>
    <w:rsid w:val="00001546"/>
    <w:rsid w:val="00002196"/>
    <w:rsid w:val="0000583A"/>
    <w:rsid w:val="000069A4"/>
    <w:rsid w:val="00006A1C"/>
    <w:rsid w:val="00010260"/>
    <w:rsid w:val="00010843"/>
    <w:rsid w:val="00010F33"/>
    <w:rsid w:val="000115BF"/>
    <w:rsid w:val="00012024"/>
    <w:rsid w:val="000124BA"/>
    <w:rsid w:val="00013A12"/>
    <w:rsid w:val="00013BBF"/>
    <w:rsid w:val="0001401E"/>
    <w:rsid w:val="00015355"/>
    <w:rsid w:val="00021C7E"/>
    <w:rsid w:val="00024C71"/>
    <w:rsid w:val="0002561E"/>
    <w:rsid w:val="0002618E"/>
    <w:rsid w:val="0002777A"/>
    <w:rsid w:val="00027BAE"/>
    <w:rsid w:val="0003168A"/>
    <w:rsid w:val="00033A55"/>
    <w:rsid w:val="000373F0"/>
    <w:rsid w:val="00040E10"/>
    <w:rsid w:val="00041A73"/>
    <w:rsid w:val="00043591"/>
    <w:rsid w:val="00043A53"/>
    <w:rsid w:val="00043CD0"/>
    <w:rsid w:val="000448AD"/>
    <w:rsid w:val="00045F7E"/>
    <w:rsid w:val="0004660C"/>
    <w:rsid w:val="00046B72"/>
    <w:rsid w:val="00046F15"/>
    <w:rsid w:val="00047411"/>
    <w:rsid w:val="00047EE2"/>
    <w:rsid w:val="00047F5A"/>
    <w:rsid w:val="000502F2"/>
    <w:rsid w:val="00052CCF"/>
    <w:rsid w:val="0005329F"/>
    <w:rsid w:val="00053F84"/>
    <w:rsid w:val="00054B3C"/>
    <w:rsid w:val="000552B8"/>
    <w:rsid w:val="0005756B"/>
    <w:rsid w:val="000579DE"/>
    <w:rsid w:val="00057EC9"/>
    <w:rsid w:val="00061846"/>
    <w:rsid w:val="00064F27"/>
    <w:rsid w:val="00066CA0"/>
    <w:rsid w:val="000670E6"/>
    <w:rsid w:val="00072A3D"/>
    <w:rsid w:val="0007368E"/>
    <w:rsid w:val="0007374C"/>
    <w:rsid w:val="00073FB7"/>
    <w:rsid w:val="00074C11"/>
    <w:rsid w:val="0007570E"/>
    <w:rsid w:val="00075E1D"/>
    <w:rsid w:val="0007742C"/>
    <w:rsid w:val="00082B2D"/>
    <w:rsid w:val="000832FC"/>
    <w:rsid w:val="0008539D"/>
    <w:rsid w:val="000869E5"/>
    <w:rsid w:val="000875EB"/>
    <w:rsid w:val="00094260"/>
    <w:rsid w:val="000A2198"/>
    <w:rsid w:val="000A2439"/>
    <w:rsid w:val="000A3592"/>
    <w:rsid w:val="000A637F"/>
    <w:rsid w:val="000A64A0"/>
    <w:rsid w:val="000A70B5"/>
    <w:rsid w:val="000A7468"/>
    <w:rsid w:val="000B0BD7"/>
    <w:rsid w:val="000B1272"/>
    <w:rsid w:val="000B1C9E"/>
    <w:rsid w:val="000B1E48"/>
    <w:rsid w:val="000B3682"/>
    <w:rsid w:val="000B4F4D"/>
    <w:rsid w:val="000B652B"/>
    <w:rsid w:val="000B6A6B"/>
    <w:rsid w:val="000B7931"/>
    <w:rsid w:val="000C038C"/>
    <w:rsid w:val="000C0D8F"/>
    <w:rsid w:val="000C2C06"/>
    <w:rsid w:val="000C383D"/>
    <w:rsid w:val="000C38E9"/>
    <w:rsid w:val="000C3AA7"/>
    <w:rsid w:val="000C3BA4"/>
    <w:rsid w:val="000C753E"/>
    <w:rsid w:val="000D0002"/>
    <w:rsid w:val="000D0409"/>
    <w:rsid w:val="000D1127"/>
    <w:rsid w:val="000D28AF"/>
    <w:rsid w:val="000D2AAD"/>
    <w:rsid w:val="000D2B87"/>
    <w:rsid w:val="000D3C70"/>
    <w:rsid w:val="000D3F8B"/>
    <w:rsid w:val="000D4291"/>
    <w:rsid w:val="000D4A45"/>
    <w:rsid w:val="000D5A34"/>
    <w:rsid w:val="000D65D2"/>
    <w:rsid w:val="000D669A"/>
    <w:rsid w:val="000E028E"/>
    <w:rsid w:val="000E0A4B"/>
    <w:rsid w:val="000E0B92"/>
    <w:rsid w:val="000E1DDB"/>
    <w:rsid w:val="000E4167"/>
    <w:rsid w:val="000E5706"/>
    <w:rsid w:val="000F0D2E"/>
    <w:rsid w:val="000F1C0B"/>
    <w:rsid w:val="000F3819"/>
    <w:rsid w:val="000F40A2"/>
    <w:rsid w:val="000F43EB"/>
    <w:rsid w:val="000F4830"/>
    <w:rsid w:val="000F51BE"/>
    <w:rsid w:val="000F7B4A"/>
    <w:rsid w:val="0010043F"/>
    <w:rsid w:val="00100894"/>
    <w:rsid w:val="00102000"/>
    <w:rsid w:val="00102BAF"/>
    <w:rsid w:val="001034D9"/>
    <w:rsid w:val="00103720"/>
    <w:rsid w:val="00105405"/>
    <w:rsid w:val="00110709"/>
    <w:rsid w:val="0011124C"/>
    <w:rsid w:val="001118D8"/>
    <w:rsid w:val="00111DA4"/>
    <w:rsid w:val="00112650"/>
    <w:rsid w:val="0011411F"/>
    <w:rsid w:val="00114473"/>
    <w:rsid w:val="00114829"/>
    <w:rsid w:val="00117B98"/>
    <w:rsid w:val="0012043B"/>
    <w:rsid w:val="00124C74"/>
    <w:rsid w:val="00127A84"/>
    <w:rsid w:val="00130105"/>
    <w:rsid w:val="001303E6"/>
    <w:rsid w:val="00132946"/>
    <w:rsid w:val="0013342D"/>
    <w:rsid w:val="00133A4F"/>
    <w:rsid w:val="00134045"/>
    <w:rsid w:val="0013455D"/>
    <w:rsid w:val="00134649"/>
    <w:rsid w:val="001356D8"/>
    <w:rsid w:val="00136BD9"/>
    <w:rsid w:val="001371AA"/>
    <w:rsid w:val="001415C1"/>
    <w:rsid w:val="00141849"/>
    <w:rsid w:val="00143914"/>
    <w:rsid w:val="00144F0E"/>
    <w:rsid w:val="00146E6A"/>
    <w:rsid w:val="00150ABF"/>
    <w:rsid w:val="00150F33"/>
    <w:rsid w:val="001514C8"/>
    <w:rsid w:val="00151A00"/>
    <w:rsid w:val="00151E5A"/>
    <w:rsid w:val="00152FE7"/>
    <w:rsid w:val="00154A6A"/>
    <w:rsid w:val="00155329"/>
    <w:rsid w:val="00155AE0"/>
    <w:rsid w:val="001564E9"/>
    <w:rsid w:val="00157094"/>
    <w:rsid w:val="001571FB"/>
    <w:rsid w:val="00162F36"/>
    <w:rsid w:val="001649BC"/>
    <w:rsid w:val="00164C71"/>
    <w:rsid w:val="00165555"/>
    <w:rsid w:val="00165BCC"/>
    <w:rsid w:val="0016646A"/>
    <w:rsid w:val="00170717"/>
    <w:rsid w:val="00170D9F"/>
    <w:rsid w:val="00172B60"/>
    <w:rsid w:val="0017394F"/>
    <w:rsid w:val="00174089"/>
    <w:rsid w:val="00174725"/>
    <w:rsid w:val="00176F1C"/>
    <w:rsid w:val="0018040B"/>
    <w:rsid w:val="001805E4"/>
    <w:rsid w:val="001816D1"/>
    <w:rsid w:val="001819B3"/>
    <w:rsid w:val="0018440E"/>
    <w:rsid w:val="001849BC"/>
    <w:rsid w:val="001869FC"/>
    <w:rsid w:val="001915DF"/>
    <w:rsid w:val="00191959"/>
    <w:rsid w:val="00193742"/>
    <w:rsid w:val="00194052"/>
    <w:rsid w:val="001957C5"/>
    <w:rsid w:val="00195DFB"/>
    <w:rsid w:val="00196F5C"/>
    <w:rsid w:val="00197EE6"/>
    <w:rsid w:val="001A0065"/>
    <w:rsid w:val="001A0F64"/>
    <w:rsid w:val="001A2B27"/>
    <w:rsid w:val="001A389B"/>
    <w:rsid w:val="001A4101"/>
    <w:rsid w:val="001A4335"/>
    <w:rsid w:val="001A56F1"/>
    <w:rsid w:val="001A6AD5"/>
    <w:rsid w:val="001A6C4E"/>
    <w:rsid w:val="001A7470"/>
    <w:rsid w:val="001B318D"/>
    <w:rsid w:val="001B3699"/>
    <w:rsid w:val="001B603E"/>
    <w:rsid w:val="001B608B"/>
    <w:rsid w:val="001B6F62"/>
    <w:rsid w:val="001C2819"/>
    <w:rsid w:val="001C3A30"/>
    <w:rsid w:val="001D02BB"/>
    <w:rsid w:val="001D1F77"/>
    <w:rsid w:val="001D49A9"/>
    <w:rsid w:val="001D5882"/>
    <w:rsid w:val="001D7235"/>
    <w:rsid w:val="001D759C"/>
    <w:rsid w:val="001D7A22"/>
    <w:rsid w:val="001E1D9F"/>
    <w:rsid w:val="001E3C7C"/>
    <w:rsid w:val="001E45C0"/>
    <w:rsid w:val="001E7D7C"/>
    <w:rsid w:val="001F04AE"/>
    <w:rsid w:val="001F0885"/>
    <w:rsid w:val="001F1996"/>
    <w:rsid w:val="001F293E"/>
    <w:rsid w:val="001F4E02"/>
    <w:rsid w:val="001F5C10"/>
    <w:rsid w:val="001F67C5"/>
    <w:rsid w:val="002013A7"/>
    <w:rsid w:val="00202269"/>
    <w:rsid w:val="00210D19"/>
    <w:rsid w:val="00211CED"/>
    <w:rsid w:val="002133D4"/>
    <w:rsid w:val="00214CED"/>
    <w:rsid w:val="00215A01"/>
    <w:rsid w:val="00217C4D"/>
    <w:rsid w:val="00220C58"/>
    <w:rsid w:val="00222BD9"/>
    <w:rsid w:val="00223BF3"/>
    <w:rsid w:val="00225FF1"/>
    <w:rsid w:val="0022620E"/>
    <w:rsid w:val="00226C32"/>
    <w:rsid w:val="002301D1"/>
    <w:rsid w:val="002319C0"/>
    <w:rsid w:val="0023409E"/>
    <w:rsid w:val="00235861"/>
    <w:rsid w:val="00237635"/>
    <w:rsid w:val="0023773D"/>
    <w:rsid w:val="0024017C"/>
    <w:rsid w:val="00240473"/>
    <w:rsid w:val="002436A0"/>
    <w:rsid w:val="0024374C"/>
    <w:rsid w:val="002458CD"/>
    <w:rsid w:val="00245C9C"/>
    <w:rsid w:val="00247BCB"/>
    <w:rsid w:val="00251FFA"/>
    <w:rsid w:val="00253178"/>
    <w:rsid w:val="00254A68"/>
    <w:rsid w:val="002558BD"/>
    <w:rsid w:val="002559A3"/>
    <w:rsid w:val="00255D41"/>
    <w:rsid w:val="002616A3"/>
    <w:rsid w:val="002616B7"/>
    <w:rsid w:val="00261D0B"/>
    <w:rsid w:val="00263A0A"/>
    <w:rsid w:val="00264BBD"/>
    <w:rsid w:val="0026511C"/>
    <w:rsid w:val="00265E64"/>
    <w:rsid w:val="00265EC7"/>
    <w:rsid w:val="00267527"/>
    <w:rsid w:val="00271C7E"/>
    <w:rsid w:val="00273A64"/>
    <w:rsid w:val="002745BE"/>
    <w:rsid w:val="0027678B"/>
    <w:rsid w:val="00276933"/>
    <w:rsid w:val="0028159A"/>
    <w:rsid w:val="00281D22"/>
    <w:rsid w:val="00282034"/>
    <w:rsid w:val="00282108"/>
    <w:rsid w:val="0028286A"/>
    <w:rsid w:val="00282B7F"/>
    <w:rsid w:val="00282BA5"/>
    <w:rsid w:val="00283FF2"/>
    <w:rsid w:val="0028482A"/>
    <w:rsid w:val="00286755"/>
    <w:rsid w:val="00287201"/>
    <w:rsid w:val="00287616"/>
    <w:rsid w:val="002876B8"/>
    <w:rsid w:val="002926ED"/>
    <w:rsid w:val="00293254"/>
    <w:rsid w:val="00293DB5"/>
    <w:rsid w:val="00295760"/>
    <w:rsid w:val="002A0096"/>
    <w:rsid w:val="002A0210"/>
    <w:rsid w:val="002A10E3"/>
    <w:rsid w:val="002A233C"/>
    <w:rsid w:val="002A264B"/>
    <w:rsid w:val="002A2F4A"/>
    <w:rsid w:val="002A3234"/>
    <w:rsid w:val="002A65C3"/>
    <w:rsid w:val="002A6A11"/>
    <w:rsid w:val="002A7241"/>
    <w:rsid w:val="002B2473"/>
    <w:rsid w:val="002B2F49"/>
    <w:rsid w:val="002B35B0"/>
    <w:rsid w:val="002B3AD0"/>
    <w:rsid w:val="002B787B"/>
    <w:rsid w:val="002B7A26"/>
    <w:rsid w:val="002B7C76"/>
    <w:rsid w:val="002C04CA"/>
    <w:rsid w:val="002C06F8"/>
    <w:rsid w:val="002C15DB"/>
    <w:rsid w:val="002C1F49"/>
    <w:rsid w:val="002C24C6"/>
    <w:rsid w:val="002C593A"/>
    <w:rsid w:val="002C5D73"/>
    <w:rsid w:val="002D0435"/>
    <w:rsid w:val="002D0C2C"/>
    <w:rsid w:val="002D170A"/>
    <w:rsid w:val="002D2150"/>
    <w:rsid w:val="002D23B1"/>
    <w:rsid w:val="002D3007"/>
    <w:rsid w:val="002D51E1"/>
    <w:rsid w:val="002D6D96"/>
    <w:rsid w:val="002E0B13"/>
    <w:rsid w:val="002E3D92"/>
    <w:rsid w:val="002E410E"/>
    <w:rsid w:val="002E4BCC"/>
    <w:rsid w:val="002E6188"/>
    <w:rsid w:val="002F0B9D"/>
    <w:rsid w:val="002F2DF6"/>
    <w:rsid w:val="002F342A"/>
    <w:rsid w:val="002F38A7"/>
    <w:rsid w:val="002F45DE"/>
    <w:rsid w:val="002F5808"/>
    <w:rsid w:val="002F5869"/>
    <w:rsid w:val="002F6FDD"/>
    <w:rsid w:val="002F79F3"/>
    <w:rsid w:val="00300D31"/>
    <w:rsid w:val="00301270"/>
    <w:rsid w:val="00301FD2"/>
    <w:rsid w:val="003046DB"/>
    <w:rsid w:val="00307A40"/>
    <w:rsid w:val="003110ED"/>
    <w:rsid w:val="00311CE2"/>
    <w:rsid w:val="0031263E"/>
    <w:rsid w:val="0031342A"/>
    <w:rsid w:val="0031511C"/>
    <w:rsid w:val="0031561D"/>
    <w:rsid w:val="00316531"/>
    <w:rsid w:val="0032052B"/>
    <w:rsid w:val="003232A9"/>
    <w:rsid w:val="00325EBA"/>
    <w:rsid w:val="00326B8D"/>
    <w:rsid w:val="003318ED"/>
    <w:rsid w:val="003347D8"/>
    <w:rsid w:val="00335AAD"/>
    <w:rsid w:val="003366F8"/>
    <w:rsid w:val="003418AD"/>
    <w:rsid w:val="00342A17"/>
    <w:rsid w:val="00343833"/>
    <w:rsid w:val="00344971"/>
    <w:rsid w:val="0034554F"/>
    <w:rsid w:val="00345A13"/>
    <w:rsid w:val="00350EFE"/>
    <w:rsid w:val="00351D18"/>
    <w:rsid w:val="003521CC"/>
    <w:rsid w:val="00353341"/>
    <w:rsid w:val="003536A6"/>
    <w:rsid w:val="0035394B"/>
    <w:rsid w:val="00355C5D"/>
    <w:rsid w:val="00356CF4"/>
    <w:rsid w:val="00356FF8"/>
    <w:rsid w:val="00357670"/>
    <w:rsid w:val="00357F5F"/>
    <w:rsid w:val="00360AA0"/>
    <w:rsid w:val="00361295"/>
    <w:rsid w:val="00361439"/>
    <w:rsid w:val="0036431D"/>
    <w:rsid w:val="00364D00"/>
    <w:rsid w:val="0036562F"/>
    <w:rsid w:val="00367E9B"/>
    <w:rsid w:val="00372082"/>
    <w:rsid w:val="0037343E"/>
    <w:rsid w:val="003737CE"/>
    <w:rsid w:val="00375CF6"/>
    <w:rsid w:val="0038064F"/>
    <w:rsid w:val="00382290"/>
    <w:rsid w:val="003824AD"/>
    <w:rsid w:val="003844C1"/>
    <w:rsid w:val="00384720"/>
    <w:rsid w:val="00384886"/>
    <w:rsid w:val="003850AB"/>
    <w:rsid w:val="00386434"/>
    <w:rsid w:val="00390FD2"/>
    <w:rsid w:val="00392C50"/>
    <w:rsid w:val="0039389F"/>
    <w:rsid w:val="00394FC1"/>
    <w:rsid w:val="00395093"/>
    <w:rsid w:val="0039590D"/>
    <w:rsid w:val="003A0ED3"/>
    <w:rsid w:val="003A2783"/>
    <w:rsid w:val="003A3FDA"/>
    <w:rsid w:val="003A41E1"/>
    <w:rsid w:val="003A6E41"/>
    <w:rsid w:val="003A751F"/>
    <w:rsid w:val="003A758D"/>
    <w:rsid w:val="003B415B"/>
    <w:rsid w:val="003B46D7"/>
    <w:rsid w:val="003B626A"/>
    <w:rsid w:val="003B7BD8"/>
    <w:rsid w:val="003C010A"/>
    <w:rsid w:val="003C052D"/>
    <w:rsid w:val="003C0B76"/>
    <w:rsid w:val="003C1A94"/>
    <w:rsid w:val="003C2912"/>
    <w:rsid w:val="003C3095"/>
    <w:rsid w:val="003C462E"/>
    <w:rsid w:val="003C6569"/>
    <w:rsid w:val="003C7FF5"/>
    <w:rsid w:val="003D0976"/>
    <w:rsid w:val="003D2D2D"/>
    <w:rsid w:val="003D384A"/>
    <w:rsid w:val="003D3BFB"/>
    <w:rsid w:val="003D4AC8"/>
    <w:rsid w:val="003D695E"/>
    <w:rsid w:val="003D7173"/>
    <w:rsid w:val="003E197D"/>
    <w:rsid w:val="003E3D96"/>
    <w:rsid w:val="003E5153"/>
    <w:rsid w:val="003E58EB"/>
    <w:rsid w:val="003F05E5"/>
    <w:rsid w:val="003F1CD4"/>
    <w:rsid w:val="003F27B5"/>
    <w:rsid w:val="003F3437"/>
    <w:rsid w:val="003F53F2"/>
    <w:rsid w:val="003F710C"/>
    <w:rsid w:val="003F7F39"/>
    <w:rsid w:val="00400788"/>
    <w:rsid w:val="00401D0D"/>
    <w:rsid w:val="00402047"/>
    <w:rsid w:val="004022BE"/>
    <w:rsid w:val="00402BB5"/>
    <w:rsid w:val="0040426D"/>
    <w:rsid w:val="00406030"/>
    <w:rsid w:val="004110DC"/>
    <w:rsid w:val="0041151F"/>
    <w:rsid w:val="00411953"/>
    <w:rsid w:val="0041230A"/>
    <w:rsid w:val="0041505E"/>
    <w:rsid w:val="004170A8"/>
    <w:rsid w:val="004173C4"/>
    <w:rsid w:val="00420680"/>
    <w:rsid w:val="004213C6"/>
    <w:rsid w:val="004213DF"/>
    <w:rsid w:val="00422022"/>
    <w:rsid w:val="004234DE"/>
    <w:rsid w:val="0042437A"/>
    <w:rsid w:val="004268BD"/>
    <w:rsid w:val="00426E09"/>
    <w:rsid w:val="004277D7"/>
    <w:rsid w:val="00430D8F"/>
    <w:rsid w:val="00431A71"/>
    <w:rsid w:val="00431D1F"/>
    <w:rsid w:val="004328B3"/>
    <w:rsid w:val="00433ACB"/>
    <w:rsid w:val="00435A80"/>
    <w:rsid w:val="0043601A"/>
    <w:rsid w:val="004374ED"/>
    <w:rsid w:val="00437D51"/>
    <w:rsid w:val="00437D9A"/>
    <w:rsid w:val="00444411"/>
    <w:rsid w:val="00445682"/>
    <w:rsid w:val="00445BF5"/>
    <w:rsid w:val="004517CE"/>
    <w:rsid w:val="00453D38"/>
    <w:rsid w:val="00454388"/>
    <w:rsid w:val="004549A1"/>
    <w:rsid w:val="004553C5"/>
    <w:rsid w:val="00456427"/>
    <w:rsid w:val="00456BAD"/>
    <w:rsid w:val="00457DA1"/>
    <w:rsid w:val="00457DE8"/>
    <w:rsid w:val="004610BA"/>
    <w:rsid w:val="00461413"/>
    <w:rsid w:val="00464F27"/>
    <w:rsid w:val="00466290"/>
    <w:rsid w:val="00472EA7"/>
    <w:rsid w:val="00476E6B"/>
    <w:rsid w:val="004770D9"/>
    <w:rsid w:val="004808FF"/>
    <w:rsid w:val="00480FFA"/>
    <w:rsid w:val="004824E0"/>
    <w:rsid w:val="0048520D"/>
    <w:rsid w:val="00485269"/>
    <w:rsid w:val="00486E76"/>
    <w:rsid w:val="0048778F"/>
    <w:rsid w:val="004878B1"/>
    <w:rsid w:val="00487B34"/>
    <w:rsid w:val="00487B7A"/>
    <w:rsid w:val="00487E7D"/>
    <w:rsid w:val="00490142"/>
    <w:rsid w:val="004918EE"/>
    <w:rsid w:val="00491980"/>
    <w:rsid w:val="004919C2"/>
    <w:rsid w:val="00491A63"/>
    <w:rsid w:val="0049268D"/>
    <w:rsid w:val="004938DF"/>
    <w:rsid w:val="00493B71"/>
    <w:rsid w:val="00493C9E"/>
    <w:rsid w:val="004A1525"/>
    <w:rsid w:val="004A1CBF"/>
    <w:rsid w:val="004A1CCF"/>
    <w:rsid w:val="004A2F05"/>
    <w:rsid w:val="004A2FAF"/>
    <w:rsid w:val="004A3097"/>
    <w:rsid w:val="004A4954"/>
    <w:rsid w:val="004A4CE5"/>
    <w:rsid w:val="004A5228"/>
    <w:rsid w:val="004A5705"/>
    <w:rsid w:val="004B2F72"/>
    <w:rsid w:val="004B3371"/>
    <w:rsid w:val="004B35C8"/>
    <w:rsid w:val="004B5C8C"/>
    <w:rsid w:val="004B7504"/>
    <w:rsid w:val="004B7736"/>
    <w:rsid w:val="004C01B9"/>
    <w:rsid w:val="004C0395"/>
    <w:rsid w:val="004C415D"/>
    <w:rsid w:val="004C5F84"/>
    <w:rsid w:val="004C6BB2"/>
    <w:rsid w:val="004D0976"/>
    <w:rsid w:val="004D15AD"/>
    <w:rsid w:val="004D2453"/>
    <w:rsid w:val="004D4101"/>
    <w:rsid w:val="004D61CE"/>
    <w:rsid w:val="004D650F"/>
    <w:rsid w:val="004E096F"/>
    <w:rsid w:val="004E2765"/>
    <w:rsid w:val="004E296C"/>
    <w:rsid w:val="004E48E9"/>
    <w:rsid w:val="004E536C"/>
    <w:rsid w:val="004E5515"/>
    <w:rsid w:val="004E5FCD"/>
    <w:rsid w:val="004E71AC"/>
    <w:rsid w:val="004E7A4C"/>
    <w:rsid w:val="004F1049"/>
    <w:rsid w:val="004F26A6"/>
    <w:rsid w:val="004F2718"/>
    <w:rsid w:val="004F4E2F"/>
    <w:rsid w:val="004F50FC"/>
    <w:rsid w:val="004F52CF"/>
    <w:rsid w:val="004F5784"/>
    <w:rsid w:val="0050137D"/>
    <w:rsid w:val="0050146B"/>
    <w:rsid w:val="00504B25"/>
    <w:rsid w:val="005074B8"/>
    <w:rsid w:val="005075EA"/>
    <w:rsid w:val="00507D3C"/>
    <w:rsid w:val="00511473"/>
    <w:rsid w:val="0051160B"/>
    <w:rsid w:val="00511905"/>
    <w:rsid w:val="00513584"/>
    <w:rsid w:val="0051395A"/>
    <w:rsid w:val="0051444B"/>
    <w:rsid w:val="005162E9"/>
    <w:rsid w:val="00521F89"/>
    <w:rsid w:val="005221CE"/>
    <w:rsid w:val="00524085"/>
    <w:rsid w:val="00525B8C"/>
    <w:rsid w:val="005313E4"/>
    <w:rsid w:val="00535502"/>
    <w:rsid w:val="00543CC1"/>
    <w:rsid w:val="0054409B"/>
    <w:rsid w:val="005477A7"/>
    <w:rsid w:val="00550CB9"/>
    <w:rsid w:val="0055204B"/>
    <w:rsid w:val="00552EE6"/>
    <w:rsid w:val="00554248"/>
    <w:rsid w:val="005543F7"/>
    <w:rsid w:val="00554CA9"/>
    <w:rsid w:val="005610ED"/>
    <w:rsid w:val="005621DA"/>
    <w:rsid w:val="005657B9"/>
    <w:rsid w:val="00565A69"/>
    <w:rsid w:val="005661B1"/>
    <w:rsid w:val="00566886"/>
    <w:rsid w:val="00567E85"/>
    <w:rsid w:val="00570C7C"/>
    <w:rsid w:val="005712C3"/>
    <w:rsid w:val="00571E62"/>
    <w:rsid w:val="00572050"/>
    <w:rsid w:val="00572495"/>
    <w:rsid w:val="00574D57"/>
    <w:rsid w:val="00574E8F"/>
    <w:rsid w:val="00576752"/>
    <w:rsid w:val="00580763"/>
    <w:rsid w:val="005807EE"/>
    <w:rsid w:val="00580E9F"/>
    <w:rsid w:val="0058307F"/>
    <w:rsid w:val="00584914"/>
    <w:rsid w:val="00584C80"/>
    <w:rsid w:val="00585593"/>
    <w:rsid w:val="00585952"/>
    <w:rsid w:val="00586135"/>
    <w:rsid w:val="00586B0D"/>
    <w:rsid w:val="0058786C"/>
    <w:rsid w:val="0059041C"/>
    <w:rsid w:val="00593B9A"/>
    <w:rsid w:val="00594673"/>
    <w:rsid w:val="005A01E8"/>
    <w:rsid w:val="005A18DE"/>
    <w:rsid w:val="005A39D1"/>
    <w:rsid w:val="005A5292"/>
    <w:rsid w:val="005A724E"/>
    <w:rsid w:val="005B2A62"/>
    <w:rsid w:val="005B50C9"/>
    <w:rsid w:val="005B5287"/>
    <w:rsid w:val="005C1411"/>
    <w:rsid w:val="005C15E2"/>
    <w:rsid w:val="005C2209"/>
    <w:rsid w:val="005C2BFE"/>
    <w:rsid w:val="005C341C"/>
    <w:rsid w:val="005C45FF"/>
    <w:rsid w:val="005C5485"/>
    <w:rsid w:val="005C7C3B"/>
    <w:rsid w:val="005D1576"/>
    <w:rsid w:val="005D173A"/>
    <w:rsid w:val="005D1F89"/>
    <w:rsid w:val="005D4150"/>
    <w:rsid w:val="005D5D91"/>
    <w:rsid w:val="005E0DD9"/>
    <w:rsid w:val="005E2EB3"/>
    <w:rsid w:val="005E3B0A"/>
    <w:rsid w:val="005E4786"/>
    <w:rsid w:val="005E48AC"/>
    <w:rsid w:val="005E5588"/>
    <w:rsid w:val="005F0659"/>
    <w:rsid w:val="005F2212"/>
    <w:rsid w:val="005F344A"/>
    <w:rsid w:val="005F413C"/>
    <w:rsid w:val="005F60F9"/>
    <w:rsid w:val="00602F90"/>
    <w:rsid w:val="006038D4"/>
    <w:rsid w:val="00610CBA"/>
    <w:rsid w:val="0061105B"/>
    <w:rsid w:val="00612208"/>
    <w:rsid w:val="0061382E"/>
    <w:rsid w:val="00613DE2"/>
    <w:rsid w:val="0062003A"/>
    <w:rsid w:val="0062028E"/>
    <w:rsid w:val="00620296"/>
    <w:rsid w:val="00620652"/>
    <w:rsid w:val="00626C73"/>
    <w:rsid w:val="00627B9D"/>
    <w:rsid w:val="0063019E"/>
    <w:rsid w:val="0063051B"/>
    <w:rsid w:val="006330D4"/>
    <w:rsid w:val="00634184"/>
    <w:rsid w:val="00634B1D"/>
    <w:rsid w:val="00635F8E"/>
    <w:rsid w:val="00640137"/>
    <w:rsid w:val="006417BB"/>
    <w:rsid w:val="006419A5"/>
    <w:rsid w:val="00643119"/>
    <w:rsid w:val="006446D4"/>
    <w:rsid w:val="00644816"/>
    <w:rsid w:val="006464C7"/>
    <w:rsid w:val="006509BA"/>
    <w:rsid w:val="0065456E"/>
    <w:rsid w:val="006557C8"/>
    <w:rsid w:val="00655E41"/>
    <w:rsid w:val="006566BA"/>
    <w:rsid w:val="00660B8A"/>
    <w:rsid w:val="006610D8"/>
    <w:rsid w:val="00664121"/>
    <w:rsid w:val="0066470E"/>
    <w:rsid w:val="00664812"/>
    <w:rsid w:val="00665E0B"/>
    <w:rsid w:val="00666DCD"/>
    <w:rsid w:val="0066777D"/>
    <w:rsid w:val="00671EDB"/>
    <w:rsid w:val="0067651A"/>
    <w:rsid w:val="00681325"/>
    <w:rsid w:val="0068136E"/>
    <w:rsid w:val="00681575"/>
    <w:rsid w:val="00681E83"/>
    <w:rsid w:val="0068203A"/>
    <w:rsid w:val="006825AC"/>
    <w:rsid w:val="0068381C"/>
    <w:rsid w:val="00685A4F"/>
    <w:rsid w:val="00686935"/>
    <w:rsid w:val="0068779E"/>
    <w:rsid w:val="00690491"/>
    <w:rsid w:val="006919B2"/>
    <w:rsid w:val="00691CFD"/>
    <w:rsid w:val="006922D3"/>
    <w:rsid w:val="006942B2"/>
    <w:rsid w:val="006945E5"/>
    <w:rsid w:val="00694657"/>
    <w:rsid w:val="00694BBB"/>
    <w:rsid w:val="00696DAA"/>
    <w:rsid w:val="006971D5"/>
    <w:rsid w:val="0069771C"/>
    <w:rsid w:val="006A0169"/>
    <w:rsid w:val="006A02B9"/>
    <w:rsid w:val="006A343A"/>
    <w:rsid w:val="006A5545"/>
    <w:rsid w:val="006A5595"/>
    <w:rsid w:val="006A5BCC"/>
    <w:rsid w:val="006A5FE8"/>
    <w:rsid w:val="006A7680"/>
    <w:rsid w:val="006A7832"/>
    <w:rsid w:val="006B0AA0"/>
    <w:rsid w:val="006B1A88"/>
    <w:rsid w:val="006B4026"/>
    <w:rsid w:val="006B58D5"/>
    <w:rsid w:val="006C0D3E"/>
    <w:rsid w:val="006C1160"/>
    <w:rsid w:val="006C2100"/>
    <w:rsid w:val="006C2BF9"/>
    <w:rsid w:val="006C4C30"/>
    <w:rsid w:val="006C6B0E"/>
    <w:rsid w:val="006C78F3"/>
    <w:rsid w:val="006D1436"/>
    <w:rsid w:val="006D2B28"/>
    <w:rsid w:val="006D4FA6"/>
    <w:rsid w:val="006D584D"/>
    <w:rsid w:val="006E1A19"/>
    <w:rsid w:val="006E1D8A"/>
    <w:rsid w:val="006E257F"/>
    <w:rsid w:val="006E2876"/>
    <w:rsid w:val="006E2F26"/>
    <w:rsid w:val="006E41AA"/>
    <w:rsid w:val="006E4E82"/>
    <w:rsid w:val="006E6728"/>
    <w:rsid w:val="006F0626"/>
    <w:rsid w:val="006F091E"/>
    <w:rsid w:val="006F0E88"/>
    <w:rsid w:val="006F2D81"/>
    <w:rsid w:val="006F3BCD"/>
    <w:rsid w:val="006F3DE9"/>
    <w:rsid w:val="006F45CF"/>
    <w:rsid w:val="007003D0"/>
    <w:rsid w:val="007008DF"/>
    <w:rsid w:val="0070124D"/>
    <w:rsid w:val="007027BD"/>
    <w:rsid w:val="007027C4"/>
    <w:rsid w:val="0070390F"/>
    <w:rsid w:val="007040FC"/>
    <w:rsid w:val="007051EF"/>
    <w:rsid w:val="00707F61"/>
    <w:rsid w:val="0071018C"/>
    <w:rsid w:val="0071085C"/>
    <w:rsid w:val="0071102B"/>
    <w:rsid w:val="00711B6A"/>
    <w:rsid w:val="00712035"/>
    <w:rsid w:val="007137AF"/>
    <w:rsid w:val="00714A09"/>
    <w:rsid w:val="00715141"/>
    <w:rsid w:val="00716AF5"/>
    <w:rsid w:val="0071733D"/>
    <w:rsid w:val="00723581"/>
    <w:rsid w:val="0072363F"/>
    <w:rsid w:val="007237C2"/>
    <w:rsid w:val="00723C48"/>
    <w:rsid w:val="00723FC3"/>
    <w:rsid w:val="00724ECF"/>
    <w:rsid w:val="00725A21"/>
    <w:rsid w:val="007262EE"/>
    <w:rsid w:val="00731E8F"/>
    <w:rsid w:val="00733347"/>
    <w:rsid w:val="00733B44"/>
    <w:rsid w:val="00733C20"/>
    <w:rsid w:val="00733CEF"/>
    <w:rsid w:val="0073420B"/>
    <w:rsid w:val="00735DDD"/>
    <w:rsid w:val="00740F58"/>
    <w:rsid w:val="00741ABB"/>
    <w:rsid w:val="00741C90"/>
    <w:rsid w:val="00742A6C"/>
    <w:rsid w:val="007435F1"/>
    <w:rsid w:val="00743E0B"/>
    <w:rsid w:val="0074678C"/>
    <w:rsid w:val="00746D7A"/>
    <w:rsid w:val="00747685"/>
    <w:rsid w:val="00747C8A"/>
    <w:rsid w:val="0075045E"/>
    <w:rsid w:val="0075267B"/>
    <w:rsid w:val="0075316D"/>
    <w:rsid w:val="0075384B"/>
    <w:rsid w:val="00753B6A"/>
    <w:rsid w:val="0075436F"/>
    <w:rsid w:val="0075538A"/>
    <w:rsid w:val="007558F3"/>
    <w:rsid w:val="0076051E"/>
    <w:rsid w:val="00760F72"/>
    <w:rsid w:val="00761036"/>
    <w:rsid w:val="00761DAD"/>
    <w:rsid w:val="0076431F"/>
    <w:rsid w:val="00764417"/>
    <w:rsid w:val="00764C9B"/>
    <w:rsid w:val="007650B7"/>
    <w:rsid w:val="00766299"/>
    <w:rsid w:val="00766A5B"/>
    <w:rsid w:val="00766B08"/>
    <w:rsid w:val="00770E60"/>
    <w:rsid w:val="0077346B"/>
    <w:rsid w:val="0077382C"/>
    <w:rsid w:val="00774F31"/>
    <w:rsid w:val="00775582"/>
    <w:rsid w:val="00775AAE"/>
    <w:rsid w:val="00776220"/>
    <w:rsid w:val="00776ED8"/>
    <w:rsid w:val="00777541"/>
    <w:rsid w:val="007778B8"/>
    <w:rsid w:val="00777958"/>
    <w:rsid w:val="00780207"/>
    <w:rsid w:val="00780CF4"/>
    <w:rsid w:val="00780E87"/>
    <w:rsid w:val="00781BD7"/>
    <w:rsid w:val="0078479B"/>
    <w:rsid w:val="007858DE"/>
    <w:rsid w:val="00785D31"/>
    <w:rsid w:val="0078652B"/>
    <w:rsid w:val="00791576"/>
    <w:rsid w:val="007918CA"/>
    <w:rsid w:val="007918DC"/>
    <w:rsid w:val="00793AAB"/>
    <w:rsid w:val="00793BC0"/>
    <w:rsid w:val="00797B59"/>
    <w:rsid w:val="007A07CF"/>
    <w:rsid w:val="007A0880"/>
    <w:rsid w:val="007A1866"/>
    <w:rsid w:val="007A4C83"/>
    <w:rsid w:val="007A4DC9"/>
    <w:rsid w:val="007A5D77"/>
    <w:rsid w:val="007A7C75"/>
    <w:rsid w:val="007B01F7"/>
    <w:rsid w:val="007B0C26"/>
    <w:rsid w:val="007B0CA7"/>
    <w:rsid w:val="007B112F"/>
    <w:rsid w:val="007B585E"/>
    <w:rsid w:val="007B68B8"/>
    <w:rsid w:val="007B7119"/>
    <w:rsid w:val="007C04AE"/>
    <w:rsid w:val="007C0DFA"/>
    <w:rsid w:val="007C1AF6"/>
    <w:rsid w:val="007C2E89"/>
    <w:rsid w:val="007C4FE5"/>
    <w:rsid w:val="007C6FDA"/>
    <w:rsid w:val="007C7D18"/>
    <w:rsid w:val="007D4F9E"/>
    <w:rsid w:val="007D584F"/>
    <w:rsid w:val="007D66DC"/>
    <w:rsid w:val="007D7692"/>
    <w:rsid w:val="007D7AD6"/>
    <w:rsid w:val="007E02E5"/>
    <w:rsid w:val="007E0772"/>
    <w:rsid w:val="007E1472"/>
    <w:rsid w:val="007E1785"/>
    <w:rsid w:val="007E28AA"/>
    <w:rsid w:val="007E2BFF"/>
    <w:rsid w:val="007E6D05"/>
    <w:rsid w:val="007E70A4"/>
    <w:rsid w:val="007E790F"/>
    <w:rsid w:val="007E7C2F"/>
    <w:rsid w:val="007E7CF5"/>
    <w:rsid w:val="007F221C"/>
    <w:rsid w:val="007F33B5"/>
    <w:rsid w:val="007F5E2E"/>
    <w:rsid w:val="007F6B00"/>
    <w:rsid w:val="008004A5"/>
    <w:rsid w:val="008021D8"/>
    <w:rsid w:val="00804EC3"/>
    <w:rsid w:val="00804F0D"/>
    <w:rsid w:val="00806DA3"/>
    <w:rsid w:val="0081085B"/>
    <w:rsid w:val="00810F34"/>
    <w:rsid w:val="0081237A"/>
    <w:rsid w:val="00816D7C"/>
    <w:rsid w:val="00816EB3"/>
    <w:rsid w:val="008172AC"/>
    <w:rsid w:val="008207D3"/>
    <w:rsid w:val="00820A98"/>
    <w:rsid w:val="008212D9"/>
    <w:rsid w:val="008230E3"/>
    <w:rsid w:val="00823282"/>
    <w:rsid w:val="00826D51"/>
    <w:rsid w:val="008278A3"/>
    <w:rsid w:val="00831DB8"/>
    <w:rsid w:val="00832384"/>
    <w:rsid w:val="00833E45"/>
    <w:rsid w:val="00835777"/>
    <w:rsid w:val="0083782C"/>
    <w:rsid w:val="00840D85"/>
    <w:rsid w:val="00842703"/>
    <w:rsid w:val="00842B45"/>
    <w:rsid w:val="00842DA1"/>
    <w:rsid w:val="00846508"/>
    <w:rsid w:val="008501D8"/>
    <w:rsid w:val="008502B5"/>
    <w:rsid w:val="00851964"/>
    <w:rsid w:val="00853486"/>
    <w:rsid w:val="00853553"/>
    <w:rsid w:val="00853BD2"/>
    <w:rsid w:val="008544F7"/>
    <w:rsid w:val="0085513B"/>
    <w:rsid w:val="00856E16"/>
    <w:rsid w:val="00857398"/>
    <w:rsid w:val="00857597"/>
    <w:rsid w:val="008622BF"/>
    <w:rsid w:val="00862507"/>
    <w:rsid w:val="00862511"/>
    <w:rsid w:val="008626B6"/>
    <w:rsid w:val="00863284"/>
    <w:rsid w:val="00863600"/>
    <w:rsid w:val="00863C4E"/>
    <w:rsid w:val="00864B8B"/>
    <w:rsid w:val="008653BC"/>
    <w:rsid w:val="00865A89"/>
    <w:rsid w:val="00867917"/>
    <w:rsid w:val="00871646"/>
    <w:rsid w:val="008719D4"/>
    <w:rsid w:val="00873AE2"/>
    <w:rsid w:val="00874BDC"/>
    <w:rsid w:val="008764AD"/>
    <w:rsid w:val="008766F0"/>
    <w:rsid w:val="00876A73"/>
    <w:rsid w:val="00880ABD"/>
    <w:rsid w:val="00880FA0"/>
    <w:rsid w:val="00881B52"/>
    <w:rsid w:val="008837CB"/>
    <w:rsid w:val="00883F4D"/>
    <w:rsid w:val="0088679E"/>
    <w:rsid w:val="00891B40"/>
    <w:rsid w:val="00891BFF"/>
    <w:rsid w:val="00891E77"/>
    <w:rsid w:val="0089259F"/>
    <w:rsid w:val="00892926"/>
    <w:rsid w:val="00892BEB"/>
    <w:rsid w:val="00893BE1"/>
    <w:rsid w:val="00894E70"/>
    <w:rsid w:val="008970CE"/>
    <w:rsid w:val="0089769B"/>
    <w:rsid w:val="008A1BD4"/>
    <w:rsid w:val="008A32EE"/>
    <w:rsid w:val="008A3D66"/>
    <w:rsid w:val="008A504B"/>
    <w:rsid w:val="008A5BD8"/>
    <w:rsid w:val="008A6011"/>
    <w:rsid w:val="008A6093"/>
    <w:rsid w:val="008A617E"/>
    <w:rsid w:val="008A6B13"/>
    <w:rsid w:val="008B07BE"/>
    <w:rsid w:val="008B27E1"/>
    <w:rsid w:val="008B2E7F"/>
    <w:rsid w:val="008B41C1"/>
    <w:rsid w:val="008B70DE"/>
    <w:rsid w:val="008B73C2"/>
    <w:rsid w:val="008B7672"/>
    <w:rsid w:val="008C17EF"/>
    <w:rsid w:val="008C1D58"/>
    <w:rsid w:val="008C20AC"/>
    <w:rsid w:val="008C282B"/>
    <w:rsid w:val="008C3FD3"/>
    <w:rsid w:val="008C4570"/>
    <w:rsid w:val="008C487F"/>
    <w:rsid w:val="008C4A55"/>
    <w:rsid w:val="008C501E"/>
    <w:rsid w:val="008D128B"/>
    <w:rsid w:val="008D16B3"/>
    <w:rsid w:val="008D3888"/>
    <w:rsid w:val="008D41C3"/>
    <w:rsid w:val="008D4F59"/>
    <w:rsid w:val="008D6341"/>
    <w:rsid w:val="008E1B62"/>
    <w:rsid w:val="008E22F6"/>
    <w:rsid w:val="008E71BD"/>
    <w:rsid w:val="008E77DF"/>
    <w:rsid w:val="008F19D5"/>
    <w:rsid w:val="008F2F5A"/>
    <w:rsid w:val="008F50CE"/>
    <w:rsid w:val="008F6B95"/>
    <w:rsid w:val="00900E75"/>
    <w:rsid w:val="0090105F"/>
    <w:rsid w:val="00903556"/>
    <w:rsid w:val="00904A20"/>
    <w:rsid w:val="00911413"/>
    <w:rsid w:val="00911CB0"/>
    <w:rsid w:val="00911CC9"/>
    <w:rsid w:val="009159A3"/>
    <w:rsid w:val="00915D8E"/>
    <w:rsid w:val="009160FD"/>
    <w:rsid w:val="00917572"/>
    <w:rsid w:val="00917943"/>
    <w:rsid w:val="00921942"/>
    <w:rsid w:val="00921A7D"/>
    <w:rsid w:val="00921D6E"/>
    <w:rsid w:val="009235C1"/>
    <w:rsid w:val="00923B82"/>
    <w:rsid w:val="009242EE"/>
    <w:rsid w:val="00925406"/>
    <w:rsid w:val="009301D4"/>
    <w:rsid w:val="009304CE"/>
    <w:rsid w:val="00932824"/>
    <w:rsid w:val="00936115"/>
    <w:rsid w:val="00942454"/>
    <w:rsid w:val="009426E8"/>
    <w:rsid w:val="009444DB"/>
    <w:rsid w:val="00944AAD"/>
    <w:rsid w:val="009457F6"/>
    <w:rsid w:val="009459FE"/>
    <w:rsid w:val="0094645C"/>
    <w:rsid w:val="00946B8A"/>
    <w:rsid w:val="009518EC"/>
    <w:rsid w:val="00952FB5"/>
    <w:rsid w:val="009548B1"/>
    <w:rsid w:val="00955ABF"/>
    <w:rsid w:val="00955BD4"/>
    <w:rsid w:val="009563AE"/>
    <w:rsid w:val="00960966"/>
    <w:rsid w:val="00962ADB"/>
    <w:rsid w:val="00963203"/>
    <w:rsid w:val="009636AB"/>
    <w:rsid w:val="00963D1F"/>
    <w:rsid w:val="009666E0"/>
    <w:rsid w:val="0096691A"/>
    <w:rsid w:val="00971FF3"/>
    <w:rsid w:val="00972FE7"/>
    <w:rsid w:val="0097324B"/>
    <w:rsid w:val="00973264"/>
    <w:rsid w:val="009736C7"/>
    <w:rsid w:val="00974424"/>
    <w:rsid w:val="0097673F"/>
    <w:rsid w:val="009836A3"/>
    <w:rsid w:val="00983F33"/>
    <w:rsid w:val="0099074C"/>
    <w:rsid w:val="009907A0"/>
    <w:rsid w:val="009919EB"/>
    <w:rsid w:val="00991F19"/>
    <w:rsid w:val="0099370B"/>
    <w:rsid w:val="00993CD2"/>
    <w:rsid w:val="00995AB4"/>
    <w:rsid w:val="009971DF"/>
    <w:rsid w:val="009972CA"/>
    <w:rsid w:val="009A2B48"/>
    <w:rsid w:val="009A43E3"/>
    <w:rsid w:val="009A57F7"/>
    <w:rsid w:val="009A7AB6"/>
    <w:rsid w:val="009B1359"/>
    <w:rsid w:val="009B1754"/>
    <w:rsid w:val="009B34AB"/>
    <w:rsid w:val="009B3725"/>
    <w:rsid w:val="009C17DD"/>
    <w:rsid w:val="009C1902"/>
    <w:rsid w:val="009C1A4A"/>
    <w:rsid w:val="009C31E8"/>
    <w:rsid w:val="009C7AA0"/>
    <w:rsid w:val="009D0ACB"/>
    <w:rsid w:val="009D7408"/>
    <w:rsid w:val="009D7C47"/>
    <w:rsid w:val="009E005D"/>
    <w:rsid w:val="009E2AB1"/>
    <w:rsid w:val="009E3B5A"/>
    <w:rsid w:val="009E4B15"/>
    <w:rsid w:val="009E596C"/>
    <w:rsid w:val="009E7813"/>
    <w:rsid w:val="009F412D"/>
    <w:rsid w:val="009F4A5C"/>
    <w:rsid w:val="009F4C02"/>
    <w:rsid w:val="009F4D00"/>
    <w:rsid w:val="009F630C"/>
    <w:rsid w:val="009F7D4B"/>
    <w:rsid w:val="00A0104F"/>
    <w:rsid w:val="00A0112E"/>
    <w:rsid w:val="00A01586"/>
    <w:rsid w:val="00A14B0A"/>
    <w:rsid w:val="00A15E5F"/>
    <w:rsid w:val="00A17729"/>
    <w:rsid w:val="00A178D4"/>
    <w:rsid w:val="00A212F0"/>
    <w:rsid w:val="00A23B19"/>
    <w:rsid w:val="00A24659"/>
    <w:rsid w:val="00A2520E"/>
    <w:rsid w:val="00A2722E"/>
    <w:rsid w:val="00A27B25"/>
    <w:rsid w:val="00A30A2D"/>
    <w:rsid w:val="00A325D6"/>
    <w:rsid w:val="00A32683"/>
    <w:rsid w:val="00A32C0E"/>
    <w:rsid w:val="00A338E3"/>
    <w:rsid w:val="00A34DDD"/>
    <w:rsid w:val="00A35CC8"/>
    <w:rsid w:val="00A37712"/>
    <w:rsid w:val="00A37D9E"/>
    <w:rsid w:val="00A37DC7"/>
    <w:rsid w:val="00A400DE"/>
    <w:rsid w:val="00A407F1"/>
    <w:rsid w:val="00A4124E"/>
    <w:rsid w:val="00A41442"/>
    <w:rsid w:val="00A4220E"/>
    <w:rsid w:val="00A42399"/>
    <w:rsid w:val="00A447C5"/>
    <w:rsid w:val="00A44A53"/>
    <w:rsid w:val="00A45EE6"/>
    <w:rsid w:val="00A45FF3"/>
    <w:rsid w:val="00A461C9"/>
    <w:rsid w:val="00A467BD"/>
    <w:rsid w:val="00A46EA5"/>
    <w:rsid w:val="00A50BAA"/>
    <w:rsid w:val="00A5165E"/>
    <w:rsid w:val="00A51F53"/>
    <w:rsid w:val="00A55CA7"/>
    <w:rsid w:val="00A57022"/>
    <w:rsid w:val="00A57A7C"/>
    <w:rsid w:val="00A60305"/>
    <w:rsid w:val="00A60525"/>
    <w:rsid w:val="00A613C3"/>
    <w:rsid w:val="00A61634"/>
    <w:rsid w:val="00A632CF"/>
    <w:rsid w:val="00A63F09"/>
    <w:rsid w:val="00A64C74"/>
    <w:rsid w:val="00A65E11"/>
    <w:rsid w:val="00A66616"/>
    <w:rsid w:val="00A66B4C"/>
    <w:rsid w:val="00A70894"/>
    <w:rsid w:val="00A71A25"/>
    <w:rsid w:val="00A72771"/>
    <w:rsid w:val="00A73F74"/>
    <w:rsid w:val="00A743DC"/>
    <w:rsid w:val="00A74841"/>
    <w:rsid w:val="00A7490A"/>
    <w:rsid w:val="00A77BDA"/>
    <w:rsid w:val="00A80A3F"/>
    <w:rsid w:val="00A80E8E"/>
    <w:rsid w:val="00A82611"/>
    <w:rsid w:val="00A84D1C"/>
    <w:rsid w:val="00A869A3"/>
    <w:rsid w:val="00A92175"/>
    <w:rsid w:val="00A941FA"/>
    <w:rsid w:val="00A95B30"/>
    <w:rsid w:val="00A973C0"/>
    <w:rsid w:val="00A97DF7"/>
    <w:rsid w:val="00AA07F7"/>
    <w:rsid w:val="00AA11DF"/>
    <w:rsid w:val="00AA1FB7"/>
    <w:rsid w:val="00AA211F"/>
    <w:rsid w:val="00AA70E0"/>
    <w:rsid w:val="00AB64D4"/>
    <w:rsid w:val="00AB6C5F"/>
    <w:rsid w:val="00AC050C"/>
    <w:rsid w:val="00AC110C"/>
    <w:rsid w:val="00AC1B40"/>
    <w:rsid w:val="00AC1C20"/>
    <w:rsid w:val="00AC1D21"/>
    <w:rsid w:val="00AC4799"/>
    <w:rsid w:val="00AC48B1"/>
    <w:rsid w:val="00AC5AE7"/>
    <w:rsid w:val="00AC69AA"/>
    <w:rsid w:val="00AD37B3"/>
    <w:rsid w:val="00AD39F5"/>
    <w:rsid w:val="00AD428C"/>
    <w:rsid w:val="00AD4611"/>
    <w:rsid w:val="00AD5249"/>
    <w:rsid w:val="00AE1571"/>
    <w:rsid w:val="00AE16C5"/>
    <w:rsid w:val="00AE2125"/>
    <w:rsid w:val="00AE6A9F"/>
    <w:rsid w:val="00AE74B5"/>
    <w:rsid w:val="00AE7F7F"/>
    <w:rsid w:val="00AF08F4"/>
    <w:rsid w:val="00AF366B"/>
    <w:rsid w:val="00AF39A3"/>
    <w:rsid w:val="00AF454B"/>
    <w:rsid w:val="00AF49F4"/>
    <w:rsid w:val="00B0375F"/>
    <w:rsid w:val="00B04461"/>
    <w:rsid w:val="00B04ABF"/>
    <w:rsid w:val="00B055EE"/>
    <w:rsid w:val="00B05A5D"/>
    <w:rsid w:val="00B07C81"/>
    <w:rsid w:val="00B07DE8"/>
    <w:rsid w:val="00B13061"/>
    <w:rsid w:val="00B174AC"/>
    <w:rsid w:val="00B2059C"/>
    <w:rsid w:val="00B20640"/>
    <w:rsid w:val="00B206DD"/>
    <w:rsid w:val="00B208DE"/>
    <w:rsid w:val="00B20BC8"/>
    <w:rsid w:val="00B219F9"/>
    <w:rsid w:val="00B21CD8"/>
    <w:rsid w:val="00B221EC"/>
    <w:rsid w:val="00B22903"/>
    <w:rsid w:val="00B254B3"/>
    <w:rsid w:val="00B26540"/>
    <w:rsid w:val="00B26EA0"/>
    <w:rsid w:val="00B270AA"/>
    <w:rsid w:val="00B27797"/>
    <w:rsid w:val="00B27BE9"/>
    <w:rsid w:val="00B309FA"/>
    <w:rsid w:val="00B325EC"/>
    <w:rsid w:val="00B3326C"/>
    <w:rsid w:val="00B3392C"/>
    <w:rsid w:val="00B33A1C"/>
    <w:rsid w:val="00B33B5E"/>
    <w:rsid w:val="00B348FF"/>
    <w:rsid w:val="00B363A2"/>
    <w:rsid w:val="00B37AD9"/>
    <w:rsid w:val="00B37DB4"/>
    <w:rsid w:val="00B4147C"/>
    <w:rsid w:val="00B41B38"/>
    <w:rsid w:val="00B41C7E"/>
    <w:rsid w:val="00B41CBF"/>
    <w:rsid w:val="00B4205F"/>
    <w:rsid w:val="00B43613"/>
    <w:rsid w:val="00B4397E"/>
    <w:rsid w:val="00B440B8"/>
    <w:rsid w:val="00B446C3"/>
    <w:rsid w:val="00B46F91"/>
    <w:rsid w:val="00B50294"/>
    <w:rsid w:val="00B507A7"/>
    <w:rsid w:val="00B514E3"/>
    <w:rsid w:val="00B52669"/>
    <w:rsid w:val="00B53BC0"/>
    <w:rsid w:val="00B53CDF"/>
    <w:rsid w:val="00B53F7F"/>
    <w:rsid w:val="00B556A0"/>
    <w:rsid w:val="00B55FC7"/>
    <w:rsid w:val="00B57BEC"/>
    <w:rsid w:val="00B57EE2"/>
    <w:rsid w:val="00B602F3"/>
    <w:rsid w:val="00B6166E"/>
    <w:rsid w:val="00B64539"/>
    <w:rsid w:val="00B6459E"/>
    <w:rsid w:val="00B6493C"/>
    <w:rsid w:val="00B64A15"/>
    <w:rsid w:val="00B64F93"/>
    <w:rsid w:val="00B6582A"/>
    <w:rsid w:val="00B65C2A"/>
    <w:rsid w:val="00B66112"/>
    <w:rsid w:val="00B6661E"/>
    <w:rsid w:val="00B66CAD"/>
    <w:rsid w:val="00B708FB"/>
    <w:rsid w:val="00B71498"/>
    <w:rsid w:val="00B719FD"/>
    <w:rsid w:val="00B7226B"/>
    <w:rsid w:val="00B725FD"/>
    <w:rsid w:val="00B73BC8"/>
    <w:rsid w:val="00B75C88"/>
    <w:rsid w:val="00B75FAD"/>
    <w:rsid w:val="00B80315"/>
    <w:rsid w:val="00B81C5A"/>
    <w:rsid w:val="00B83457"/>
    <w:rsid w:val="00B8397D"/>
    <w:rsid w:val="00B84075"/>
    <w:rsid w:val="00B86606"/>
    <w:rsid w:val="00B92570"/>
    <w:rsid w:val="00B94FD5"/>
    <w:rsid w:val="00B9578C"/>
    <w:rsid w:val="00B967BE"/>
    <w:rsid w:val="00B97514"/>
    <w:rsid w:val="00BA06B2"/>
    <w:rsid w:val="00BA1E75"/>
    <w:rsid w:val="00BA3F14"/>
    <w:rsid w:val="00BA6C3F"/>
    <w:rsid w:val="00BA7A3E"/>
    <w:rsid w:val="00BB07BC"/>
    <w:rsid w:val="00BB0CD1"/>
    <w:rsid w:val="00BB2002"/>
    <w:rsid w:val="00BB26FB"/>
    <w:rsid w:val="00BB2DCC"/>
    <w:rsid w:val="00BB2F8F"/>
    <w:rsid w:val="00BB379F"/>
    <w:rsid w:val="00BB3CA5"/>
    <w:rsid w:val="00BB4998"/>
    <w:rsid w:val="00BB508F"/>
    <w:rsid w:val="00BB586E"/>
    <w:rsid w:val="00BC0429"/>
    <w:rsid w:val="00BC0E60"/>
    <w:rsid w:val="00BC0EFE"/>
    <w:rsid w:val="00BC2C77"/>
    <w:rsid w:val="00BC49FA"/>
    <w:rsid w:val="00BC4F43"/>
    <w:rsid w:val="00BC4FD2"/>
    <w:rsid w:val="00BC5E26"/>
    <w:rsid w:val="00BD28DC"/>
    <w:rsid w:val="00BD2AAA"/>
    <w:rsid w:val="00BD3B35"/>
    <w:rsid w:val="00BD4AAD"/>
    <w:rsid w:val="00BD5679"/>
    <w:rsid w:val="00BD7CBE"/>
    <w:rsid w:val="00BD7EFF"/>
    <w:rsid w:val="00BE03E6"/>
    <w:rsid w:val="00BE14EE"/>
    <w:rsid w:val="00BE18A1"/>
    <w:rsid w:val="00BE2AAB"/>
    <w:rsid w:val="00BE2DF2"/>
    <w:rsid w:val="00BE34FD"/>
    <w:rsid w:val="00BE6400"/>
    <w:rsid w:val="00BE751D"/>
    <w:rsid w:val="00BF0E15"/>
    <w:rsid w:val="00BF1378"/>
    <w:rsid w:val="00BF1896"/>
    <w:rsid w:val="00BF1B42"/>
    <w:rsid w:val="00BF1F7F"/>
    <w:rsid w:val="00BF311F"/>
    <w:rsid w:val="00BF3AEC"/>
    <w:rsid w:val="00BF72AE"/>
    <w:rsid w:val="00C00458"/>
    <w:rsid w:val="00C01B17"/>
    <w:rsid w:val="00C02A98"/>
    <w:rsid w:val="00C031C7"/>
    <w:rsid w:val="00C03E36"/>
    <w:rsid w:val="00C04C68"/>
    <w:rsid w:val="00C05FA4"/>
    <w:rsid w:val="00C11987"/>
    <w:rsid w:val="00C14700"/>
    <w:rsid w:val="00C15623"/>
    <w:rsid w:val="00C2040F"/>
    <w:rsid w:val="00C21EBE"/>
    <w:rsid w:val="00C2466E"/>
    <w:rsid w:val="00C26F32"/>
    <w:rsid w:val="00C31CFE"/>
    <w:rsid w:val="00C33D01"/>
    <w:rsid w:val="00C371CE"/>
    <w:rsid w:val="00C37991"/>
    <w:rsid w:val="00C40F86"/>
    <w:rsid w:val="00C41BC3"/>
    <w:rsid w:val="00C41EA8"/>
    <w:rsid w:val="00C42E99"/>
    <w:rsid w:val="00C43D54"/>
    <w:rsid w:val="00C44013"/>
    <w:rsid w:val="00C44693"/>
    <w:rsid w:val="00C44BFF"/>
    <w:rsid w:val="00C45B15"/>
    <w:rsid w:val="00C45D82"/>
    <w:rsid w:val="00C50826"/>
    <w:rsid w:val="00C512F2"/>
    <w:rsid w:val="00C5210C"/>
    <w:rsid w:val="00C52BBC"/>
    <w:rsid w:val="00C537D4"/>
    <w:rsid w:val="00C569E9"/>
    <w:rsid w:val="00C604B5"/>
    <w:rsid w:val="00C60BB9"/>
    <w:rsid w:val="00C62269"/>
    <w:rsid w:val="00C63AFD"/>
    <w:rsid w:val="00C64B6F"/>
    <w:rsid w:val="00C65A11"/>
    <w:rsid w:val="00C67A9D"/>
    <w:rsid w:val="00C70CC7"/>
    <w:rsid w:val="00C713FA"/>
    <w:rsid w:val="00C71E85"/>
    <w:rsid w:val="00C73325"/>
    <w:rsid w:val="00C73799"/>
    <w:rsid w:val="00C73D38"/>
    <w:rsid w:val="00C74050"/>
    <w:rsid w:val="00C74363"/>
    <w:rsid w:val="00C74618"/>
    <w:rsid w:val="00C76A73"/>
    <w:rsid w:val="00C80246"/>
    <w:rsid w:val="00C80D6B"/>
    <w:rsid w:val="00C819CF"/>
    <w:rsid w:val="00C84757"/>
    <w:rsid w:val="00C84863"/>
    <w:rsid w:val="00C91485"/>
    <w:rsid w:val="00C91EC9"/>
    <w:rsid w:val="00C9333E"/>
    <w:rsid w:val="00C93449"/>
    <w:rsid w:val="00C93DC4"/>
    <w:rsid w:val="00C93F6C"/>
    <w:rsid w:val="00C95335"/>
    <w:rsid w:val="00C95701"/>
    <w:rsid w:val="00C96807"/>
    <w:rsid w:val="00C968A9"/>
    <w:rsid w:val="00C97332"/>
    <w:rsid w:val="00CA0104"/>
    <w:rsid w:val="00CA108F"/>
    <w:rsid w:val="00CA5321"/>
    <w:rsid w:val="00CA7084"/>
    <w:rsid w:val="00CA7DEF"/>
    <w:rsid w:val="00CB06F1"/>
    <w:rsid w:val="00CB0DB5"/>
    <w:rsid w:val="00CB0FE3"/>
    <w:rsid w:val="00CB37CA"/>
    <w:rsid w:val="00CB5797"/>
    <w:rsid w:val="00CB6E98"/>
    <w:rsid w:val="00CC010E"/>
    <w:rsid w:val="00CC0302"/>
    <w:rsid w:val="00CC2788"/>
    <w:rsid w:val="00CC4A90"/>
    <w:rsid w:val="00CC50A9"/>
    <w:rsid w:val="00CC5286"/>
    <w:rsid w:val="00CC59C0"/>
    <w:rsid w:val="00CC6228"/>
    <w:rsid w:val="00CC6604"/>
    <w:rsid w:val="00CC686D"/>
    <w:rsid w:val="00CC74BE"/>
    <w:rsid w:val="00CD1DB1"/>
    <w:rsid w:val="00CD240F"/>
    <w:rsid w:val="00CD2927"/>
    <w:rsid w:val="00CD2D66"/>
    <w:rsid w:val="00CD3422"/>
    <w:rsid w:val="00CD4C21"/>
    <w:rsid w:val="00CD61EC"/>
    <w:rsid w:val="00CD6C1D"/>
    <w:rsid w:val="00CE1045"/>
    <w:rsid w:val="00CE1056"/>
    <w:rsid w:val="00CE1332"/>
    <w:rsid w:val="00CE36BD"/>
    <w:rsid w:val="00CE3714"/>
    <w:rsid w:val="00CE38FC"/>
    <w:rsid w:val="00CE67F6"/>
    <w:rsid w:val="00CE69FD"/>
    <w:rsid w:val="00CF0236"/>
    <w:rsid w:val="00CF26F8"/>
    <w:rsid w:val="00CF27B3"/>
    <w:rsid w:val="00CF2F06"/>
    <w:rsid w:val="00CF3137"/>
    <w:rsid w:val="00CF3700"/>
    <w:rsid w:val="00CF53C5"/>
    <w:rsid w:val="00CF6810"/>
    <w:rsid w:val="00CF7893"/>
    <w:rsid w:val="00D00280"/>
    <w:rsid w:val="00D0108E"/>
    <w:rsid w:val="00D015B3"/>
    <w:rsid w:val="00D01606"/>
    <w:rsid w:val="00D02D80"/>
    <w:rsid w:val="00D03E50"/>
    <w:rsid w:val="00D0492E"/>
    <w:rsid w:val="00D0618C"/>
    <w:rsid w:val="00D0795C"/>
    <w:rsid w:val="00D07B50"/>
    <w:rsid w:val="00D12941"/>
    <w:rsid w:val="00D1379E"/>
    <w:rsid w:val="00D13F4F"/>
    <w:rsid w:val="00D140C3"/>
    <w:rsid w:val="00D15138"/>
    <w:rsid w:val="00D1558B"/>
    <w:rsid w:val="00D15E0B"/>
    <w:rsid w:val="00D16125"/>
    <w:rsid w:val="00D167A0"/>
    <w:rsid w:val="00D20516"/>
    <w:rsid w:val="00D2093F"/>
    <w:rsid w:val="00D2192C"/>
    <w:rsid w:val="00D21C55"/>
    <w:rsid w:val="00D22030"/>
    <w:rsid w:val="00D22EBC"/>
    <w:rsid w:val="00D23062"/>
    <w:rsid w:val="00D232C3"/>
    <w:rsid w:val="00D25F9B"/>
    <w:rsid w:val="00D30A57"/>
    <w:rsid w:val="00D31F67"/>
    <w:rsid w:val="00D32EA2"/>
    <w:rsid w:val="00D32EE1"/>
    <w:rsid w:val="00D34381"/>
    <w:rsid w:val="00D34B35"/>
    <w:rsid w:val="00D358DD"/>
    <w:rsid w:val="00D37E3B"/>
    <w:rsid w:val="00D4025A"/>
    <w:rsid w:val="00D40451"/>
    <w:rsid w:val="00D417F0"/>
    <w:rsid w:val="00D42A5E"/>
    <w:rsid w:val="00D43515"/>
    <w:rsid w:val="00D45D77"/>
    <w:rsid w:val="00D47206"/>
    <w:rsid w:val="00D47DEC"/>
    <w:rsid w:val="00D5069D"/>
    <w:rsid w:val="00D508AB"/>
    <w:rsid w:val="00D51EE8"/>
    <w:rsid w:val="00D52C58"/>
    <w:rsid w:val="00D54F9F"/>
    <w:rsid w:val="00D56225"/>
    <w:rsid w:val="00D56549"/>
    <w:rsid w:val="00D567F5"/>
    <w:rsid w:val="00D56880"/>
    <w:rsid w:val="00D61ADE"/>
    <w:rsid w:val="00D6235E"/>
    <w:rsid w:val="00D6261F"/>
    <w:rsid w:val="00D6412A"/>
    <w:rsid w:val="00D724BF"/>
    <w:rsid w:val="00D72F2D"/>
    <w:rsid w:val="00D73274"/>
    <w:rsid w:val="00D750D6"/>
    <w:rsid w:val="00D77609"/>
    <w:rsid w:val="00D814CA"/>
    <w:rsid w:val="00D820E4"/>
    <w:rsid w:val="00D82652"/>
    <w:rsid w:val="00D83A94"/>
    <w:rsid w:val="00D84620"/>
    <w:rsid w:val="00D85CA8"/>
    <w:rsid w:val="00D85DDD"/>
    <w:rsid w:val="00D86FC2"/>
    <w:rsid w:val="00D87AB0"/>
    <w:rsid w:val="00D90F85"/>
    <w:rsid w:val="00D91457"/>
    <w:rsid w:val="00D92A23"/>
    <w:rsid w:val="00D96536"/>
    <w:rsid w:val="00DA0A2E"/>
    <w:rsid w:val="00DA137F"/>
    <w:rsid w:val="00DA21D1"/>
    <w:rsid w:val="00DA2A7F"/>
    <w:rsid w:val="00DA389F"/>
    <w:rsid w:val="00DA3990"/>
    <w:rsid w:val="00DA416D"/>
    <w:rsid w:val="00DA65E0"/>
    <w:rsid w:val="00DA6A9B"/>
    <w:rsid w:val="00DA6BE2"/>
    <w:rsid w:val="00DA76F6"/>
    <w:rsid w:val="00DA7B8E"/>
    <w:rsid w:val="00DA7E6D"/>
    <w:rsid w:val="00DB2107"/>
    <w:rsid w:val="00DB57FA"/>
    <w:rsid w:val="00DB5AB2"/>
    <w:rsid w:val="00DB5C53"/>
    <w:rsid w:val="00DB7560"/>
    <w:rsid w:val="00DC03A5"/>
    <w:rsid w:val="00DC192E"/>
    <w:rsid w:val="00DC1B07"/>
    <w:rsid w:val="00DC2B3F"/>
    <w:rsid w:val="00DC3ABA"/>
    <w:rsid w:val="00DC4CB9"/>
    <w:rsid w:val="00DC5B07"/>
    <w:rsid w:val="00DC63C6"/>
    <w:rsid w:val="00DC6D88"/>
    <w:rsid w:val="00DC756F"/>
    <w:rsid w:val="00DD15C4"/>
    <w:rsid w:val="00DD1C3C"/>
    <w:rsid w:val="00DD4653"/>
    <w:rsid w:val="00DD4705"/>
    <w:rsid w:val="00DD5504"/>
    <w:rsid w:val="00DD5F22"/>
    <w:rsid w:val="00DD70B3"/>
    <w:rsid w:val="00DD718B"/>
    <w:rsid w:val="00DD7BA9"/>
    <w:rsid w:val="00DD7CBA"/>
    <w:rsid w:val="00DE02D0"/>
    <w:rsid w:val="00DE098E"/>
    <w:rsid w:val="00DE17B5"/>
    <w:rsid w:val="00DE181E"/>
    <w:rsid w:val="00DE3BB3"/>
    <w:rsid w:val="00DE415F"/>
    <w:rsid w:val="00DE5F6A"/>
    <w:rsid w:val="00DE60E9"/>
    <w:rsid w:val="00DE68FF"/>
    <w:rsid w:val="00DE7302"/>
    <w:rsid w:val="00DF03BB"/>
    <w:rsid w:val="00DF364E"/>
    <w:rsid w:val="00DF3713"/>
    <w:rsid w:val="00DF5C14"/>
    <w:rsid w:val="00DF6D06"/>
    <w:rsid w:val="00DF6E03"/>
    <w:rsid w:val="00E000F7"/>
    <w:rsid w:val="00E02076"/>
    <w:rsid w:val="00E023F0"/>
    <w:rsid w:val="00E05AB3"/>
    <w:rsid w:val="00E064C2"/>
    <w:rsid w:val="00E07185"/>
    <w:rsid w:val="00E10AD2"/>
    <w:rsid w:val="00E12787"/>
    <w:rsid w:val="00E13C68"/>
    <w:rsid w:val="00E14943"/>
    <w:rsid w:val="00E14E44"/>
    <w:rsid w:val="00E158B0"/>
    <w:rsid w:val="00E15BB6"/>
    <w:rsid w:val="00E16887"/>
    <w:rsid w:val="00E202C7"/>
    <w:rsid w:val="00E207E9"/>
    <w:rsid w:val="00E211B5"/>
    <w:rsid w:val="00E21D07"/>
    <w:rsid w:val="00E2233E"/>
    <w:rsid w:val="00E2268D"/>
    <w:rsid w:val="00E2548B"/>
    <w:rsid w:val="00E25C10"/>
    <w:rsid w:val="00E26BA8"/>
    <w:rsid w:val="00E30DF6"/>
    <w:rsid w:val="00E31C98"/>
    <w:rsid w:val="00E32020"/>
    <w:rsid w:val="00E3226F"/>
    <w:rsid w:val="00E32A0E"/>
    <w:rsid w:val="00E3477D"/>
    <w:rsid w:val="00E35480"/>
    <w:rsid w:val="00E35639"/>
    <w:rsid w:val="00E40570"/>
    <w:rsid w:val="00E41132"/>
    <w:rsid w:val="00E412AE"/>
    <w:rsid w:val="00E4278B"/>
    <w:rsid w:val="00E43759"/>
    <w:rsid w:val="00E44D95"/>
    <w:rsid w:val="00E46BB5"/>
    <w:rsid w:val="00E548B2"/>
    <w:rsid w:val="00E55558"/>
    <w:rsid w:val="00E5563D"/>
    <w:rsid w:val="00E55C0D"/>
    <w:rsid w:val="00E562C5"/>
    <w:rsid w:val="00E5650E"/>
    <w:rsid w:val="00E5654C"/>
    <w:rsid w:val="00E6329F"/>
    <w:rsid w:val="00E6366B"/>
    <w:rsid w:val="00E64AC5"/>
    <w:rsid w:val="00E653D3"/>
    <w:rsid w:val="00E667C1"/>
    <w:rsid w:val="00E674C4"/>
    <w:rsid w:val="00E701FC"/>
    <w:rsid w:val="00E71804"/>
    <w:rsid w:val="00E72506"/>
    <w:rsid w:val="00E73890"/>
    <w:rsid w:val="00E755A1"/>
    <w:rsid w:val="00E76349"/>
    <w:rsid w:val="00E77576"/>
    <w:rsid w:val="00E810DE"/>
    <w:rsid w:val="00E81662"/>
    <w:rsid w:val="00E82253"/>
    <w:rsid w:val="00E86037"/>
    <w:rsid w:val="00E86A24"/>
    <w:rsid w:val="00E90219"/>
    <w:rsid w:val="00E90DA8"/>
    <w:rsid w:val="00E91048"/>
    <w:rsid w:val="00E93DEF"/>
    <w:rsid w:val="00E9693B"/>
    <w:rsid w:val="00E973DE"/>
    <w:rsid w:val="00EA2234"/>
    <w:rsid w:val="00EA2587"/>
    <w:rsid w:val="00EA2693"/>
    <w:rsid w:val="00EA33BC"/>
    <w:rsid w:val="00EA5801"/>
    <w:rsid w:val="00EA5E4D"/>
    <w:rsid w:val="00EA71B4"/>
    <w:rsid w:val="00EA7286"/>
    <w:rsid w:val="00EB05C2"/>
    <w:rsid w:val="00EB0846"/>
    <w:rsid w:val="00EB4BAA"/>
    <w:rsid w:val="00EB5B64"/>
    <w:rsid w:val="00EB5D1D"/>
    <w:rsid w:val="00EB60FE"/>
    <w:rsid w:val="00EC091D"/>
    <w:rsid w:val="00EC1755"/>
    <w:rsid w:val="00EC2677"/>
    <w:rsid w:val="00EC4D6E"/>
    <w:rsid w:val="00EC5226"/>
    <w:rsid w:val="00EC528F"/>
    <w:rsid w:val="00EC6F46"/>
    <w:rsid w:val="00ED10EE"/>
    <w:rsid w:val="00ED3B4E"/>
    <w:rsid w:val="00ED43CB"/>
    <w:rsid w:val="00ED737E"/>
    <w:rsid w:val="00ED7415"/>
    <w:rsid w:val="00EE0DF5"/>
    <w:rsid w:val="00EE1D52"/>
    <w:rsid w:val="00EE2189"/>
    <w:rsid w:val="00EE4B74"/>
    <w:rsid w:val="00EE4CE3"/>
    <w:rsid w:val="00EE5325"/>
    <w:rsid w:val="00EF11F4"/>
    <w:rsid w:val="00EF122E"/>
    <w:rsid w:val="00EF1558"/>
    <w:rsid w:val="00EF3025"/>
    <w:rsid w:val="00EF5B36"/>
    <w:rsid w:val="00EF6696"/>
    <w:rsid w:val="00EF6957"/>
    <w:rsid w:val="00F0022C"/>
    <w:rsid w:val="00F00E19"/>
    <w:rsid w:val="00F01564"/>
    <w:rsid w:val="00F022F7"/>
    <w:rsid w:val="00F03A51"/>
    <w:rsid w:val="00F04F32"/>
    <w:rsid w:val="00F05010"/>
    <w:rsid w:val="00F06505"/>
    <w:rsid w:val="00F06777"/>
    <w:rsid w:val="00F103EC"/>
    <w:rsid w:val="00F11E70"/>
    <w:rsid w:val="00F14C92"/>
    <w:rsid w:val="00F158E6"/>
    <w:rsid w:val="00F17774"/>
    <w:rsid w:val="00F242BD"/>
    <w:rsid w:val="00F247F2"/>
    <w:rsid w:val="00F24BEB"/>
    <w:rsid w:val="00F264AF"/>
    <w:rsid w:val="00F26A59"/>
    <w:rsid w:val="00F321A1"/>
    <w:rsid w:val="00F32D3D"/>
    <w:rsid w:val="00F33751"/>
    <w:rsid w:val="00F3453D"/>
    <w:rsid w:val="00F34E5B"/>
    <w:rsid w:val="00F3668A"/>
    <w:rsid w:val="00F40AC4"/>
    <w:rsid w:val="00F42E01"/>
    <w:rsid w:val="00F43654"/>
    <w:rsid w:val="00F46F4E"/>
    <w:rsid w:val="00F47A59"/>
    <w:rsid w:val="00F47AC9"/>
    <w:rsid w:val="00F50174"/>
    <w:rsid w:val="00F50BBD"/>
    <w:rsid w:val="00F51D45"/>
    <w:rsid w:val="00F524E7"/>
    <w:rsid w:val="00F5323B"/>
    <w:rsid w:val="00F5374C"/>
    <w:rsid w:val="00F55498"/>
    <w:rsid w:val="00F5628C"/>
    <w:rsid w:val="00F61450"/>
    <w:rsid w:val="00F614A9"/>
    <w:rsid w:val="00F618FF"/>
    <w:rsid w:val="00F64F47"/>
    <w:rsid w:val="00F65C4D"/>
    <w:rsid w:val="00F66270"/>
    <w:rsid w:val="00F713B4"/>
    <w:rsid w:val="00F714FC"/>
    <w:rsid w:val="00F71BE2"/>
    <w:rsid w:val="00F73C55"/>
    <w:rsid w:val="00F7413D"/>
    <w:rsid w:val="00F74917"/>
    <w:rsid w:val="00F7498F"/>
    <w:rsid w:val="00F7532D"/>
    <w:rsid w:val="00F7552B"/>
    <w:rsid w:val="00F7613F"/>
    <w:rsid w:val="00F7748C"/>
    <w:rsid w:val="00F81222"/>
    <w:rsid w:val="00F82E8E"/>
    <w:rsid w:val="00F83604"/>
    <w:rsid w:val="00F83AE1"/>
    <w:rsid w:val="00F83C31"/>
    <w:rsid w:val="00F85413"/>
    <w:rsid w:val="00F862FC"/>
    <w:rsid w:val="00F867E6"/>
    <w:rsid w:val="00F879CC"/>
    <w:rsid w:val="00F87FC7"/>
    <w:rsid w:val="00F903F9"/>
    <w:rsid w:val="00F91279"/>
    <w:rsid w:val="00F91F55"/>
    <w:rsid w:val="00F92C54"/>
    <w:rsid w:val="00F93C96"/>
    <w:rsid w:val="00F93EC1"/>
    <w:rsid w:val="00F95517"/>
    <w:rsid w:val="00F96BAD"/>
    <w:rsid w:val="00FA27CC"/>
    <w:rsid w:val="00FA280D"/>
    <w:rsid w:val="00FA2B56"/>
    <w:rsid w:val="00FA3739"/>
    <w:rsid w:val="00FA5479"/>
    <w:rsid w:val="00FA6204"/>
    <w:rsid w:val="00FA6873"/>
    <w:rsid w:val="00FA6E0A"/>
    <w:rsid w:val="00FA748C"/>
    <w:rsid w:val="00FB102E"/>
    <w:rsid w:val="00FB1838"/>
    <w:rsid w:val="00FB1E8A"/>
    <w:rsid w:val="00FB2961"/>
    <w:rsid w:val="00FB4281"/>
    <w:rsid w:val="00FB484C"/>
    <w:rsid w:val="00FB556F"/>
    <w:rsid w:val="00FB5690"/>
    <w:rsid w:val="00FB5ABE"/>
    <w:rsid w:val="00FB622D"/>
    <w:rsid w:val="00FB7671"/>
    <w:rsid w:val="00FB7921"/>
    <w:rsid w:val="00FC0117"/>
    <w:rsid w:val="00FC1A43"/>
    <w:rsid w:val="00FC226D"/>
    <w:rsid w:val="00FC5AA7"/>
    <w:rsid w:val="00FC6149"/>
    <w:rsid w:val="00FC6A93"/>
    <w:rsid w:val="00FC76A1"/>
    <w:rsid w:val="00FD2648"/>
    <w:rsid w:val="00FD3D89"/>
    <w:rsid w:val="00FD5F7C"/>
    <w:rsid w:val="00FD6E89"/>
    <w:rsid w:val="00FD75DF"/>
    <w:rsid w:val="00FE07EF"/>
    <w:rsid w:val="00FE11E3"/>
    <w:rsid w:val="00FE1863"/>
    <w:rsid w:val="00FE2703"/>
    <w:rsid w:val="00FE3F8F"/>
    <w:rsid w:val="00FE4788"/>
    <w:rsid w:val="00FE59D1"/>
    <w:rsid w:val="00FE6885"/>
    <w:rsid w:val="00FF10DA"/>
    <w:rsid w:val="00FF145B"/>
    <w:rsid w:val="00FF1BEF"/>
    <w:rsid w:val="00FF2D42"/>
    <w:rsid w:val="00FF3EB9"/>
    <w:rsid w:val="00FF6894"/>
    <w:rsid w:val="00FF68CE"/>
    <w:rsid w:val="00FF6927"/>
    <w:rsid w:val="00FF6FFA"/>
    <w:rsid w:val="010F5A79"/>
    <w:rsid w:val="017B11E4"/>
    <w:rsid w:val="018117C1"/>
    <w:rsid w:val="01CF32DE"/>
    <w:rsid w:val="01DF6AA8"/>
    <w:rsid w:val="01F6617B"/>
    <w:rsid w:val="0200793B"/>
    <w:rsid w:val="0224362A"/>
    <w:rsid w:val="02377801"/>
    <w:rsid w:val="024A6667"/>
    <w:rsid w:val="026043E7"/>
    <w:rsid w:val="02775E4F"/>
    <w:rsid w:val="02B0310F"/>
    <w:rsid w:val="02D069FA"/>
    <w:rsid w:val="02D5144C"/>
    <w:rsid w:val="02DC2156"/>
    <w:rsid w:val="02E4100B"/>
    <w:rsid w:val="03083283"/>
    <w:rsid w:val="03083E7A"/>
    <w:rsid w:val="030A6CC4"/>
    <w:rsid w:val="030B6598"/>
    <w:rsid w:val="031E0493"/>
    <w:rsid w:val="03936CB9"/>
    <w:rsid w:val="039D426C"/>
    <w:rsid w:val="046046C1"/>
    <w:rsid w:val="046E3282"/>
    <w:rsid w:val="04763EE5"/>
    <w:rsid w:val="04A942BA"/>
    <w:rsid w:val="04D71075"/>
    <w:rsid w:val="0509446B"/>
    <w:rsid w:val="05532ECD"/>
    <w:rsid w:val="0583332C"/>
    <w:rsid w:val="05B37A99"/>
    <w:rsid w:val="05D709B3"/>
    <w:rsid w:val="061D6270"/>
    <w:rsid w:val="064F49ED"/>
    <w:rsid w:val="069D7E4F"/>
    <w:rsid w:val="06A35CE4"/>
    <w:rsid w:val="06BE4AC5"/>
    <w:rsid w:val="06C74ECC"/>
    <w:rsid w:val="06F75296"/>
    <w:rsid w:val="070B133F"/>
    <w:rsid w:val="07112173"/>
    <w:rsid w:val="072F24B9"/>
    <w:rsid w:val="074D4254"/>
    <w:rsid w:val="07610E7C"/>
    <w:rsid w:val="076B5B8D"/>
    <w:rsid w:val="077566D6"/>
    <w:rsid w:val="07B94814"/>
    <w:rsid w:val="07CD387F"/>
    <w:rsid w:val="07D57174"/>
    <w:rsid w:val="07D94EB6"/>
    <w:rsid w:val="07F25F78"/>
    <w:rsid w:val="07FC0BA5"/>
    <w:rsid w:val="08202AE5"/>
    <w:rsid w:val="082E6D53"/>
    <w:rsid w:val="084E6606"/>
    <w:rsid w:val="087A10A9"/>
    <w:rsid w:val="088017D6"/>
    <w:rsid w:val="088E4A33"/>
    <w:rsid w:val="08902440"/>
    <w:rsid w:val="08940DDD"/>
    <w:rsid w:val="08B35707"/>
    <w:rsid w:val="08BA4C1F"/>
    <w:rsid w:val="08CB50A1"/>
    <w:rsid w:val="08F875BE"/>
    <w:rsid w:val="09200711"/>
    <w:rsid w:val="092263E9"/>
    <w:rsid w:val="096721AB"/>
    <w:rsid w:val="09780E58"/>
    <w:rsid w:val="09A11A04"/>
    <w:rsid w:val="09BF081C"/>
    <w:rsid w:val="09CD0A4B"/>
    <w:rsid w:val="09EA5456"/>
    <w:rsid w:val="09EC6316"/>
    <w:rsid w:val="0A2E3E4B"/>
    <w:rsid w:val="0A4F3DA2"/>
    <w:rsid w:val="0A6A44EC"/>
    <w:rsid w:val="0A794F82"/>
    <w:rsid w:val="0AA52EBD"/>
    <w:rsid w:val="0AD61B81"/>
    <w:rsid w:val="0AE0030A"/>
    <w:rsid w:val="0B227FBC"/>
    <w:rsid w:val="0B27418B"/>
    <w:rsid w:val="0B4C0F77"/>
    <w:rsid w:val="0B521208"/>
    <w:rsid w:val="0B5D26E7"/>
    <w:rsid w:val="0BB830E7"/>
    <w:rsid w:val="0C131D77"/>
    <w:rsid w:val="0C232C5C"/>
    <w:rsid w:val="0C9413AC"/>
    <w:rsid w:val="0CA93E7E"/>
    <w:rsid w:val="0CB3217A"/>
    <w:rsid w:val="0CBB4B8B"/>
    <w:rsid w:val="0CC57012"/>
    <w:rsid w:val="0CE95B9C"/>
    <w:rsid w:val="0CF0682A"/>
    <w:rsid w:val="0D110C4F"/>
    <w:rsid w:val="0D3112F1"/>
    <w:rsid w:val="0DA815B3"/>
    <w:rsid w:val="0DEC14CF"/>
    <w:rsid w:val="0E060087"/>
    <w:rsid w:val="0E2568C6"/>
    <w:rsid w:val="0E3C658F"/>
    <w:rsid w:val="0E913464"/>
    <w:rsid w:val="0ED2440E"/>
    <w:rsid w:val="0EFA2346"/>
    <w:rsid w:val="0F4C5F6E"/>
    <w:rsid w:val="0F977B31"/>
    <w:rsid w:val="0F9D28CF"/>
    <w:rsid w:val="0FA77648"/>
    <w:rsid w:val="0FA838C3"/>
    <w:rsid w:val="0FBD379C"/>
    <w:rsid w:val="0FC1070A"/>
    <w:rsid w:val="0FC41FA8"/>
    <w:rsid w:val="0FC93A62"/>
    <w:rsid w:val="0FD81EB4"/>
    <w:rsid w:val="0FE12B5A"/>
    <w:rsid w:val="0FFC7994"/>
    <w:rsid w:val="10270CBF"/>
    <w:rsid w:val="10516791"/>
    <w:rsid w:val="105A290D"/>
    <w:rsid w:val="10923E54"/>
    <w:rsid w:val="10943419"/>
    <w:rsid w:val="10A122E9"/>
    <w:rsid w:val="10D118CA"/>
    <w:rsid w:val="10D9731B"/>
    <w:rsid w:val="10DA645D"/>
    <w:rsid w:val="10F92125"/>
    <w:rsid w:val="11162CD7"/>
    <w:rsid w:val="1125116C"/>
    <w:rsid w:val="11584D21"/>
    <w:rsid w:val="1165064A"/>
    <w:rsid w:val="116F4196"/>
    <w:rsid w:val="11721BDA"/>
    <w:rsid w:val="119229CC"/>
    <w:rsid w:val="11A7392F"/>
    <w:rsid w:val="11D64C17"/>
    <w:rsid w:val="11F36B75"/>
    <w:rsid w:val="122136E2"/>
    <w:rsid w:val="12484349"/>
    <w:rsid w:val="12AD19F7"/>
    <w:rsid w:val="12F11306"/>
    <w:rsid w:val="13426B85"/>
    <w:rsid w:val="13705E48"/>
    <w:rsid w:val="13785386"/>
    <w:rsid w:val="137E6912"/>
    <w:rsid w:val="139E4A15"/>
    <w:rsid w:val="13AC347F"/>
    <w:rsid w:val="13C407C9"/>
    <w:rsid w:val="13F41DE7"/>
    <w:rsid w:val="144933C4"/>
    <w:rsid w:val="14A34312"/>
    <w:rsid w:val="14A51505"/>
    <w:rsid w:val="14C55CE2"/>
    <w:rsid w:val="1519109A"/>
    <w:rsid w:val="152A0AFF"/>
    <w:rsid w:val="15316332"/>
    <w:rsid w:val="153A3C2D"/>
    <w:rsid w:val="155B33AF"/>
    <w:rsid w:val="156009C5"/>
    <w:rsid w:val="159E5049"/>
    <w:rsid w:val="15A16653"/>
    <w:rsid w:val="15AB6560"/>
    <w:rsid w:val="15D2275C"/>
    <w:rsid w:val="16052FA5"/>
    <w:rsid w:val="161F54AA"/>
    <w:rsid w:val="1627120D"/>
    <w:rsid w:val="162F0A5C"/>
    <w:rsid w:val="1641251E"/>
    <w:rsid w:val="1686445B"/>
    <w:rsid w:val="16E3365C"/>
    <w:rsid w:val="17042CA5"/>
    <w:rsid w:val="1719672F"/>
    <w:rsid w:val="174F6F43"/>
    <w:rsid w:val="177C13BA"/>
    <w:rsid w:val="179F2B8C"/>
    <w:rsid w:val="17AD77C6"/>
    <w:rsid w:val="17EB527C"/>
    <w:rsid w:val="17F3115F"/>
    <w:rsid w:val="17F45E20"/>
    <w:rsid w:val="18125244"/>
    <w:rsid w:val="18786026"/>
    <w:rsid w:val="187A1F93"/>
    <w:rsid w:val="188A36AA"/>
    <w:rsid w:val="18B2778A"/>
    <w:rsid w:val="191B532F"/>
    <w:rsid w:val="19506676"/>
    <w:rsid w:val="196F512B"/>
    <w:rsid w:val="19B239B6"/>
    <w:rsid w:val="19DB686C"/>
    <w:rsid w:val="19E73463"/>
    <w:rsid w:val="1A393593"/>
    <w:rsid w:val="1A514D80"/>
    <w:rsid w:val="1A5403CD"/>
    <w:rsid w:val="1A8602DA"/>
    <w:rsid w:val="1AB21051"/>
    <w:rsid w:val="1AB4206D"/>
    <w:rsid w:val="1ABA7B1A"/>
    <w:rsid w:val="1AE17EB2"/>
    <w:rsid w:val="1AF851FC"/>
    <w:rsid w:val="1B222279"/>
    <w:rsid w:val="1B395F40"/>
    <w:rsid w:val="1B5E369B"/>
    <w:rsid w:val="1B6F1962"/>
    <w:rsid w:val="1B7104CB"/>
    <w:rsid w:val="1B972C67"/>
    <w:rsid w:val="1B9E3FF5"/>
    <w:rsid w:val="1BB11F7A"/>
    <w:rsid w:val="1BDD0528"/>
    <w:rsid w:val="1C2F0460"/>
    <w:rsid w:val="1C3D55BC"/>
    <w:rsid w:val="1C3D736A"/>
    <w:rsid w:val="1C705992"/>
    <w:rsid w:val="1C761991"/>
    <w:rsid w:val="1C765C9F"/>
    <w:rsid w:val="1C7A05BE"/>
    <w:rsid w:val="1C8C02F2"/>
    <w:rsid w:val="1CA048C0"/>
    <w:rsid w:val="1CB719C3"/>
    <w:rsid w:val="1CC63804"/>
    <w:rsid w:val="1D1722B1"/>
    <w:rsid w:val="1D4209B0"/>
    <w:rsid w:val="1D421571"/>
    <w:rsid w:val="1D4F6E3B"/>
    <w:rsid w:val="1D73442E"/>
    <w:rsid w:val="1D7768AC"/>
    <w:rsid w:val="1DAB47A7"/>
    <w:rsid w:val="1DC046F7"/>
    <w:rsid w:val="1DDB2360"/>
    <w:rsid w:val="1E4C1AE7"/>
    <w:rsid w:val="1E8B758B"/>
    <w:rsid w:val="1E8C45D9"/>
    <w:rsid w:val="1E920021"/>
    <w:rsid w:val="1ECD061A"/>
    <w:rsid w:val="1EDA17E8"/>
    <w:rsid w:val="1EFF00E9"/>
    <w:rsid w:val="1F1D16D5"/>
    <w:rsid w:val="1F496D99"/>
    <w:rsid w:val="1F8147DA"/>
    <w:rsid w:val="1F9F8D17"/>
    <w:rsid w:val="1FD762A8"/>
    <w:rsid w:val="1FD77AD6"/>
    <w:rsid w:val="20486236"/>
    <w:rsid w:val="20A025BE"/>
    <w:rsid w:val="20C723D8"/>
    <w:rsid w:val="20FA3A7C"/>
    <w:rsid w:val="2104020E"/>
    <w:rsid w:val="2146681B"/>
    <w:rsid w:val="215C57F7"/>
    <w:rsid w:val="21A64511"/>
    <w:rsid w:val="21B52099"/>
    <w:rsid w:val="21BC58B9"/>
    <w:rsid w:val="21D01A69"/>
    <w:rsid w:val="21E26745"/>
    <w:rsid w:val="21F062D1"/>
    <w:rsid w:val="21F7297B"/>
    <w:rsid w:val="21F93D33"/>
    <w:rsid w:val="22344F29"/>
    <w:rsid w:val="223C00C4"/>
    <w:rsid w:val="22765384"/>
    <w:rsid w:val="22A4003B"/>
    <w:rsid w:val="22F00219"/>
    <w:rsid w:val="231371BB"/>
    <w:rsid w:val="232F29FA"/>
    <w:rsid w:val="235E199B"/>
    <w:rsid w:val="236E24FF"/>
    <w:rsid w:val="23865A9B"/>
    <w:rsid w:val="23B03722"/>
    <w:rsid w:val="244B0A92"/>
    <w:rsid w:val="2472601F"/>
    <w:rsid w:val="2479115B"/>
    <w:rsid w:val="24A2704A"/>
    <w:rsid w:val="24AA7567"/>
    <w:rsid w:val="251A0B90"/>
    <w:rsid w:val="25237319"/>
    <w:rsid w:val="25287637"/>
    <w:rsid w:val="25583467"/>
    <w:rsid w:val="25592D3B"/>
    <w:rsid w:val="256040C9"/>
    <w:rsid w:val="2584425C"/>
    <w:rsid w:val="259F5A72"/>
    <w:rsid w:val="25B20DC9"/>
    <w:rsid w:val="25B8223B"/>
    <w:rsid w:val="25D36F91"/>
    <w:rsid w:val="261C6242"/>
    <w:rsid w:val="265936BB"/>
    <w:rsid w:val="2685028B"/>
    <w:rsid w:val="268D0EEE"/>
    <w:rsid w:val="26C012C4"/>
    <w:rsid w:val="26C2328E"/>
    <w:rsid w:val="26CF3E66"/>
    <w:rsid w:val="27376C91"/>
    <w:rsid w:val="27A75FE0"/>
    <w:rsid w:val="280710DB"/>
    <w:rsid w:val="282E04AF"/>
    <w:rsid w:val="28364E62"/>
    <w:rsid w:val="285F2D5E"/>
    <w:rsid w:val="288F53F1"/>
    <w:rsid w:val="289E73E3"/>
    <w:rsid w:val="28A259F1"/>
    <w:rsid w:val="28A8200F"/>
    <w:rsid w:val="28AD3ACA"/>
    <w:rsid w:val="28D64DCE"/>
    <w:rsid w:val="28EC2844"/>
    <w:rsid w:val="28F32774"/>
    <w:rsid w:val="292E4C0A"/>
    <w:rsid w:val="29690152"/>
    <w:rsid w:val="29950C95"/>
    <w:rsid w:val="299837CD"/>
    <w:rsid w:val="29CB3C83"/>
    <w:rsid w:val="29DF4157"/>
    <w:rsid w:val="2A0239A1"/>
    <w:rsid w:val="2A0A3382"/>
    <w:rsid w:val="2A1A0CEB"/>
    <w:rsid w:val="2AEB4A25"/>
    <w:rsid w:val="2B190027"/>
    <w:rsid w:val="2B5D790C"/>
    <w:rsid w:val="2BA548C3"/>
    <w:rsid w:val="2BEF61A7"/>
    <w:rsid w:val="2BF81500"/>
    <w:rsid w:val="2C186781"/>
    <w:rsid w:val="2C366B76"/>
    <w:rsid w:val="2C477D91"/>
    <w:rsid w:val="2C51109A"/>
    <w:rsid w:val="2C8D1C48"/>
    <w:rsid w:val="2CDC5E78"/>
    <w:rsid w:val="2CEA709A"/>
    <w:rsid w:val="2CFF066C"/>
    <w:rsid w:val="2D2F6528"/>
    <w:rsid w:val="2D6E2ED1"/>
    <w:rsid w:val="2D7626DC"/>
    <w:rsid w:val="2D7ED3FF"/>
    <w:rsid w:val="2D850B71"/>
    <w:rsid w:val="2D860748"/>
    <w:rsid w:val="2D917516"/>
    <w:rsid w:val="2D9338B2"/>
    <w:rsid w:val="2DAC31E2"/>
    <w:rsid w:val="2DB17BB8"/>
    <w:rsid w:val="2DD52ADB"/>
    <w:rsid w:val="2DD613CD"/>
    <w:rsid w:val="2DED6716"/>
    <w:rsid w:val="2E7035CF"/>
    <w:rsid w:val="2E9F3EB4"/>
    <w:rsid w:val="2ED5789D"/>
    <w:rsid w:val="2ED95618"/>
    <w:rsid w:val="2EDF4901"/>
    <w:rsid w:val="2EEB23E4"/>
    <w:rsid w:val="2F1D7458"/>
    <w:rsid w:val="2F3926C8"/>
    <w:rsid w:val="2F6615D4"/>
    <w:rsid w:val="2FBB6ACC"/>
    <w:rsid w:val="2FD61B58"/>
    <w:rsid w:val="2FF9701C"/>
    <w:rsid w:val="302100FF"/>
    <w:rsid w:val="30422D49"/>
    <w:rsid w:val="305F1B4D"/>
    <w:rsid w:val="305F259A"/>
    <w:rsid w:val="30914BF5"/>
    <w:rsid w:val="30E65DCB"/>
    <w:rsid w:val="311350AC"/>
    <w:rsid w:val="31227634"/>
    <w:rsid w:val="314F1BC2"/>
    <w:rsid w:val="31500CAA"/>
    <w:rsid w:val="315B411B"/>
    <w:rsid w:val="31642EB0"/>
    <w:rsid w:val="31A517E2"/>
    <w:rsid w:val="31AB7E8D"/>
    <w:rsid w:val="31BB4F42"/>
    <w:rsid w:val="31D20724"/>
    <w:rsid w:val="31F60C40"/>
    <w:rsid w:val="326119EF"/>
    <w:rsid w:val="32A41A99"/>
    <w:rsid w:val="32C57C62"/>
    <w:rsid w:val="32DD6D9A"/>
    <w:rsid w:val="32E21EBD"/>
    <w:rsid w:val="32FD2735"/>
    <w:rsid w:val="333F3086"/>
    <w:rsid w:val="33775400"/>
    <w:rsid w:val="337A0A4C"/>
    <w:rsid w:val="338057AE"/>
    <w:rsid w:val="33814BD7"/>
    <w:rsid w:val="339E298D"/>
    <w:rsid w:val="33B45D0C"/>
    <w:rsid w:val="33DC34B5"/>
    <w:rsid w:val="33F17F05"/>
    <w:rsid w:val="33FF13EE"/>
    <w:rsid w:val="34313801"/>
    <w:rsid w:val="347100A1"/>
    <w:rsid w:val="34807322"/>
    <w:rsid w:val="34C46423"/>
    <w:rsid w:val="34C5219B"/>
    <w:rsid w:val="34E15227"/>
    <w:rsid w:val="34EF2A8C"/>
    <w:rsid w:val="352D221A"/>
    <w:rsid w:val="359312A1"/>
    <w:rsid w:val="35A149B6"/>
    <w:rsid w:val="35F1149A"/>
    <w:rsid w:val="360C2E3B"/>
    <w:rsid w:val="36511F38"/>
    <w:rsid w:val="36626C16"/>
    <w:rsid w:val="36AB619B"/>
    <w:rsid w:val="36C721FA"/>
    <w:rsid w:val="36E508D2"/>
    <w:rsid w:val="36FB1EA4"/>
    <w:rsid w:val="37024FE0"/>
    <w:rsid w:val="370E7F07"/>
    <w:rsid w:val="373759DA"/>
    <w:rsid w:val="37492C0F"/>
    <w:rsid w:val="37D470DF"/>
    <w:rsid w:val="37EB55FF"/>
    <w:rsid w:val="381B5805"/>
    <w:rsid w:val="381E22EE"/>
    <w:rsid w:val="38D11920"/>
    <w:rsid w:val="38DF40E7"/>
    <w:rsid w:val="391F79E3"/>
    <w:rsid w:val="394C156B"/>
    <w:rsid w:val="396A43CB"/>
    <w:rsid w:val="39BB7CA8"/>
    <w:rsid w:val="39DD438A"/>
    <w:rsid w:val="39E80634"/>
    <w:rsid w:val="39F1794B"/>
    <w:rsid w:val="39FA6443"/>
    <w:rsid w:val="3A06303A"/>
    <w:rsid w:val="3A072C82"/>
    <w:rsid w:val="3A16122F"/>
    <w:rsid w:val="3A285C38"/>
    <w:rsid w:val="3A374223"/>
    <w:rsid w:val="3A3758E9"/>
    <w:rsid w:val="3A483652"/>
    <w:rsid w:val="3A4D2A17"/>
    <w:rsid w:val="3A691CC4"/>
    <w:rsid w:val="3A881CA1"/>
    <w:rsid w:val="3B117F8B"/>
    <w:rsid w:val="3B202102"/>
    <w:rsid w:val="3B6E53C1"/>
    <w:rsid w:val="3B765F9D"/>
    <w:rsid w:val="3BC27434"/>
    <w:rsid w:val="3BC9762B"/>
    <w:rsid w:val="3BDE6116"/>
    <w:rsid w:val="3BE13D5E"/>
    <w:rsid w:val="3C0256F9"/>
    <w:rsid w:val="3C067321"/>
    <w:rsid w:val="3C0E2EA8"/>
    <w:rsid w:val="3C1F6635"/>
    <w:rsid w:val="3C385593"/>
    <w:rsid w:val="3C3E0A37"/>
    <w:rsid w:val="3C3E2B2A"/>
    <w:rsid w:val="3C493E09"/>
    <w:rsid w:val="3C850B8E"/>
    <w:rsid w:val="3C8C1F1C"/>
    <w:rsid w:val="3C8F37BA"/>
    <w:rsid w:val="3D03704A"/>
    <w:rsid w:val="3D1A77E5"/>
    <w:rsid w:val="3D2A34E3"/>
    <w:rsid w:val="3D3A5B55"/>
    <w:rsid w:val="3D683A5A"/>
    <w:rsid w:val="3D850719"/>
    <w:rsid w:val="3DC21AB7"/>
    <w:rsid w:val="3E0401FA"/>
    <w:rsid w:val="3E0C2BE9"/>
    <w:rsid w:val="3E0C4997"/>
    <w:rsid w:val="3E155F41"/>
    <w:rsid w:val="3E3325FE"/>
    <w:rsid w:val="3E66054B"/>
    <w:rsid w:val="3EA64DEB"/>
    <w:rsid w:val="3EC27DC1"/>
    <w:rsid w:val="3ED66CAE"/>
    <w:rsid w:val="3EFC1444"/>
    <w:rsid w:val="3F1C1008"/>
    <w:rsid w:val="3F5D7BA0"/>
    <w:rsid w:val="3F6D40F6"/>
    <w:rsid w:val="3F6F42A9"/>
    <w:rsid w:val="3F6F57ED"/>
    <w:rsid w:val="3F8C11CB"/>
    <w:rsid w:val="3F980BD8"/>
    <w:rsid w:val="3FA0000A"/>
    <w:rsid w:val="3FBC0A47"/>
    <w:rsid w:val="3FBE7F13"/>
    <w:rsid w:val="3FE46E36"/>
    <w:rsid w:val="40391CF5"/>
    <w:rsid w:val="404843AC"/>
    <w:rsid w:val="406B5F83"/>
    <w:rsid w:val="4076423A"/>
    <w:rsid w:val="407F58F4"/>
    <w:rsid w:val="40994C08"/>
    <w:rsid w:val="40A11D0E"/>
    <w:rsid w:val="40AA77F1"/>
    <w:rsid w:val="40B51316"/>
    <w:rsid w:val="40C94638"/>
    <w:rsid w:val="41110C42"/>
    <w:rsid w:val="41401527"/>
    <w:rsid w:val="41961147"/>
    <w:rsid w:val="41FB48E3"/>
    <w:rsid w:val="42A87384"/>
    <w:rsid w:val="42B20202"/>
    <w:rsid w:val="42B51AA1"/>
    <w:rsid w:val="42E70463"/>
    <w:rsid w:val="434A3F97"/>
    <w:rsid w:val="43730583"/>
    <w:rsid w:val="439D67BD"/>
    <w:rsid w:val="43D926FC"/>
    <w:rsid w:val="44083378"/>
    <w:rsid w:val="440B04FC"/>
    <w:rsid w:val="44145884"/>
    <w:rsid w:val="44417C6D"/>
    <w:rsid w:val="44A973E3"/>
    <w:rsid w:val="44B6565C"/>
    <w:rsid w:val="44F6229E"/>
    <w:rsid w:val="45101210"/>
    <w:rsid w:val="451E33E4"/>
    <w:rsid w:val="453B6657"/>
    <w:rsid w:val="454B6CBC"/>
    <w:rsid w:val="456652D4"/>
    <w:rsid w:val="45806396"/>
    <w:rsid w:val="45C75D73"/>
    <w:rsid w:val="45CF7E3F"/>
    <w:rsid w:val="45F62B9F"/>
    <w:rsid w:val="46192347"/>
    <w:rsid w:val="463E26A5"/>
    <w:rsid w:val="4642189D"/>
    <w:rsid w:val="467B6B5D"/>
    <w:rsid w:val="46A74491"/>
    <w:rsid w:val="46B856BC"/>
    <w:rsid w:val="46D81B90"/>
    <w:rsid w:val="47222197"/>
    <w:rsid w:val="476E417A"/>
    <w:rsid w:val="47A83982"/>
    <w:rsid w:val="47BB1907"/>
    <w:rsid w:val="47D143BA"/>
    <w:rsid w:val="47DE23F1"/>
    <w:rsid w:val="48135CD5"/>
    <w:rsid w:val="4832149E"/>
    <w:rsid w:val="483D231C"/>
    <w:rsid w:val="486D88B4"/>
    <w:rsid w:val="488340A3"/>
    <w:rsid w:val="48931989"/>
    <w:rsid w:val="48972E18"/>
    <w:rsid w:val="48AA482F"/>
    <w:rsid w:val="48F7696F"/>
    <w:rsid w:val="49080B7C"/>
    <w:rsid w:val="491B1B31"/>
    <w:rsid w:val="491C4628"/>
    <w:rsid w:val="49777AB0"/>
    <w:rsid w:val="49867CF3"/>
    <w:rsid w:val="498D5A32"/>
    <w:rsid w:val="49CF169A"/>
    <w:rsid w:val="4A653DAC"/>
    <w:rsid w:val="4AA440B9"/>
    <w:rsid w:val="4AA83F44"/>
    <w:rsid w:val="4ABD14F2"/>
    <w:rsid w:val="4AC705C3"/>
    <w:rsid w:val="4AE01685"/>
    <w:rsid w:val="4AEF6A83"/>
    <w:rsid w:val="4AFE29C3"/>
    <w:rsid w:val="4B1D6435"/>
    <w:rsid w:val="4B2257F9"/>
    <w:rsid w:val="4B2477C4"/>
    <w:rsid w:val="4B315A3D"/>
    <w:rsid w:val="4B435A4B"/>
    <w:rsid w:val="4B4D322A"/>
    <w:rsid w:val="4B9D30D2"/>
    <w:rsid w:val="4BA206E8"/>
    <w:rsid w:val="4BAB3A41"/>
    <w:rsid w:val="4BAF1783"/>
    <w:rsid w:val="4BD50ABE"/>
    <w:rsid w:val="4BDE7972"/>
    <w:rsid w:val="4BE739FC"/>
    <w:rsid w:val="4C6D519A"/>
    <w:rsid w:val="4C775FCB"/>
    <w:rsid w:val="4C7E4CB1"/>
    <w:rsid w:val="4C8F06F7"/>
    <w:rsid w:val="4CAB10A5"/>
    <w:rsid w:val="4CDA1D3F"/>
    <w:rsid w:val="4CF3744D"/>
    <w:rsid w:val="4CF907DC"/>
    <w:rsid w:val="4D143CAC"/>
    <w:rsid w:val="4D1675E0"/>
    <w:rsid w:val="4D177DD3"/>
    <w:rsid w:val="4D3006A2"/>
    <w:rsid w:val="4D4B1CA0"/>
    <w:rsid w:val="4D5A571F"/>
    <w:rsid w:val="4D9C782E"/>
    <w:rsid w:val="4DA62712"/>
    <w:rsid w:val="4DCA28A4"/>
    <w:rsid w:val="4DE67384"/>
    <w:rsid w:val="4E1A44A7"/>
    <w:rsid w:val="4E5C54C6"/>
    <w:rsid w:val="4E8112F7"/>
    <w:rsid w:val="4F211FAF"/>
    <w:rsid w:val="4F2B6157"/>
    <w:rsid w:val="4F4C1A2B"/>
    <w:rsid w:val="4F6C34E7"/>
    <w:rsid w:val="4FF6445F"/>
    <w:rsid w:val="501F67AB"/>
    <w:rsid w:val="504A0B9B"/>
    <w:rsid w:val="504D50C7"/>
    <w:rsid w:val="507C3BFE"/>
    <w:rsid w:val="50830489"/>
    <w:rsid w:val="50AA1A16"/>
    <w:rsid w:val="50D4451E"/>
    <w:rsid w:val="51181B78"/>
    <w:rsid w:val="514E10F6"/>
    <w:rsid w:val="51735001"/>
    <w:rsid w:val="519A07DF"/>
    <w:rsid w:val="519A2A2F"/>
    <w:rsid w:val="51BB2504"/>
    <w:rsid w:val="51E25CE3"/>
    <w:rsid w:val="522D2622"/>
    <w:rsid w:val="5270482E"/>
    <w:rsid w:val="52770B21"/>
    <w:rsid w:val="527F665C"/>
    <w:rsid w:val="52C378C2"/>
    <w:rsid w:val="52C74541"/>
    <w:rsid w:val="52E977E7"/>
    <w:rsid w:val="52EC506B"/>
    <w:rsid w:val="531434B1"/>
    <w:rsid w:val="53346A12"/>
    <w:rsid w:val="533802B0"/>
    <w:rsid w:val="53431472"/>
    <w:rsid w:val="53494F87"/>
    <w:rsid w:val="534C78B7"/>
    <w:rsid w:val="537F5EDF"/>
    <w:rsid w:val="53A92F5C"/>
    <w:rsid w:val="53C53301"/>
    <w:rsid w:val="53E235A3"/>
    <w:rsid w:val="541A2510"/>
    <w:rsid w:val="5452574E"/>
    <w:rsid w:val="54562C35"/>
    <w:rsid w:val="547E7F44"/>
    <w:rsid w:val="54891A20"/>
    <w:rsid w:val="549F023E"/>
    <w:rsid w:val="54A352DF"/>
    <w:rsid w:val="54EE1F9C"/>
    <w:rsid w:val="54F16968"/>
    <w:rsid w:val="54FC6789"/>
    <w:rsid w:val="55164621"/>
    <w:rsid w:val="552C0A96"/>
    <w:rsid w:val="553E5175"/>
    <w:rsid w:val="554A28A3"/>
    <w:rsid w:val="55860B49"/>
    <w:rsid w:val="558772CD"/>
    <w:rsid w:val="55886878"/>
    <w:rsid w:val="55BDAA02"/>
    <w:rsid w:val="55C05FE5"/>
    <w:rsid w:val="55EE37F7"/>
    <w:rsid w:val="566969D2"/>
    <w:rsid w:val="56D139EE"/>
    <w:rsid w:val="56E12A0D"/>
    <w:rsid w:val="56EA2DBB"/>
    <w:rsid w:val="57407733"/>
    <w:rsid w:val="57831589"/>
    <w:rsid w:val="57DF20DF"/>
    <w:rsid w:val="57EF0DA5"/>
    <w:rsid w:val="57F657DD"/>
    <w:rsid w:val="580B5F93"/>
    <w:rsid w:val="581970B6"/>
    <w:rsid w:val="581E6EFC"/>
    <w:rsid w:val="582F3064"/>
    <w:rsid w:val="583C1B47"/>
    <w:rsid w:val="58647451"/>
    <w:rsid w:val="58690F0C"/>
    <w:rsid w:val="58E16CF4"/>
    <w:rsid w:val="58E3481A"/>
    <w:rsid w:val="59301A29"/>
    <w:rsid w:val="593435F1"/>
    <w:rsid w:val="5943175D"/>
    <w:rsid w:val="59885EAF"/>
    <w:rsid w:val="59995821"/>
    <w:rsid w:val="59D52CBB"/>
    <w:rsid w:val="5A1D0200"/>
    <w:rsid w:val="5A30350A"/>
    <w:rsid w:val="5A4237C2"/>
    <w:rsid w:val="5A975865"/>
    <w:rsid w:val="5AA341F7"/>
    <w:rsid w:val="5AB93F1D"/>
    <w:rsid w:val="5B10566E"/>
    <w:rsid w:val="5B48305A"/>
    <w:rsid w:val="5B694D7F"/>
    <w:rsid w:val="5B71145A"/>
    <w:rsid w:val="5B90055D"/>
    <w:rsid w:val="5B9731F0"/>
    <w:rsid w:val="5BC51D56"/>
    <w:rsid w:val="5BC91427"/>
    <w:rsid w:val="5BCC5A39"/>
    <w:rsid w:val="5C1D0043"/>
    <w:rsid w:val="5C25339C"/>
    <w:rsid w:val="5C277114"/>
    <w:rsid w:val="5C4B1054"/>
    <w:rsid w:val="5C60665C"/>
    <w:rsid w:val="5CBB583A"/>
    <w:rsid w:val="5CBB7B66"/>
    <w:rsid w:val="5CDC0042"/>
    <w:rsid w:val="5CE84AF5"/>
    <w:rsid w:val="5D070592"/>
    <w:rsid w:val="5D3513BC"/>
    <w:rsid w:val="5D4075F4"/>
    <w:rsid w:val="5D6E241A"/>
    <w:rsid w:val="5D752101"/>
    <w:rsid w:val="5D771F1C"/>
    <w:rsid w:val="5D891708"/>
    <w:rsid w:val="5DA64068"/>
    <w:rsid w:val="5E007C1C"/>
    <w:rsid w:val="5E0F5F5E"/>
    <w:rsid w:val="5E3818C6"/>
    <w:rsid w:val="5E4F2952"/>
    <w:rsid w:val="5E6554CB"/>
    <w:rsid w:val="5E656F04"/>
    <w:rsid w:val="5EB17168"/>
    <w:rsid w:val="5ED03A93"/>
    <w:rsid w:val="5EF02D24"/>
    <w:rsid w:val="5EF74F6C"/>
    <w:rsid w:val="5F1A0D6A"/>
    <w:rsid w:val="5F6744E4"/>
    <w:rsid w:val="5F7CF32A"/>
    <w:rsid w:val="5FA36980"/>
    <w:rsid w:val="5FB92779"/>
    <w:rsid w:val="5FEFEC0F"/>
    <w:rsid w:val="60591866"/>
    <w:rsid w:val="6085265B"/>
    <w:rsid w:val="60D333C6"/>
    <w:rsid w:val="60DA0F38"/>
    <w:rsid w:val="61007F33"/>
    <w:rsid w:val="61021EFD"/>
    <w:rsid w:val="61026290"/>
    <w:rsid w:val="61285BD1"/>
    <w:rsid w:val="612E78B9"/>
    <w:rsid w:val="615F4C5A"/>
    <w:rsid w:val="61883DC9"/>
    <w:rsid w:val="619340E1"/>
    <w:rsid w:val="620727BD"/>
    <w:rsid w:val="6219421A"/>
    <w:rsid w:val="6235088A"/>
    <w:rsid w:val="623F643D"/>
    <w:rsid w:val="6263350E"/>
    <w:rsid w:val="62D13935"/>
    <w:rsid w:val="62D66ED9"/>
    <w:rsid w:val="62E64C0E"/>
    <w:rsid w:val="62FB092D"/>
    <w:rsid w:val="632B74E9"/>
    <w:rsid w:val="633D0FCB"/>
    <w:rsid w:val="63400ABB"/>
    <w:rsid w:val="63624ED5"/>
    <w:rsid w:val="63776E7B"/>
    <w:rsid w:val="639826A5"/>
    <w:rsid w:val="63BF5E84"/>
    <w:rsid w:val="63D47B81"/>
    <w:rsid w:val="63EC1BC8"/>
    <w:rsid w:val="6407524E"/>
    <w:rsid w:val="642B176B"/>
    <w:rsid w:val="64492EB6"/>
    <w:rsid w:val="648E63B1"/>
    <w:rsid w:val="65075D34"/>
    <w:rsid w:val="651B358E"/>
    <w:rsid w:val="65297A59"/>
    <w:rsid w:val="65312DB1"/>
    <w:rsid w:val="653323E1"/>
    <w:rsid w:val="654A5C21"/>
    <w:rsid w:val="654E5711"/>
    <w:rsid w:val="655A5E64"/>
    <w:rsid w:val="655E4D66"/>
    <w:rsid w:val="65C77271"/>
    <w:rsid w:val="65F31E15"/>
    <w:rsid w:val="6639164D"/>
    <w:rsid w:val="668C539F"/>
    <w:rsid w:val="66925AD1"/>
    <w:rsid w:val="66A302D7"/>
    <w:rsid w:val="66C22D3A"/>
    <w:rsid w:val="66F86417"/>
    <w:rsid w:val="672910EB"/>
    <w:rsid w:val="679B12BA"/>
    <w:rsid w:val="67B850C4"/>
    <w:rsid w:val="67C53529"/>
    <w:rsid w:val="67D35A28"/>
    <w:rsid w:val="67D765A1"/>
    <w:rsid w:val="67DD3829"/>
    <w:rsid w:val="67DF0AC8"/>
    <w:rsid w:val="67E30DF1"/>
    <w:rsid w:val="683055A2"/>
    <w:rsid w:val="68354966"/>
    <w:rsid w:val="68402C89"/>
    <w:rsid w:val="68483E46"/>
    <w:rsid w:val="68AE0484"/>
    <w:rsid w:val="68BE495C"/>
    <w:rsid w:val="68C11D22"/>
    <w:rsid w:val="68FF0755"/>
    <w:rsid w:val="690A4AA4"/>
    <w:rsid w:val="693E5A9D"/>
    <w:rsid w:val="69460D54"/>
    <w:rsid w:val="69482477"/>
    <w:rsid w:val="699639F0"/>
    <w:rsid w:val="69D523B4"/>
    <w:rsid w:val="69EE7CDF"/>
    <w:rsid w:val="6A1A3E14"/>
    <w:rsid w:val="6A222CC8"/>
    <w:rsid w:val="6A462CC6"/>
    <w:rsid w:val="6A9FE662"/>
    <w:rsid w:val="6AF01164"/>
    <w:rsid w:val="6B0D5727"/>
    <w:rsid w:val="6B234F4A"/>
    <w:rsid w:val="6B2C372B"/>
    <w:rsid w:val="6B9663D5"/>
    <w:rsid w:val="6BBC1336"/>
    <w:rsid w:val="6BFF976A"/>
    <w:rsid w:val="6C37005D"/>
    <w:rsid w:val="6C613F7C"/>
    <w:rsid w:val="6C89702F"/>
    <w:rsid w:val="6CA83959"/>
    <w:rsid w:val="6CAC6EF1"/>
    <w:rsid w:val="6CD534E3"/>
    <w:rsid w:val="6CD9339E"/>
    <w:rsid w:val="6CE81599"/>
    <w:rsid w:val="6D0D1A0E"/>
    <w:rsid w:val="6D14701B"/>
    <w:rsid w:val="6D2F0485"/>
    <w:rsid w:val="6D413DAD"/>
    <w:rsid w:val="6D415B5B"/>
    <w:rsid w:val="6D57537F"/>
    <w:rsid w:val="6DAB081F"/>
    <w:rsid w:val="6DBD0123"/>
    <w:rsid w:val="6DD95D94"/>
    <w:rsid w:val="6DF8446C"/>
    <w:rsid w:val="6E3D55E0"/>
    <w:rsid w:val="6E4E6782"/>
    <w:rsid w:val="6E526272"/>
    <w:rsid w:val="6E6005B3"/>
    <w:rsid w:val="6EB56801"/>
    <w:rsid w:val="6EF86583"/>
    <w:rsid w:val="6F0E7CBF"/>
    <w:rsid w:val="6F196D90"/>
    <w:rsid w:val="6F5222A2"/>
    <w:rsid w:val="6F6D70DC"/>
    <w:rsid w:val="6F7432EB"/>
    <w:rsid w:val="6FC21CF1"/>
    <w:rsid w:val="6FC62348"/>
    <w:rsid w:val="6FEF794F"/>
    <w:rsid w:val="6FF670D1"/>
    <w:rsid w:val="7020414E"/>
    <w:rsid w:val="70221C74"/>
    <w:rsid w:val="70400DDF"/>
    <w:rsid w:val="70514307"/>
    <w:rsid w:val="70730131"/>
    <w:rsid w:val="70783D6C"/>
    <w:rsid w:val="70AF32E5"/>
    <w:rsid w:val="70C04FE9"/>
    <w:rsid w:val="70C639C9"/>
    <w:rsid w:val="70D46DA9"/>
    <w:rsid w:val="7104137A"/>
    <w:rsid w:val="71175551"/>
    <w:rsid w:val="71202BA5"/>
    <w:rsid w:val="71380B87"/>
    <w:rsid w:val="714325E3"/>
    <w:rsid w:val="714571EE"/>
    <w:rsid w:val="71753A29"/>
    <w:rsid w:val="71C4488E"/>
    <w:rsid w:val="71C97E45"/>
    <w:rsid w:val="71F72C8D"/>
    <w:rsid w:val="72141A90"/>
    <w:rsid w:val="7233543C"/>
    <w:rsid w:val="729606F7"/>
    <w:rsid w:val="72F464CC"/>
    <w:rsid w:val="730B45CC"/>
    <w:rsid w:val="73260331"/>
    <w:rsid w:val="73683F57"/>
    <w:rsid w:val="736D426E"/>
    <w:rsid w:val="738F7621"/>
    <w:rsid w:val="739369E5"/>
    <w:rsid w:val="73A82490"/>
    <w:rsid w:val="73FB7FC5"/>
    <w:rsid w:val="74085625"/>
    <w:rsid w:val="74123DAE"/>
    <w:rsid w:val="74185507"/>
    <w:rsid w:val="744F5002"/>
    <w:rsid w:val="74542618"/>
    <w:rsid w:val="74786307"/>
    <w:rsid w:val="74980757"/>
    <w:rsid w:val="74AE3AD6"/>
    <w:rsid w:val="74C157E4"/>
    <w:rsid w:val="74D13C69"/>
    <w:rsid w:val="74EC0AA3"/>
    <w:rsid w:val="75071439"/>
    <w:rsid w:val="75297601"/>
    <w:rsid w:val="753D12FE"/>
    <w:rsid w:val="75572054"/>
    <w:rsid w:val="7581462B"/>
    <w:rsid w:val="75AD1FE0"/>
    <w:rsid w:val="75EB36D0"/>
    <w:rsid w:val="75FDA0E1"/>
    <w:rsid w:val="761C0C50"/>
    <w:rsid w:val="761E2F75"/>
    <w:rsid w:val="761F4B90"/>
    <w:rsid w:val="76286F0E"/>
    <w:rsid w:val="76522B87"/>
    <w:rsid w:val="767A5F9C"/>
    <w:rsid w:val="76851601"/>
    <w:rsid w:val="768C7E47"/>
    <w:rsid w:val="769B55BF"/>
    <w:rsid w:val="76A07D97"/>
    <w:rsid w:val="76B35000"/>
    <w:rsid w:val="770671F4"/>
    <w:rsid w:val="77585F7B"/>
    <w:rsid w:val="777A4144"/>
    <w:rsid w:val="77A47413"/>
    <w:rsid w:val="77AD08D9"/>
    <w:rsid w:val="77D446FF"/>
    <w:rsid w:val="77DBCFED"/>
    <w:rsid w:val="77F123B9"/>
    <w:rsid w:val="786D3CA8"/>
    <w:rsid w:val="7872306D"/>
    <w:rsid w:val="7878508A"/>
    <w:rsid w:val="788039DC"/>
    <w:rsid w:val="78887081"/>
    <w:rsid w:val="789D4210"/>
    <w:rsid w:val="78EC1071"/>
    <w:rsid w:val="78ED43C8"/>
    <w:rsid w:val="79282685"/>
    <w:rsid w:val="793315D3"/>
    <w:rsid w:val="79715F21"/>
    <w:rsid w:val="7973B57A"/>
    <w:rsid w:val="79A3343C"/>
    <w:rsid w:val="7A736076"/>
    <w:rsid w:val="7A8A28F0"/>
    <w:rsid w:val="7A9814B1"/>
    <w:rsid w:val="7ABF3CFA"/>
    <w:rsid w:val="7ADB26B4"/>
    <w:rsid w:val="7AF661D7"/>
    <w:rsid w:val="7B2C0543"/>
    <w:rsid w:val="7B6C46EB"/>
    <w:rsid w:val="7B9E09BE"/>
    <w:rsid w:val="7BB35718"/>
    <w:rsid w:val="7BC5813A"/>
    <w:rsid w:val="7BF51664"/>
    <w:rsid w:val="7C0C5586"/>
    <w:rsid w:val="7C1007CE"/>
    <w:rsid w:val="7C224DAA"/>
    <w:rsid w:val="7C370855"/>
    <w:rsid w:val="7C396B93"/>
    <w:rsid w:val="7C564F16"/>
    <w:rsid w:val="7C684EB3"/>
    <w:rsid w:val="7D2D3CBD"/>
    <w:rsid w:val="7D2F777E"/>
    <w:rsid w:val="7D3B270F"/>
    <w:rsid w:val="7D7C3C6F"/>
    <w:rsid w:val="7DEE7D58"/>
    <w:rsid w:val="7DF06F0E"/>
    <w:rsid w:val="7DFB4006"/>
    <w:rsid w:val="7E1F3C97"/>
    <w:rsid w:val="7E342C81"/>
    <w:rsid w:val="7E935BD2"/>
    <w:rsid w:val="7E957AB5"/>
    <w:rsid w:val="7E97382D"/>
    <w:rsid w:val="7EB0162C"/>
    <w:rsid w:val="7EB31B6A"/>
    <w:rsid w:val="7EBA6D72"/>
    <w:rsid w:val="7EFF749D"/>
    <w:rsid w:val="7F3D55BE"/>
    <w:rsid w:val="7F7C4E9F"/>
    <w:rsid w:val="7F7FA28E"/>
    <w:rsid w:val="7F9F6E3D"/>
    <w:rsid w:val="7FAC50B6"/>
    <w:rsid w:val="7FAD7508"/>
    <w:rsid w:val="7FBFFCC7"/>
    <w:rsid w:val="7FDF1FF8"/>
    <w:rsid w:val="7FEA5BDF"/>
    <w:rsid w:val="7FFF30D9"/>
    <w:rsid w:val="7FFF5B2E"/>
    <w:rsid w:val="9FFA45ED"/>
    <w:rsid w:val="AB23391C"/>
    <w:rsid w:val="ADFD16F2"/>
    <w:rsid w:val="B9D72FE5"/>
    <w:rsid w:val="BB5305F8"/>
    <w:rsid w:val="BCEF453F"/>
    <w:rsid w:val="BD6B15C5"/>
    <w:rsid w:val="BF7EBAF6"/>
    <w:rsid w:val="BFEBA89A"/>
    <w:rsid w:val="C6FB4BEF"/>
    <w:rsid w:val="C86F8418"/>
    <w:rsid w:val="CEFB32D9"/>
    <w:rsid w:val="DBDF5D03"/>
    <w:rsid w:val="DD2FE52E"/>
    <w:rsid w:val="DF7FA0CD"/>
    <w:rsid w:val="DFDD919C"/>
    <w:rsid w:val="DFEFFA9F"/>
    <w:rsid w:val="DFF01883"/>
    <w:rsid w:val="DFFF70A1"/>
    <w:rsid w:val="E27BFC1D"/>
    <w:rsid w:val="E3EE183D"/>
    <w:rsid w:val="E6F5F014"/>
    <w:rsid w:val="E7EA2480"/>
    <w:rsid w:val="E9DFB6C9"/>
    <w:rsid w:val="EAEF94D9"/>
    <w:rsid w:val="EB7F9A00"/>
    <w:rsid w:val="EDBF7E05"/>
    <w:rsid w:val="EE97CB23"/>
    <w:rsid w:val="EEFE62B7"/>
    <w:rsid w:val="F197B8CA"/>
    <w:rsid w:val="F2FF7AFA"/>
    <w:rsid w:val="F5DF279C"/>
    <w:rsid w:val="F6AF6453"/>
    <w:rsid w:val="F77AD9DE"/>
    <w:rsid w:val="F7DB41F9"/>
    <w:rsid w:val="F7F90C36"/>
    <w:rsid w:val="FAF20165"/>
    <w:rsid w:val="FBFF6AF3"/>
    <w:rsid w:val="FD620C79"/>
    <w:rsid w:val="FDFAEAF5"/>
    <w:rsid w:val="FDFCD5A4"/>
    <w:rsid w:val="FDFF34DA"/>
    <w:rsid w:val="FEFF190D"/>
    <w:rsid w:val="FF762BC3"/>
    <w:rsid w:val="FFD7FE5C"/>
    <w:rsid w:val="FFEF2DEC"/>
    <w:rsid w:val="FFEF64E0"/>
    <w:rsid w:val="FFFFE1B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nhideWhenUsed="0" w:uiPriority="9" w:semiHidden="0" w:name="heading 8"/>
    <w:lsdException w:qFormat="1" w:unhideWhenUsed="0" w:uiPriority="9"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5">
    <w:name w:val="heading 1"/>
    <w:basedOn w:val="1"/>
    <w:next w:val="1"/>
    <w:link w:val="44"/>
    <w:qFormat/>
    <w:uiPriority w:val="0"/>
    <w:pPr>
      <w:keepNext/>
      <w:keepLines/>
      <w:spacing w:before="340" w:after="330" w:line="576" w:lineRule="auto"/>
      <w:outlineLvl w:val="0"/>
    </w:pPr>
    <w:rPr>
      <w:b/>
      <w:bCs/>
      <w:kern w:val="44"/>
      <w:sz w:val="30"/>
      <w:szCs w:val="44"/>
    </w:rPr>
  </w:style>
  <w:style w:type="paragraph" w:styleId="6">
    <w:name w:val="heading 2"/>
    <w:basedOn w:val="1"/>
    <w:next w:val="1"/>
    <w:link w:val="45"/>
    <w:qFormat/>
    <w:uiPriority w:val="0"/>
    <w:pPr>
      <w:keepNext/>
      <w:keepLines/>
      <w:spacing w:before="260" w:after="260" w:line="415" w:lineRule="auto"/>
      <w:outlineLvl w:val="1"/>
    </w:pPr>
    <w:rPr>
      <w:rFonts w:ascii="Cambria" w:hAnsi="Cambria"/>
      <w:b/>
      <w:bCs/>
      <w:sz w:val="32"/>
      <w:szCs w:val="32"/>
    </w:rPr>
  </w:style>
  <w:style w:type="paragraph" w:styleId="7">
    <w:name w:val="heading 3"/>
    <w:basedOn w:val="1"/>
    <w:next w:val="1"/>
    <w:qFormat/>
    <w:uiPriority w:val="0"/>
    <w:pPr>
      <w:spacing w:before="50" w:after="50"/>
      <w:jc w:val="left"/>
      <w:outlineLvl w:val="2"/>
    </w:pPr>
    <w:rPr>
      <w:sz w:val="28"/>
      <w:szCs w:val="32"/>
    </w:rPr>
  </w:style>
  <w:style w:type="paragraph" w:styleId="8">
    <w:name w:val="heading 4"/>
    <w:basedOn w:val="1"/>
    <w:next w:val="1"/>
    <w:qFormat/>
    <w:uiPriority w:val="99"/>
    <w:pPr>
      <w:numPr>
        <w:ilvl w:val="3"/>
        <w:numId w:val="1"/>
      </w:numPr>
      <w:spacing w:before="50" w:after="50"/>
      <w:ind w:left="0"/>
      <w:outlineLvl w:val="3"/>
    </w:pPr>
    <w:rPr>
      <w:rFonts w:eastAsia="黑体"/>
      <w:bCs/>
      <w:kern w:val="44"/>
      <w:szCs w:val="28"/>
    </w:rPr>
  </w:style>
  <w:style w:type="paragraph" w:styleId="9">
    <w:name w:val="heading 8"/>
    <w:basedOn w:val="1"/>
    <w:next w:val="1"/>
    <w:qFormat/>
    <w:uiPriority w:val="9"/>
    <w:pPr>
      <w:keepLines/>
      <w:widowControl/>
      <w:numPr>
        <w:ilvl w:val="7"/>
        <w:numId w:val="1"/>
      </w:numPr>
      <w:jc w:val="center"/>
      <w:outlineLvl w:val="7"/>
    </w:pPr>
    <w:rPr>
      <w:rFonts w:eastAsia="黑体"/>
    </w:rPr>
  </w:style>
  <w:style w:type="paragraph" w:styleId="10">
    <w:name w:val="heading 9"/>
    <w:basedOn w:val="9"/>
    <w:next w:val="1"/>
    <w:qFormat/>
    <w:uiPriority w:val="9"/>
    <w:pPr>
      <w:numPr>
        <w:ilvl w:val="8"/>
      </w:numPr>
      <w:ind w:left="0"/>
      <w:outlineLvl w:val="8"/>
    </w:pPr>
    <w:rPr>
      <w:szCs w:val="21"/>
    </w:rPr>
  </w:style>
  <w:style w:type="character" w:default="1" w:styleId="28">
    <w:name w:val="Default Paragraph Font"/>
    <w:semiHidden/>
    <w:unhideWhenUsed/>
    <w:qFormat/>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81"/>
    <w:unhideWhenUsed/>
    <w:qFormat/>
    <w:uiPriority w:val="0"/>
    <w:pPr>
      <w:spacing w:after="120"/>
    </w:pPr>
  </w:style>
  <w:style w:type="paragraph" w:styleId="3">
    <w:name w:val="Body Text Indent"/>
    <w:basedOn w:val="1"/>
    <w:next w:val="4"/>
    <w:link w:val="43"/>
    <w:qFormat/>
    <w:uiPriority w:val="0"/>
    <w:pPr>
      <w:spacing w:after="120"/>
      <w:ind w:left="420" w:leftChars="200"/>
    </w:pPr>
    <w:rPr>
      <w:sz w:val="21"/>
    </w:rPr>
  </w:style>
  <w:style w:type="paragraph" w:styleId="4">
    <w:name w:val="Body Text First Indent 2"/>
    <w:basedOn w:val="3"/>
    <w:next w:val="1"/>
    <w:qFormat/>
    <w:uiPriority w:val="0"/>
    <w:pPr>
      <w:ind w:firstLine="420" w:firstLineChars="200"/>
    </w:pPr>
  </w:style>
  <w:style w:type="paragraph" w:styleId="11">
    <w:name w:val="Normal Indent"/>
    <w:basedOn w:val="1"/>
    <w:qFormat/>
    <w:uiPriority w:val="0"/>
    <w:pPr>
      <w:ind w:firstLine="420"/>
    </w:pPr>
    <w:rPr>
      <w:szCs w:val="20"/>
    </w:rPr>
  </w:style>
  <w:style w:type="paragraph" w:styleId="12">
    <w:name w:val="Document Map"/>
    <w:basedOn w:val="1"/>
    <w:semiHidden/>
    <w:qFormat/>
    <w:uiPriority w:val="0"/>
    <w:pPr>
      <w:shd w:val="clear" w:color="auto" w:fill="000080"/>
    </w:pPr>
  </w:style>
  <w:style w:type="paragraph" w:styleId="13">
    <w:name w:val="annotation text"/>
    <w:basedOn w:val="1"/>
    <w:qFormat/>
    <w:uiPriority w:val="0"/>
    <w:pPr>
      <w:jc w:val="left"/>
    </w:pPr>
  </w:style>
  <w:style w:type="paragraph" w:styleId="14">
    <w:name w:val="toc 3"/>
    <w:basedOn w:val="1"/>
    <w:next w:val="1"/>
    <w:qFormat/>
    <w:uiPriority w:val="0"/>
    <w:pPr>
      <w:ind w:left="840" w:leftChars="400"/>
    </w:pPr>
  </w:style>
  <w:style w:type="paragraph" w:styleId="15">
    <w:name w:val="Plain Text"/>
    <w:basedOn w:val="1"/>
    <w:link w:val="46"/>
    <w:qFormat/>
    <w:uiPriority w:val="0"/>
    <w:rPr>
      <w:rFonts w:ascii="宋体" w:hAnsi="Courier New"/>
      <w:sz w:val="21"/>
      <w:szCs w:val="21"/>
    </w:rPr>
  </w:style>
  <w:style w:type="paragraph" w:styleId="16">
    <w:name w:val="Date"/>
    <w:basedOn w:val="1"/>
    <w:next w:val="1"/>
    <w:qFormat/>
    <w:uiPriority w:val="0"/>
    <w:pPr>
      <w:ind w:left="100" w:leftChars="2500"/>
    </w:pPr>
    <w:rPr>
      <w:rFonts w:eastAsia="仿宋_GB2312"/>
      <w:sz w:val="32"/>
    </w:rPr>
  </w:style>
  <w:style w:type="paragraph" w:styleId="17">
    <w:name w:val="Body Text Indent 2"/>
    <w:basedOn w:val="1"/>
    <w:link w:val="77"/>
    <w:qFormat/>
    <w:uiPriority w:val="0"/>
    <w:pPr>
      <w:spacing w:after="120" w:line="480" w:lineRule="auto"/>
      <w:ind w:left="420" w:leftChars="200"/>
    </w:pPr>
  </w:style>
  <w:style w:type="paragraph" w:styleId="18">
    <w:name w:val="Balloon Text"/>
    <w:basedOn w:val="1"/>
    <w:qFormat/>
    <w:uiPriority w:val="0"/>
    <w:rPr>
      <w:sz w:val="18"/>
      <w:szCs w:val="18"/>
    </w:rPr>
  </w:style>
  <w:style w:type="paragraph" w:styleId="19">
    <w:name w:val="footer"/>
    <w:basedOn w:val="1"/>
    <w:link w:val="47"/>
    <w:qFormat/>
    <w:uiPriority w:val="0"/>
    <w:pPr>
      <w:tabs>
        <w:tab w:val="center" w:pos="4153"/>
        <w:tab w:val="right" w:pos="8306"/>
      </w:tabs>
      <w:snapToGrid w:val="0"/>
      <w:jc w:val="left"/>
    </w:pPr>
    <w:rPr>
      <w:sz w:val="18"/>
      <w:szCs w:val="18"/>
    </w:rPr>
  </w:style>
  <w:style w:type="paragraph" w:styleId="20">
    <w:name w:val="header"/>
    <w:basedOn w:val="1"/>
    <w:link w:val="48"/>
    <w:qFormat/>
    <w:uiPriority w:val="99"/>
    <w:pPr>
      <w:pBdr>
        <w:bottom w:val="single" w:color="auto" w:sz="6" w:space="1"/>
      </w:pBdr>
      <w:tabs>
        <w:tab w:val="center" w:pos="4153"/>
        <w:tab w:val="right" w:pos="8306"/>
      </w:tabs>
      <w:snapToGrid w:val="0"/>
      <w:jc w:val="center"/>
    </w:pPr>
    <w:rPr>
      <w:sz w:val="18"/>
      <w:szCs w:val="18"/>
    </w:rPr>
  </w:style>
  <w:style w:type="paragraph" w:styleId="21">
    <w:name w:val="toc 1"/>
    <w:basedOn w:val="1"/>
    <w:next w:val="1"/>
    <w:qFormat/>
    <w:uiPriority w:val="39"/>
    <w:pPr>
      <w:spacing w:before="120" w:after="120" w:line="400" w:lineRule="exact"/>
      <w:ind w:firstLine="200" w:firstLineChars="200"/>
      <w:jc w:val="left"/>
    </w:pPr>
    <w:rPr>
      <w:rFonts w:ascii="Calibri" w:hAnsi="Calibri"/>
      <w:b/>
      <w:bCs/>
      <w:caps/>
      <w:szCs w:val="20"/>
    </w:rPr>
  </w:style>
  <w:style w:type="paragraph" w:styleId="22">
    <w:name w:val="Subtitle"/>
    <w:basedOn w:val="1"/>
    <w:next w:val="1"/>
    <w:link w:val="49"/>
    <w:qFormat/>
    <w:uiPriority w:val="0"/>
    <w:pPr>
      <w:spacing w:before="240" w:after="60" w:line="312" w:lineRule="auto"/>
      <w:jc w:val="center"/>
      <w:outlineLvl w:val="1"/>
    </w:pPr>
    <w:rPr>
      <w:rFonts w:ascii="Cambria" w:hAnsi="Cambria"/>
      <w:b/>
      <w:bCs/>
      <w:kern w:val="28"/>
      <w:sz w:val="32"/>
      <w:szCs w:val="32"/>
    </w:rPr>
  </w:style>
  <w:style w:type="paragraph" w:styleId="23">
    <w:name w:val="toc 2"/>
    <w:basedOn w:val="1"/>
    <w:next w:val="1"/>
    <w:qFormat/>
    <w:uiPriority w:val="39"/>
    <w:pPr>
      <w:ind w:left="420" w:leftChars="200"/>
    </w:pPr>
  </w:style>
  <w:style w:type="paragraph" w:styleId="24">
    <w:name w:val="Normal (Web)"/>
    <w:basedOn w:val="1"/>
    <w:qFormat/>
    <w:uiPriority w:val="99"/>
    <w:pPr>
      <w:spacing w:before="100" w:beforeAutospacing="1" w:after="100" w:afterAutospacing="1"/>
      <w:jc w:val="left"/>
    </w:pPr>
    <w:rPr>
      <w:kern w:val="0"/>
    </w:rPr>
  </w:style>
  <w:style w:type="paragraph" w:styleId="25">
    <w:name w:val="Title"/>
    <w:basedOn w:val="1"/>
    <w:next w:val="1"/>
    <w:link w:val="50"/>
    <w:qFormat/>
    <w:uiPriority w:val="0"/>
    <w:pPr>
      <w:spacing w:before="240" w:after="60"/>
      <w:jc w:val="center"/>
      <w:outlineLvl w:val="0"/>
    </w:pPr>
    <w:rPr>
      <w:rFonts w:ascii="Cambria" w:hAnsi="Cambria"/>
      <w:b/>
      <w:bCs/>
      <w:sz w:val="36"/>
      <w:szCs w:val="32"/>
    </w:rPr>
  </w:style>
  <w:style w:type="table" w:styleId="27">
    <w:name w:val="Table Grid"/>
    <w:basedOn w:val="2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qFormat/>
    <w:uiPriority w:val="0"/>
    <w:rPr>
      <w:b/>
      <w:bCs/>
    </w:rPr>
  </w:style>
  <w:style w:type="character" w:styleId="30">
    <w:name w:val="page number"/>
    <w:basedOn w:val="28"/>
    <w:qFormat/>
    <w:uiPriority w:val="0"/>
  </w:style>
  <w:style w:type="character" w:styleId="31">
    <w:name w:val="FollowedHyperlink"/>
    <w:qFormat/>
    <w:uiPriority w:val="0"/>
    <w:rPr>
      <w:color w:val="000000"/>
      <w:u w:val="none"/>
    </w:rPr>
  </w:style>
  <w:style w:type="character" w:styleId="32">
    <w:name w:val="Emphasis"/>
    <w:qFormat/>
    <w:uiPriority w:val="0"/>
  </w:style>
  <w:style w:type="character" w:styleId="33">
    <w:name w:val="HTML Definition"/>
    <w:basedOn w:val="28"/>
    <w:qFormat/>
    <w:uiPriority w:val="0"/>
  </w:style>
  <w:style w:type="character" w:styleId="34">
    <w:name w:val="HTML Typewriter"/>
    <w:basedOn w:val="28"/>
    <w:qFormat/>
    <w:uiPriority w:val="0"/>
    <w:rPr>
      <w:rFonts w:hint="default" w:ascii="monospace" w:hAnsi="monospace" w:eastAsia="monospace" w:cs="monospace"/>
      <w:sz w:val="20"/>
    </w:rPr>
  </w:style>
  <w:style w:type="character" w:styleId="35">
    <w:name w:val="HTML Acronym"/>
    <w:basedOn w:val="28"/>
    <w:qFormat/>
    <w:uiPriority w:val="0"/>
  </w:style>
  <w:style w:type="character" w:styleId="36">
    <w:name w:val="HTML Variable"/>
    <w:basedOn w:val="28"/>
    <w:qFormat/>
    <w:uiPriority w:val="0"/>
  </w:style>
  <w:style w:type="character" w:styleId="37">
    <w:name w:val="Hyperlink"/>
    <w:qFormat/>
    <w:uiPriority w:val="99"/>
    <w:rPr>
      <w:color w:val="000000"/>
      <w:u w:val="none"/>
    </w:rPr>
  </w:style>
  <w:style w:type="character" w:styleId="38">
    <w:name w:val="HTML Code"/>
    <w:basedOn w:val="28"/>
    <w:qFormat/>
    <w:uiPriority w:val="0"/>
    <w:rPr>
      <w:rFonts w:hint="default" w:ascii="monospace" w:hAnsi="monospace" w:eastAsia="monospace" w:cs="monospace"/>
      <w:sz w:val="20"/>
    </w:rPr>
  </w:style>
  <w:style w:type="character" w:styleId="39">
    <w:name w:val="annotation reference"/>
    <w:basedOn w:val="28"/>
    <w:qFormat/>
    <w:uiPriority w:val="0"/>
    <w:rPr>
      <w:sz w:val="21"/>
      <w:szCs w:val="21"/>
    </w:rPr>
  </w:style>
  <w:style w:type="character" w:styleId="40">
    <w:name w:val="HTML Cite"/>
    <w:basedOn w:val="28"/>
    <w:qFormat/>
    <w:uiPriority w:val="0"/>
  </w:style>
  <w:style w:type="character" w:styleId="41">
    <w:name w:val="HTML Keyboard"/>
    <w:basedOn w:val="28"/>
    <w:qFormat/>
    <w:uiPriority w:val="0"/>
    <w:rPr>
      <w:rFonts w:ascii="monospace" w:hAnsi="monospace" w:eastAsia="monospace" w:cs="monospace"/>
      <w:sz w:val="20"/>
    </w:rPr>
  </w:style>
  <w:style w:type="character" w:styleId="42">
    <w:name w:val="HTML Sample"/>
    <w:basedOn w:val="28"/>
    <w:qFormat/>
    <w:uiPriority w:val="0"/>
    <w:rPr>
      <w:rFonts w:hint="default" w:ascii="monospace" w:hAnsi="monospace" w:eastAsia="monospace" w:cs="monospace"/>
    </w:rPr>
  </w:style>
  <w:style w:type="character" w:customStyle="1" w:styleId="43">
    <w:name w:val="正文文本缩进 Char"/>
    <w:link w:val="3"/>
    <w:qFormat/>
    <w:uiPriority w:val="0"/>
    <w:rPr>
      <w:kern w:val="2"/>
      <w:sz w:val="21"/>
      <w:szCs w:val="24"/>
    </w:rPr>
  </w:style>
  <w:style w:type="character" w:customStyle="1" w:styleId="44">
    <w:name w:val="标题 1 Char"/>
    <w:link w:val="5"/>
    <w:qFormat/>
    <w:uiPriority w:val="0"/>
    <w:rPr>
      <w:b/>
      <w:bCs/>
      <w:kern w:val="44"/>
      <w:sz w:val="30"/>
      <w:szCs w:val="44"/>
    </w:rPr>
  </w:style>
  <w:style w:type="character" w:customStyle="1" w:styleId="45">
    <w:name w:val="标题 2 Char"/>
    <w:link w:val="6"/>
    <w:qFormat/>
    <w:uiPriority w:val="0"/>
    <w:rPr>
      <w:rFonts w:ascii="Cambria" w:hAnsi="Cambria"/>
      <w:b/>
      <w:bCs/>
      <w:kern w:val="2"/>
      <w:sz w:val="32"/>
      <w:szCs w:val="32"/>
    </w:rPr>
  </w:style>
  <w:style w:type="character" w:customStyle="1" w:styleId="46">
    <w:name w:val="纯文本 Char"/>
    <w:link w:val="15"/>
    <w:qFormat/>
    <w:uiPriority w:val="0"/>
    <w:rPr>
      <w:rFonts w:ascii="宋体" w:hAnsi="Courier New" w:cs="Courier New"/>
      <w:kern w:val="2"/>
      <w:sz w:val="21"/>
      <w:szCs w:val="21"/>
    </w:rPr>
  </w:style>
  <w:style w:type="character" w:customStyle="1" w:styleId="47">
    <w:name w:val="页脚 Char"/>
    <w:link w:val="19"/>
    <w:qFormat/>
    <w:uiPriority w:val="99"/>
    <w:rPr>
      <w:kern w:val="2"/>
      <w:sz w:val="18"/>
      <w:szCs w:val="18"/>
    </w:rPr>
  </w:style>
  <w:style w:type="character" w:customStyle="1" w:styleId="48">
    <w:name w:val="页眉 Char"/>
    <w:link w:val="20"/>
    <w:qFormat/>
    <w:uiPriority w:val="99"/>
    <w:rPr>
      <w:kern w:val="2"/>
      <w:sz w:val="18"/>
      <w:szCs w:val="18"/>
    </w:rPr>
  </w:style>
  <w:style w:type="character" w:customStyle="1" w:styleId="49">
    <w:name w:val="副标题 Char"/>
    <w:link w:val="22"/>
    <w:qFormat/>
    <w:uiPriority w:val="0"/>
    <w:rPr>
      <w:rFonts w:ascii="Cambria" w:hAnsi="Cambria"/>
      <w:b/>
      <w:bCs/>
      <w:kern w:val="28"/>
      <w:sz w:val="32"/>
      <w:szCs w:val="32"/>
    </w:rPr>
  </w:style>
  <w:style w:type="character" w:customStyle="1" w:styleId="50">
    <w:name w:val="标题 Char"/>
    <w:link w:val="25"/>
    <w:qFormat/>
    <w:uiPriority w:val="0"/>
    <w:rPr>
      <w:rFonts w:ascii="Cambria" w:hAnsi="Cambria"/>
      <w:b/>
      <w:bCs/>
      <w:kern w:val="2"/>
      <w:sz w:val="36"/>
      <w:szCs w:val="32"/>
    </w:rPr>
  </w:style>
  <w:style w:type="paragraph" w:customStyle="1" w:styleId="51">
    <w:name w:val="一级条标题"/>
    <w:basedOn w:val="52"/>
    <w:next w:val="53"/>
    <w:qFormat/>
    <w:uiPriority w:val="0"/>
    <w:pPr>
      <w:ind w:left="420"/>
      <w:outlineLvl w:val="2"/>
    </w:pPr>
  </w:style>
  <w:style w:type="paragraph" w:customStyle="1" w:styleId="52">
    <w:name w:val="章标题"/>
    <w:next w:val="1"/>
    <w:qFormat/>
    <w:uiPriority w:val="0"/>
    <w:pPr>
      <w:spacing w:line="360" w:lineRule="auto"/>
      <w:jc w:val="both"/>
      <w:outlineLvl w:val="1"/>
    </w:pPr>
    <w:rPr>
      <w:rFonts w:ascii="黑体" w:hAnsi="Times New Roman" w:eastAsia="黑体" w:cs="黑体"/>
      <w:sz w:val="21"/>
      <w:szCs w:val="21"/>
      <w:lang w:val="en-US" w:eastAsia="zh-CN" w:bidi="ar-SA"/>
    </w:rPr>
  </w:style>
  <w:style w:type="paragraph" w:customStyle="1" w:styleId="53">
    <w:name w:val="段"/>
    <w:next w:val="1"/>
    <w:qFormat/>
    <w:uiPriority w:val="0"/>
    <w:pPr>
      <w:autoSpaceDE w:val="0"/>
      <w:autoSpaceDN w:val="0"/>
      <w:ind w:firstLine="200" w:firstLineChars="200"/>
      <w:jc w:val="both"/>
    </w:pPr>
    <w:rPr>
      <w:rFonts w:ascii="宋体" w:hAnsi="Times New Roman" w:eastAsia="宋体" w:cs="Times New Roman"/>
      <w:sz w:val="21"/>
      <w:szCs w:val="22"/>
      <w:lang w:val="en-US" w:eastAsia="zh-CN" w:bidi="ar-SA"/>
    </w:rPr>
  </w:style>
  <w:style w:type="character" w:customStyle="1" w:styleId="54">
    <w:name w:val="more"/>
    <w:qFormat/>
    <w:uiPriority w:val="0"/>
    <w:rPr>
      <w:color w:val="666666"/>
      <w:sz w:val="18"/>
      <w:szCs w:val="18"/>
    </w:rPr>
  </w:style>
  <w:style w:type="character" w:customStyle="1" w:styleId="55">
    <w:name w:val="副标题 Char1"/>
    <w:qFormat/>
    <w:uiPriority w:val="0"/>
    <w:rPr>
      <w:rFonts w:ascii="Cambria" w:hAnsi="Cambria" w:cs="Times New Roman"/>
      <w:b/>
      <w:bCs/>
      <w:kern w:val="28"/>
      <w:sz w:val="32"/>
      <w:szCs w:val="32"/>
    </w:rPr>
  </w:style>
  <w:style w:type="character" w:customStyle="1" w:styleId="56">
    <w:name w:val="mini-outputtext1"/>
    <w:basedOn w:val="28"/>
    <w:autoRedefine/>
    <w:qFormat/>
    <w:uiPriority w:val="0"/>
  </w:style>
  <w:style w:type="character" w:customStyle="1" w:styleId="57">
    <w:name w:val="tabg"/>
    <w:autoRedefine/>
    <w:qFormat/>
    <w:uiPriority w:val="0"/>
    <w:rPr>
      <w:rFonts w:ascii="微软雅黑" w:hAnsi="微软雅黑" w:eastAsia="微软雅黑" w:cs="微软雅黑"/>
      <w:color w:val="FFFFFF"/>
      <w:sz w:val="27"/>
      <w:szCs w:val="27"/>
    </w:rPr>
  </w:style>
  <w:style w:type="character" w:customStyle="1" w:styleId="58">
    <w:name w:val="bg02"/>
    <w:basedOn w:val="28"/>
    <w:autoRedefine/>
    <w:qFormat/>
    <w:uiPriority w:val="0"/>
  </w:style>
  <w:style w:type="character" w:customStyle="1" w:styleId="59">
    <w:name w:val="标题 Char1"/>
    <w:autoRedefine/>
    <w:qFormat/>
    <w:uiPriority w:val="0"/>
    <w:rPr>
      <w:rFonts w:ascii="Cambria" w:hAnsi="Cambria" w:cs="Times New Roman"/>
      <w:b/>
      <w:bCs/>
      <w:kern w:val="2"/>
      <w:sz w:val="32"/>
      <w:szCs w:val="32"/>
    </w:rPr>
  </w:style>
  <w:style w:type="character" w:customStyle="1" w:styleId="60">
    <w:name w:val="bg01"/>
    <w:basedOn w:val="28"/>
    <w:autoRedefine/>
    <w:qFormat/>
    <w:uiPriority w:val="0"/>
  </w:style>
  <w:style w:type="paragraph" w:customStyle="1" w:styleId="61">
    <w:name w:val="_Style 31"/>
    <w:basedOn w:val="12"/>
    <w:autoRedefine/>
    <w:qFormat/>
    <w:uiPriority w:val="0"/>
    <w:rPr>
      <w:szCs w:val="20"/>
      <w:shd w:val="clear" w:color="auto" w:fill="000080"/>
    </w:rPr>
  </w:style>
  <w:style w:type="paragraph" w:customStyle="1" w:styleId="62">
    <w:name w:val="标准正文"/>
    <w:basedOn w:val="1"/>
    <w:autoRedefine/>
    <w:qFormat/>
    <w:uiPriority w:val="0"/>
    <w:pPr>
      <w:adjustRightInd w:val="0"/>
      <w:snapToGrid w:val="0"/>
      <w:ind w:firstLine="200" w:firstLineChars="200"/>
    </w:pPr>
  </w:style>
  <w:style w:type="paragraph" w:customStyle="1" w:styleId="63">
    <w:name w:val="Char"/>
    <w:basedOn w:val="1"/>
    <w:autoRedefine/>
    <w:qFormat/>
    <w:uiPriority w:val="0"/>
    <w:rPr>
      <w:szCs w:val="21"/>
    </w:rPr>
  </w:style>
  <w:style w:type="paragraph" w:customStyle="1" w:styleId="64">
    <w:name w:val="样式3"/>
    <w:basedOn w:val="65"/>
    <w:autoRedefine/>
    <w:qFormat/>
    <w:uiPriority w:val="0"/>
    <w:pPr>
      <w:jc w:val="center"/>
    </w:pPr>
  </w:style>
  <w:style w:type="paragraph" w:customStyle="1" w:styleId="65">
    <w:name w:val="样式2"/>
    <w:basedOn w:val="1"/>
    <w:autoRedefine/>
    <w:qFormat/>
    <w:uiPriority w:val="0"/>
    <w:rPr>
      <w:rFonts w:eastAsia="华文中宋"/>
      <w:sz w:val="44"/>
    </w:rPr>
  </w:style>
  <w:style w:type="paragraph" w:customStyle="1" w:styleId="66">
    <w:name w:val="表格1"/>
    <w:basedOn w:val="1"/>
    <w:next w:val="1"/>
    <w:autoRedefine/>
    <w:qFormat/>
    <w:uiPriority w:val="0"/>
    <w:pPr>
      <w:jc w:val="center"/>
    </w:pPr>
    <w:rPr>
      <w:rFonts w:ascii="宋体"/>
      <w:kern w:val="0"/>
      <w:sz w:val="21"/>
      <w:szCs w:val="20"/>
    </w:rPr>
  </w:style>
  <w:style w:type="paragraph" w:customStyle="1" w:styleId="67">
    <w:name w:val="报告正文格式"/>
    <w:basedOn w:val="1"/>
    <w:autoRedefine/>
    <w:qFormat/>
    <w:uiPriority w:val="0"/>
    <w:pPr>
      <w:ind w:firstLine="200" w:firstLineChars="200"/>
    </w:pPr>
    <w:rPr>
      <w:szCs w:val="20"/>
    </w:rPr>
  </w:style>
  <w:style w:type="paragraph" w:customStyle="1" w:styleId="68">
    <w:name w:val="样式1"/>
    <w:basedOn w:val="1"/>
    <w:autoRedefine/>
    <w:qFormat/>
    <w:uiPriority w:val="0"/>
    <w:rPr>
      <w:rFonts w:eastAsia="仿宋_GB2312"/>
      <w:sz w:val="32"/>
    </w:rPr>
  </w:style>
  <w:style w:type="paragraph" w:customStyle="1" w:styleId="69">
    <w:name w:val="表格2"/>
    <w:basedOn w:val="66"/>
    <w:autoRedefine/>
    <w:qFormat/>
    <w:uiPriority w:val="0"/>
    <w:pPr>
      <w:spacing w:line="400" w:lineRule="exact"/>
    </w:pPr>
    <w:rPr>
      <w:rFonts w:hAnsi="宋体"/>
      <w:kern w:val="2"/>
    </w:rPr>
  </w:style>
  <w:style w:type="character" w:customStyle="1" w:styleId="70">
    <w:name w:val="标题 1 字符"/>
    <w:autoRedefine/>
    <w:qFormat/>
    <w:uiPriority w:val="0"/>
    <w:rPr>
      <w:b/>
      <w:bCs/>
      <w:kern w:val="44"/>
      <w:sz w:val="30"/>
      <w:szCs w:val="44"/>
    </w:rPr>
  </w:style>
  <w:style w:type="character" w:customStyle="1" w:styleId="71">
    <w:name w:val="NormalCharacter"/>
    <w:autoRedefine/>
    <w:semiHidden/>
    <w:qFormat/>
    <w:uiPriority w:val="0"/>
    <w:rPr>
      <w:kern w:val="2"/>
      <w:sz w:val="24"/>
      <w:szCs w:val="24"/>
      <w:lang w:val="en-US" w:eastAsia="zh-CN" w:bidi="ar-SA"/>
    </w:rPr>
  </w:style>
  <w:style w:type="paragraph" w:styleId="72">
    <w:name w:val="List Paragraph"/>
    <w:basedOn w:val="1"/>
    <w:autoRedefine/>
    <w:qFormat/>
    <w:uiPriority w:val="34"/>
    <w:pPr>
      <w:ind w:firstLine="420" w:firstLineChars="200"/>
    </w:pPr>
  </w:style>
  <w:style w:type="paragraph" w:customStyle="1" w:styleId="73">
    <w:name w:val="方程式"/>
    <w:basedOn w:val="1"/>
    <w:autoRedefine/>
    <w:qFormat/>
    <w:uiPriority w:val="0"/>
    <w:pPr>
      <w:overflowPunct w:val="0"/>
      <w:autoSpaceDE w:val="0"/>
      <w:autoSpaceDN w:val="0"/>
      <w:spacing w:before="60" w:after="60"/>
    </w:pPr>
    <w:rPr>
      <w:rFonts w:ascii="宋体"/>
      <w:spacing w:val="24"/>
      <w:kern w:val="0"/>
      <w:szCs w:val="20"/>
    </w:rPr>
  </w:style>
  <w:style w:type="paragraph" w:customStyle="1" w:styleId="74">
    <w:name w:val="样式 正文（首行缩进两字） + 宋体 首行缩进:  0 字符"/>
    <w:basedOn w:val="11"/>
    <w:autoRedefine/>
    <w:qFormat/>
    <w:uiPriority w:val="0"/>
    <w:pPr>
      <w:spacing w:line="460" w:lineRule="exact"/>
      <w:ind w:firstLine="0"/>
    </w:pPr>
    <w:rPr>
      <w:rFonts w:ascii="宋体" w:hAnsi="宋体" w:cs="宋体"/>
      <w:spacing w:val="6"/>
      <w:kern w:val="24"/>
      <w:szCs w:val="24"/>
    </w:rPr>
  </w:style>
  <w:style w:type="character" w:customStyle="1" w:styleId="75">
    <w:name w:val="fontstyle01"/>
    <w:autoRedefine/>
    <w:qFormat/>
    <w:uiPriority w:val="0"/>
    <w:rPr>
      <w:rFonts w:hint="eastAsia" w:ascii="宋体" w:hAnsi="宋体" w:eastAsia="宋体"/>
      <w:color w:val="000000"/>
      <w:sz w:val="24"/>
      <w:szCs w:val="24"/>
    </w:rPr>
  </w:style>
  <w:style w:type="character" w:customStyle="1" w:styleId="76">
    <w:name w:val="font21"/>
    <w:basedOn w:val="28"/>
    <w:autoRedefine/>
    <w:qFormat/>
    <w:uiPriority w:val="0"/>
    <w:rPr>
      <w:rFonts w:hint="default" w:ascii="方正仿宋_GBK" w:hAnsi="方正仿宋_GBK" w:eastAsia="方正仿宋_GBK" w:cs="方正仿宋_GBK"/>
      <w:color w:val="000000"/>
      <w:sz w:val="24"/>
      <w:szCs w:val="24"/>
      <w:u w:val="none"/>
    </w:rPr>
  </w:style>
  <w:style w:type="character" w:customStyle="1" w:styleId="77">
    <w:name w:val="正文文本缩进 2 Char"/>
    <w:link w:val="17"/>
    <w:autoRedefine/>
    <w:qFormat/>
    <w:uiPriority w:val="0"/>
    <w:rPr>
      <w:kern w:val="2"/>
      <w:sz w:val="24"/>
      <w:szCs w:val="24"/>
    </w:rPr>
  </w:style>
  <w:style w:type="paragraph" w:customStyle="1" w:styleId="78">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79">
    <w:name w:val="列出段落1"/>
    <w:basedOn w:val="1"/>
    <w:autoRedefine/>
    <w:qFormat/>
    <w:uiPriority w:val="0"/>
    <w:pPr>
      <w:ind w:firstLine="420" w:firstLineChars="200"/>
    </w:pPr>
    <w:rPr>
      <w:sz w:val="21"/>
      <w:szCs w:val="21"/>
    </w:rPr>
  </w:style>
  <w:style w:type="paragraph" w:customStyle="1" w:styleId="80">
    <w:name w:val="目录 53"/>
    <w:next w:val="1"/>
    <w:autoRedefine/>
    <w:qFormat/>
    <w:uiPriority w:val="0"/>
    <w:pPr>
      <w:wordWrap w:val="0"/>
      <w:ind w:left="1275"/>
      <w:jc w:val="both"/>
    </w:pPr>
    <w:rPr>
      <w:rFonts w:ascii="Times New Roman" w:hAnsi="Times New Roman" w:eastAsia="宋体" w:cs="Times New Roman"/>
      <w:sz w:val="21"/>
      <w:lang w:val="en-US" w:eastAsia="zh-CN" w:bidi="ar-SA"/>
    </w:rPr>
  </w:style>
  <w:style w:type="character" w:customStyle="1" w:styleId="81">
    <w:name w:val="正文文本 Char"/>
    <w:basedOn w:val="28"/>
    <w:link w:val="2"/>
    <w:autoRedefine/>
    <w:qFormat/>
    <w:uiPriority w:val="0"/>
    <w:rPr>
      <w:kern w:val="2"/>
      <w:sz w:val="24"/>
      <w:szCs w:val="24"/>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czt</Company>
  <Pages>108</Pages>
  <Words>1447</Words>
  <Characters>1686</Characters>
  <Lines>560</Lines>
  <Paragraphs>157</Paragraphs>
  <TotalTime>6</TotalTime>
  <ScaleCrop>false</ScaleCrop>
  <LinksUpToDate>false</LinksUpToDate>
  <CharactersWithSpaces>1777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2024-11-22T09:41:00Z</dcterms:created>
  <dc:creator>太子弹琴</dc:creator>
  <cp:lastModifiedBy>Gentry</cp:lastModifiedBy>
  <cp:lastPrinted>2025-02-05T10:07:00Z</cp:lastPrinted>
  <dcterms:modified xsi:type="dcterms:W3CDTF">2025-04-02T09:18:36Z</dcterms:modified>
  <cp:revision>2204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AC18846E2A1B475990B49709B02DA5FF_13</vt:lpwstr>
  </property>
  <property fmtid="{D5CDD505-2E9C-101B-9397-08002B2CF9AE}" pid="4" name="KSOTemplateDocerSaveRecord">
    <vt:lpwstr>eyJoZGlkIjoiYmM2MjU0NDk1ZWM3NDg5NzY3NjBiZDg5YjIyNjEwNzQiLCJ1c2VySWQiOiIyMzM1NTQzODgifQ==</vt:lpwstr>
  </property>
</Properties>
</file>