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19"/>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r>
        <w:rPr>
          <w:rFonts w:hint="eastAsia" w:asciiTheme="minorEastAsia" w:hAnsiTheme="minorEastAsia" w:eastAsiaTheme="minorEastAsia" w:cstheme="minorEastAsia"/>
          <w:b/>
          <w:bCs/>
          <w:color w:val="auto"/>
          <w:w w:val="80"/>
          <w:sz w:val="52"/>
          <w:szCs w:val="52"/>
          <w:highlight w:val="none"/>
          <w:lang w:val="en-US" w:eastAsia="zh-CN"/>
        </w:rPr>
        <w:t>第二次</w:t>
      </w:r>
      <w:r>
        <w:rPr>
          <w:rFonts w:hint="eastAsia" w:asciiTheme="minorEastAsia" w:hAnsiTheme="minorEastAsia" w:eastAsiaTheme="minorEastAsia" w:cstheme="minorEastAsia"/>
          <w:b/>
          <w:bCs/>
          <w:color w:val="auto"/>
          <w:w w:val="80"/>
          <w:sz w:val="52"/>
          <w:szCs w:val="52"/>
          <w:highlight w:val="none"/>
          <w:lang w:eastAsia="zh-CN"/>
        </w:rPr>
        <w:t>）</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AE32D8B">
      <w:pPr>
        <w:spacing w:line="1200" w:lineRule="exact"/>
        <w:ind w:left="2008" w:hanging="2008"/>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color w:val="auto"/>
          <w:lang w:eastAsia="zh-CN"/>
        </w:rPr>
      </w:pPr>
      <w:r>
        <w:rPr>
          <w:rFonts w:hint="eastAsia"/>
          <w:color w:val="auto"/>
        </w:rPr>
        <w:t>采 购 人：</w:t>
      </w:r>
      <w:r>
        <w:rPr>
          <w:rFonts w:hint="eastAsia"/>
          <w:color w:val="auto"/>
          <w:lang w:eastAsia="zh-CN"/>
        </w:rPr>
        <w:t>共和县教育局</w:t>
      </w:r>
    </w:p>
    <w:p w14:paraId="550FB068">
      <w:pPr>
        <w:pStyle w:val="2"/>
        <w:bidi w:val="0"/>
        <w:rPr>
          <w:rFonts w:hint="eastAsia"/>
          <w:color w:val="auto"/>
          <w:lang w:eastAsia="zh-CN"/>
        </w:rPr>
      </w:pPr>
      <w:r>
        <w:rPr>
          <w:rFonts w:hint="eastAsia"/>
          <w:color w:val="auto"/>
        </w:rPr>
        <w:t>采购代理机构：</w:t>
      </w:r>
      <w:r>
        <w:rPr>
          <w:rFonts w:hint="eastAsia"/>
          <w:color w:val="auto"/>
          <w:lang w:eastAsia="zh-CN"/>
        </w:rPr>
        <w:t>青海汭辉招标代理有限公司</w:t>
      </w:r>
    </w:p>
    <w:p w14:paraId="13CB2158">
      <w:pPr>
        <w:pStyle w:val="2"/>
        <w:bidi w:val="0"/>
        <w:rPr>
          <w:rFonts w:hint="eastAsia"/>
          <w:color w:val="auto"/>
          <w:lang w:val="en-US" w:eastAsia="zh-CN"/>
        </w:rPr>
      </w:pPr>
      <w:r>
        <w:rPr>
          <w:rFonts w:hint="eastAsia"/>
          <w:color w:val="auto"/>
          <w:lang w:eastAsia="zh-CN"/>
        </w:rPr>
        <w:t>采购项目编号：青海汭辉公招（服务）2025-001号</w:t>
      </w:r>
    </w:p>
    <w:p w14:paraId="70AE8C47">
      <w:pPr>
        <w:pStyle w:val="2"/>
        <w:numPr>
          <w:ilvl w:val="1"/>
          <w:numId w:val="0"/>
        </w:numPr>
        <w:ind w:leftChars="0"/>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2025年02月</w:t>
      </w:r>
    </w:p>
    <w:p w14:paraId="3404B1D4">
      <w:pPr>
        <w:rPr>
          <w:rFonts w:hint="eastAsia" w:asciiTheme="minorEastAsia" w:hAnsiTheme="minorEastAsia" w:eastAsiaTheme="minorEastAsia" w:cstheme="minorEastAsia"/>
          <w:color w:val="auto"/>
          <w:sz w:val="21"/>
          <w:highlight w:val="none"/>
        </w:rPr>
      </w:pP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2795AC5">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69FC1B3A">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334575D6">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共和县2025年中小学、幼儿园大宗食材及营养餐采购项目（第二次）</w:t>
      </w:r>
      <w:r>
        <w:rPr>
          <w:rFonts w:hint="eastAsia" w:ascii="宋体" w:hAnsi="宋体" w:eastAsia="宋体" w:cs="宋体"/>
          <w:color w:val="auto"/>
          <w:kern w:val="2"/>
          <w:sz w:val="30"/>
          <w:szCs w:val="30"/>
          <w:lang w:val="en-US" w:eastAsia="zh-CN" w:bidi="ar"/>
        </w:rPr>
        <w:t>公开招标公告</w:t>
      </w:r>
    </w:p>
    <w:p w14:paraId="14B055D9">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4A5C547B">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7B37550E">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共和县2025年中小学、幼儿园大宗食材及营养餐采购项目（第二次）</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1708609F">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7A1D735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w:t>
      </w:r>
      <w:r>
        <w:rPr>
          <w:rFonts w:hint="eastAsia" w:ascii="宋体" w:hAnsi="宋体" w:cs="宋体"/>
          <w:color w:val="auto"/>
          <w:kern w:val="2"/>
          <w:sz w:val="24"/>
          <w:szCs w:val="24"/>
          <w:lang w:val="en-US" w:eastAsia="zh-CN" w:bidi="ar"/>
        </w:rPr>
        <w:t>青海汭辉公招（服务）2025-001号</w:t>
      </w:r>
    </w:p>
    <w:p w14:paraId="4018BD8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共和县2025年中小学、幼儿园大宗食材及营养餐采购项目（第二次）</w:t>
      </w:r>
    </w:p>
    <w:p w14:paraId="45AF9AF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7CD8797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82782A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188F02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7185662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r>
        <w:rPr>
          <w:rFonts w:hint="eastAsia" w:ascii="宋体" w:hAnsi="宋体" w:cs="宋体"/>
          <w:color w:val="auto"/>
          <w:kern w:val="2"/>
          <w:sz w:val="24"/>
          <w:szCs w:val="24"/>
          <w:lang w:val="en-US" w:eastAsia="zh-CN" w:bidi="ar"/>
        </w:rPr>
        <w:t>（第二次）</w:t>
      </w:r>
    </w:p>
    <w:p w14:paraId="3FF9462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1FD82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0E265EE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277F43F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r>
        <w:rPr>
          <w:rFonts w:hint="eastAsia" w:ascii="宋体" w:hAnsi="宋体" w:cs="宋体"/>
          <w:color w:val="auto"/>
          <w:kern w:val="2"/>
          <w:sz w:val="24"/>
          <w:szCs w:val="24"/>
          <w:lang w:val="en-US" w:eastAsia="zh-CN" w:bidi="ar"/>
        </w:rPr>
        <w:t>（第二次）</w:t>
      </w:r>
    </w:p>
    <w:p w14:paraId="17D485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72C7E95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1B26838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722A975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r>
        <w:rPr>
          <w:rFonts w:hint="eastAsia" w:ascii="宋体" w:hAnsi="宋体" w:cs="宋体"/>
          <w:color w:val="auto"/>
          <w:kern w:val="2"/>
          <w:sz w:val="24"/>
          <w:szCs w:val="24"/>
          <w:lang w:val="en-US" w:eastAsia="zh-CN" w:bidi="ar"/>
        </w:rPr>
        <w:t>（第二次）</w:t>
      </w:r>
    </w:p>
    <w:p w14:paraId="0DAAFD8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0245E70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7CDD545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5C8E755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r>
        <w:rPr>
          <w:rFonts w:hint="eastAsia" w:ascii="宋体" w:hAnsi="宋体" w:cs="宋体"/>
          <w:color w:val="auto"/>
          <w:kern w:val="2"/>
          <w:sz w:val="24"/>
          <w:szCs w:val="24"/>
          <w:lang w:val="en-US" w:eastAsia="zh-CN" w:bidi="ar"/>
        </w:rPr>
        <w:t>（第二次）</w:t>
      </w:r>
    </w:p>
    <w:p w14:paraId="774F3B1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098D9515">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448EE10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7EC3EA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r>
        <w:rPr>
          <w:rFonts w:hint="eastAsia" w:ascii="宋体" w:hAnsi="宋体" w:cs="宋体"/>
          <w:color w:val="auto"/>
          <w:kern w:val="2"/>
          <w:sz w:val="24"/>
          <w:szCs w:val="24"/>
          <w:lang w:val="en-US" w:eastAsia="zh-CN" w:bidi="ar"/>
        </w:rPr>
        <w:t>（第二次）</w:t>
      </w:r>
    </w:p>
    <w:p w14:paraId="38732B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33B367E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216EEF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F5C76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r>
        <w:rPr>
          <w:rFonts w:hint="eastAsia" w:ascii="宋体" w:hAnsi="宋体" w:cs="宋体"/>
          <w:color w:val="auto"/>
          <w:kern w:val="2"/>
          <w:sz w:val="24"/>
          <w:szCs w:val="24"/>
          <w:lang w:val="en-US" w:eastAsia="zh-CN" w:bidi="ar"/>
        </w:rPr>
        <w:t>（第二次）</w:t>
      </w:r>
    </w:p>
    <w:p w14:paraId="4BD1243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45FD7B7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4156E2C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7993C2D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27E923F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r>
        <w:rPr>
          <w:rFonts w:hint="eastAsia" w:ascii="宋体" w:hAnsi="宋体" w:cs="宋体"/>
          <w:color w:val="auto"/>
          <w:kern w:val="2"/>
          <w:sz w:val="24"/>
          <w:szCs w:val="24"/>
          <w:lang w:val="en-US" w:eastAsia="zh-CN" w:bidi="ar"/>
        </w:rPr>
        <w:t>（第二次）</w:t>
      </w:r>
    </w:p>
    <w:p w14:paraId="5B2E92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76D999A4">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24A1DA8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40230E5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r>
        <w:rPr>
          <w:rFonts w:hint="eastAsia" w:ascii="宋体" w:hAnsi="宋体" w:cs="宋体"/>
          <w:color w:val="auto"/>
          <w:kern w:val="2"/>
          <w:sz w:val="24"/>
          <w:szCs w:val="24"/>
          <w:lang w:val="en-US" w:eastAsia="zh-CN" w:bidi="ar"/>
        </w:rPr>
        <w:t>（第二次）</w:t>
      </w:r>
    </w:p>
    <w:p w14:paraId="6D09F4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10BAFDE9">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09C8D06F">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2ED52F7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D94CD9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59442C3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B42A07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70E56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0223C65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4713722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280D376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584E675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16C3707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4264016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3B37E0B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0C9D13E6">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7AE34D6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b w:val="0"/>
          <w:bCs/>
          <w:color w:val="auto"/>
          <w:sz w:val="24"/>
          <w:szCs w:val="24"/>
          <w:lang w:val="en-US" w:eastAsia="zh-CN"/>
        </w:rPr>
        <w:t>投标人为生产厂家的，须提供国家批准的且有效期内的食品生产许可证；若为经销商，则须提供有效期内的食品经营许可证；</w:t>
      </w:r>
    </w:p>
    <w:p w14:paraId="5E4EEDA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13083708">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5AC791E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26</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r>
        <w:rPr>
          <w:rFonts w:hint="eastAsia" w:ascii="宋体" w:hAnsi="宋体" w:eastAsia="宋体" w:cs="宋体"/>
          <w:color w:val="auto"/>
          <w:kern w:val="2"/>
          <w:sz w:val="24"/>
          <w:szCs w:val="24"/>
          <w:highlight w:val="none"/>
          <w:lang w:val="en-US" w:eastAsia="zh-CN" w:bidi="ar"/>
        </w:rPr>
        <w:t xml:space="preserve"> </w:t>
      </w:r>
    </w:p>
    <w:p w14:paraId="7E9AECBB">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5B45856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4EDD8B1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0381F721">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 10:00（北京时间）</w:t>
      </w:r>
    </w:p>
    <w:p w14:paraId="2954404C">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179EB16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8BE9503">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6523B544">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03FE8F52">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0733EC6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5D4F4033">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6641B9F6">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2965E96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6421328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36F6A638">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404272DA">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39C0E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0A638DA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056AC2E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2635AA3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宋体" w:hAnsi="宋体" w:eastAsia="宋体" w:cs="宋体"/>
          <w:color w:val="auto"/>
          <w:kern w:val="2"/>
          <w:sz w:val="24"/>
          <w:szCs w:val="24"/>
          <w:lang w:val="en-US" w:eastAsia="zh-CN" w:bidi="ar"/>
        </w:rPr>
        <w:t>项目联系方式：0971-5115290</w:t>
      </w: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2025年02月19日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包六</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第二次</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青海汭辉公招（服务）2025-001号</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地址：海南藏族自治州共和县青海湖北大街100号</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项目联系人：扎德项秀</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项目联系电话：0974-8512744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bookmarkStart w:id="70" w:name="_GoBack"/>
            <w:bookmarkEnd w:id="70"/>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投标人为生产厂家的，须提供国家批准的且有效期内的食品生产许可证；若为经销商，则须提供有效期内的食品经营许可证；</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4BC9C71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2DA808">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43744C">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01C1B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lang w:val="en-US" w:eastAsia="zh-CN"/>
              </w:rPr>
              <w:t>月</w:t>
            </w:r>
            <w:r>
              <w:rPr>
                <w:rFonts w:hint="eastAsia" w:ascii="宋体" w:hAnsi="宋体" w:cs="Times New Roman"/>
                <w:color w:val="000000"/>
                <w:highlight w:val="none"/>
                <w:lang w:val="en-US" w:eastAsia="zh-CN"/>
              </w:rPr>
              <w:t>19</w:t>
            </w:r>
            <w:r>
              <w:rPr>
                <w:rFonts w:hint="eastAsia" w:ascii="宋体" w:hAnsi="宋体" w:eastAsia="宋体" w:cs="Times New Roman"/>
                <w:color w:val="000000"/>
                <w:highlight w:val="none"/>
                <w:lang w:val="en-US" w:eastAsia="zh-CN"/>
              </w:rPr>
              <w:t>日</w:t>
            </w:r>
          </w:p>
        </w:tc>
      </w:tr>
      <w:tr w14:paraId="4B4DEB34">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6A2F1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016B2F">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899D14">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19</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26</w:t>
            </w:r>
            <w:r>
              <w:rPr>
                <w:rFonts w:hint="eastAsia" w:ascii="宋体" w:hAnsi="宋体" w:cs="宋体"/>
                <w:color w:val="auto"/>
                <w:lang w:val="zh-CN"/>
              </w:rPr>
              <w:t>日</w:t>
            </w:r>
            <w:r>
              <w:rPr>
                <w:rFonts w:hint="eastAsia" w:ascii="宋体" w:hAnsi="宋体" w:cs="宋体"/>
                <w:color w:val="auto"/>
                <w:lang w:val="en-US" w:eastAsia="zh-CN"/>
              </w:rPr>
              <w:t>,（0:00-23:59）（北京时间）。</w:t>
            </w:r>
          </w:p>
        </w:tc>
      </w:tr>
      <w:tr w14:paraId="549C61AF">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0B52E4">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1AD456">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8AA058">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5000864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E34902">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CAE557">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BECAA7">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CA166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r>
              <w:rPr>
                <w:rFonts w:hint="eastAsia" w:asciiTheme="minorEastAsia" w:hAnsiTheme="minorEastAsia" w:eastAsiaTheme="minorEastAsia" w:cstheme="minorEastAsia"/>
                <w:color w:val="auto"/>
                <w:kern w:val="0"/>
                <w:highlight w:val="none"/>
                <w:lang w:val="zh-CN"/>
              </w:rPr>
              <w:t>），按以下要求交纳投标保证金：</w:t>
            </w:r>
          </w:p>
          <w:p w14:paraId="64A2930C">
            <w:pPr>
              <w:autoSpaceDE w:val="0"/>
              <w:spacing w:line="480" w:lineRule="exact"/>
              <w:rPr>
                <w:rFonts w:hint="eastAsia" w:asciiTheme="minorEastAsia" w:hAnsiTheme="minorEastAsia" w:eastAsiaTheme="minorEastAsia" w:cstheme="minorEastAsia"/>
                <w:b/>
                <w:color w:val="auto"/>
                <w:kern w:val="0"/>
                <w:highlight w:val="none"/>
                <w:lang w:val="en-US" w:eastAsia="zh-CN" w:bidi="ar"/>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bidi="ar"/>
              </w:rPr>
              <w:t>60000.00</w:t>
            </w:r>
            <w:r>
              <w:rPr>
                <w:rFonts w:hint="eastAsia" w:asciiTheme="minorEastAsia" w:hAnsiTheme="minorEastAsia" w:eastAsiaTheme="minorEastAsia" w:cstheme="minorEastAsia"/>
                <w:b/>
                <w:color w:val="auto"/>
                <w:kern w:val="0"/>
                <w:highlight w:val="none"/>
                <w:u w:val="single"/>
                <w:lang w:val="zh-CN" w:bidi="ar"/>
              </w:rPr>
              <w:t>元</w:t>
            </w:r>
            <w:r>
              <w:rPr>
                <w:rFonts w:hint="eastAsia" w:asciiTheme="minorEastAsia" w:hAnsiTheme="minorEastAsia" w:eastAsiaTheme="minorEastAsia" w:cstheme="minorEastAsia"/>
                <w:b/>
                <w:color w:val="auto"/>
                <w:kern w:val="0"/>
                <w:highlight w:val="none"/>
                <w:lang w:val="en-US" w:eastAsia="zh-CN" w:bidi="ar"/>
              </w:rPr>
              <w:t xml:space="preserve"> </w:t>
            </w:r>
            <w:r>
              <w:rPr>
                <w:rFonts w:hint="eastAsia" w:asciiTheme="minorEastAsia" w:hAnsiTheme="minorEastAsia" w:eastAsiaTheme="minorEastAsia" w:cstheme="minorEastAsia"/>
                <w:b/>
                <w:color w:val="auto"/>
                <w:kern w:val="0"/>
                <w:highlight w:val="none"/>
                <w:lang w:val="en-US" w:eastAsia="zh-CN"/>
              </w:rPr>
              <w:t>(</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78C6700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B1B183B">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E3DB96">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2D71125">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64A55594">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25D40FB7">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BE12E8F">
      <w:pPr>
        <w:autoSpaceDE w:val="0"/>
        <w:spacing w:line="360" w:lineRule="auto"/>
        <w:ind w:firstLine="480"/>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960" w:leftChars="200" w:hanging="480" w:hanging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共和县2025年中小学、幼儿园大宗食材及营养餐采购项目（包六）（第二次）</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青海汭辉公招（服务）2025-001号</w:t>
      </w:r>
      <w:r>
        <w:rPr>
          <w:rFonts w:hint="eastAsia" w:asciiTheme="minorEastAsia" w:hAnsiTheme="minorEastAsia" w:eastAsiaTheme="minorEastAsia" w:cstheme="minorEastAsia"/>
          <w:b/>
          <w:color w:val="auto"/>
          <w:sz w:val="28"/>
          <w:szCs w:val="28"/>
          <w:u w:val="single"/>
          <w:lang w:val="en-US" w:eastAsia="zh-CN"/>
        </w:rPr>
        <w:t xml:space="preserve">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01-06</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2556F801">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17635"/>
      <w:bookmarkStart w:id="22" w:name="_Toc13416_WPSOffice_Level1"/>
      <w:bookmarkStart w:id="23" w:name="_Toc483517385"/>
      <w:bookmarkStart w:id="24" w:name="_Toc351203493"/>
      <w:bookmarkStart w:id="25" w:name="_Toc31130_WPSOffice_Level1"/>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83019219"/>
      <w:bookmarkStart w:id="27" w:name="_Toc185395255"/>
      <w:bookmarkStart w:id="28" w:name="_Toc241833909"/>
      <w:bookmarkStart w:id="29" w:name="_Toc225670757"/>
      <w:bookmarkStart w:id="30" w:name="_Toc211911354"/>
      <w:bookmarkStart w:id="31" w:name="_Toc239568424"/>
      <w:bookmarkStart w:id="32" w:name="_Toc212019600"/>
      <w:bookmarkStart w:id="33" w:name="_Toc238984981"/>
      <w:bookmarkStart w:id="34" w:name="_Toc286993793"/>
      <w:bookmarkStart w:id="35" w:name="_Toc211854455"/>
      <w:bookmarkStart w:id="36" w:name="_Toc251768868"/>
      <w:bookmarkStart w:id="37" w:name="_Toc232492934"/>
      <w:bookmarkStart w:id="38" w:name="_Toc247334847"/>
      <w:bookmarkStart w:id="39" w:name="_Toc225244858"/>
      <w:bookmarkStart w:id="40" w:name="_Toc239233920"/>
      <w:bookmarkStart w:id="41" w:name="_Toc225654650"/>
      <w:bookmarkStart w:id="42" w:name="_Toc282696231"/>
      <w:bookmarkStart w:id="43" w:name="_Toc237145412"/>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21DF310D">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C8F8400">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53CDAF21">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6.供货优惠：供应商每次供货中的单个单品售价低于当日市场平均价的3%；（需提供承诺函）</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3916"/>
      <w:bookmarkStart w:id="46" w:name="_Toc402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7789"/>
      <w:bookmarkStart w:id="48" w:name="_Toc895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10452"/>
      <w:bookmarkStart w:id="50" w:name="_Toc5744"/>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715"/>
      <w:bookmarkStart w:id="52" w:name="_Toc9324"/>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8013"/>
      <w:bookmarkStart w:id="58" w:name="_Toc27990"/>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26922"/>
      <w:bookmarkStart w:id="60" w:name="_Toc12521"/>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1253"/>
      <w:bookmarkStart w:id="62" w:name="_Toc31480"/>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2.2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24E19EC7">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3D4F9B43">
      <w:pPr>
        <w:pStyle w:val="10"/>
        <w:ind w:firstLine="0"/>
        <w:rPr>
          <w:rFonts w:hint="eastAsia" w:asciiTheme="minorEastAsia" w:hAnsiTheme="minorEastAsia" w:eastAsiaTheme="minorEastAsia" w:cstheme="minorEastAsia"/>
          <w:color w:val="auto"/>
          <w:highlight w:val="none"/>
        </w:rPr>
      </w:pPr>
    </w:p>
    <w:p w14:paraId="69BBBFFE">
      <w:pPr>
        <w:rPr>
          <w:rFonts w:hint="eastAsia" w:asciiTheme="minorEastAsia" w:hAnsiTheme="minorEastAsia" w:eastAsiaTheme="minorEastAsia" w:cstheme="minorEastAsia"/>
          <w:color w:val="auto"/>
        </w:rPr>
      </w:pPr>
    </w:p>
    <w:p w14:paraId="57418C08">
      <w:pPr>
        <w:rPr>
          <w:rFonts w:hint="eastAsia" w:asciiTheme="minorEastAsia" w:hAnsiTheme="minorEastAsia" w:eastAsiaTheme="minorEastAsia" w:cstheme="minorEastAsia"/>
          <w:color w:val="auto"/>
          <w:highlight w:val="none"/>
        </w:rPr>
      </w:pPr>
    </w:p>
    <w:p w14:paraId="56075898">
      <w:pPr>
        <w:pStyle w:val="15"/>
        <w:numPr>
          <w:ilvl w:val="0"/>
          <w:numId w:val="6"/>
        </w:numPr>
        <w:spacing w:before="0" w:after="0" w:line="360" w:lineRule="auto"/>
        <w:outlineLvl w:val="1"/>
        <w:rPr>
          <w:rFonts w:hint="eastAsia" w:asciiTheme="minorEastAsia" w:hAnsiTheme="minorEastAsia" w:eastAsiaTheme="minorEastAsia" w:cstheme="minorEastAsia"/>
          <w:color w:val="auto"/>
          <w:highlight w:val="none"/>
          <w:lang w:val="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包六：蔬菜、调料、白糖、其他类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5AA67E69">
      <w:pPr>
        <w:pStyle w:val="4"/>
        <w:spacing w:line="247" w:lineRule="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7D3D51D2">
      <w:pPr>
        <w:spacing w:before="147" w:line="353" w:lineRule="auto"/>
        <w:ind w:left="34" w:right="59"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p>
    <w:p w14:paraId="5D2F6915">
      <w:pPr>
        <w:numPr>
          <w:ilvl w:val="0"/>
          <w:numId w:val="0"/>
        </w:numPr>
        <w:rPr>
          <w:rFonts w:hint="eastAsia" w:asciiTheme="minorEastAsia" w:hAnsiTheme="minorEastAsia" w:eastAsiaTheme="minorEastAsia" w:cstheme="minorEastAsia"/>
          <w:b/>
          <w:bCs/>
          <w:color w:val="auto"/>
          <w:lang w:val="en-US" w:eastAsia="zh-CN"/>
        </w:rPr>
      </w:pPr>
    </w:p>
    <w:p w14:paraId="315C71C5">
      <w:pPr>
        <w:pStyle w:val="15"/>
        <w:spacing w:before="0" w:after="0" w:line="560" w:lineRule="exact"/>
        <w:jc w:val="both"/>
        <w:outlineLvl w:val="1"/>
        <w:rPr>
          <w:rFonts w:hint="eastAsia" w:asciiTheme="minorEastAsia" w:hAnsiTheme="minorEastAsia" w:eastAsiaTheme="minorEastAsia" w:cstheme="minorEastAsia"/>
          <w:color w:val="auto"/>
          <w:sz w:val="24"/>
          <w:szCs w:val="24"/>
          <w:highlight w:val="none"/>
          <w:lang w:val="en-US" w:eastAsia="zh-CN"/>
        </w:rPr>
      </w:pPr>
      <w:bookmarkStart w:id="66" w:name="_Toc6304"/>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55FAAD8C">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909"/>
        <w:gridCol w:w="3191"/>
      </w:tblGrid>
      <w:tr w14:paraId="7920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47404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4909" w:type="dxa"/>
            <w:vAlign w:val="center"/>
          </w:tcPr>
          <w:p w14:paraId="6824439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365C197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5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A056D5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4909" w:type="dxa"/>
            <w:vAlign w:val="center"/>
          </w:tcPr>
          <w:p w14:paraId="64E842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共和县中学</w:t>
            </w:r>
          </w:p>
        </w:tc>
        <w:tc>
          <w:tcPr>
            <w:tcW w:w="3191" w:type="dxa"/>
            <w:vAlign w:val="center"/>
          </w:tcPr>
          <w:p w14:paraId="36ED579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683</w:t>
            </w:r>
          </w:p>
        </w:tc>
      </w:tr>
      <w:tr w14:paraId="160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0DCAB3F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4909" w:type="dxa"/>
            <w:vAlign w:val="center"/>
          </w:tcPr>
          <w:p w14:paraId="29A193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共和县城北九年一贯制学校</w:t>
            </w:r>
          </w:p>
        </w:tc>
        <w:tc>
          <w:tcPr>
            <w:tcW w:w="3191" w:type="dxa"/>
            <w:vAlign w:val="center"/>
          </w:tcPr>
          <w:p w14:paraId="3C5FD47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1250</w:t>
            </w:r>
          </w:p>
        </w:tc>
      </w:tr>
      <w:tr w14:paraId="4042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516F68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4909" w:type="dxa"/>
            <w:vAlign w:val="center"/>
          </w:tcPr>
          <w:p w14:paraId="3149A6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共和县第一民族寄宿制小学</w:t>
            </w:r>
          </w:p>
        </w:tc>
        <w:tc>
          <w:tcPr>
            <w:tcW w:w="3191" w:type="dxa"/>
            <w:vAlign w:val="center"/>
          </w:tcPr>
          <w:p w14:paraId="727C72D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1375</w:t>
            </w:r>
          </w:p>
        </w:tc>
      </w:tr>
      <w:tr w14:paraId="1E1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35E05E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4909" w:type="dxa"/>
            <w:vAlign w:val="center"/>
          </w:tcPr>
          <w:p w14:paraId="6A48F8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共和县第二寄宿制小学</w:t>
            </w:r>
          </w:p>
        </w:tc>
        <w:tc>
          <w:tcPr>
            <w:tcW w:w="3191" w:type="dxa"/>
            <w:vAlign w:val="center"/>
          </w:tcPr>
          <w:p w14:paraId="4D590CA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548</w:t>
            </w:r>
          </w:p>
        </w:tc>
      </w:tr>
      <w:tr w14:paraId="7AB9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FC67F9">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4909" w:type="dxa"/>
            <w:vAlign w:val="center"/>
          </w:tcPr>
          <w:p w14:paraId="10F04A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共和县第三寄宿小学</w:t>
            </w:r>
          </w:p>
        </w:tc>
        <w:tc>
          <w:tcPr>
            <w:tcW w:w="3191" w:type="dxa"/>
            <w:vAlign w:val="center"/>
          </w:tcPr>
          <w:p w14:paraId="2B0AFEA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196</w:t>
            </w:r>
          </w:p>
        </w:tc>
      </w:tr>
      <w:tr w14:paraId="20F0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EAB1D4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4909" w:type="dxa"/>
            <w:vAlign w:val="center"/>
          </w:tcPr>
          <w:p w14:paraId="0DC035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共和县沙珠玉乡寄宿制小学</w:t>
            </w:r>
          </w:p>
        </w:tc>
        <w:tc>
          <w:tcPr>
            <w:tcW w:w="3191" w:type="dxa"/>
            <w:vAlign w:val="center"/>
          </w:tcPr>
          <w:p w14:paraId="587C1E3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161</w:t>
            </w:r>
          </w:p>
        </w:tc>
      </w:tr>
      <w:tr w14:paraId="5E9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21DECA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4909" w:type="dxa"/>
            <w:vAlign w:val="center"/>
          </w:tcPr>
          <w:p w14:paraId="2A87E1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共和县龙羊峡镇寄宿制小学</w:t>
            </w:r>
          </w:p>
        </w:tc>
        <w:tc>
          <w:tcPr>
            <w:tcW w:w="3191" w:type="dxa"/>
            <w:vAlign w:val="center"/>
          </w:tcPr>
          <w:p w14:paraId="553E541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119</w:t>
            </w:r>
          </w:p>
        </w:tc>
      </w:tr>
      <w:tr w14:paraId="7F5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959DE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4909" w:type="dxa"/>
            <w:vAlign w:val="center"/>
          </w:tcPr>
          <w:p w14:paraId="4D825B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共和县铁盖乡寄宿制小学</w:t>
            </w:r>
          </w:p>
        </w:tc>
        <w:tc>
          <w:tcPr>
            <w:tcW w:w="3191" w:type="dxa"/>
            <w:vAlign w:val="center"/>
          </w:tcPr>
          <w:p w14:paraId="3049A2EF">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w:t>
            </w:r>
          </w:p>
        </w:tc>
      </w:tr>
      <w:tr w14:paraId="24D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40570C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9</w:t>
            </w:r>
          </w:p>
        </w:tc>
        <w:tc>
          <w:tcPr>
            <w:tcW w:w="4909" w:type="dxa"/>
            <w:vAlign w:val="center"/>
          </w:tcPr>
          <w:p w14:paraId="440D26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共和县切吉乡民族寄宿制小学</w:t>
            </w:r>
          </w:p>
        </w:tc>
        <w:tc>
          <w:tcPr>
            <w:tcW w:w="3191" w:type="dxa"/>
            <w:vAlign w:val="center"/>
          </w:tcPr>
          <w:p w14:paraId="7EB24BF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464</w:t>
            </w:r>
          </w:p>
        </w:tc>
      </w:tr>
      <w:tr w14:paraId="767A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CCB39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10</w:t>
            </w:r>
          </w:p>
        </w:tc>
        <w:tc>
          <w:tcPr>
            <w:tcW w:w="4909" w:type="dxa"/>
            <w:vAlign w:val="center"/>
          </w:tcPr>
          <w:p w14:paraId="18232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共和县塘格木镇英德尔民族寄宿制小学</w:t>
            </w:r>
          </w:p>
        </w:tc>
        <w:tc>
          <w:tcPr>
            <w:tcW w:w="3191" w:type="dxa"/>
            <w:vAlign w:val="center"/>
          </w:tcPr>
          <w:p w14:paraId="54D82BC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312</w:t>
            </w:r>
          </w:p>
        </w:tc>
      </w:tr>
      <w:tr w14:paraId="3A23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227EE5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w:t>
            </w:r>
          </w:p>
        </w:tc>
        <w:tc>
          <w:tcPr>
            <w:tcW w:w="4909" w:type="dxa"/>
            <w:vAlign w:val="center"/>
          </w:tcPr>
          <w:p w14:paraId="102A5A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共和县廿地乡民族寄宿制小学</w:t>
            </w:r>
          </w:p>
        </w:tc>
        <w:tc>
          <w:tcPr>
            <w:tcW w:w="3191" w:type="dxa"/>
            <w:vAlign w:val="center"/>
          </w:tcPr>
          <w:p w14:paraId="405E353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189</w:t>
            </w:r>
          </w:p>
        </w:tc>
      </w:tr>
      <w:tr w14:paraId="69D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E0A7C1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w:t>
            </w:r>
          </w:p>
        </w:tc>
        <w:tc>
          <w:tcPr>
            <w:tcW w:w="4909" w:type="dxa"/>
            <w:vAlign w:val="center"/>
          </w:tcPr>
          <w:p w14:paraId="4B35BA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共和县塘格木镇寄宿制小学</w:t>
            </w:r>
          </w:p>
        </w:tc>
        <w:tc>
          <w:tcPr>
            <w:tcW w:w="3191" w:type="dxa"/>
            <w:vAlign w:val="center"/>
          </w:tcPr>
          <w:p w14:paraId="667B563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358</w:t>
            </w:r>
          </w:p>
        </w:tc>
      </w:tr>
      <w:tr w14:paraId="351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DCF772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w:t>
            </w:r>
          </w:p>
        </w:tc>
        <w:tc>
          <w:tcPr>
            <w:tcW w:w="4909" w:type="dxa"/>
            <w:vAlign w:val="center"/>
          </w:tcPr>
          <w:p w14:paraId="244D0E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共和县香卡幼儿园</w:t>
            </w:r>
          </w:p>
        </w:tc>
        <w:tc>
          <w:tcPr>
            <w:tcW w:w="3191" w:type="dxa"/>
            <w:vAlign w:val="center"/>
          </w:tcPr>
          <w:p w14:paraId="1850240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290</w:t>
            </w:r>
          </w:p>
        </w:tc>
      </w:tr>
      <w:tr w14:paraId="57B8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4A64D003">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14</w:t>
            </w:r>
          </w:p>
        </w:tc>
        <w:tc>
          <w:tcPr>
            <w:tcW w:w="4909" w:type="dxa"/>
            <w:vAlign w:val="center"/>
          </w:tcPr>
          <w:p w14:paraId="5C345D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共和县幼儿园</w:t>
            </w:r>
          </w:p>
        </w:tc>
        <w:tc>
          <w:tcPr>
            <w:tcW w:w="3191" w:type="dxa"/>
            <w:vAlign w:val="center"/>
          </w:tcPr>
          <w:p w14:paraId="5C95835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648</w:t>
            </w:r>
          </w:p>
        </w:tc>
      </w:tr>
      <w:tr w14:paraId="3EE9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5620FEAC">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总人数：6730人；</w:t>
            </w:r>
          </w:p>
          <w:p w14:paraId="70622BF5">
            <w:pPr>
              <w:pStyle w:val="15"/>
              <w:spacing w:before="0" w:after="0" w:line="560" w:lineRule="exact"/>
              <w:jc w:val="both"/>
              <w:outlineLvl w:val="1"/>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注：实际学生人数以最终校方拟定为准；</w:t>
            </w:r>
          </w:p>
        </w:tc>
      </w:tr>
    </w:tbl>
    <w:p w14:paraId="19F78D13">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lang w:val="en-US" w:eastAsia="zh-CN"/>
        </w:rPr>
      </w:pPr>
    </w:p>
    <w:p w14:paraId="651444B9">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0D2A3FDA">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0064C23F">
      <w:pPr>
        <w:autoSpaceDE w:val="0"/>
        <w:spacing w:line="560" w:lineRule="exact"/>
        <w:ind w:firstLine="480"/>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bookmarkStart w:id="68" w:name="_Toc4828"/>
    </w:p>
    <w:p w14:paraId="337C6961">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3638CDB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6.供货优惠：供应商每次供货中的单个单品售价低于当日市场平均价的3%；（需提供承诺函）</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70C993F0">
      <w:pPr>
        <w:rPr>
          <w:rFonts w:hint="eastAsia" w:asciiTheme="minorEastAsia" w:hAnsiTheme="minorEastAsia" w:eastAsiaTheme="minorEastAsia" w:cstheme="minorEastAsia"/>
          <w:color w:val="auto"/>
        </w:rPr>
      </w:pPr>
    </w:p>
    <w:sectPr>
      <w:headerReference r:id="rId14" w:type="first"/>
      <w:footerReference r:id="rId17" w:type="first"/>
      <w:headerReference r:id="rId12" w:type="default"/>
      <w:footerReference r:id="rId15" w:type="default"/>
      <w:headerReference r:id="rId13" w:type="even"/>
      <w:footerReference r:id="rId16"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2"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11"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5F4"/>
    <w:rsid w:val="02C563CF"/>
    <w:rsid w:val="0B617633"/>
    <w:rsid w:val="171F59F9"/>
    <w:rsid w:val="184B5CFD"/>
    <w:rsid w:val="2AD40C79"/>
    <w:rsid w:val="309D5C1E"/>
    <w:rsid w:val="35AB1013"/>
    <w:rsid w:val="36FB592C"/>
    <w:rsid w:val="3A226BAD"/>
    <w:rsid w:val="3F4A5777"/>
    <w:rsid w:val="40244986"/>
    <w:rsid w:val="42334BE8"/>
    <w:rsid w:val="466241C7"/>
    <w:rsid w:val="517B4F1F"/>
    <w:rsid w:val="57CD7BDA"/>
    <w:rsid w:val="5A276176"/>
    <w:rsid w:val="68AB0FB5"/>
    <w:rsid w:val="71DB35DF"/>
    <w:rsid w:val="72792AD9"/>
    <w:rsid w:val="73F743E5"/>
    <w:rsid w:val="75E20C9F"/>
    <w:rsid w:val="75FB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4326</Words>
  <Characters>4813</Characters>
  <Lines>0</Lines>
  <Paragraphs>0</Paragraphs>
  <TotalTime>9</TotalTime>
  <ScaleCrop>false</ScaleCrop>
  <LinksUpToDate>false</LinksUpToDate>
  <CharactersWithSpaces>4908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2025-01-22T04:05:00Z</dcterms:created>
  <dc:creator>Administrator</dc:creator>
  <cp:lastModifiedBy>  大表哥</cp:lastModifiedBy>
  <dcterms:modified xsi:type="dcterms:W3CDTF">2025-02-19T13:25:46Z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1645991237B244D98A855E13765AA5C4_12</vt:lpwstr>
  </property>
</Properties>
</file>