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61E8">
      <w:pPr>
        <w:pStyle w:val="23"/>
        <w:spacing w:line="0" w:lineRule="atLeast"/>
        <w:jc w:val="center"/>
        <w:rPr>
          <w:rFonts w:hint="eastAsia" w:ascii="宋体" w:hAnsi="宋体" w:eastAsia="宋体" w:cs="宋体"/>
          <w:b/>
          <w:sz w:val="32"/>
          <w:szCs w:val="32"/>
          <w:highlight w:val="none"/>
        </w:rPr>
      </w:pPr>
      <w:bookmarkStart w:id="0" w:name="_Toc98580390"/>
    </w:p>
    <w:p w14:paraId="12787C9B">
      <w:pPr>
        <w:pStyle w:val="23"/>
        <w:spacing w:line="0" w:lineRule="atLeast"/>
        <w:jc w:val="center"/>
        <w:rPr>
          <w:rFonts w:hint="eastAsia" w:ascii="宋体" w:hAnsi="宋体" w:eastAsia="宋体" w:cs="宋体"/>
          <w:b/>
          <w:sz w:val="32"/>
          <w:szCs w:val="32"/>
          <w:highlight w:val="none"/>
        </w:rPr>
      </w:pPr>
    </w:p>
    <w:p w14:paraId="0E22AF38">
      <w:pPr>
        <w:pStyle w:val="23"/>
        <w:spacing w:line="0" w:lineRule="atLeast"/>
        <w:jc w:val="center"/>
        <w:rPr>
          <w:rFonts w:hint="eastAsia" w:ascii="宋体" w:hAnsi="宋体" w:eastAsia="宋体" w:cs="宋体"/>
          <w:b/>
          <w:sz w:val="32"/>
          <w:szCs w:val="32"/>
          <w:highlight w:val="none"/>
        </w:rPr>
      </w:pPr>
    </w:p>
    <w:p w14:paraId="14BFA9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56"/>
          <w:szCs w:val="56"/>
          <w:highlight w:val="none"/>
          <w:vertAlign w:val="baseline"/>
          <w:lang w:eastAsia="zh-CN"/>
        </w:rPr>
      </w:pPr>
      <w:bookmarkStart w:id="1" w:name="_Hlk64874400"/>
      <w:bookmarkEnd w:id="1"/>
      <w:r>
        <w:rPr>
          <w:rFonts w:hint="eastAsia" w:ascii="宋体" w:hAnsi="宋体" w:eastAsia="宋体" w:cs="宋体"/>
          <w:b/>
          <w:bCs/>
          <w:caps w:val="0"/>
          <w:color w:val="000000"/>
          <w:sz w:val="56"/>
          <w:szCs w:val="56"/>
          <w:highlight w:val="none"/>
          <w:vertAlign w:val="baseline"/>
          <w:lang w:eastAsia="zh-CN"/>
        </w:rPr>
        <w:t>长春新区科学技术局知识产权服务业集聚区运维采购项目</w:t>
      </w:r>
      <w:r>
        <w:rPr>
          <w:rFonts w:hint="eastAsia" w:ascii="宋体" w:hAnsi="宋体" w:cs="宋体"/>
          <w:b/>
          <w:bCs/>
          <w:caps w:val="0"/>
          <w:color w:val="000000"/>
          <w:sz w:val="56"/>
          <w:szCs w:val="56"/>
          <w:highlight w:val="none"/>
          <w:vertAlign w:val="baseline"/>
          <w:lang w:eastAsia="zh-CN"/>
        </w:rPr>
        <w:t>二标段</w:t>
      </w:r>
    </w:p>
    <w:p w14:paraId="2B8AC11B">
      <w:pPr>
        <w:pStyle w:val="23"/>
        <w:jc w:val="center"/>
        <w:rPr>
          <w:rFonts w:hint="eastAsia" w:ascii="宋体" w:hAnsi="宋体" w:eastAsia="宋体" w:cs="宋体"/>
          <w:b/>
          <w:bCs/>
          <w:color w:val="000000"/>
          <w:spacing w:val="360"/>
          <w:sz w:val="72"/>
          <w:szCs w:val="72"/>
          <w:highlight w:val="none"/>
        </w:rPr>
      </w:pPr>
    </w:p>
    <w:p w14:paraId="2E4D2E90">
      <w:pPr>
        <w:pStyle w:val="23"/>
        <w:jc w:val="center"/>
        <w:rPr>
          <w:rFonts w:hint="eastAsia" w:ascii="宋体" w:hAnsi="宋体" w:eastAsia="宋体" w:cs="宋体"/>
          <w:b/>
          <w:sz w:val="28"/>
          <w:szCs w:val="28"/>
          <w:highlight w:val="none"/>
        </w:rPr>
      </w:pPr>
      <w:r>
        <w:rPr>
          <w:rFonts w:hint="eastAsia" w:ascii="宋体" w:hAnsi="宋体" w:eastAsia="宋体" w:cs="宋体"/>
          <w:b/>
          <w:bCs/>
          <w:color w:val="000000"/>
          <w:spacing w:val="360"/>
          <w:sz w:val="72"/>
          <w:szCs w:val="72"/>
          <w:highlight w:val="none"/>
          <w:lang w:val="en-US" w:eastAsia="zh-CN"/>
        </w:rPr>
        <w:t xml:space="preserve"> </w:t>
      </w:r>
      <w:r>
        <w:rPr>
          <w:rFonts w:hint="eastAsia" w:ascii="宋体" w:hAnsi="宋体" w:eastAsia="宋体" w:cs="宋体"/>
          <w:b/>
          <w:bCs/>
          <w:color w:val="000000"/>
          <w:spacing w:val="360"/>
          <w:sz w:val="72"/>
          <w:szCs w:val="72"/>
          <w:highlight w:val="none"/>
        </w:rPr>
        <w:t>招标文件</w:t>
      </w:r>
    </w:p>
    <w:p w14:paraId="44893DFC">
      <w:pPr>
        <w:jc w:val="both"/>
        <w:rPr>
          <w:rFonts w:hint="eastAsia" w:ascii="宋体" w:hAnsi="宋体" w:eastAsia="宋体" w:cs="宋体"/>
          <w:b/>
          <w:sz w:val="28"/>
          <w:szCs w:val="28"/>
          <w:highlight w:val="none"/>
        </w:rPr>
      </w:pPr>
    </w:p>
    <w:p w14:paraId="04737DE7">
      <w:pPr>
        <w:jc w:val="center"/>
        <w:rPr>
          <w:rFonts w:hint="default" w:ascii="宋体" w:hAnsi="宋体" w:eastAsia="宋体" w:cs="宋体"/>
          <w:b/>
          <w:sz w:val="32"/>
          <w:highlight w:val="none"/>
          <w:lang w:val="en-US" w:eastAsia="zh-CN"/>
        </w:rPr>
      </w:pPr>
      <w:r>
        <w:rPr>
          <w:rFonts w:hint="eastAsia" w:ascii="宋体" w:hAnsi="宋体" w:eastAsia="宋体" w:cs="宋体"/>
          <w:b/>
          <w:sz w:val="32"/>
          <w:highlight w:val="none"/>
        </w:rPr>
        <w:t>项目编号：</w:t>
      </w:r>
      <w:bookmarkStart w:id="2" w:name="_Hlk64874388"/>
      <w:bookmarkEnd w:id="2"/>
      <w:r>
        <w:rPr>
          <w:rFonts w:hint="eastAsia" w:ascii="宋体" w:hAnsi="宋体" w:cs="宋体"/>
          <w:b/>
          <w:sz w:val="32"/>
          <w:highlight w:val="none"/>
          <w:lang w:eastAsia="zh-CN"/>
        </w:rPr>
        <w:t>XQZC2024-049-002</w:t>
      </w:r>
    </w:p>
    <w:p w14:paraId="0061E8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000000"/>
          <w:sz w:val="18"/>
          <w:szCs w:val="18"/>
          <w:highlight w:val="none"/>
          <w:vertAlign w:val="baseline"/>
        </w:rPr>
      </w:pPr>
    </w:p>
    <w:p w14:paraId="167C4EF0">
      <w:pPr>
        <w:pStyle w:val="26"/>
        <w:rPr>
          <w:rFonts w:hint="eastAsia"/>
        </w:rPr>
      </w:pPr>
    </w:p>
    <w:p w14:paraId="4EC1BD49">
      <w:pPr>
        <w:pStyle w:val="26"/>
        <w:rPr>
          <w:rFonts w:hint="eastAsia"/>
        </w:rPr>
      </w:pPr>
    </w:p>
    <w:p w14:paraId="79C5CC0F">
      <w:pPr>
        <w:pStyle w:val="26"/>
        <w:rPr>
          <w:rFonts w:hint="eastAsia"/>
        </w:rPr>
      </w:pPr>
    </w:p>
    <w:p w14:paraId="04275FE1">
      <w:pPr>
        <w:pStyle w:val="26"/>
        <w:rPr>
          <w:rFonts w:hint="eastAsia"/>
        </w:rPr>
      </w:pPr>
    </w:p>
    <w:p w14:paraId="2E641FBE">
      <w:pPr>
        <w:pStyle w:val="26"/>
        <w:rPr>
          <w:rFonts w:hint="eastAsia"/>
        </w:rPr>
      </w:pPr>
    </w:p>
    <w:p w14:paraId="520B809D">
      <w:pPr>
        <w:pStyle w:val="26"/>
        <w:rPr>
          <w:rFonts w:hint="eastAsia"/>
        </w:rPr>
      </w:pPr>
    </w:p>
    <w:p w14:paraId="0EE5F514">
      <w:pPr>
        <w:pStyle w:val="26"/>
        <w:rPr>
          <w:rFonts w:hint="eastAsia"/>
        </w:rPr>
      </w:pPr>
    </w:p>
    <w:p w14:paraId="609C9003">
      <w:pPr>
        <w:pStyle w:val="26"/>
        <w:rPr>
          <w:rFonts w:hint="eastAsia"/>
        </w:rPr>
      </w:pPr>
    </w:p>
    <w:p w14:paraId="3CFE9677">
      <w:pPr>
        <w:pStyle w:val="26"/>
        <w:rPr>
          <w:rFonts w:hint="eastAsia"/>
        </w:rPr>
      </w:pPr>
    </w:p>
    <w:p w14:paraId="47494DC3">
      <w:pPr>
        <w:pStyle w:val="26"/>
        <w:rPr>
          <w:rFonts w:hint="eastAsia"/>
        </w:rPr>
      </w:pPr>
    </w:p>
    <w:p w14:paraId="1B0DE3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jc w:val="center"/>
        <w:outlineLvl w:val="9"/>
        <w:rPr>
          <w:rFonts w:hint="eastAsia" w:ascii="宋体" w:hAnsi="宋体" w:eastAsia="宋体" w:cs="宋体"/>
          <w:b/>
          <w:bCs/>
          <w:caps w:val="0"/>
          <w:color w:val="000000"/>
          <w:sz w:val="28"/>
          <w:szCs w:val="28"/>
          <w:highlight w:val="none"/>
          <w:u w:val="none"/>
          <w:vertAlign w:val="baseline"/>
        </w:rPr>
      </w:pPr>
      <w:r>
        <w:rPr>
          <w:rFonts w:hint="eastAsia" w:ascii="宋体" w:hAnsi="宋体" w:eastAsia="宋体" w:cs="宋体"/>
          <w:b/>
          <w:bCs/>
          <w:caps w:val="0"/>
          <w:color w:val="000000"/>
          <w:kern w:val="0"/>
          <w:sz w:val="28"/>
          <w:szCs w:val="28"/>
          <w:highlight w:val="none"/>
          <w:u w:val="none"/>
          <w:vertAlign w:val="baseline"/>
          <w:lang w:val="en-US" w:eastAsia="zh-CN" w:bidi="ar"/>
        </w:rPr>
        <w:t>采购人： 长春新区科学技术局</w:t>
      </w:r>
    </w:p>
    <w:p w14:paraId="756DF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jc w:val="center"/>
        <w:outlineLvl w:val="9"/>
        <w:rPr>
          <w:rFonts w:hint="eastAsia" w:ascii="宋体" w:hAnsi="宋体" w:eastAsia="宋体" w:cs="宋体"/>
          <w:b/>
          <w:bCs/>
          <w:caps w:val="0"/>
          <w:color w:val="000000"/>
          <w:sz w:val="28"/>
          <w:szCs w:val="28"/>
          <w:highlight w:val="none"/>
          <w:u w:val="none"/>
          <w:vertAlign w:val="baseline"/>
        </w:rPr>
      </w:pPr>
      <w:r>
        <w:rPr>
          <w:rFonts w:hint="eastAsia" w:ascii="宋体" w:hAnsi="宋体" w:eastAsia="宋体" w:cs="宋体"/>
          <w:b/>
          <w:bCs/>
          <w:caps w:val="0"/>
          <w:color w:val="000000"/>
          <w:kern w:val="0"/>
          <w:sz w:val="28"/>
          <w:szCs w:val="28"/>
          <w:highlight w:val="none"/>
          <w:u w:val="none"/>
          <w:vertAlign w:val="baseline"/>
          <w:lang w:val="en-US" w:eastAsia="zh-CN" w:bidi="ar"/>
        </w:rPr>
        <w:t>采购代理机构： 中科高盛咨询集团有限公司</w:t>
      </w:r>
    </w:p>
    <w:p w14:paraId="56B4841A">
      <w:pPr>
        <w:spacing w:line="360" w:lineRule="auto"/>
        <w:jc w:val="cente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日期： 二〇二四年十二月</w:t>
      </w:r>
    </w:p>
    <w:p w14:paraId="1A1DBB27">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p w14:paraId="7F689F01">
      <w:pPr>
        <w:tabs>
          <w:tab w:val="left" w:pos="9379"/>
        </w:tabs>
        <w:spacing w:line="360" w:lineRule="auto"/>
        <w:jc w:val="center"/>
        <w:rPr>
          <w:rFonts w:hint="eastAsia" w:ascii="宋体" w:hAnsi="宋体" w:eastAsia="宋体" w:cs="宋体"/>
          <w:b/>
          <w:bCs/>
          <w:sz w:val="36"/>
          <w:highlight w:val="none"/>
        </w:rPr>
      </w:pPr>
      <w:bookmarkStart w:id="3" w:name="_Toc98580389"/>
    </w:p>
    <w:p w14:paraId="0A0D7369">
      <w:pPr>
        <w:tabs>
          <w:tab w:val="left" w:pos="9379"/>
        </w:tabs>
        <w:spacing w:line="360" w:lineRule="auto"/>
        <w:jc w:val="center"/>
        <w:rPr>
          <w:rFonts w:hint="eastAsia" w:ascii="宋体" w:hAnsi="宋体" w:eastAsia="宋体" w:cs="宋体"/>
          <w:b/>
          <w:bCs/>
          <w:sz w:val="36"/>
          <w:highlight w:val="none"/>
        </w:rPr>
      </w:pPr>
      <w:r>
        <w:rPr>
          <w:rFonts w:hint="eastAsia" w:ascii="宋体" w:hAnsi="宋体" w:eastAsia="宋体" w:cs="宋体"/>
          <w:b/>
          <w:bCs/>
          <w:sz w:val="36"/>
          <w:highlight w:val="none"/>
        </w:rPr>
        <w:t>目　　录</w:t>
      </w:r>
    </w:p>
    <w:p w14:paraId="21D9CEBB">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b w:val="0"/>
          <w:sz w:val="32"/>
          <w:szCs w:val="32"/>
          <w:highlight w:val="none"/>
        </w:rPr>
        <w:fldChar w:fldCharType="begin"/>
      </w:r>
      <w:r>
        <w:rPr>
          <w:rFonts w:hint="eastAsia" w:ascii="宋体" w:hAnsi="宋体" w:eastAsia="宋体" w:cs="宋体"/>
          <w:b w:val="0"/>
          <w:sz w:val="32"/>
          <w:szCs w:val="32"/>
          <w:highlight w:val="none"/>
        </w:rPr>
        <w:instrText xml:space="preserve">TOC \o "1-1" \h \z \u </w:instrText>
      </w:r>
      <w:r>
        <w:rPr>
          <w:rFonts w:hint="eastAsia" w:ascii="宋体" w:hAnsi="宋体" w:eastAsia="宋体" w:cs="宋体"/>
          <w:b w:val="0"/>
          <w:sz w:val="32"/>
          <w:szCs w:val="32"/>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0C3F6C">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第二部分  </w:t>
      </w:r>
      <w:r>
        <w:rPr>
          <w:rFonts w:hint="eastAsia" w:ascii="宋体" w:hAnsi="宋体" w:eastAsia="宋体" w:cs="宋体"/>
          <w:sz w:val="28"/>
          <w:szCs w:val="28"/>
          <w:highlight w:val="none"/>
          <w:lang w:val="zh-CN"/>
        </w:rPr>
        <w:t>投标人</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FB6A791">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8684DEE">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1500912">
      <w:pPr>
        <w:pStyle w:val="19"/>
        <w:tabs>
          <w:tab w:val="right" w:leader="dot" w:pos="9061"/>
        </w:tabs>
        <w:spacing w:line="240" w:lineRule="auto"/>
        <w:rPr>
          <w:rFonts w:hint="eastAsia" w:ascii="宋体" w:hAnsi="宋体" w:eastAsia="宋体" w:cs="宋体"/>
          <w:b w:val="0"/>
          <w:bCs w:val="0"/>
          <w:kern w:val="2"/>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合同条款</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52125A0">
      <w:pPr>
        <w:pStyle w:val="19"/>
        <w:tabs>
          <w:tab w:val="right" w:leader="dot" w:pos="9061"/>
        </w:tabs>
        <w:spacing w:line="240" w:lineRule="auto"/>
        <w:rPr>
          <w:rFonts w:hint="eastAsia" w:ascii="宋体" w:hAnsi="宋体" w:eastAsia="宋体" w:cs="宋体"/>
          <w:b w:val="0"/>
          <w:bCs w:val="0"/>
          <w:kern w:val="2"/>
          <w:sz w:val="32"/>
          <w:szCs w:val="32"/>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"_Toc54891397"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_Toc54891397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BB764CB">
      <w:pPr>
        <w:spacing w:line="480" w:lineRule="auto"/>
        <w:ind w:right="400" w:rightChars="200"/>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end"/>
      </w:r>
      <w:bookmarkEnd w:id="3"/>
    </w:p>
    <w:p w14:paraId="1D2CE617">
      <w:pPr>
        <w:spacing w:line="480" w:lineRule="auto"/>
        <w:ind w:right="400" w:rightChars="200"/>
        <w:rPr>
          <w:rFonts w:hint="eastAsia" w:ascii="宋体" w:hAnsi="宋体" w:eastAsia="宋体" w:cs="宋体"/>
          <w:highlight w:val="none"/>
        </w:rPr>
      </w:pPr>
      <w:r>
        <w:rPr>
          <w:rFonts w:hint="eastAsia" w:ascii="宋体" w:hAnsi="宋体" w:eastAsia="宋体" w:cs="宋体"/>
          <w:sz w:val="32"/>
          <w:szCs w:val="32"/>
          <w:highlight w:val="none"/>
        </w:rPr>
        <w:br w:type="page"/>
      </w:r>
    </w:p>
    <w:p w14:paraId="2EA34CD9">
      <w:pPr>
        <w:pStyle w:val="3"/>
        <w:spacing w:before="0" w:after="0" w:line="360" w:lineRule="auto"/>
        <w:jc w:val="center"/>
        <w:rPr>
          <w:rFonts w:hint="eastAsia" w:ascii="宋体" w:hAnsi="宋体" w:eastAsia="宋体" w:cs="宋体"/>
          <w:highlight w:val="none"/>
        </w:rPr>
      </w:pPr>
      <w:bookmarkStart w:id="4" w:name="_Toc54891392"/>
      <w:r>
        <w:rPr>
          <w:rFonts w:hint="eastAsia" w:ascii="宋体" w:hAnsi="宋体" w:eastAsia="宋体" w:cs="宋体"/>
          <w:highlight w:val="none"/>
        </w:rPr>
        <w:t>第一部分  招标公告</w:t>
      </w:r>
      <w:bookmarkEnd w:id="4"/>
    </w:p>
    <w:p w14:paraId="3C5A32EE">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bookmarkStart w:id="5" w:name="blank24_copy_1619581275000"/>
      <w:r>
        <w:rPr>
          <w:rFonts w:hint="eastAsia" w:ascii="宋体" w:hAnsi="宋体" w:eastAsia="宋体" w:cs="宋体"/>
          <w:b/>
          <w:sz w:val="21"/>
          <w:szCs w:val="21"/>
          <w:highlight w:val="none"/>
        </w:rPr>
        <w:t>资格后审</w:t>
      </w:r>
      <w:bookmarkEnd w:id="5"/>
      <w:r>
        <w:rPr>
          <w:rFonts w:hint="eastAsia" w:ascii="宋体" w:hAnsi="宋体" w:eastAsia="宋体" w:cs="宋体"/>
          <w:b/>
          <w:sz w:val="21"/>
          <w:szCs w:val="21"/>
          <w:highlight w:val="none"/>
        </w:rPr>
        <w:t>）</w:t>
      </w:r>
    </w:p>
    <w:p w14:paraId="3C2B83EA">
      <w:pPr>
        <w:spacing w:line="38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429276D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eastAsia="宋体" w:cs="宋体"/>
          <w:sz w:val="24"/>
          <w:szCs w:val="24"/>
          <w:highlight w:val="none"/>
        </w:rPr>
        <w:t>已由长春新区财政局政府采购管理办公室以</w:t>
      </w:r>
      <w:r>
        <w:rPr>
          <w:rFonts w:hint="eastAsia" w:ascii="宋体" w:hAnsi="宋体" w:eastAsia="宋体" w:cs="宋体"/>
          <w:sz w:val="24"/>
          <w:szCs w:val="24"/>
          <w:highlight w:val="none"/>
          <w:lang w:eastAsia="zh-CN"/>
        </w:rPr>
        <w:t>XQZC2024-049</w:t>
      </w:r>
      <w:r>
        <w:rPr>
          <w:rFonts w:hint="eastAsia" w:ascii="宋体" w:hAnsi="宋体" w:eastAsia="宋体" w:cs="宋体"/>
          <w:sz w:val="24"/>
          <w:szCs w:val="24"/>
          <w:highlight w:val="none"/>
        </w:rPr>
        <w:t>号批准采购。采购人为</w:t>
      </w:r>
      <w:r>
        <w:rPr>
          <w:rFonts w:hint="eastAsia" w:ascii="宋体" w:hAnsi="宋体" w:eastAsia="宋体" w:cs="宋体"/>
          <w:sz w:val="24"/>
          <w:szCs w:val="24"/>
          <w:highlight w:val="none"/>
          <w:lang w:eastAsia="zh-CN"/>
        </w:rPr>
        <w:t>长春新区科学技术局</w:t>
      </w:r>
      <w:r>
        <w:rPr>
          <w:rFonts w:hint="eastAsia" w:ascii="宋体" w:hAnsi="宋体" w:eastAsia="宋体" w:cs="宋体"/>
          <w:sz w:val="24"/>
          <w:szCs w:val="24"/>
          <w:highlight w:val="none"/>
        </w:rPr>
        <w:t>，采购代理机构为</w:t>
      </w:r>
      <w:r>
        <w:rPr>
          <w:rFonts w:hint="eastAsia" w:ascii="宋体" w:hAnsi="宋体" w:eastAsia="宋体" w:cs="宋体"/>
          <w:sz w:val="24"/>
          <w:szCs w:val="24"/>
          <w:highlight w:val="none"/>
          <w:lang w:eastAsia="zh-CN"/>
        </w:rPr>
        <w:t>中科高盛咨询集团有限公司</w:t>
      </w:r>
      <w:r>
        <w:rPr>
          <w:rFonts w:hint="eastAsia" w:ascii="宋体" w:hAnsi="宋体" w:eastAsia="宋体" w:cs="宋体"/>
          <w:sz w:val="24"/>
          <w:szCs w:val="24"/>
          <w:highlight w:val="none"/>
        </w:rPr>
        <w:t>，采购资金为财政资金，项目已具备采购条件</w:t>
      </w:r>
      <w:bookmarkStart w:id="6" w:name="receiveSubject_copy_1619576891000"/>
      <w:r>
        <w:rPr>
          <w:rFonts w:hint="eastAsia" w:ascii="宋体" w:hAnsi="宋体" w:eastAsia="宋体" w:cs="宋体"/>
          <w:sz w:val="24"/>
          <w:szCs w:val="24"/>
          <w:highlight w:val="none"/>
        </w:rPr>
        <w:t>。</w:t>
      </w:r>
      <w:bookmarkEnd w:id="6"/>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eastAsia="宋体" w:cs="宋体"/>
          <w:sz w:val="24"/>
          <w:szCs w:val="24"/>
          <w:highlight w:val="none"/>
        </w:rPr>
        <w:t>的潜在投标人应自行登录政府采购云平台（网址：</w:t>
      </w:r>
      <w:r>
        <w:rPr>
          <w:rFonts w:hint="eastAsia" w:ascii="宋体" w:hAnsi="宋体" w:eastAsia="宋体" w:cs="宋体"/>
          <w:color w:val="auto"/>
          <w:sz w:val="24"/>
          <w:szCs w:val="24"/>
          <w:highlight w:val="none"/>
          <w:u w:val="none"/>
        </w:rPr>
        <w:t>http://www.zcygov.cn）网上注册（https://middle.zcygov.cn/v-settle-front/registry）并下载招标文件，并于</w:t>
      </w:r>
      <w:bookmarkStart w:id="7" w:name="blank15"/>
      <w:r>
        <w:rPr>
          <w:rFonts w:hint="eastAsia" w:ascii="宋体" w:hAnsi="宋体" w:eastAsia="宋体" w:cs="宋体"/>
          <w:b w:val="0"/>
          <w:bCs w:val="0"/>
          <w:color w:val="auto"/>
          <w:sz w:val="24"/>
          <w:szCs w:val="24"/>
          <w:highlight w:val="none"/>
          <w:u w:val="none"/>
        </w:rPr>
        <w:t>202</w:t>
      </w:r>
      <w:r>
        <w:rPr>
          <w:rFonts w:hint="eastAsia" w:ascii="宋体" w:hAnsi="宋体" w:eastAsia="宋体" w:cs="宋体"/>
          <w:b w:val="0"/>
          <w:bCs w:val="0"/>
          <w:color w:val="auto"/>
          <w:sz w:val="24"/>
          <w:szCs w:val="24"/>
          <w:highlight w:val="none"/>
          <w:u w:val="none"/>
          <w:lang w:val="en-US" w:eastAsia="zh-CN"/>
        </w:rPr>
        <w:t>5</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 xml:space="preserve"> </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时</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0分</w:t>
      </w:r>
      <w:bookmarkEnd w:id="7"/>
      <w:r>
        <w:rPr>
          <w:rFonts w:hint="eastAsia" w:ascii="宋体" w:hAnsi="宋体" w:eastAsia="宋体" w:cs="宋体"/>
          <w:sz w:val="24"/>
          <w:szCs w:val="24"/>
          <w:highlight w:val="none"/>
        </w:rPr>
        <w:t>（北京时间）前提交投标文件。</w:t>
      </w:r>
    </w:p>
    <w:p w14:paraId="1A0163CB">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14:paraId="3ABEA91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XQZC2024-049</w:t>
      </w:r>
      <w:r>
        <w:rPr>
          <w:rFonts w:hint="eastAsia" w:ascii="宋体" w:hAnsi="宋体" w:cs="宋体"/>
          <w:sz w:val="24"/>
          <w:szCs w:val="24"/>
          <w:highlight w:val="none"/>
          <w:lang w:val="en-US" w:eastAsia="zh-CN"/>
        </w:rPr>
        <w:t>-001/-002/-003</w:t>
      </w:r>
      <w:r>
        <w:rPr>
          <w:rFonts w:hint="eastAsia" w:ascii="宋体" w:hAnsi="宋体" w:eastAsia="宋体" w:cs="宋体"/>
          <w:sz w:val="24"/>
          <w:szCs w:val="24"/>
          <w:highlight w:val="none"/>
        </w:rPr>
        <w:t>；</w:t>
      </w:r>
    </w:p>
    <w:p w14:paraId="4A3949E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长春新区科学技术局知识产权服务业集聚区运维采购项目</w:t>
      </w:r>
    </w:p>
    <w:p w14:paraId="2BF433D7">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预算金额：</w:t>
      </w:r>
      <w:bookmarkStart w:id="8" w:name="receiveDocCount"/>
      <w:r>
        <w:rPr>
          <w:rFonts w:hint="eastAsia" w:ascii="宋体" w:hAnsi="宋体" w:eastAsia="宋体" w:cs="宋体"/>
          <w:sz w:val="24"/>
          <w:szCs w:val="24"/>
          <w:highlight w:val="none"/>
        </w:rPr>
        <w:t>人民币</w:t>
      </w:r>
      <w:bookmarkEnd w:id="8"/>
      <w:r>
        <w:rPr>
          <w:rFonts w:hint="eastAsia" w:ascii="宋体" w:hAnsi="宋体" w:eastAsia="宋体" w:cs="宋体"/>
          <w:sz w:val="24"/>
          <w:szCs w:val="24"/>
          <w:highlight w:val="none"/>
        </w:rPr>
        <w:t>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p w14:paraId="786776E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最高限价：人民币5800000.00元</w:t>
      </w:r>
      <w:r>
        <w:rPr>
          <w:rFonts w:hint="eastAsia" w:ascii="宋体" w:hAnsi="宋体" w:cs="宋体"/>
          <w:sz w:val="24"/>
          <w:szCs w:val="24"/>
          <w:highlight w:val="none"/>
          <w:lang w:eastAsia="zh-CN"/>
        </w:rPr>
        <w:t>（其中一标段</w:t>
      </w:r>
      <w:r>
        <w:rPr>
          <w:rFonts w:hint="eastAsia" w:ascii="宋体" w:hAnsi="宋体" w:cs="宋体"/>
          <w:sz w:val="24"/>
          <w:szCs w:val="24"/>
          <w:highlight w:val="none"/>
          <w:lang w:val="en-US" w:eastAsia="zh-CN"/>
        </w:rPr>
        <w:t>2100000元；二标段900000元；三标段2800000元</w:t>
      </w:r>
      <w:r>
        <w:rPr>
          <w:rFonts w:hint="eastAsia" w:ascii="宋体" w:hAnsi="宋体" w:cs="宋体"/>
          <w:sz w:val="24"/>
          <w:szCs w:val="24"/>
          <w:highlight w:val="none"/>
          <w:lang w:eastAsia="zh-CN"/>
        </w:rPr>
        <w:t>）</w:t>
      </w:r>
    </w:p>
    <w:p w14:paraId="4252D433">
      <w:pPr>
        <w:spacing w:line="380" w:lineRule="exact"/>
        <w:ind w:firstLine="480" w:firstLineChars="200"/>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采购需求</w:t>
      </w:r>
      <w:r>
        <w:rPr>
          <w:rFonts w:hint="eastAsia" w:ascii="宋体" w:hAnsi="宋体" w:cs="宋体"/>
          <w:sz w:val="24"/>
          <w:szCs w:val="24"/>
          <w:highlight w:val="none"/>
          <w:lang w:eastAsia="zh-CN"/>
        </w:rPr>
        <w:t>及标段划分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本运维项目</w:t>
      </w:r>
      <w:r>
        <w:rPr>
          <w:rFonts w:hint="eastAsia" w:ascii="宋体" w:hAnsi="宋体" w:cs="宋体"/>
          <w:sz w:val="24"/>
          <w:szCs w:val="24"/>
          <w:highlight w:val="none"/>
          <w:lang w:eastAsia="zh-CN"/>
        </w:rPr>
        <w:t>分为</w:t>
      </w:r>
      <w:r>
        <w:rPr>
          <w:rFonts w:hint="eastAsia" w:ascii="宋体" w:hAnsi="宋体" w:cs="宋体"/>
          <w:sz w:val="24"/>
          <w:szCs w:val="24"/>
          <w:highlight w:val="none"/>
          <w:lang w:val="en-US" w:eastAsia="zh-CN"/>
        </w:rPr>
        <w:t>3个标段：</w:t>
      </w:r>
      <w:r>
        <w:rPr>
          <w:rFonts w:hint="eastAsia" w:ascii="宋体" w:hAnsi="宋体" w:eastAsia="宋体" w:cs="宋体"/>
          <w:sz w:val="24"/>
          <w:szCs w:val="24"/>
          <w:highlight w:val="none"/>
        </w:rPr>
        <w:t>包含长春知识产权运营服务平台、长春知识产权数字化展示平台、长春知识产权服务业集聚区</w:t>
      </w:r>
      <w:r>
        <w:rPr>
          <w:rFonts w:hint="eastAsia" w:ascii="宋体" w:hAnsi="宋体" w:eastAsia="宋体" w:cs="宋体"/>
          <w:sz w:val="24"/>
          <w:szCs w:val="24"/>
          <w:highlight w:val="none"/>
          <w:lang w:eastAsia="zh-CN"/>
        </w:rPr>
        <w:t>等</w:t>
      </w:r>
      <w:r>
        <w:rPr>
          <w:rFonts w:hint="eastAsia" w:ascii="宋体" w:hAnsi="宋体" w:eastAsia="宋体" w:cs="宋体"/>
          <w:kern w:val="2"/>
          <w:sz w:val="24"/>
          <w:szCs w:val="24"/>
          <w:highlight w:val="none"/>
        </w:rPr>
        <w:t>，</w:t>
      </w:r>
      <w:r>
        <w:rPr>
          <w:rFonts w:hint="eastAsia" w:ascii="宋体" w:hAnsi="宋体" w:eastAsia="宋体" w:cs="宋体"/>
          <w:sz w:val="24"/>
          <w:szCs w:val="24"/>
          <w:highlight w:val="none"/>
        </w:rPr>
        <w:t>详见采购需求</w:t>
      </w:r>
      <w:r>
        <w:rPr>
          <w:rFonts w:hint="eastAsia" w:ascii="宋体" w:hAnsi="宋体" w:eastAsia="宋体" w:cs="宋体"/>
          <w:sz w:val="24"/>
          <w:szCs w:val="24"/>
          <w:highlight w:val="none"/>
          <w:lang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83"/>
        <w:gridCol w:w="2669"/>
        <w:gridCol w:w="1467"/>
        <w:gridCol w:w="1166"/>
        <w:gridCol w:w="1223"/>
      </w:tblGrid>
      <w:tr w14:paraId="1A3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3AD21B78">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w:t>
            </w:r>
          </w:p>
        </w:tc>
        <w:tc>
          <w:tcPr>
            <w:tcW w:w="1283" w:type="dxa"/>
            <w:vAlign w:val="center"/>
          </w:tcPr>
          <w:p w14:paraId="347FB652">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标段编号</w:t>
            </w:r>
          </w:p>
        </w:tc>
        <w:tc>
          <w:tcPr>
            <w:tcW w:w="2669" w:type="dxa"/>
            <w:vAlign w:val="center"/>
          </w:tcPr>
          <w:p w14:paraId="376A60C3">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标段名称</w:t>
            </w:r>
          </w:p>
        </w:tc>
        <w:tc>
          <w:tcPr>
            <w:tcW w:w="1467" w:type="dxa"/>
            <w:vAlign w:val="center"/>
          </w:tcPr>
          <w:p w14:paraId="6DF4C8A7">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内容</w:t>
            </w:r>
          </w:p>
        </w:tc>
        <w:tc>
          <w:tcPr>
            <w:tcW w:w="1166" w:type="dxa"/>
            <w:vAlign w:val="center"/>
          </w:tcPr>
          <w:p w14:paraId="579189BD">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预算金额（元）</w:t>
            </w:r>
          </w:p>
        </w:tc>
        <w:tc>
          <w:tcPr>
            <w:tcW w:w="1223" w:type="dxa"/>
            <w:vAlign w:val="center"/>
          </w:tcPr>
          <w:p w14:paraId="2305071D">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合同履行期限</w:t>
            </w:r>
          </w:p>
        </w:tc>
      </w:tr>
      <w:tr w14:paraId="094F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2402209E">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一标段</w:t>
            </w:r>
          </w:p>
        </w:tc>
        <w:tc>
          <w:tcPr>
            <w:tcW w:w="1283" w:type="dxa"/>
            <w:vAlign w:val="center"/>
          </w:tcPr>
          <w:p w14:paraId="47CD0D6C">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eastAsia="zh-CN"/>
              </w:rPr>
              <w:t>XQZC2024-049-001</w:t>
            </w:r>
          </w:p>
        </w:tc>
        <w:tc>
          <w:tcPr>
            <w:tcW w:w="2669" w:type="dxa"/>
            <w:vAlign w:val="center"/>
          </w:tcPr>
          <w:p w14:paraId="285E2635">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一标段</w:t>
            </w:r>
          </w:p>
        </w:tc>
        <w:tc>
          <w:tcPr>
            <w:tcW w:w="1467" w:type="dxa"/>
            <w:vAlign w:val="center"/>
          </w:tcPr>
          <w:p w14:paraId="053B569E">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长春知识产权运营服务平台</w:t>
            </w:r>
          </w:p>
        </w:tc>
        <w:tc>
          <w:tcPr>
            <w:tcW w:w="1166" w:type="dxa"/>
            <w:vAlign w:val="center"/>
          </w:tcPr>
          <w:p w14:paraId="6ADF6063">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2100000</w:t>
            </w:r>
          </w:p>
        </w:tc>
        <w:tc>
          <w:tcPr>
            <w:tcW w:w="1223" w:type="dxa"/>
            <w:vAlign w:val="center"/>
          </w:tcPr>
          <w:p w14:paraId="70477B09">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3B2E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60A9DCA">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二标段</w:t>
            </w:r>
          </w:p>
        </w:tc>
        <w:tc>
          <w:tcPr>
            <w:tcW w:w="1283" w:type="dxa"/>
            <w:vAlign w:val="center"/>
          </w:tcPr>
          <w:p w14:paraId="23557437">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lang w:eastAsia="zh-CN"/>
              </w:rPr>
              <w:t>XQZC2024-049-002</w:t>
            </w:r>
          </w:p>
        </w:tc>
        <w:tc>
          <w:tcPr>
            <w:tcW w:w="2669" w:type="dxa"/>
            <w:vAlign w:val="center"/>
          </w:tcPr>
          <w:p w14:paraId="35B6902C">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二标段</w:t>
            </w:r>
          </w:p>
        </w:tc>
        <w:tc>
          <w:tcPr>
            <w:tcW w:w="1467" w:type="dxa"/>
            <w:vAlign w:val="center"/>
          </w:tcPr>
          <w:p w14:paraId="077C45DB">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长春知识产权数字化展示平台</w:t>
            </w:r>
          </w:p>
        </w:tc>
        <w:tc>
          <w:tcPr>
            <w:tcW w:w="1166" w:type="dxa"/>
            <w:vAlign w:val="center"/>
          </w:tcPr>
          <w:p w14:paraId="1FD02745">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900000</w:t>
            </w:r>
          </w:p>
        </w:tc>
        <w:tc>
          <w:tcPr>
            <w:tcW w:w="1223" w:type="dxa"/>
            <w:vAlign w:val="center"/>
          </w:tcPr>
          <w:p w14:paraId="039E0506">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3D63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14:paraId="133F97F1">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三标段</w:t>
            </w:r>
          </w:p>
        </w:tc>
        <w:tc>
          <w:tcPr>
            <w:tcW w:w="1283" w:type="dxa"/>
            <w:vAlign w:val="center"/>
          </w:tcPr>
          <w:p w14:paraId="7A746C9E">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eastAsia="zh-CN"/>
              </w:rPr>
              <w:t>XQZC2024-049</w:t>
            </w:r>
            <w:r>
              <w:rPr>
                <w:rFonts w:hint="eastAsia" w:ascii="宋体" w:hAnsi="宋体" w:cs="宋体"/>
                <w:sz w:val="24"/>
                <w:szCs w:val="24"/>
                <w:highlight w:val="none"/>
                <w:lang w:val="en-US" w:eastAsia="zh-CN"/>
              </w:rPr>
              <w:t>-003</w:t>
            </w:r>
          </w:p>
        </w:tc>
        <w:tc>
          <w:tcPr>
            <w:tcW w:w="2669" w:type="dxa"/>
            <w:vAlign w:val="center"/>
          </w:tcPr>
          <w:p w14:paraId="7EB690C0">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lang w:eastAsia="zh-CN"/>
              </w:rPr>
              <w:t>长春新区科学技术局知识产权服务业集聚区运维采购项目</w:t>
            </w:r>
            <w:r>
              <w:rPr>
                <w:rFonts w:hint="eastAsia" w:ascii="宋体" w:hAnsi="宋体" w:cs="宋体"/>
                <w:sz w:val="24"/>
                <w:szCs w:val="24"/>
                <w:highlight w:val="none"/>
                <w:vertAlign w:val="baseline"/>
                <w:lang w:eastAsia="zh-CN"/>
              </w:rPr>
              <w:t>三标段</w:t>
            </w:r>
          </w:p>
        </w:tc>
        <w:tc>
          <w:tcPr>
            <w:tcW w:w="1467" w:type="dxa"/>
            <w:vAlign w:val="center"/>
          </w:tcPr>
          <w:p w14:paraId="5436A9B2">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rPr>
              <w:t>长春知识产权服务业集聚区</w:t>
            </w:r>
          </w:p>
        </w:tc>
        <w:tc>
          <w:tcPr>
            <w:tcW w:w="1166" w:type="dxa"/>
            <w:vAlign w:val="center"/>
          </w:tcPr>
          <w:p w14:paraId="1FC37DB3">
            <w:pPr>
              <w:spacing w:line="380" w:lineRule="exact"/>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2800000</w:t>
            </w:r>
          </w:p>
        </w:tc>
        <w:tc>
          <w:tcPr>
            <w:tcW w:w="1223" w:type="dxa"/>
            <w:vAlign w:val="center"/>
          </w:tcPr>
          <w:p w14:paraId="288B3C6F">
            <w:pPr>
              <w:spacing w:line="380" w:lineRule="exact"/>
              <w:jc w:val="center"/>
              <w:rPr>
                <w:rFonts w:hint="eastAsia" w:ascii="宋体" w:hAnsi="宋体" w:eastAsia="宋体" w:cs="宋体"/>
                <w:sz w:val="24"/>
                <w:szCs w:val="24"/>
                <w:highlight w:val="none"/>
                <w:vertAlign w:val="baseline"/>
                <w:lang w:eastAsia="zh-CN"/>
              </w:rPr>
            </w:pPr>
            <w:r>
              <w:rPr>
                <w:rFonts w:hint="eastAsia" w:ascii="宋体" w:hAnsi="宋体" w:eastAsia="宋体" w:cs="宋体"/>
                <w:strike w:val="0"/>
                <w:dstrike w:val="0"/>
                <w:color w:val="auto"/>
                <w:sz w:val="24"/>
                <w:szCs w:val="24"/>
                <w:highlight w:val="none"/>
                <w:shd w:val="clear" w:color="auto" w:fill="auto"/>
                <w:lang w:eastAsia="zh-CN"/>
              </w:rPr>
              <w:t>服务周期为2026年</w:t>
            </w:r>
            <w:r>
              <w:rPr>
                <w:rFonts w:hint="eastAsia" w:ascii="宋体" w:hAnsi="宋体" w:cs="宋体"/>
                <w:strike w:val="0"/>
                <w:dstrike w:val="0"/>
                <w:color w:val="auto"/>
                <w:sz w:val="24"/>
                <w:szCs w:val="24"/>
                <w:highlight w:val="none"/>
                <w:shd w:val="clear" w:color="auto" w:fill="auto"/>
                <w:lang w:eastAsia="zh-CN"/>
              </w:rPr>
              <w:t>至</w:t>
            </w:r>
            <w:r>
              <w:rPr>
                <w:rFonts w:hint="eastAsia" w:ascii="宋体" w:hAnsi="宋体" w:eastAsia="宋体" w:cs="宋体"/>
                <w:strike w:val="0"/>
                <w:dstrike w:val="0"/>
                <w:color w:val="auto"/>
                <w:sz w:val="24"/>
                <w:szCs w:val="24"/>
                <w:highlight w:val="none"/>
                <w:shd w:val="clear" w:color="auto" w:fill="auto"/>
                <w:lang w:eastAsia="zh-CN"/>
              </w:rPr>
              <w:t>2027年</w:t>
            </w:r>
          </w:p>
        </w:tc>
      </w:tr>
    </w:tbl>
    <w:p w14:paraId="6ACA450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本项目是否接受联合体：</w:t>
      </w:r>
      <w:bookmarkStart w:id="9" w:name="blank35_copy_1629683397000"/>
      <w:r>
        <w:rPr>
          <w:rFonts w:hint="eastAsia" w:ascii="宋体" w:hAnsi="宋体" w:eastAsia="宋体" w:cs="宋体"/>
          <w:sz w:val="24"/>
          <w:szCs w:val="24"/>
          <w:highlight w:val="none"/>
        </w:rPr>
        <w:t>否</w:t>
      </w:r>
      <w:bookmarkEnd w:id="9"/>
    </w:p>
    <w:p w14:paraId="06EF4640">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本项目是否支持政采贷业务：是</w:t>
      </w:r>
    </w:p>
    <w:p w14:paraId="15B24A0A">
      <w:pPr>
        <w:numPr>
          <w:ilvl w:val="0"/>
          <w:numId w:val="2"/>
        </w:numPr>
        <w:spacing w:line="380" w:lineRule="exact"/>
        <w:rPr>
          <w:rFonts w:hint="eastAsia" w:ascii="宋体" w:hAnsi="宋体" w:eastAsia="宋体" w:cs="宋体"/>
          <w:b/>
          <w:sz w:val="24"/>
          <w:szCs w:val="24"/>
          <w:highlight w:val="none"/>
        </w:rPr>
      </w:pPr>
      <w:bookmarkStart w:id="10" w:name="_Toc28359080"/>
      <w:bookmarkStart w:id="11" w:name="_Toc35393622"/>
      <w:bookmarkStart w:id="12" w:name="_Toc28359003"/>
      <w:bookmarkStart w:id="13" w:name="_Toc35393791"/>
      <w:r>
        <w:rPr>
          <w:rFonts w:hint="eastAsia" w:ascii="宋体" w:hAnsi="宋体" w:eastAsia="宋体" w:cs="宋体"/>
          <w:b/>
          <w:sz w:val="24"/>
          <w:szCs w:val="24"/>
          <w:highlight w:val="none"/>
        </w:rPr>
        <w:t>申请人的资格要求：</w:t>
      </w:r>
      <w:bookmarkEnd w:id="10"/>
      <w:bookmarkEnd w:id="11"/>
      <w:bookmarkEnd w:id="12"/>
      <w:bookmarkEnd w:id="13"/>
    </w:p>
    <w:p w14:paraId="29850448">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shd w:val="clear" w:color="auto" w:fill="FFFFFF"/>
        </w:rPr>
        <w:t>应符合《中华人民共和国政府采购法》第二十二条规定；</w:t>
      </w:r>
    </w:p>
    <w:p w14:paraId="24270932">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2.落实政府采购政策需满足的资格要求：本项目</w:t>
      </w:r>
      <w:r>
        <w:rPr>
          <w:rFonts w:hint="eastAsia" w:ascii="宋体" w:hAnsi="宋体" w:cs="宋体"/>
          <w:sz w:val="24"/>
          <w:szCs w:val="24"/>
          <w:highlight w:val="none"/>
          <w:lang w:eastAsia="zh-CN"/>
        </w:rPr>
        <w:t>一标段、二标段、三标段均为</w:t>
      </w:r>
      <w:r>
        <w:rPr>
          <w:rFonts w:hint="eastAsia" w:ascii="宋体" w:hAnsi="宋体" w:eastAsia="宋体" w:cs="宋体"/>
          <w:sz w:val="24"/>
          <w:szCs w:val="24"/>
          <w:highlight w:val="none"/>
        </w:rPr>
        <w:t>专门面向中小企业采购；</w:t>
      </w:r>
    </w:p>
    <w:p w14:paraId="0AB6C8A1">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3.本项目的特定资格要求：</w:t>
      </w:r>
    </w:p>
    <w:p w14:paraId="395E3241">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(1)具有独立承担民事责任的能力；</w:t>
      </w:r>
    </w:p>
    <w:p w14:paraId="6D22E4A3">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(2)具有良好的商业信誉和健全的财务会计制度</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p>
    <w:p w14:paraId="4740B32B">
      <w:p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)有依法缴纳税收和社会保障资金的良好记录</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提供</w:t>
      </w:r>
      <w:r>
        <w:rPr>
          <w:rFonts w:hint="eastAsia" w:ascii="宋体" w:hAnsi="宋体" w:eastAsia="宋体" w:cs="宋体"/>
          <w:sz w:val="24"/>
          <w:szCs w:val="24"/>
          <w:highlight w:val="none"/>
          <w:shd w:val="clear" w:color="auto" w:fill="FFFFFF"/>
          <w:lang w:eastAsia="zh-CN"/>
        </w:rPr>
        <w:t>近一年内</w:t>
      </w:r>
      <w:r>
        <w:rPr>
          <w:rFonts w:hint="eastAsia" w:ascii="宋体" w:hAnsi="宋体" w:eastAsia="宋体" w:cs="宋体"/>
          <w:sz w:val="24"/>
          <w:szCs w:val="24"/>
          <w:highlight w:val="none"/>
          <w:shd w:val="clear" w:color="auto" w:fill="FFFFFF"/>
        </w:rPr>
        <w:t>任意一个月企业依法缴纳税收及社保的相关材料（依法免税或无欠税、依法不需要缴纳社会保险的，应提供相应文件证明其依法免税或无欠税、依法不需要缴纳社会保险）；</w:t>
      </w:r>
    </w:p>
    <w:p w14:paraId="22FF39DF">
      <w:pPr>
        <w:numPr>
          <w:ilvl w:val="0"/>
          <w:numId w:val="0"/>
        </w:num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4</w:t>
      </w:r>
      <w:r>
        <w:rPr>
          <w:rFonts w:hint="eastAsia" w:ascii="宋体" w:hAnsi="宋体" w:eastAsia="宋体" w:cs="宋体"/>
          <w:sz w:val="24"/>
          <w:szCs w:val="24"/>
          <w:highlight w:val="none"/>
          <w:shd w:val="clear" w:color="auto" w:fill="FFFFFF"/>
        </w:rPr>
        <w:t>)</w:t>
      </w:r>
      <w:r>
        <w:rPr>
          <w:rFonts w:hint="eastAsia" w:ascii="宋体" w:hAnsi="宋体" w:eastAsia="宋体" w:cs="宋体"/>
          <w:bCs/>
          <w:kern w:val="2"/>
          <w:sz w:val="24"/>
          <w:szCs w:val="24"/>
        </w:rPr>
        <w:t>拒绝列入政府取消投标期间的企业或个人投标</w:t>
      </w:r>
      <w:r>
        <w:rPr>
          <w:rFonts w:hint="eastAsia" w:ascii="宋体" w:hAnsi="宋体" w:eastAsia="宋体" w:cs="宋体"/>
          <w:sz w:val="24"/>
          <w:szCs w:val="24"/>
          <w:highlight w:val="none"/>
          <w:shd w:val="clear" w:color="auto" w:fill="FFFFFF"/>
        </w:rPr>
        <w:t>；</w:t>
      </w:r>
    </w:p>
    <w:p w14:paraId="6201B3A9">
      <w:pPr>
        <w:numPr>
          <w:ilvl w:val="0"/>
          <w:numId w:val="0"/>
        </w:num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rPr>
        <w:t>)投标人不得为“信用中国”网站（www.creditchina.gov.cn）中列入失信被执行人和</w:t>
      </w:r>
      <w:r>
        <w:rPr>
          <w:rFonts w:hint="eastAsia" w:ascii="宋体" w:hAnsi="宋体" w:eastAsia="宋体" w:cs="宋体"/>
          <w:sz w:val="24"/>
          <w:szCs w:val="24"/>
          <w:highlight w:val="none"/>
          <w:shd w:val="clear" w:color="auto" w:fill="FFFFFF"/>
          <w:lang w:eastAsia="zh-CN"/>
        </w:rPr>
        <w:t>重大税收违法失信主体</w:t>
      </w:r>
      <w:r>
        <w:rPr>
          <w:rFonts w:hint="eastAsia" w:ascii="宋体" w:hAnsi="宋体" w:eastAsia="宋体" w:cs="宋体"/>
          <w:sz w:val="24"/>
          <w:szCs w:val="24"/>
          <w:highlight w:val="none"/>
          <w:shd w:val="clear" w:color="auto" w:fill="FFFFFF"/>
        </w:rPr>
        <w:t>名单投标人，不得为中国政府采购网（www.ccpg.gov.cn）政府采购严重违法失信行为记录名单中被财政部门禁止参加政府采购活动的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shd w:val="clear" w:color="auto" w:fill="FFFFFF"/>
        </w:rPr>
        <w:t>（在处罚决定规定的时间和地域范围内）；</w:t>
      </w:r>
    </w:p>
    <w:p w14:paraId="37D79CFA">
      <w:pPr>
        <w:numPr>
          <w:ilvl w:val="0"/>
          <w:numId w:val="0"/>
        </w:numPr>
        <w:spacing w:line="38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rPr>
        <w:t>)参加政府采购活动前三年内，在经营活动中没有重大违法记录；</w:t>
      </w:r>
    </w:p>
    <w:p w14:paraId="3421A918">
      <w:pPr>
        <w:autoSpaceDN w:val="0"/>
        <w:spacing w:line="380" w:lineRule="exact"/>
        <w:ind w:firstLine="480"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val="en-US" w:eastAsia="zh-CN"/>
        </w:rPr>
        <w:t>7</w:t>
      </w:r>
      <w:r>
        <w:rPr>
          <w:rFonts w:hint="eastAsia" w:ascii="宋体" w:hAnsi="宋体" w:eastAsia="宋体" w:cs="宋体"/>
          <w:sz w:val="24"/>
          <w:szCs w:val="24"/>
          <w:highlight w:val="none"/>
          <w:shd w:val="clear" w:color="auto" w:fill="FFFFFF"/>
        </w:rPr>
        <w:t>)</w:t>
      </w:r>
      <w:r>
        <w:rPr>
          <w:rFonts w:hint="eastAsia" w:ascii="宋体" w:hAnsi="宋体" w:eastAsia="宋体" w:cs="宋体"/>
          <w:sz w:val="24"/>
          <w:szCs w:val="24"/>
          <w:highlight w:val="none"/>
          <w:shd w:val="clear" w:color="auto" w:fill="FFFFFF"/>
          <w:lang w:eastAsia="zh-CN"/>
        </w:rPr>
        <w:t>单位负责人为同一人或存在直接控股、管理关系的不同供应商，不得参加同一合同项下的政府采购活动。</w:t>
      </w:r>
    </w:p>
    <w:p w14:paraId="0221E636">
      <w:pPr>
        <w:autoSpaceDN w:val="0"/>
        <w:spacing w:line="380" w:lineRule="exact"/>
        <w:ind w:firstLine="482" w:firstLineChars="200"/>
        <w:rPr>
          <w:rFonts w:hint="eastAsia" w:ascii="宋体" w:hAnsi="宋体" w:cs="宋体"/>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val="en-US" w:eastAsia="zh-CN"/>
        </w:rPr>
        <w:t>8</w:t>
      </w:r>
      <w:r>
        <w:rPr>
          <w:rFonts w:hint="eastAsia" w:ascii="宋体" w:hAnsi="宋体" w:eastAsia="宋体" w:cs="宋体"/>
          <w:b/>
          <w:bCs/>
          <w:sz w:val="24"/>
          <w:szCs w:val="24"/>
          <w:highlight w:val="none"/>
          <w:shd w:val="clear" w:color="auto" w:fill="FFFFFF"/>
        </w:rPr>
        <w:t>)</w:t>
      </w:r>
      <w:r>
        <w:rPr>
          <w:rFonts w:hint="eastAsia" w:ascii="宋体" w:hAnsi="宋体" w:cs="宋体"/>
          <w:b/>
          <w:bCs/>
          <w:sz w:val="24"/>
          <w:szCs w:val="24"/>
          <w:highlight w:val="none"/>
          <w:shd w:val="clear" w:color="auto" w:fill="FFFFFF"/>
          <w:lang w:eastAsia="zh-CN"/>
        </w:rPr>
        <w:t>本次招标采取兼投不兼中原则，各投标人均可对本招标项目上述标段报名及投标，但最多只允许中标一个标段（如投标人出现参与多个标段的情况，将按标段评审的先后顺序确定）</w:t>
      </w:r>
      <w:r>
        <w:rPr>
          <w:rFonts w:hint="eastAsia" w:ascii="宋体" w:hAnsi="宋体" w:cs="宋体"/>
          <w:sz w:val="24"/>
          <w:szCs w:val="24"/>
          <w:highlight w:val="none"/>
          <w:shd w:val="clear" w:color="auto" w:fill="FFFFFF"/>
          <w:lang w:eastAsia="zh-CN"/>
        </w:rPr>
        <w:t>。</w:t>
      </w:r>
    </w:p>
    <w:p w14:paraId="2CB60C85">
      <w:pPr>
        <w:spacing w:line="380" w:lineRule="exact"/>
        <w:rPr>
          <w:rFonts w:hint="eastAsia" w:ascii="宋体" w:hAnsi="宋体" w:eastAsia="宋体" w:cs="宋体"/>
          <w:b/>
          <w:sz w:val="24"/>
          <w:szCs w:val="24"/>
          <w:highlight w:val="none"/>
        </w:rPr>
      </w:pPr>
      <w:bookmarkStart w:id="14" w:name="_Toc28359004"/>
      <w:bookmarkStart w:id="15" w:name="_Toc35393792"/>
      <w:bookmarkStart w:id="16" w:name="_Toc35393623"/>
      <w:bookmarkStart w:id="17" w:name="_Toc28359081"/>
      <w:r>
        <w:rPr>
          <w:rFonts w:hint="eastAsia" w:ascii="宋体" w:hAnsi="宋体" w:eastAsia="宋体" w:cs="宋体"/>
          <w:b/>
          <w:sz w:val="24"/>
          <w:szCs w:val="24"/>
          <w:highlight w:val="none"/>
        </w:rPr>
        <w:t>三、获取招标文件</w:t>
      </w:r>
      <w:bookmarkEnd w:id="14"/>
      <w:bookmarkEnd w:id="15"/>
      <w:bookmarkEnd w:id="16"/>
      <w:bookmarkEnd w:id="17"/>
    </w:p>
    <w:p w14:paraId="3CDCECF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bookmarkStart w:id="18" w:name="blank22"/>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w:t>
      </w:r>
      <w:bookmarkEnd w:id="18"/>
      <w:r>
        <w:rPr>
          <w:rFonts w:hint="eastAsia" w:ascii="宋体" w:hAnsi="宋体" w:eastAsia="宋体" w:cs="宋体"/>
          <w:sz w:val="24"/>
          <w:szCs w:val="24"/>
          <w:highlight w:val="none"/>
        </w:rPr>
        <w:t>至</w:t>
      </w:r>
      <w:bookmarkStart w:id="19" w:name="blank50"/>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31</w:t>
      </w:r>
      <w:bookmarkStart w:id="109" w:name="_GoBack"/>
      <w:bookmarkEnd w:id="109"/>
      <w:r>
        <w:rPr>
          <w:rFonts w:hint="eastAsia" w:ascii="宋体" w:hAnsi="宋体" w:eastAsia="宋体" w:cs="宋体"/>
          <w:sz w:val="24"/>
          <w:szCs w:val="24"/>
          <w:highlight w:val="none"/>
        </w:rPr>
        <w:t>日</w:t>
      </w:r>
      <w:bookmarkEnd w:id="19"/>
      <w:r>
        <w:rPr>
          <w:rFonts w:hint="eastAsia" w:ascii="宋体" w:hAnsi="宋体" w:eastAsia="宋体" w:cs="宋体"/>
          <w:sz w:val="24"/>
          <w:szCs w:val="24"/>
          <w:highlight w:val="none"/>
        </w:rPr>
        <w:t>，每天上午</w:t>
      </w:r>
      <w:bookmarkStart w:id="20" w:name="blank51"/>
      <w:r>
        <w:rPr>
          <w:rFonts w:hint="eastAsia" w:ascii="宋体" w:hAnsi="宋体" w:eastAsia="宋体" w:cs="宋体"/>
          <w:sz w:val="24"/>
          <w:szCs w:val="24"/>
          <w:highlight w:val="none"/>
        </w:rPr>
        <w:t>08时30分</w:t>
      </w:r>
      <w:bookmarkEnd w:id="20"/>
      <w:r>
        <w:rPr>
          <w:rFonts w:hint="eastAsia" w:ascii="宋体" w:hAnsi="宋体" w:eastAsia="宋体" w:cs="宋体"/>
          <w:sz w:val="24"/>
          <w:szCs w:val="24"/>
          <w:highlight w:val="none"/>
        </w:rPr>
        <w:t>至</w:t>
      </w:r>
      <w:bookmarkStart w:id="21" w:name="blank54"/>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时00分</w:t>
      </w:r>
      <w:bookmarkEnd w:id="21"/>
      <w:r>
        <w:rPr>
          <w:rFonts w:hint="eastAsia" w:ascii="宋体" w:hAnsi="宋体" w:eastAsia="宋体" w:cs="宋体"/>
          <w:sz w:val="24"/>
          <w:szCs w:val="24"/>
          <w:highlight w:val="none"/>
        </w:rPr>
        <w:t>（北京时间）；</w:t>
      </w:r>
    </w:p>
    <w:p w14:paraId="3C26F319">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方式：网上免费获取（潜在</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自行登录政府采购云平台（网址：http:// www.zcygov.cn）网上注册（https://middle.zcygov.cn/v-settle-front/registry）并下载招标文件，其他途径获取的招标文件开标时一律按无效投标处理）。</w:t>
      </w:r>
    </w:p>
    <w:p w14:paraId="0EF9EC96">
      <w:pPr>
        <w:spacing w:line="380" w:lineRule="exact"/>
        <w:rPr>
          <w:rFonts w:hint="eastAsia" w:ascii="宋体" w:hAnsi="宋体" w:eastAsia="宋体" w:cs="宋体"/>
          <w:b/>
          <w:sz w:val="24"/>
          <w:szCs w:val="24"/>
          <w:highlight w:val="none"/>
        </w:rPr>
      </w:pPr>
      <w:bookmarkStart w:id="22" w:name="_Toc28359082"/>
      <w:bookmarkStart w:id="23" w:name="_Toc28359005"/>
      <w:bookmarkStart w:id="24" w:name="_Toc35393793"/>
      <w:bookmarkStart w:id="25" w:name="_Toc35393624"/>
      <w:r>
        <w:rPr>
          <w:rFonts w:hint="eastAsia" w:ascii="宋体" w:hAnsi="宋体" w:eastAsia="宋体" w:cs="宋体"/>
          <w:b/>
          <w:sz w:val="24"/>
          <w:szCs w:val="24"/>
          <w:highlight w:val="none"/>
        </w:rPr>
        <w:t>四、提交投标文件</w:t>
      </w:r>
      <w:bookmarkEnd w:id="22"/>
      <w:bookmarkEnd w:id="23"/>
      <w:r>
        <w:rPr>
          <w:rFonts w:hint="eastAsia" w:ascii="宋体" w:hAnsi="宋体" w:eastAsia="宋体" w:cs="宋体"/>
          <w:b/>
          <w:sz w:val="24"/>
          <w:szCs w:val="24"/>
          <w:highlight w:val="none"/>
        </w:rPr>
        <w:t>截止时间、开标时间和地点</w:t>
      </w:r>
      <w:bookmarkEnd w:id="24"/>
      <w:bookmarkEnd w:id="25"/>
    </w:p>
    <w:p w14:paraId="0DDBCF40">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时间：</w:t>
      </w:r>
      <w:bookmarkStart w:id="26" w:name="blank15_copy_1619577366000"/>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bookmarkEnd w:id="26"/>
      <w:r>
        <w:rPr>
          <w:rFonts w:hint="eastAsia" w:ascii="宋体" w:hAnsi="宋体" w:eastAsia="宋体" w:cs="宋体"/>
          <w:sz w:val="24"/>
          <w:szCs w:val="24"/>
          <w:highlight w:val="none"/>
        </w:rPr>
        <w:t>（北京时间）；</w:t>
      </w:r>
    </w:p>
    <w:p w14:paraId="4165D04F">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地点：长春新区政务服务中心公共资源交易大厅-二楼B208大开标室。</w:t>
      </w:r>
    </w:p>
    <w:p w14:paraId="2123E971">
      <w:pPr>
        <w:spacing w:line="380" w:lineRule="exact"/>
        <w:rPr>
          <w:rFonts w:hint="eastAsia" w:ascii="宋体" w:hAnsi="宋体" w:eastAsia="宋体" w:cs="宋体"/>
          <w:b/>
          <w:sz w:val="24"/>
          <w:szCs w:val="24"/>
          <w:highlight w:val="none"/>
        </w:rPr>
      </w:pPr>
      <w:bookmarkStart w:id="27" w:name="_Toc28359084"/>
      <w:bookmarkStart w:id="28" w:name="_Toc35393794"/>
      <w:bookmarkStart w:id="29" w:name="_Toc35393625"/>
      <w:bookmarkStart w:id="30" w:name="_Toc28359007"/>
      <w:r>
        <w:rPr>
          <w:rFonts w:hint="eastAsia" w:ascii="宋体" w:hAnsi="宋体" w:eastAsia="宋体" w:cs="宋体"/>
          <w:b/>
          <w:sz w:val="24"/>
          <w:szCs w:val="24"/>
          <w:highlight w:val="none"/>
        </w:rPr>
        <w:t>五、公告期限</w:t>
      </w:r>
      <w:bookmarkEnd w:id="27"/>
      <w:bookmarkEnd w:id="28"/>
      <w:bookmarkEnd w:id="29"/>
      <w:bookmarkEnd w:id="30"/>
    </w:p>
    <w:p w14:paraId="3753F93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0627045A">
      <w:pPr>
        <w:spacing w:line="380" w:lineRule="exact"/>
        <w:rPr>
          <w:rFonts w:hint="eastAsia" w:ascii="宋体" w:hAnsi="宋体" w:eastAsia="宋体" w:cs="宋体"/>
          <w:b/>
          <w:sz w:val="24"/>
          <w:szCs w:val="24"/>
          <w:highlight w:val="none"/>
        </w:rPr>
      </w:pPr>
      <w:bookmarkStart w:id="31" w:name="_Hlk64709943"/>
      <w:bookmarkEnd w:id="31"/>
      <w:bookmarkStart w:id="32" w:name="_Toc35393795"/>
      <w:bookmarkStart w:id="33" w:name="_Toc35393626"/>
      <w:r>
        <w:rPr>
          <w:rFonts w:hint="eastAsia" w:ascii="宋体" w:hAnsi="宋体" w:eastAsia="宋体" w:cs="宋体"/>
          <w:b/>
          <w:sz w:val="24"/>
          <w:szCs w:val="24"/>
          <w:highlight w:val="none"/>
        </w:rPr>
        <w:t>六、其他补充事宜</w:t>
      </w:r>
      <w:bookmarkEnd w:id="32"/>
      <w:bookmarkEnd w:id="33"/>
    </w:p>
    <w:p w14:paraId="4C099600">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本次招标公告在”政采云”平台（http:// www.zcygov.cn）发布，并推送至《吉林省政府采购网》、《长春市公共资源交易网》、《中国政府采购网》。</w:t>
      </w:r>
    </w:p>
    <w:p w14:paraId="6C8174FC">
      <w:pPr>
        <w:spacing w:line="380" w:lineRule="exact"/>
        <w:rPr>
          <w:rFonts w:hint="eastAsia" w:ascii="宋体" w:hAnsi="宋体" w:eastAsia="宋体" w:cs="宋体"/>
          <w:b/>
          <w:sz w:val="24"/>
          <w:szCs w:val="24"/>
          <w:highlight w:val="none"/>
        </w:rPr>
      </w:pPr>
      <w:bookmarkStart w:id="34" w:name="_Toc35393796"/>
      <w:bookmarkStart w:id="35" w:name="_Toc28359008"/>
      <w:bookmarkStart w:id="36" w:name="_Toc35393627"/>
      <w:bookmarkStart w:id="37" w:name="_Toc28359085"/>
      <w:r>
        <w:rPr>
          <w:rFonts w:hint="eastAsia" w:ascii="宋体" w:hAnsi="宋体" w:eastAsia="宋体" w:cs="宋体"/>
          <w:b/>
          <w:sz w:val="24"/>
          <w:szCs w:val="24"/>
          <w:highlight w:val="none"/>
        </w:rPr>
        <w:t>七、对本次招标提出询问，请按以下方式联系</w:t>
      </w:r>
      <w:bookmarkEnd w:id="34"/>
      <w:bookmarkEnd w:id="35"/>
      <w:bookmarkEnd w:id="36"/>
      <w:bookmarkEnd w:id="37"/>
    </w:p>
    <w:p w14:paraId="70F2723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F83392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称：长春新区科学技术局</w:t>
      </w:r>
    </w:p>
    <w:p w14:paraId="317DA6F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址：长春北湖科技开发区龙湖大路5799号</w:t>
      </w:r>
    </w:p>
    <w:p w14:paraId="2F1CAD6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联系方式：0431-81335701（</w:t>
      </w:r>
      <w:r>
        <w:rPr>
          <w:rFonts w:hint="eastAsia" w:ascii="宋体" w:hAnsi="宋体" w:cs="宋体"/>
          <w:sz w:val="24"/>
          <w:szCs w:val="24"/>
          <w:highlight w:val="none"/>
          <w:lang w:eastAsia="zh-CN"/>
        </w:rPr>
        <w:t>赵霞</w:t>
      </w:r>
      <w:r>
        <w:rPr>
          <w:rFonts w:hint="eastAsia" w:ascii="宋体" w:hAnsi="宋体" w:eastAsia="宋体" w:cs="宋体"/>
          <w:sz w:val="24"/>
          <w:szCs w:val="24"/>
          <w:highlight w:val="none"/>
        </w:rPr>
        <w:t>）</w:t>
      </w:r>
    </w:p>
    <w:p w14:paraId="348B80A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5B77DE3">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中科高盛咨询集团有限公司</w:t>
      </w:r>
    </w:p>
    <w:p w14:paraId="672BF604">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长春市环球贸易中心一期2号楼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lang w:eastAsia="zh-CN"/>
        </w:rPr>
        <w:t>楼</w:t>
      </w:r>
    </w:p>
    <w:p w14:paraId="0B912D4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eastAsia="zh-CN"/>
        </w:rPr>
        <w:t>13604430452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伍向平</w:t>
      </w:r>
      <w:r>
        <w:rPr>
          <w:rFonts w:hint="eastAsia" w:ascii="宋体" w:hAnsi="宋体" w:eastAsia="宋体" w:cs="宋体"/>
          <w:sz w:val="24"/>
          <w:szCs w:val="24"/>
          <w:highlight w:val="none"/>
        </w:rPr>
        <w:t>）</w:t>
      </w:r>
    </w:p>
    <w:p w14:paraId="1DE584B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18BC022">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伍向平</w:t>
      </w:r>
    </w:p>
    <w:p w14:paraId="746FEFAD">
      <w:pPr>
        <w:spacing w:line="3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eastAsia="zh-CN"/>
        </w:rPr>
        <w:t>13604430452</w:t>
      </w:r>
    </w:p>
    <w:p w14:paraId="71A4D2A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4.监督机构及投诉受理部门：长春新区财政局政府采购管理办公室</w:t>
      </w:r>
    </w:p>
    <w:p w14:paraId="18512BCD">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址：长春市龙湖大路5799号</w:t>
      </w:r>
    </w:p>
    <w:p w14:paraId="0C7EE39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联系方式：0431-81335709</w:t>
      </w:r>
    </w:p>
    <w:p w14:paraId="4A7F92E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投诉方式：</w:t>
      </w:r>
      <w:bookmarkStart w:id="38" w:name="blank66"/>
      <w:r>
        <w:rPr>
          <w:rFonts w:hint="eastAsia" w:ascii="宋体" w:hAnsi="宋体" w:eastAsia="宋体" w:cs="宋体"/>
          <w:sz w:val="24"/>
          <w:szCs w:val="24"/>
          <w:highlight w:val="none"/>
        </w:rPr>
        <w:t>书面投诉</w:t>
      </w:r>
      <w:bookmarkEnd w:id="38"/>
    </w:p>
    <w:p w14:paraId="16EE918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5.本项目采购支持“政采贷”政策</w:t>
      </w:r>
    </w:p>
    <w:p w14:paraId="71158AA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“政采数金平台”联系电话：0431-81888992/81888798</w:t>
      </w:r>
    </w:p>
    <w:p w14:paraId="6F72338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14:paraId="7EFD074F">
      <w:pPr>
        <w:pStyle w:val="3"/>
        <w:spacing w:before="0" w:after="0" w:line="360" w:lineRule="auto"/>
        <w:jc w:val="center"/>
        <w:rPr>
          <w:rFonts w:hint="eastAsia" w:ascii="宋体" w:hAnsi="宋体" w:eastAsia="宋体" w:cs="宋体"/>
          <w:highlight w:val="none"/>
        </w:rPr>
      </w:pPr>
      <w:bookmarkStart w:id="39" w:name="_Toc54891393"/>
      <w:r>
        <w:rPr>
          <w:rFonts w:hint="eastAsia" w:ascii="宋体" w:hAnsi="宋体" w:eastAsia="宋体" w:cs="宋体"/>
          <w:highlight w:val="none"/>
        </w:rPr>
        <w:t xml:space="preserve">第二部分  </w:t>
      </w:r>
      <w:r>
        <w:rPr>
          <w:rFonts w:hint="eastAsia" w:ascii="宋体" w:hAnsi="宋体" w:eastAsia="宋体" w:cs="宋体"/>
          <w:highlight w:val="none"/>
          <w:lang w:val="zh-CN"/>
        </w:rPr>
        <w:t>投标人</w:t>
      </w:r>
      <w:r>
        <w:rPr>
          <w:rFonts w:hint="eastAsia" w:ascii="宋体" w:hAnsi="宋体" w:eastAsia="宋体" w:cs="宋体"/>
          <w:highlight w:val="none"/>
        </w:rPr>
        <w:t>须知</w:t>
      </w:r>
      <w:bookmarkEnd w:id="39"/>
    </w:p>
    <w:p w14:paraId="20E5D271">
      <w:pPr>
        <w:pStyle w:val="4"/>
        <w:keepNext/>
        <w:keepLines/>
        <w:pageBreakBefore w:val="0"/>
        <w:widowControl/>
        <w:tabs>
          <w:tab w:val="left" w:pos="360"/>
        </w:tabs>
        <w:kinsoku/>
        <w:wordWrap/>
        <w:overflowPunct/>
        <w:topLinePunct w:val="0"/>
        <w:autoSpaceDE/>
        <w:autoSpaceDN/>
        <w:bidi w:val="0"/>
        <w:adjustRightInd/>
        <w:snapToGrid/>
        <w:spacing w:before="0" w:after="0" w:line="240" w:lineRule="auto"/>
        <w:textAlignment w:val="auto"/>
        <w:rPr>
          <w:rFonts w:hint="eastAsia" w:ascii="宋体" w:hAnsi="宋体" w:eastAsia="宋体" w:cs="宋体"/>
          <w:highlight w:val="none"/>
        </w:rPr>
      </w:pPr>
      <w:r>
        <w:rPr>
          <w:rFonts w:hint="eastAsia" w:ascii="宋体" w:hAnsi="宋体" w:eastAsia="宋体" w:cs="宋体"/>
          <w:highlight w:val="none"/>
        </w:rPr>
        <w:t>一、投标人须知前附表</w:t>
      </w:r>
    </w:p>
    <w:tbl>
      <w:tblPr>
        <w:tblStyle w:val="2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868"/>
        <w:gridCol w:w="6639"/>
      </w:tblGrid>
      <w:tr w14:paraId="0A405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EA77F0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序</w:t>
            </w:r>
            <w:r>
              <w:rPr>
                <w:rFonts w:hint="eastAsia" w:ascii="宋体" w:hAnsi="宋体" w:eastAsia="宋体" w:cs="宋体"/>
                <w:b/>
                <w:bCs/>
                <w:sz w:val="24"/>
                <w:szCs w:val="24"/>
                <w:highlight w:val="none"/>
              </w:rPr>
              <w:t>号</w:t>
            </w: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8E6A3B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078855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0B99B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4C52D2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337FE2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853506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称：长春新区科学技术局</w:t>
            </w:r>
          </w:p>
          <w:p w14:paraId="26B4022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址：长春北湖科技开发区龙湖大路5799号</w:t>
            </w:r>
          </w:p>
          <w:p w14:paraId="042F20B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联系方式：0431-81335701（</w:t>
            </w:r>
            <w:r>
              <w:rPr>
                <w:rFonts w:hint="eastAsia" w:ascii="宋体" w:hAnsi="宋体" w:cs="宋体"/>
                <w:sz w:val="24"/>
                <w:szCs w:val="24"/>
                <w:highlight w:val="none"/>
                <w:lang w:eastAsia="zh-CN"/>
              </w:rPr>
              <w:t>赵霞</w:t>
            </w:r>
            <w:r>
              <w:rPr>
                <w:rFonts w:hint="eastAsia" w:ascii="宋体" w:hAnsi="宋体" w:eastAsia="宋体" w:cs="宋体"/>
                <w:sz w:val="24"/>
                <w:szCs w:val="24"/>
                <w:highlight w:val="none"/>
                <w:lang w:eastAsia="zh-CN"/>
              </w:rPr>
              <w:t>）</w:t>
            </w:r>
          </w:p>
        </w:tc>
      </w:tr>
      <w:tr w14:paraId="59544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94F35C1">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2C0776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054A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称：中科高盛咨询集团有限公司</w:t>
            </w:r>
          </w:p>
          <w:p w14:paraId="01CA7FC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址：长春市环球贸易中心一期2号楼25楼</w:t>
            </w:r>
          </w:p>
          <w:p w14:paraId="6B82C02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联系方式：13604430452（伍向平）</w:t>
            </w:r>
          </w:p>
        </w:tc>
      </w:tr>
      <w:tr w14:paraId="2E810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2C70260">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AA84B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项目背景</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D01FE4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长春市市场监督管理局2021年5月出台了《长春市知识产权服务业集聚区建设工作方案》（长知运服〔2020〕1号），2021年6月长春新区按照方案要求，编制了《长春市知识产权服务业集聚区建设项目申报书》，申请专项经费用于开展集聚区建设相关工作。集聚区建设选址在长春新区盛北大街与光机路交会以东100米，龙翔科技信息产业园1楼与8楼，总建筑面积4100平方米。大厦1楼为知识产权数字化展厅与综合服务大厅，建筑面积1300平方米。大厦8楼为知识产权服务机构办公区，建筑面积2800平方米。</w:t>
            </w:r>
          </w:p>
        </w:tc>
      </w:tr>
      <w:tr w14:paraId="21C72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7C5AF0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89926E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标段划分、项目编号及</w:t>
            </w:r>
            <w:r>
              <w:rPr>
                <w:rFonts w:hint="eastAsia" w:ascii="宋体" w:hAnsi="宋体" w:eastAsia="宋体" w:cs="宋体"/>
                <w:sz w:val="24"/>
                <w:szCs w:val="24"/>
                <w:highlight w:val="none"/>
              </w:rPr>
              <w:t>项目名称</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818E4F8">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二标段</w:t>
            </w:r>
          </w:p>
          <w:p w14:paraId="45E4A172">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XQZC2024-049-002</w:t>
            </w:r>
            <w:r>
              <w:rPr>
                <w:rFonts w:hint="eastAsia" w:ascii="宋体" w:hAnsi="宋体" w:eastAsia="宋体" w:cs="宋体"/>
                <w:sz w:val="24"/>
                <w:szCs w:val="24"/>
                <w:highlight w:val="none"/>
                <w:lang w:eastAsia="zh-CN"/>
              </w:rPr>
              <w:tab/>
            </w:r>
          </w:p>
          <w:p w14:paraId="0AE68ADC">
            <w:pPr>
              <w:keepNext w:val="0"/>
              <w:keepLines w:val="0"/>
              <w:pageBreakBefore w:val="0"/>
              <w:kinsoku/>
              <w:wordWrap/>
              <w:overflowPunct/>
              <w:topLinePunct w:val="0"/>
              <w:bidi w:val="0"/>
              <w:adjustRightInd w:val="0"/>
              <w:snapToGrid w:val="0"/>
              <w:spacing w:line="36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项目名称：长春新区科学技术局知识产权服务业集聚区运维采购项目</w:t>
            </w:r>
            <w:r>
              <w:rPr>
                <w:rFonts w:hint="eastAsia" w:ascii="宋体" w:hAnsi="宋体" w:cs="宋体"/>
                <w:sz w:val="24"/>
                <w:szCs w:val="24"/>
                <w:highlight w:val="none"/>
                <w:lang w:eastAsia="zh-CN"/>
              </w:rPr>
              <w:t>二标段</w:t>
            </w:r>
          </w:p>
        </w:tc>
      </w:tr>
      <w:tr w14:paraId="7497C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337A7D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593FB5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采购预算</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70B455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二标段900000元</w:t>
            </w:r>
          </w:p>
        </w:tc>
      </w:tr>
      <w:tr w14:paraId="48B40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5C27EC2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0FCE88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项目地点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8E736F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长春新区盛北大街与光机路交会以东100米，龙翔科技信息产业园</w:t>
            </w:r>
          </w:p>
        </w:tc>
      </w:tr>
      <w:tr w14:paraId="7DCCB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1AD70F3">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67C283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580F1CD">
            <w:pPr>
              <w:snapToGrid w:val="0"/>
              <w:spacing w:line="360" w:lineRule="auto"/>
              <w:rPr>
                <w:rFonts w:hint="eastAsia"/>
              </w:rPr>
            </w:pPr>
            <w:r>
              <w:rPr>
                <w:rFonts w:hint="eastAsia" w:ascii="宋体" w:hAnsi="宋体" w:cs="宋体"/>
                <w:sz w:val="24"/>
                <w:szCs w:val="24"/>
                <w:highlight w:val="none"/>
                <w:lang w:eastAsia="zh-CN"/>
              </w:rPr>
              <w:t>二标段：长春知识产权数字化展示平台</w:t>
            </w:r>
            <w:r>
              <w:rPr>
                <w:rFonts w:hint="eastAsia" w:ascii="宋体" w:hAnsi="宋体" w:cs="宋体"/>
                <w:sz w:val="24"/>
                <w:szCs w:val="24"/>
                <w:highlight w:val="none"/>
                <w:lang w:val="en-US" w:eastAsia="zh-CN"/>
              </w:rPr>
              <w:t>与展厅</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详见采购需求。</w:t>
            </w:r>
          </w:p>
        </w:tc>
      </w:tr>
      <w:tr w14:paraId="62C2A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257708D">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D05097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CA8ECCE">
            <w:pPr>
              <w:keepNext w:val="0"/>
              <w:keepLines w:val="0"/>
              <w:pageBreakBefore w:val="0"/>
              <w:kinsoku/>
              <w:wordWrap/>
              <w:overflowPunct/>
              <w:topLinePunct w:val="0"/>
              <w:bidi w:val="0"/>
              <w:adjustRightInd/>
              <w:snapToGrid/>
              <w:spacing w:line="38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二标段：</w:t>
            </w:r>
            <w:r>
              <w:rPr>
                <w:rFonts w:hint="eastAsia" w:ascii="宋体" w:hAnsi="宋体" w:eastAsia="宋体" w:cs="宋体"/>
                <w:strike w:val="0"/>
                <w:dstrike w:val="0"/>
                <w:color w:val="auto"/>
                <w:sz w:val="24"/>
                <w:szCs w:val="24"/>
                <w:highlight w:val="none"/>
                <w:shd w:val="clear" w:color="auto" w:fill="auto"/>
              </w:rPr>
              <w:t>长春知识产权数字化展示平台</w:t>
            </w:r>
            <w:r>
              <w:rPr>
                <w:rFonts w:hint="eastAsia" w:ascii="宋体" w:hAnsi="宋体" w:eastAsia="宋体" w:cs="宋体"/>
                <w:strike w:val="0"/>
                <w:dstrike w:val="0"/>
                <w:color w:val="auto"/>
                <w:sz w:val="24"/>
                <w:szCs w:val="24"/>
                <w:highlight w:val="none"/>
                <w:shd w:val="clear" w:color="auto" w:fill="auto"/>
                <w:lang w:eastAsia="zh-CN"/>
              </w:rPr>
              <w:t>服务周期</w:t>
            </w:r>
            <w:r>
              <w:rPr>
                <w:rFonts w:hint="eastAsia" w:ascii="宋体" w:hAnsi="宋体" w:cs="宋体"/>
                <w:strike w:val="0"/>
                <w:dstrike w:val="0"/>
                <w:color w:val="auto"/>
                <w:sz w:val="24"/>
                <w:szCs w:val="24"/>
                <w:highlight w:val="none"/>
                <w:shd w:val="clear" w:color="auto" w:fill="auto"/>
                <w:lang w:eastAsia="zh-CN"/>
              </w:rPr>
              <w:t>为</w:t>
            </w:r>
            <w:r>
              <w:rPr>
                <w:rFonts w:hint="eastAsia" w:ascii="宋体" w:hAnsi="宋体" w:eastAsia="宋体" w:cs="宋体"/>
                <w:strike w:val="0"/>
                <w:dstrike w:val="0"/>
                <w:color w:val="auto"/>
                <w:sz w:val="24"/>
                <w:szCs w:val="24"/>
                <w:highlight w:val="none"/>
                <w:shd w:val="clear" w:color="auto" w:fill="auto"/>
                <w:lang w:eastAsia="zh-CN"/>
              </w:rPr>
              <w:t>202</w:t>
            </w:r>
            <w:r>
              <w:rPr>
                <w:rFonts w:hint="eastAsia" w:ascii="宋体" w:hAnsi="宋体" w:cs="宋体"/>
                <w:strike w:val="0"/>
                <w:dstrike w:val="0"/>
                <w:color w:val="auto"/>
                <w:sz w:val="24"/>
                <w:szCs w:val="24"/>
                <w:highlight w:val="none"/>
                <w:shd w:val="clear" w:color="auto" w:fill="auto"/>
                <w:lang w:val="en-US" w:eastAsia="zh-CN"/>
              </w:rPr>
              <w:t>5</w:t>
            </w:r>
            <w:r>
              <w:rPr>
                <w:rFonts w:hint="eastAsia" w:ascii="宋体" w:hAnsi="宋体" w:eastAsia="宋体" w:cs="宋体"/>
                <w:strike w:val="0"/>
                <w:dstrike w:val="0"/>
                <w:color w:val="auto"/>
                <w:sz w:val="24"/>
                <w:szCs w:val="24"/>
                <w:highlight w:val="none"/>
                <w:shd w:val="clear" w:color="auto" w:fill="auto"/>
                <w:lang w:eastAsia="zh-CN"/>
              </w:rPr>
              <w:t>年</w:t>
            </w:r>
            <w:r>
              <w:rPr>
                <w:rFonts w:hint="eastAsia" w:ascii="宋体" w:hAnsi="宋体" w:cs="宋体"/>
                <w:strike w:val="0"/>
                <w:dstrike w:val="0"/>
                <w:color w:val="auto"/>
                <w:sz w:val="24"/>
                <w:szCs w:val="24"/>
                <w:highlight w:val="none"/>
                <w:shd w:val="clear" w:color="auto" w:fill="auto"/>
                <w:lang w:eastAsia="zh-CN"/>
              </w:rPr>
              <w:t>至2027年。</w:t>
            </w:r>
          </w:p>
        </w:tc>
      </w:tr>
      <w:tr w14:paraId="487A1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87E0A0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39060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87DA25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财政资金</w:t>
            </w:r>
          </w:p>
        </w:tc>
      </w:tr>
      <w:tr w14:paraId="37BC2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11BB4B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84DBB7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资格要求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4CD381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应符合《中华人民共和国政府采购法》第二十二条规定；</w:t>
            </w:r>
          </w:p>
          <w:p w14:paraId="31FD99D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2.落实政府采购政策需满足的资格要求：</w:t>
            </w:r>
            <w:r>
              <w:rPr>
                <w:rFonts w:hint="eastAsia" w:ascii="宋体" w:hAnsi="宋体" w:eastAsia="宋体" w:cs="宋体"/>
                <w:sz w:val="24"/>
                <w:szCs w:val="24"/>
                <w:highlight w:val="none"/>
              </w:rPr>
              <w:t>本项目</w:t>
            </w:r>
            <w:r>
              <w:rPr>
                <w:rFonts w:hint="eastAsia" w:ascii="宋体" w:hAnsi="宋体" w:cs="宋体"/>
                <w:sz w:val="24"/>
                <w:szCs w:val="24"/>
                <w:highlight w:val="none"/>
                <w:lang w:eastAsia="zh-CN"/>
              </w:rPr>
              <w:t>一标段、二标段、三标段均为</w:t>
            </w:r>
            <w:r>
              <w:rPr>
                <w:rFonts w:hint="eastAsia" w:ascii="宋体" w:hAnsi="宋体" w:eastAsia="宋体" w:cs="宋体"/>
                <w:sz w:val="24"/>
                <w:szCs w:val="24"/>
                <w:highlight w:val="none"/>
              </w:rPr>
              <w:t>专门面向中小企业采购</w:t>
            </w:r>
            <w:r>
              <w:rPr>
                <w:rFonts w:hint="eastAsia" w:ascii="宋体" w:hAnsi="宋体" w:eastAsia="宋体" w:cs="宋体"/>
                <w:bCs/>
                <w:sz w:val="24"/>
                <w:szCs w:val="24"/>
                <w:highlight w:val="none"/>
              </w:rPr>
              <w:t>；</w:t>
            </w:r>
          </w:p>
          <w:p w14:paraId="6B9AF5C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14:paraId="1C81F78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(1)具有独立承担民事责任的能力；</w:t>
            </w:r>
          </w:p>
          <w:p w14:paraId="3CA0964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良好的商业信誉和健全的财务会计制度：提供近一年（2023年度）具有经会计师事务所或审计机构审计的财务审计报告。（若投标人为2024年1月1日以后注册成立的公司，即提供一份企业出具的财务状况良好承诺书）；</w:t>
            </w:r>
          </w:p>
          <w:p w14:paraId="24296A4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有依法缴纳税收和社会保障资金的良好记录；提供近一年内任意一个月企业依法缴纳税收及社保的相关材料（依法免税或无欠税、依法不需要缴纳社会保险的，应提供相应文件证明其依法免税或无欠税、依法不需要缴纳社会保险）；</w:t>
            </w:r>
          </w:p>
          <w:p w14:paraId="5F619F1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(4)拒绝列入政府取消投标期间的企业或个人投标；</w:t>
            </w:r>
          </w:p>
          <w:p w14:paraId="35AAF5E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(5)投标人不得为“信用中国”网站（www.creditchina.gov.cn）中列入失信被执行人和重大税收违法失信主体名单</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，不得为中国政府采购网（www.ccpg.gov.cn）政府采购严重违法失信行为记录名单中被财政部门禁止参加政府采购活动的</w:t>
            </w:r>
            <w:r>
              <w:rPr>
                <w:rFonts w:hint="eastAsia" w:ascii="宋体" w:hAnsi="宋体" w:eastAsia="宋体" w:cs="宋体"/>
                <w:sz w:val="24"/>
                <w:szCs w:val="24"/>
                <w:highlight w:val="none"/>
                <w:lang w:val="zh-CN"/>
              </w:rPr>
              <w:t>投标人</w:t>
            </w:r>
            <w:r>
              <w:rPr>
                <w:rFonts w:hint="eastAsia" w:ascii="宋体" w:hAnsi="宋体" w:eastAsia="宋体" w:cs="宋体"/>
                <w:bCs/>
                <w:sz w:val="24"/>
                <w:szCs w:val="24"/>
                <w:highlight w:val="none"/>
              </w:rPr>
              <w:t>（在处罚决定规定的时间和地域范围内）；</w:t>
            </w:r>
          </w:p>
          <w:p w14:paraId="71DFF65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(6)参加政府采购活动前三年内，在经营活动中没有重大违法记录；</w:t>
            </w:r>
          </w:p>
          <w:p w14:paraId="3E34351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(7)单位负责人为同一人或存在直接控股、管理关系的不同供应商，不得参加同一合同项下的政府采购活动。</w:t>
            </w:r>
          </w:p>
          <w:p w14:paraId="7CC9A34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(8)本次招标采取兼投不兼中原则，各投标人均可对本招标项目上述标段报名及投标，但最多只允许中标一个标段（如投标人出现参与多个标段的情况，将按标段评审的先后顺序确定）。</w:t>
            </w:r>
          </w:p>
        </w:tc>
      </w:tr>
      <w:tr w14:paraId="46AF1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nil"/>
              <w:right w:val="single" w:color="auto" w:sz="4" w:space="0"/>
              <w:tl2br w:val="nil"/>
              <w:tr2bl w:val="nil"/>
            </w:tcBorders>
            <w:noWrap/>
            <w:vAlign w:val="center"/>
          </w:tcPr>
          <w:p w14:paraId="7872BE76">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nil"/>
              <w:right w:val="single" w:color="auto" w:sz="4" w:space="0"/>
              <w:tl2br w:val="nil"/>
              <w:tr2bl w:val="nil"/>
            </w:tcBorders>
            <w:noWrap/>
            <w:vAlign w:val="center"/>
          </w:tcPr>
          <w:p w14:paraId="26B628A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6639" w:type="dxa"/>
            <w:tcBorders>
              <w:top w:val="single" w:color="auto" w:sz="4" w:space="0"/>
              <w:left w:val="single" w:color="auto" w:sz="4" w:space="0"/>
              <w:bottom w:val="nil"/>
              <w:right w:val="single" w:color="auto" w:sz="4" w:space="0"/>
              <w:tl2br w:val="nil"/>
              <w:tr2bl w:val="nil"/>
            </w:tcBorders>
            <w:noWrap/>
            <w:vAlign w:val="center"/>
          </w:tcPr>
          <w:p w14:paraId="688AE3E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0" w:name="blank35"/>
            <w:r>
              <w:rPr>
                <w:rFonts w:hint="eastAsia" w:ascii="宋体" w:hAnsi="宋体" w:eastAsia="宋体" w:cs="宋体"/>
                <w:sz w:val="24"/>
                <w:szCs w:val="24"/>
                <w:highlight w:val="none"/>
              </w:rPr>
              <w:t>否</w:t>
            </w:r>
            <w:bookmarkEnd w:id="40"/>
          </w:p>
        </w:tc>
      </w:tr>
      <w:tr w14:paraId="4C47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04CAB5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F822DD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412161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cs="宋体"/>
                <w:color w:val="auto"/>
                <w:sz w:val="24"/>
                <w:szCs w:val="24"/>
                <w:highlight w:val="none"/>
                <w:lang w:eastAsia="zh-CN"/>
              </w:rPr>
              <w:t>不</w:t>
            </w:r>
            <w:r>
              <w:rPr>
                <w:rFonts w:hint="eastAsia" w:ascii="宋体" w:hAnsi="宋体" w:eastAsia="宋体" w:cs="宋体"/>
                <w:color w:val="auto"/>
                <w:sz w:val="24"/>
                <w:szCs w:val="24"/>
                <w:highlight w:val="none"/>
              </w:rPr>
              <w:t>组织</w:t>
            </w:r>
          </w:p>
        </w:tc>
      </w:tr>
      <w:tr w14:paraId="54F50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BE5C4FA">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9D70F4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答疑会时间及地点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C5FCD3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不召开</w:t>
            </w:r>
          </w:p>
        </w:tc>
      </w:tr>
      <w:tr w14:paraId="1FC4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5C07F30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671B0A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分包、转包</w:t>
            </w:r>
          </w:p>
        </w:tc>
        <w:tc>
          <w:tcPr>
            <w:tcW w:w="663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E934D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不允许</w:t>
            </w:r>
          </w:p>
        </w:tc>
      </w:tr>
      <w:tr w14:paraId="3AAEB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CC3DAC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A25310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04CE5C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允许正偏离</w:t>
            </w:r>
            <w:r>
              <w:rPr>
                <w:rFonts w:hint="eastAsia" w:ascii="宋体" w:hAnsi="宋体" w:cs="宋体"/>
                <w:sz w:val="24"/>
                <w:szCs w:val="24"/>
                <w:highlight w:val="none"/>
                <w:lang w:eastAsia="zh-CN"/>
              </w:rPr>
              <w:t>。</w:t>
            </w:r>
          </w:p>
        </w:tc>
      </w:tr>
      <w:tr w14:paraId="4A79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DF9D17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5599A2F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w:t>
            </w:r>
          </w:p>
          <w:p w14:paraId="4E2FA80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的其他材料</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725F1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p>
        </w:tc>
      </w:tr>
      <w:tr w14:paraId="64FFB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D773E74">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FF2D10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DFC9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（1）所有要求签字的地方都应用不褪色的墨水或签字笔由本人亲笔手写签字（包括姓和名），不得用盖章（如签名章、签字章等）代替，也不得由他人代签。 </w:t>
            </w:r>
          </w:p>
          <w:p w14:paraId="2D0CA98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（2）所有要求盖章的地方都应按照招标文件的规定加盖与投标人名称全称相一致的标准公章，不得使用彩喷或者彩印的印章、可使用专用章（如合同专用章、投标专用章等）代替。 </w:t>
            </w:r>
          </w:p>
          <w:p w14:paraId="293069A3">
            <w:pPr>
              <w:keepNext w:val="0"/>
              <w:keepLines w:val="0"/>
              <w:pageBreakBefore w:val="0"/>
              <w:kinsoku/>
              <w:wordWrap/>
              <w:overflowPunct/>
              <w:topLinePunct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528B9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E300A3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ED8450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17EB7D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90</w:t>
            </w:r>
            <w:r>
              <w:rPr>
                <w:rFonts w:hint="eastAsia" w:ascii="宋体" w:hAnsi="宋体" w:eastAsia="宋体" w:cs="宋体"/>
                <w:sz w:val="24"/>
                <w:szCs w:val="24"/>
                <w:highlight w:val="none"/>
              </w:rPr>
              <w:t>日历天（从投标截止之日算起）</w:t>
            </w:r>
          </w:p>
        </w:tc>
      </w:tr>
      <w:tr w14:paraId="5B6BD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5E7672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516DFD7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CD6CD6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本项目不收取投标保证金</w:t>
            </w:r>
          </w:p>
        </w:tc>
      </w:tr>
      <w:tr w14:paraId="54886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2C8230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77B6B3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投标文件份数</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4267F0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纸质版投标文件</w:t>
            </w:r>
            <w:r>
              <w:rPr>
                <w:rFonts w:hint="eastAsia" w:ascii="宋体" w:hAnsi="宋体" w:cs="宋体"/>
                <w:bCs/>
                <w:sz w:val="24"/>
                <w:szCs w:val="24"/>
                <w:highlight w:val="none"/>
                <w:lang w:eastAsia="zh-CN"/>
              </w:rPr>
              <w:t>不要求提供</w:t>
            </w:r>
            <w:r>
              <w:rPr>
                <w:rFonts w:hint="eastAsia" w:ascii="宋体" w:hAnsi="宋体" w:eastAsia="宋体" w:cs="宋体"/>
                <w:bCs/>
                <w:sz w:val="24"/>
                <w:szCs w:val="24"/>
                <w:highlight w:val="none"/>
                <w:lang w:eastAsia="zh-CN"/>
              </w:rPr>
              <w:t>。</w:t>
            </w:r>
          </w:p>
          <w:p w14:paraId="72E1524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本项目为</w:t>
            </w:r>
            <w:r>
              <w:rPr>
                <w:rFonts w:hint="eastAsia" w:ascii="宋体" w:hAnsi="宋体" w:eastAsia="宋体" w:cs="宋体"/>
                <w:bCs/>
                <w:sz w:val="24"/>
                <w:szCs w:val="24"/>
                <w:highlight w:val="none"/>
                <w:lang w:eastAsia="zh-CN"/>
              </w:rPr>
              <w:t>全流程电子化政府采购项目</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eastAsia="zh-CN"/>
              </w:rPr>
              <w:t>电子版投标文件上传至政采云系统</w:t>
            </w:r>
            <w:r>
              <w:rPr>
                <w:rFonts w:hint="eastAsia" w:ascii="宋体" w:hAnsi="宋体" w:cs="宋体"/>
                <w:bCs/>
                <w:sz w:val="24"/>
                <w:szCs w:val="24"/>
                <w:highlight w:val="none"/>
                <w:lang w:eastAsia="zh-CN"/>
              </w:rPr>
              <w:t>。</w:t>
            </w:r>
          </w:p>
        </w:tc>
      </w:tr>
      <w:tr w14:paraId="6E31F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4752362">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A815DE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投标文件提交地点及截止时间</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3F6846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465798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地点：长春新区政务服务中心公共资源交易大厅-二楼B208大开标室</w:t>
            </w:r>
          </w:p>
        </w:tc>
      </w:tr>
      <w:tr w14:paraId="24163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C95E5D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D1A898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72040F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1966F0F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地点：长春新区政务服务中心公共资源交易大厅-二楼B208大开标室</w:t>
            </w:r>
          </w:p>
        </w:tc>
      </w:tr>
      <w:tr w14:paraId="0E795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07C393E">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A4BD01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评标方法及标准</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137397D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bookmarkStart w:id="41" w:name="blank29"/>
            <w:r>
              <w:rPr>
                <w:rFonts w:hint="eastAsia" w:ascii="宋体" w:hAnsi="宋体" w:eastAsia="宋体" w:cs="宋体"/>
                <w:bCs/>
                <w:sz w:val="24"/>
                <w:szCs w:val="24"/>
                <w:highlight w:val="none"/>
              </w:rPr>
              <w:t>综合评分法</w:t>
            </w:r>
            <w:bookmarkEnd w:id="41"/>
          </w:p>
        </w:tc>
      </w:tr>
      <w:tr w14:paraId="78205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134D905">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344F5F0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资格审查方式</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493A86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bookmarkStart w:id="42" w:name="blank24"/>
            <w:r>
              <w:rPr>
                <w:rFonts w:hint="eastAsia" w:ascii="宋体" w:hAnsi="宋体" w:eastAsia="宋体" w:cs="宋体"/>
                <w:bCs/>
                <w:sz w:val="24"/>
                <w:szCs w:val="24"/>
                <w:highlight w:val="none"/>
              </w:rPr>
              <w:t>资格后审</w:t>
            </w:r>
            <w:bookmarkEnd w:id="42"/>
          </w:p>
        </w:tc>
      </w:tr>
      <w:tr w14:paraId="40D1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408C870">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11EDEF0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评标委员会的组建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CE0D93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评标委员会构成：</w:t>
            </w:r>
            <w:bookmarkStart w:id="43" w:name="blank30"/>
            <w:r>
              <w:rPr>
                <w:rFonts w:hint="eastAsia" w:ascii="宋体" w:hAnsi="宋体" w:eastAsia="宋体" w:cs="宋体"/>
                <w:bCs/>
                <w:sz w:val="24"/>
                <w:szCs w:val="24"/>
                <w:highlight w:val="none"/>
              </w:rPr>
              <w:t>5</w:t>
            </w:r>
            <w:bookmarkEnd w:id="43"/>
            <w:r>
              <w:rPr>
                <w:rFonts w:hint="eastAsia" w:ascii="宋体" w:hAnsi="宋体" w:eastAsia="宋体" w:cs="宋体"/>
                <w:bCs/>
                <w:sz w:val="24"/>
                <w:szCs w:val="24"/>
                <w:highlight w:val="none"/>
              </w:rPr>
              <w:t>人，</w:t>
            </w:r>
          </w:p>
          <w:p w14:paraId="3005B1B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评标委员会专家确定方式：从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政采云”</w:t>
            </w:r>
            <w:r>
              <w:rPr>
                <w:rFonts w:hint="eastAsia" w:ascii="宋体" w:hAnsi="宋体" w:eastAsia="宋体" w:cs="宋体"/>
                <w:bCs/>
                <w:sz w:val="24"/>
                <w:szCs w:val="24"/>
                <w:highlight w:val="none"/>
              </w:rPr>
              <w:t>评审专家库中随机抽取产生。</w:t>
            </w:r>
          </w:p>
        </w:tc>
      </w:tr>
      <w:tr w14:paraId="760E0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3642DE7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8F580C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是否授权评标委员会确定中标人</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541B2A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否，根据投标人综合得分由高到低，推荐3名中标候选人</w:t>
            </w:r>
            <w:r>
              <w:rPr>
                <w:rFonts w:hint="eastAsia" w:ascii="宋体" w:hAnsi="宋体" w:eastAsia="宋体" w:cs="宋体"/>
                <w:bCs/>
                <w:color w:val="auto"/>
                <w:sz w:val="24"/>
                <w:szCs w:val="24"/>
                <w:highlight w:val="none"/>
                <w:lang w:eastAsia="zh-CN"/>
              </w:rPr>
              <w:t>。</w:t>
            </w:r>
          </w:p>
          <w:p w14:paraId="342A300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原则上第一中标候选人为中标人。</w:t>
            </w:r>
          </w:p>
        </w:tc>
      </w:tr>
      <w:tr w14:paraId="0C75B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C6ECE68">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62A40B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履约</w:t>
            </w:r>
            <w:r>
              <w:rPr>
                <w:rFonts w:hint="eastAsia" w:ascii="宋体" w:hAnsi="宋体" w:eastAsia="宋体" w:cs="宋体"/>
                <w:bCs/>
                <w:sz w:val="24"/>
                <w:szCs w:val="24"/>
                <w:highlight w:val="none"/>
                <w:lang w:eastAsia="zh-CN"/>
              </w:rPr>
              <w:t>保证金</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323C31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本项目不收取履约保证金。</w:t>
            </w:r>
          </w:p>
        </w:tc>
      </w:tr>
      <w:tr w14:paraId="5C1C6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C0BA24A">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D2F749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付款方式</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44F00A3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根据考核情况按年度分期付款，具体付款方式中标后在合同中作详细约定。</w:t>
            </w:r>
          </w:p>
        </w:tc>
      </w:tr>
      <w:tr w14:paraId="61AE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BFEA359">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12B6154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签订合同</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3172585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中标人应在中标结果确定后</w:t>
            </w:r>
            <w:r>
              <w:rPr>
                <w:rFonts w:hint="eastAsia" w:ascii="宋体" w:hAnsi="宋体" w:eastAsia="宋体" w:cs="宋体"/>
                <w:bCs/>
                <w:sz w:val="24"/>
                <w:szCs w:val="24"/>
                <w:highlight w:val="none"/>
                <w:u w:val="single"/>
              </w:rPr>
              <w:t xml:space="preserve">  30  </w:t>
            </w:r>
            <w:r>
              <w:rPr>
                <w:rFonts w:hint="eastAsia" w:ascii="宋体" w:hAnsi="宋体" w:eastAsia="宋体" w:cs="宋体"/>
                <w:bCs/>
                <w:sz w:val="24"/>
                <w:szCs w:val="24"/>
                <w:highlight w:val="none"/>
              </w:rPr>
              <w:t>天内签订采购合同。</w:t>
            </w:r>
          </w:p>
        </w:tc>
      </w:tr>
      <w:tr w14:paraId="32F94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0339C16">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69E67DC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合同存档</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0064F00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中标单位与采购人签订合同后5个工作日内将采购合同复印件送至采购代理机构存档。</w:t>
            </w:r>
          </w:p>
        </w:tc>
      </w:tr>
      <w:tr w14:paraId="1B041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815F7FB">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7B59915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招标代理服务费</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2B563C8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本项目招标代理服务费参照国家计委计价格[2002]1980号文件及国家发展改革委发改价格[2015]299号文件收取，由中标人支付。</w:t>
            </w:r>
          </w:p>
        </w:tc>
      </w:tr>
      <w:tr w14:paraId="2138C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118FBC81">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0A1FD01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投标人信用信息查询</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663FACF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查询渠道：</w:t>
            </w:r>
          </w:p>
          <w:p w14:paraId="7836570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①“信用中国”网站（www.creditchina.gov.cn）：失信被执行人、</w:t>
            </w:r>
            <w:r>
              <w:rPr>
                <w:rFonts w:hint="eastAsia" w:ascii="宋体" w:hAnsi="宋体" w:eastAsia="宋体" w:cs="宋体"/>
                <w:bCs/>
                <w:sz w:val="24"/>
                <w:szCs w:val="24"/>
                <w:highlight w:val="none"/>
                <w:lang w:eastAsia="zh-CN"/>
              </w:rPr>
              <w:t>重大税收违法失信主体</w:t>
            </w:r>
            <w:r>
              <w:rPr>
                <w:rFonts w:hint="eastAsia" w:ascii="宋体" w:hAnsi="宋体" w:eastAsia="宋体" w:cs="宋体"/>
                <w:bCs/>
                <w:sz w:val="24"/>
                <w:szCs w:val="24"/>
                <w:highlight w:val="none"/>
              </w:rPr>
              <w:t>名单 。</w:t>
            </w:r>
          </w:p>
          <w:p w14:paraId="1DB4EC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②中国政府采购网(www.ccgp.gov.cn)：政府采购严重违法失信行为信息记录。</w:t>
            </w:r>
          </w:p>
          <w:p w14:paraId="209F9FA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查询截止时点：</w:t>
            </w:r>
            <w:r>
              <w:rPr>
                <w:rFonts w:hint="eastAsia" w:ascii="宋体" w:hAnsi="宋体" w:eastAsia="宋体" w:cs="宋体"/>
                <w:bCs/>
                <w:sz w:val="24"/>
                <w:szCs w:val="24"/>
                <w:highlight w:val="none"/>
                <w:lang w:val="zh-CN"/>
              </w:rPr>
              <w:t>同投标截止时间</w:t>
            </w:r>
          </w:p>
          <w:p w14:paraId="239DE9A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信用信息查询记录和证据留存的具体方式：</w:t>
            </w:r>
          </w:p>
          <w:p w14:paraId="282C9D9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采购人或采购代理机构将按查询截止时点对所有投标人的信用信息进行查询，网站查询记录作为招投标存档备案材料的组成部分进行留存。</w:t>
            </w:r>
          </w:p>
          <w:p w14:paraId="50A8FD9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信用信息的使用规则：</w:t>
            </w:r>
          </w:p>
          <w:p w14:paraId="1992C10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采购人或采购代理机构按查询截止时点对所有投标人的信用信息进行查询，查询记录将作为评委评标的依据，对列入失信被执行人、</w:t>
            </w:r>
            <w:r>
              <w:rPr>
                <w:rFonts w:hint="eastAsia" w:ascii="宋体" w:hAnsi="宋体" w:eastAsia="宋体" w:cs="宋体"/>
                <w:bCs/>
                <w:sz w:val="24"/>
                <w:szCs w:val="24"/>
                <w:highlight w:val="none"/>
                <w:lang w:eastAsia="zh-CN"/>
              </w:rPr>
              <w:t>重大税收违法失信主体</w:t>
            </w:r>
            <w:r>
              <w:rPr>
                <w:rFonts w:hint="eastAsia" w:ascii="宋体" w:hAnsi="宋体" w:eastAsia="宋体" w:cs="宋体"/>
                <w:bCs/>
                <w:sz w:val="24"/>
                <w:szCs w:val="24"/>
                <w:highlight w:val="none"/>
              </w:rPr>
              <w:t>名单、政府采购严重违法失信行为记录名单的投标人，投标文件作无效处理。</w:t>
            </w:r>
          </w:p>
        </w:tc>
      </w:tr>
      <w:tr w14:paraId="70A21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75DFD82">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220D69E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Cs/>
                <w:kern w:val="15"/>
                <w:sz w:val="24"/>
                <w:szCs w:val="24"/>
                <w:highlight w:val="none"/>
              </w:rPr>
              <w:t>电子标说明</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68A839F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投标文件是指电子版投标文件，本项目为电子标，</w:t>
            </w:r>
            <w:r>
              <w:rPr>
                <w:rFonts w:hint="eastAsia" w:ascii="宋体" w:hAnsi="宋体" w:eastAsia="宋体" w:cs="宋体"/>
                <w:sz w:val="24"/>
                <w:szCs w:val="24"/>
                <w:highlight w:val="none"/>
                <w:lang w:val="zh-CN"/>
              </w:rPr>
              <w:t>投标人</w:t>
            </w:r>
            <w:r>
              <w:rPr>
                <w:rFonts w:hint="eastAsia" w:ascii="宋体" w:hAnsi="宋体" w:cs="宋体"/>
                <w:sz w:val="24"/>
                <w:szCs w:val="24"/>
                <w:highlight w:val="none"/>
                <w:lang w:val="zh-CN"/>
              </w:rPr>
              <w:t>不</w:t>
            </w:r>
            <w:r>
              <w:rPr>
                <w:rFonts w:hint="eastAsia" w:ascii="宋体" w:hAnsi="宋体" w:eastAsia="宋体" w:cs="宋体"/>
                <w:bCs/>
                <w:sz w:val="24"/>
                <w:szCs w:val="24"/>
                <w:highlight w:val="none"/>
              </w:rPr>
              <w:t>需要递交纸质版投标文件，纸质版投标文件及电子版投标文件内容需一致，包括上传的电子证件及资料均需按要求签字盖章上传，否则按未签章处理）。</w:t>
            </w:r>
          </w:p>
          <w:p w14:paraId="3799002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投标文件电子版方面技术支持：400-8817190</w:t>
            </w:r>
          </w:p>
          <w:p w14:paraId="235F212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投标人在政府采购云平台（网址：http:// www.zcygov.cn）通过数字证书制作投标文件1份（此投标文件需上传至政府采购云平台，并在开标</w:t>
            </w:r>
            <w:r>
              <w:rPr>
                <w:rFonts w:hint="eastAsia" w:ascii="宋体" w:hAnsi="宋体" w:eastAsia="宋体" w:cs="宋体"/>
                <w:bCs/>
                <w:sz w:val="24"/>
                <w:szCs w:val="24"/>
                <w:highlight w:val="none"/>
                <w:lang w:eastAsia="zh-CN"/>
              </w:rPr>
              <w:t>时</w:t>
            </w:r>
            <w:r>
              <w:rPr>
                <w:rFonts w:hint="eastAsia" w:ascii="宋体" w:hAnsi="宋体" w:eastAsia="宋体" w:cs="宋体"/>
                <w:bCs/>
                <w:sz w:val="24"/>
                <w:szCs w:val="24"/>
                <w:highlight w:val="none"/>
              </w:rPr>
              <w:t>持编制投标文件的数字证书</w:t>
            </w:r>
            <w:r>
              <w:rPr>
                <w:rFonts w:hint="eastAsia" w:ascii="宋体" w:hAnsi="宋体" w:eastAsia="宋体" w:cs="宋体"/>
                <w:bCs/>
                <w:sz w:val="24"/>
                <w:szCs w:val="24"/>
                <w:highlight w:val="none"/>
                <w:lang w:val="en-US" w:eastAsia="zh-CN"/>
              </w:rPr>
              <w:t>远程</w:t>
            </w:r>
            <w:r>
              <w:rPr>
                <w:rFonts w:hint="eastAsia" w:ascii="宋体" w:hAnsi="宋体" w:eastAsia="宋体" w:cs="宋体"/>
                <w:bCs/>
                <w:sz w:val="24"/>
                <w:szCs w:val="24"/>
                <w:highlight w:val="none"/>
              </w:rPr>
              <w:t>解密）。</w:t>
            </w:r>
          </w:p>
          <w:p w14:paraId="68B9DC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p w14:paraId="503AD20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投标文件按招标文件规定执行，用数字证书编制的电子版按《政府采购项目电子交易管理操作指南-供应商》进行投标操作。</w:t>
            </w:r>
          </w:p>
        </w:tc>
      </w:tr>
      <w:tr w14:paraId="6F80D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34572F7">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ign w:val="center"/>
          </w:tcPr>
          <w:p w14:paraId="45CEE756">
            <w:pPr>
              <w:pStyle w:val="37"/>
              <w:keepNext w:val="0"/>
              <w:keepLines w:val="0"/>
              <w:pageBreakBefore w:val="0"/>
              <w:tabs>
                <w:tab w:val="left" w:pos="8295"/>
              </w:tabs>
              <w:kinsoku/>
              <w:wordWrap/>
              <w:overflowPunct/>
              <w:topLinePunct w:val="0"/>
              <w:bidi w:val="0"/>
              <w:adjustRightInd w:val="0"/>
              <w:snapToGrid w:val="0"/>
              <w:spacing w:before="0" w:after="0" w:line="360" w:lineRule="auto"/>
              <w:ind w:left="0" w:right="0"/>
              <w:jc w:val="center"/>
              <w:rPr>
                <w:rFonts w:hint="eastAsia" w:ascii="宋体" w:hAnsi="宋体" w:eastAsia="宋体" w:cs="宋体"/>
                <w:bCs/>
                <w:kern w:val="18"/>
                <w:sz w:val="24"/>
                <w:szCs w:val="24"/>
                <w:highlight w:val="none"/>
              </w:rPr>
            </w:pPr>
            <w:r>
              <w:rPr>
                <w:rFonts w:hint="eastAsia" w:ascii="宋体" w:hAnsi="宋体" w:eastAsia="宋体" w:cs="宋体"/>
                <w:bCs/>
                <w:kern w:val="18"/>
                <w:sz w:val="24"/>
                <w:szCs w:val="24"/>
                <w:highlight w:val="none"/>
              </w:rPr>
              <w:t>“政采贷”政策</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63AAC1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“政采数金平台”</w:t>
            </w:r>
          </w:p>
          <w:p w14:paraId="108756F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联系电话：0431-81888992/81888798</w:t>
            </w:r>
          </w:p>
        </w:tc>
      </w:tr>
      <w:tr w14:paraId="6463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restart"/>
            <w:tcBorders>
              <w:top w:val="single" w:color="auto" w:sz="4" w:space="0"/>
              <w:left w:val="single" w:color="auto" w:sz="4" w:space="0"/>
              <w:bottom w:val="nil"/>
              <w:right w:val="single" w:color="auto" w:sz="4" w:space="0"/>
              <w:tl2br w:val="nil"/>
              <w:tr2bl w:val="nil"/>
            </w:tcBorders>
            <w:noWrap/>
            <w:vAlign w:val="center"/>
          </w:tcPr>
          <w:p w14:paraId="3774641C">
            <w:pPr>
              <w:keepNext w:val="0"/>
              <w:keepLines w:val="0"/>
              <w:pageBreakBefore w:val="0"/>
              <w:widowControl w:val="0"/>
              <w:numPr>
                <w:ilvl w:val="0"/>
                <w:numId w:val="3"/>
              </w:numPr>
              <w:kinsoku/>
              <w:wordWrap/>
              <w:overflowPunct/>
              <w:topLinePunct w:val="0"/>
              <w:bidi w:val="0"/>
              <w:adjustRightInd w:val="0"/>
              <w:snapToGrid w:val="0"/>
              <w:spacing w:line="360" w:lineRule="auto"/>
              <w:ind w:left="0" w:firstLine="0"/>
              <w:jc w:val="center"/>
              <w:rPr>
                <w:rFonts w:hint="eastAsia" w:ascii="宋体" w:hAnsi="宋体" w:eastAsia="宋体" w:cs="宋体"/>
                <w:sz w:val="24"/>
                <w:szCs w:val="24"/>
                <w:highlight w:val="none"/>
              </w:rPr>
            </w:pPr>
          </w:p>
        </w:tc>
        <w:tc>
          <w:tcPr>
            <w:tcW w:w="1868" w:type="dxa"/>
            <w:vMerge w:val="restart"/>
            <w:tcBorders>
              <w:top w:val="single" w:color="auto" w:sz="4" w:space="0"/>
              <w:left w:val="single" w:color="auto" w:sz="4" w:space="0"/>
              <w:bottom w:val="nil"/>
              <w:right w:val="single" w:color="auto" w:sz="4" w:space="0"/>
              <w:tl2br w:val="nil"/>
              <w:tr2bl w:val="nil"/>
            </w:tcBorders>
            <w:noWrap/>
            <w:vAlign w:val="center"/>
          </w:tcPr>
          <w:p w14:paraId="54CC16E0">
            <w:pPr>
              <w:pStyle w:val="37"/>
              <w:keepNext w:val="0"/>
              <w:keepLines w:val="0"/>
              <w:pageBreakBefore w:val="0"/>
              <w:tabs>
                <w:tab w:val="left" w:pos="8295"/>
              </w:tabs>
              <w:kinsoku/>
              <w:wordWrap/>
              <w:overflowPunct/>
              <w:topLinePunct w:val="0"/>
              <w:bidi w:val="0"/>
              <w:adjustRightInd w:val="0"/>
              <w:snapToGrid w:val="0"/>
              <w:spacing w:before="0" w:after="0" w:line="360" w:lineRule="auto"/>
              <w:ind w:left="0" w:right="0"/>
              <w:jc w:val="center"/>
              <w:rPr>
                <w:rFonts w:hint="eastAsia" w:ascii="宋体" w:hAnsi="宋体" w:eastAsia="宋体" w:cs="宋体"/>
                <w:bCs/>
                <w:kern w:val="18"/>
                <w:sz w:val="24"/>
                <w:szCs w:val="24"/>
                <w:highlight w:val="none"/>
              </w:rPr>
            </w:pPr>
            <w:r>
              <w:rPr>
                <w:rFonts w:hint="eastAsia" w:ascii="宋体" w:hAnsi="宋体" w:eastAsia="宋体" w:cs="宋体"/>
                <w:bCs/>
                <w:kern w:val="15"/>
                <w:sz w:val="24"/>
                <w:szCs w:val="24"/>
                <w:highlight w:val="none"/>
              </w:rPr>
              <w:t>其他要求</w:t>
            </w: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0A7C3D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投标人必须保证投标时所报资料真实有效，采购人保留对资料的核查权力，一旦发现资料有虚假现象将没收投标人投标保证金，并移交有关部门处理。</w:t>
            </w:r>
          </w:p>
        </w:tc>
      </w:tr>
      <w:tr w14:paraId="14F1B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continue"/>
            <w:tcBorders>
              <w:top w:val="nil"/>
              <w:left w:val="single" w:color="auto" w:sz="4" w:space="0"/>
              <w:bottom w:val="nil"/>
              <w:right w:val="single" w:color="auto" w:sz="4" w:space="0"/>
              <w:tl2br w:val="nil"/>
              <w:tr2bl w:val="nil"/>
            </w:tcBorders>
            <w:noWrap/>
            <w:vAlign w:val="center"/>
          </w:tcPr>
          <w:p w14:paraId="61DBA5C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1868" w:type="dxa"/>
            <w:vMerge w:val="continue"/>
            <w:tcBorders>
              <w:top w:val="nil"/>
              <w:left w:val="single" w:color="auto" w:sz="4" w:space="0"/>
              <w:bottom w:val="nil"/>
              <w:right w:val="single" w:color="auto" w:sz="4" w:space="0"/>
              <w:tl2br w:val="nil"/>
              <w:tr2bl w:val="nil"/>
            </w:tcBorders>
            <w:noWrap/>
            <w:vAlign w:val="center"/>
          </w:tcPr>
          <w:p w14:paraId="2D5C103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5EA1144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本项目专门面向中小企业采购</w:t>
            </w:r>
            <w:r>
              <w:rPr>
                <w:rFonts w:hint="eastAsia" w:ascii="宋体" w:hAnsi="宋体" w:eastAsia="宋体" w:cs="宋体"/>
                <w:sz w:val="24"/>
                <w:szCs w:val="24"/>
                <w:highlight w:val="none"/>
                <w:lang w:eastAsia="zh-CN"/>
              </w:rPr>
              <w:t>。</w:t>
            </w:r>
          </w:p>
          <w:p w14:paraId="18E90F0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zh-CN" w:eastAsia="zh-CN"/>
              </w:rPr>
              <w:t>对于小型或微型企业（含监狱企业及残疾人福利性单位）参与本项目投标的，</w:t>
            </w:r>
            <w:r>
              <w:rPr>
                <w:rFonts w:hint="eastAsia" w:ascii="宋体" w:hAnsi="宋体" w:cs="宋体"/>
                <w:sz w:val="24"/>
                <w:szCs w:val="24"/>
                <w:highlight w:val="none"/>
                <w:shd w:val="clear" w:color="auto" w:fill="FFFFFF"/>
                <w:lang w:val="zh-CN" w:eastAsia="zh-CN"/>
              </w:rPr>
              <w:t>计算报价得分时不再给予</w:t>
            </w:r>
            <w:r>
              <w:rPr>
                <w:rFonts w:hint="eastAsia" w:ascii="宋体" w:hAnsi="宋体" w:eastAsia="宋体" w:cs="宋体"/>
                <w:sz w:val="24"/>
                <w:szCs w:val="24"/>
                <w:highlight w:val="none"/>
                <w:shd w:val="clear" w:color="auto" w:fill="FFFFFF"/>
                <w:lang w:val="zh-CN" w:eastAsia="zh-CN"/>
              </w:rPr>
              <w:t>10%的扣除。</w:t>
            </w:r>
          </w:p>
          <w:p w14:paraId="107882C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二、本次采购项目采购标的对应的中小企业划分标准所属行业为</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sz w:val="24"/>
                <w:szCs w:val="24"/>
                <w:highlight w:val="none"/>
                <w:lang w:eastAsia="zh-CN"/>
              </w:rPr>
              <w:t>（划分标准见 附件：中小企业划型标准）。</w:t>
            </w:r>
          </w:p>
        </w:tc>
      </w:tr>
      <w:tr w14:paraId="2C16A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5CB3CEC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1868" w:type="dxa"/>
            <w:vMerge w:val="continue"/>
            <w:tcBorders>
              <w:top w:val="nil"/>
              <w:left w:val="single" w:color="auto" w:sz="4" w:space="0"/>
              <w:bottom w:val="single" w:color="auto" w:sz="4" w:space="0"/>
              <w:right w:val="single" w:color="auto" w:sz="4" w:space="0"/>
              <w:tl2br w:val="nil"/>
              <w:tr2bl w:val="nil"/>
            </w:tcBorders>
            <w:noWrap/>
            <w:vAlign w:val="center"/>
          </w:tcPr>
          <w:p w14:paraId="12B9AEC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6639" w:type="dxa"/>
            <w:tcBorders>
              <w:top w:val="single" w:color="auto" w:sz="4" w:space="0"/>
              <w:left w:val="single" w:color="auto" w:sz="4" w:space="0"/>
              <w:bottom w:val="single" w:color="auto" w:sz="4" w:space="0"/>
              <w:right w:val="single" w:color="auto" w:sz="4" w:space="0"/>
              <w:tl2br w:val="nil"/>
              <w:tr2bl w:val="nil"/>
            </w:tcBorders>
            <w:noWrap/>
            <w:vAlign w:val="center"/>
          </w:tcPr>
          <w:p w14:paraId="70E53C3B">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只接受以书面形式向采购人、采购代理机构提出质疑，不接受以其他形式或提出的质疑。</w:t>
            </w:r>
          </w:p>
          <w:p w14:paraId="475C03B1">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质疑方式：现场书面形式递交。</w:t>
            </w:r>
          </w:p>
          <w:p w14:paraId="2E1022B1">
            <w:pPr>
              <w:keepNext w:val="0"/>
              <w:keepLines w:val="0"/>
              <w:pageBreakBefore w:val="0"/>
              <w:widowControl w:val="0"/>
              <w:kinsoku/>
              <w:wordWrap/>
              <w:overflowPunct/>
              <w:topLinePunct w:val="0"/>
              <w:autoSpaceDE w:val="0"/>
              <w:autoSpaceDN w:val="0"/>
              <w:bidi w:val="0"/>
              <w:adjustRightInd w:val="0"/>
              <w:snapToGrid w:val="0"/>
              <w:spacing w:line="360" w:lineRule="auto"/>
              <w:jc w:val="left"/>
              <w:rPr>
                <w:rFonts w:hint="eastAsia" w:ascii="宋体" w:hAnsi="宋体" w:eastAsia="宋体" w:cs="宋体"/>
                <w:bCs/>
                <w:color w:val="000000"/>
                <w:sz w:val="24"/>
                <w:szCs w:val="24"/>
                <w:highlight w:val="none"/>
                <w:lang w:eastAsia="zh-CN"/>
              </w:rPr>
            </w:pPr>
            <w:r>
              <w:rPr>
                <w:rFonts w:hint="eastAsia" w:ascii="宋体" w:hAnsi="宋体" w:eastAsia="宋体" w:cs="宋体"/>
                <w:color w:val="000000"/>
                <w:sz w:val="24"/>
                <w:szCs w:val="24"/>
                <w:highlight w:val="none"/>
              </w:rPr>
              <w:t>通讯地址：</w:t>
            </w:r>
            <w:r>
              <w:rPr>
                <w:rFonts w:hint="eastAsia" w:ascii="宋体" w:hAnsi="宋体" w:eastAsia="宋体" w:cs="宋体"/>
                <w:sz w:val="24"/>
                <w:szCs w:val="24"/>
                <w:highlight w:val="none"/>
                <w:lang w:eastAsia="zh-CN"/>
              </w:rPr>
              <w:t>长春市环球贸易中心一期2号楼</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lang w:eastAsia="zh-CN"/>
              </w:rPr>
              <w:t>楼</w:t>
            </w:r>
          </w:p>
          <w:p w14:paraId="3630082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 xml:space="preserve">联系电话: </w:t>
            </w:r>
            <w:r>
              <w:rPr>
                <w:rFonts w:hint="eastAsia" w:ascii="宋体" w:hAnsi="宋体" w:eastAsia="宋体" w:cs="宋体"/>
                <w:sz w:val="24"/>
                <w:szCs w:val="24"/>
                <w:highlight w:val="none"/>
                <w:lang w:eastAsia="zh-CN"/>
              </w:rPr>
              <w:t>13604430452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伍向平</w:t>
            </w:r>
            <w:r>
              <w:rPr>
                <w:rFonts w:hint="eastAsia" w:ascii="宋体" w:hAnsi="宋体" w:eastAsia="宋体" w:cs="宋体"/>
                <w:sz w:val="24"/>
                <w:szCs w:val="24"/>
                <w:highlight w:val="none"/>
              </w:rPr>
              <w:t>）</w:t>
            </w:r>
          </w:p>
        </w:tc>
      </w:tr>
      <w:tr w14:paraId="5309B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4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8A276A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注意事项：本项目招标公告与招标文件中内容有不符之处，以本招标文件中内容为准。</w:t>
            </w:r>
          </w:p>
        </w:tc>
      </w:tr>
    </w:tbl>
    <w:p w14:paraId="7FDCFA0C">
      <w:pPr>
        <w:rPr>
          <w:rFonts w:hint="eastAsia" w:ascii="宋体" w:hAnsi="宋体" w:eastAsia="宋体" w:cs="宋体"/>
          <w:sz w:val="21"/>
          <w:szCs w:val="21"/>
          <w:highlight w:val="none"/>
        </w:rPr>
      </w:pPr>
      <w:r>
        <w:rPr>
          <w:rFonts w:hint="eastAsia" w:ascii="宋体" w:hAnsi="宋体" w:eastAsia="宋体" w:cs="宋体"/>
          <w:highlight w:val="none"/>
        </w:rPr>
        <w:br w:type="page"/>
      </w:r>
    </w:p>
    <w:p w14:paraId="687F9651">
      <w:pPr>
        <w:pStyle w:val="4"/>
        <w:tabs>
          <w:tab w:val="left" w:pos="360"/>
        </w:tabs>
        <w:jc w:val="center"/>
        <w:rPr>
          <w:rFonts w:hint="eastAsia" w:ascii="宋体" w:hAnsi="宋体" w:eastAsia="宋体" w:cs="宋体"/>
          <w:highlight w:val="none"/>
        </w:rPr>
      </w:pPr>
      <w:r>
        <w:rPr>
          <w:rFonts w:hint="eastAsia" w:ascii="宋体" w:hAnsi="宋体" w:eastAsia="宋体" w:cs="宋体"/>
          <w:highlight w:val="none"/>
        </w:rPr>
        <w:t>二、投标人须知</w:t>
      </w:r>
    </w:p>
    <w:p w14:paraId="55A69526">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FB54A06">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p w14:paraId="51F2EDAB">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44" w:name="_Toc98580391"/>
      <w:r>
        <w:rPr>
          <w:rFonts w:hint="eastAsia" w:ascii="宋体" w:hAnsi="宋体" w:eastAsia="宋体" w:cs="宋体"/>
          <w:sz w:val="24"/>
          <w:szCs w:val="24"/>
          <w:highlight w:val="none"/>
        </w:rPr>
        <w:t>A 说明</w:t>
      </w:r>
      <w:bookmarkEnd w:id="44"/>
    </w:p>
    <w:p w14:paraId="6764C261">
      <w:pPr>
        <w:pStyle w:val="6"/>
        <w:pageBreakBefore w:val="0"/>
        <w:kinsoku/>
        <w:wordWrap/>
        <w:overflowPunct/>
        <w:topLinePunct w:val="0"/>
        <w:bidi w:val="0"/>
        <w:adjustRightInd w:val="0"/>
        <w:snapToGrid w:val="0"/>
        <w:spacing w:line="360" w:lineRule="auto"/>
        <w:rPr>
          <w:rFonts w:hint="eastAsia" w:ascii="宋体" w:hAnsi="宋体" w:eastAsia="宋体" w:cs="宋体"/>
          <w:b/>
          <w:spacing w:val="6"/>
          <w:sz w:val="24"/>
          <w:szCs w:val="24"/>
          <w:highlight w:val="none"/>
        </w:rPr>
      </w:pPr>
      <w:bookmarkStart w:id="45" w:name="_Toc98580392"/>
      <w:r>
        <w:rPr>
          <w:rFonts w:hint="eastAsia" w:ascii="宋体" w:hAnsi="宋体" w:eastAsia="宋体" w:cs="宋体"/>
          <w:sz w:val="24"/>
          <w:szCs w:val="24"/>
          <w:highlight w:val="none"/>
        </w:rPr>
        <w:t>1.适用范围</w:t>
      </w:r>
      <w:bookmarkEnd w:id="45"/>
    </w:p>
    <w:p w14:paraId="27415555">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本文件是受</w:t>
      </w:r>
      <w:r>
        <w:rPr>
          <w:rFonts w:hint="eastAsia" w:ascii="宋体" w:hAnsi="宋体" w:eastAsia="宋体" w:cs="宋体"/>
          <w:spacing w:val="6"/>
          <w:sz w:val="24"/>
          <w:szCs w:val="24"/>
          <w:highlight w:val="none"/>
        </w:rPr>
        <w:t>采购人</w:t>
      </w:r>
      <w:r>
        <w:rPr>
          <w:rFonts w:hint="eastAsia" w:ascii="宋体" w:hAnsi="宋体" w:eastAsia="宋体" w:cs="宋体"/>
          <w:sz w:val="24"/>
          <w:szCs w:val="24"/>
          <w:highlight w:val="none"/>
        </w:rPr>
        <w:t>委托</w:t>
      </w:r>
      <w:r>
        <w:rPr>
          <w:rFonts w:hint="eastAsia" w:ascii="宋体" w:hAnsi="宋体" w:eastAsia="宋体" w:cs="宋体"/>
          <w:spacing w:val="6"/>
          <w:sz w:val="24"/>
          <w:szCs w:val="24"/>
          <w:highlight w:val="none"/>
        </w:rPr>
        <w:t>，对采购人</w:t>
      </w:r>
      <w:r>
        <w:rPr>
          <w:rFonts w:hint="eastAsia" w:ascii="宋体" w:hAnsi="宋体" w:eastAsia="宋体" w:cs="宋体"/>
          <w:sz w:val="24"/>
          <w:szCs w:val="24"/>
          <w:highlight w:val="none"/>
        </w:rPr>
        <w:t>委托</w:t>
      </w:r>
      <w:r>
        <w:rPr>
          <w:rFonts w:hint="eastAsia" w:ascii="宋体" w:hAnsi="宋体" w:eastAsia="宋体" w:cs="宋体"/>
          <w:bCs/>
          <w:sz w:val="24"/>
          <w:szCs w:val="24"/>
          <w:highlight w:val="none"/>
          <w:lang w:val="zh-CN"/>
        </w:rPr>
        <w:t>采购项目</w:t>
      </w:r>
      <w:r>
        <w:rPr>
          <w:rFonts w:hint="eastAsia" w:ascii="宋体" w:hAnsi="宋体" w:eastAsia="宋体" w:cs="宋体"/>
          <w:spacing w:val="6"/>
          <w:sz w:val="24"/>
          <w:szCs w:val="24"/>
          <w:highlight w:val="none"/>
        </w:rPr>
        <w:t>的规范性招标</w:t>
      </w:r>
      <w:r>
        <w:rPr>
          <w:rFonts w:hint="eastAsia" w:ascii="宋体" w:hAnsi="宋体" w:eastAsia="宋体" w:cs="宋体"/>
          <w:sz w:val="24"/>
          <w:szCs w:val="24"/>
          <w:highlight w:val="none"/>
        </w:rPr>
        <w:t>文件，适用于本项目招标公告所述的标的采购及服务，是投标人编制投标文件的依据。</w:t>
      </w:r>
    </w:p>
    <w:p w14:paraId="4435551C">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6" w:name="_Toc98580393"/>
      <w:r>
        <w:rPr>
          <w:rFonts w:hint="eastAsia" w:ascii="宋体" w:hAnsi="宋体" w:eastAsia="宋体" w:cs="宋体"/>
          <w:sz w:val="24"/>
          <w:szCs w:val="24"/>
          <w:highlight w:val="none"/>
        </w:rPr>
        <w:t>2.法律适用</w:t>
      </w:r>
      <w:bookmarkEnd w:id="46"/>
    </w:p>
    <w:p w14:paraId="0D38FA7D">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本招标文件及由本次招标产生的合同适用中华人民共和国法律。</w:t>
      </w:r>
    </w:p>
    <w:p w14:paraId="4D2C87D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7" w:name="_Toc98580394"/>
      <w:r>
        <w:rPr>
          <w:rFonts w:hint="eastAsia" w:ascii="宋体" w:hAnsi="宋体" w:eastAsia="宋体" w:cs="宋体"/>
          <w:sz w:val="24"/>
          <w:szCs w:val="24"/>
          <w:highlight w:val="none"/>
        </w:rPr>
        <w:t>3.定义</w:t>
      </w:r>
      <w:bookmarkEnd w:id="47"/>
    </w:p>
    <w:p w14:paraId="1002B0E9">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”系指组织本次招标的代理机构；</w:t>
      </w:r>
    </w:p>
    <w:p w14:paraId="0F694C30">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“投标人”系指向</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提交投标文件的投标商；</w:t>
      </w:r>
    </w:p>
    <w:p w14:paraId="725ABFA4">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“买方”系指采购单位，合同一方当事人；</w:t>
      </w:r>
    </w:p>
    <w:p w14:paraId="5426DDE5">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“服务”系指招标文件规定须完成的服务和其他的类似义务；</w:t>
      </w:r>
    </w:p>
    <w:p w14:paraId="20374886">
      <w:pPr>
        <w:pageBreakBefore w:val="0"/>
        <w:kinsoku/>
        <w:wordWrap/>
        <w:overflowPunct/>
        <w:topLinePunct w:val="0"/>
        <w:bidi w:val="0"/>
        <w:adjustRightInd w:val="0"/>
        <w:snapToGrid w:val="0"/>
        <w:spacing w:line="360" w:lineRule="auto"/>
        <w:ind w:firstLine="35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“日”、“天”系指日历日；</w:t>
      </w:r>
    </w:p>
    <w:p w14:paraId="062E5380">
      <w:pPr>
        <w:pStyle w:val="38"/>
        <w:pageBreakBefore w:val="0"/>
        <w:kinsoku/>
        <w:wordWrap/>
        <w:overflowPunct/>
        <w:topLinePunct w:val="0"/>
        <w:bidi w:val="0"/>
        <w:adjustRightInd w:val="0"/>
        <w:snapToGrid w:val="0"/>
        <w:spacing w:before="0" w:beforeAutospacing="0" w:after="0" w:afterAutospacing="0"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35EEB29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48" w:name="_Toc98580395"/>
      <w:r>
        <w:rPr>
          <w:rFonts w:hint="eastAsia" w:ascii="宋体" w:hAnsi="宋体" w:eastAsia="宋体" w:cs="宋体"/>
          <w:sz w:val="24"/>
          <w:szCs w:val="24"/>
          <w:highlight w:val="none"/>
        </w:rPr>
        <w:t>4.合格的</w:t>
      </w:r>
      <w:bookmarkEnd w:id="48"/>
      <w:r>
        <w:rPr>
          <w:rFonts w:hint="eastAsia" w:ascii="宋体" w:hAnsi="宋体" w:eastAsia="宋体" w:cs="宋体"/>
          <w:sz w:val="24"/>
          <w:szCs w:val="24"/>
          <w:highlight w:val="none"/>
        </w:rPr>
        <w:t>投标人</w:t>
      </w:r>
    </w:p>
    <w:p w14:paraId="4D33BBD1">
      <w:pPr>
        <w:pageBreakBefore w:val="0"/>
        <w:kinsoku/>
        <w:wordWrap/>
        <w:overflowPunct/>
        <w:topLinePunct w:val="0"/>
        <w:bidi w:val="0"/>
        <w:adjustRightInd w:val="0"/>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4.1合格</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必须符合投标人须知前附表第10项下各项要求，并在投标时提供以下文件，若有遗漏或不符合要求均为资格审查不合格；</w:t>
      </w:r>
    </w:p>
    <w:p w14:paraId="0CF51CF6">
      <w:pPr>
        <w:pageBreakBefore w:val="0"/>
        <w:kinsoku/>
        <w:wordWrap/>
        <w:overflowPunct/>
        <w:topLinePunct w:val="0"/>
        <w:bidi w:val="0"/>
        <w:adjustRightInd w:val="0"/>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应仔细阅读招标文件的所有内容，按招标文件的要求提供投标文件，并保证所提供的全部资料的真实性，使其投标对招标文件做出实质性响应，否则，其投标将被拒绝。</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保留进一步要求投标人补充提供有关材料的权利，拒绝补充材料或提供材料不真实，将被视为自动放弃投标资格。</w:t>
      </w:r>
    </w:p>
    <w:p w14:paraId="52BFE370">
      <w:pPr>
        <w:pageBreakBefore w:val="0"/>
        <w:kinsoku/>
        <w:wordWrap/>
        <w:overflowPunct/>
        <w:topLinePunct w:val="0"/>
        <w:bidi w:val="0"/>
        <w:adjustRightInd w:val="0"/>
        <w:snapToGrid w:val="0"/>
        <w:spacing w:line="360" w:lineRule="auto"/>
        <w:jc w:val="both"/>
        <w:rPr>
          <w:rFonts w:hint="eastAsia" w:ascii="宋体" w:hAnsi="宋体" w:eastAsia="宋体" w:cs="宋体"/>
          <w:sz w:val="24"/>
          <w:szCs w:val="24"/>
          <w:highlight w:val="none"/>
        </w:rPr>
      </w:pPr>
      <w:bookmarkStart w:id="49" w:name="_Toc98580402"/>
      <w:r>
        <w:rPr>
          <w:rFonts w:hint="eastAsia" w:ascii="宋体" w:hAnsi="宋体" w:eastAsia="宋体" w:cs="宋体"/>
          <w:sz w:val="24"/>
          <w:szCs w:val="24"/>
          <w:highlight w:val="none"/>
        </w:rPr>
        <w:t>5．投标费用</w:t>
      </w:r>
    </w:p>
    <w:p w14:paraId="531EFB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投标人应承担其在投标准备、编制、递交投标文件和签订合同协议书的整个过程中发生的一切费用而不论其投标结果如何。</w:t>
      </w:r>
    </w:p>
    <w:p w14:paraId="34B4D759">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50" w:name="_Toc98580396"/>
      <w:r>
        <w:rPr>
          <w:rFonts w:hint="eastAsia" w:ascii="宋体" w:hAnsi="宋体" w:eastAsia="宋体" w:cs="宋体"/>
          <w:sz w:val="24"/>
          <w:szCs w:val="24"/>
          <w:highlight w:val="none"/>
        </w:rPr>
        <w:t>B.招标文件说明</w:t>
      </w:r>
      <w:bookmarkEnd w:id="50"/>
    </w:p>
    <w:p w14:paraId="7E6E5C8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1" w:name="_Toc98580397"/>
      <w:r>
        <w:rPr>
          <w:rFonts w:hint="eastAsia" w:ascii="宋体" w:hAnsi="宋体" w:eastAsia="宋体" w:cs="宋体"/>
          <w:sz w:val="24"/>
          <w:szCs w:val="24"/>
          <w:highlight w:val="none"/>
        </w:rPr>
        <w:t>6.招标文件</w:t>
      </w:r>
      <w:bookmarkEnd w:id="51"/>
    </w:p>
    <w:p w14:paraId="68C72A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招标文件用以阐明所需货物及服务、招标投标程序和投标文件格式。招标文件由以下部分组成：</w:t>
      </w:r>
    </w:p>
    <w:p w14:paraId="41591AD2">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bookmarkStart w:id="52" w:name="_Toc98580398"/>
      <w:r>
        <w:rPr>
          <w:rFonts w:hint="eastAsia" w:ascii="宋体" w:hAnsi="宋体" w:eastAsia="宋体" w:cs="宋体"/>
          <w:sz w:val="24"/>
          <w:szCs w:val="24"/>
          <w:highlight w:val="none"/>
        </w:rPr>
        <w:t>第一部分   招标公告</w:t>
      </w:r>
    </w:p>
    <w:p w14:paraId="0153C8E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须知</w:t>
      </w:r>
    </w:p>
    <w:p w14:paraId="32A2D86A">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评标办法</w:t>
      </w:r>
    </w:p>
    <w:p w14:paraId="706C6BC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采购需求</w:t>
      </w:r>
    </w:p>
    <w:p w14:paraId="4322C372">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合同条款</w:t>
      </w:r>
    </w:p>
    <w:p w14:paraId="3F13786D">
      <w:pPr>
        <w:pageBreakBefore w:val="0"/>
        <w:kinsoku/>
        <w:wordWrap/>
        <w:overflowPunct/>
        <w:topLinePunct w:val="0"/>
        <w:bidi w:val="0"/>
        <w:adjustRightInd w:val="0"/>
        <w:snapToGrid w:val="0"/>
        <w:spacing w:line="360" w:lineRule="auto"/>
        <w:ind w:firstLine="7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投标文件格式</w:t>
      </w:r>
    </w:p>
    <w:p w14:paraId="3D70F1B0">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7.招标文件的澄清</w:t>
      </w:r>
      <w:bookmarkEnd w:id="52"/>
    </w:p>
    <w:p w14:paraId="0B0B5645">
      <w:pPr>
        <w:pageBreakBefore w:val="0"/>
        <w:kinsoku/>
        <w:wordWrap/>
        <w:overflowPunct/>
        <w:topLinePunct w:val="0"/>
        <w:bidi w:val="0"/>
        <w:adjustRightInd w:val="0"/>
        <w:snapToGrid w:val="0"/>
        <w:spacing w:line="360" w:lineRule="auto"/>
        <w:ind w:firstLine="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投标人对本次招标文件的内容有疑问时，可要求澄清，但应在距投标截止日15日前，按投标人须知注明的联系地址以书面形式（包括信函、传真，下同）通知到</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将视情况确定采用其认为适当的方式予以澄清或以书面形式予以答复，并在其认为必要时，将不标明查询来源的书面答复发给所有购买招标文件的每一投标人。</w:t>
      </w:r>
    </w:p>
    <w:p w14:paraId="2D2BFBC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3" w:name="_Toc98580399"/>
      <w:r>
        <w:rPr>
          <w:rFonts w:hint="eastAsia" w:ascii="宋体" w:hAnsi="宋体" w:eastAsia="宋体" w:cs="宋体"/>
          <w:sz w:val="24"/>
          <w:szCs w:val="24"/>
          <w:highlight w:val="none"/>
        </w:rPr>
        <w:t>8.招标文件的修改</w:t>
      </w:r>
      <w:bookmarkEnd w:id="53"/>
    </w:p>
    <w:p w14:paraId="2A0782B3">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8.1在投标截止时间前，</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可根据需要和（或）依据投标人要求澄清的问题而修改招标文件，并以书面形式通知所有购买招标文件的投标人，投标人在收到该通知后应立即以传真的形式予以确认；</w:t>
      </w:r>
    </w:p>
    <w:p w14:paraId="0EA29B7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8.2 招标文件的修改书将构成招标文件的一部分，对投标人具有同样的约束力。</w:t>
      </w:r>
    </w:p>
    <w:p w14:paraId="580C26E6">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8.3为使投标人有足够的时间按招标文件的修改要求考虑修正投标文件，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可酌情推迟投标的截止时间和开标时间，并以书面形式通知已购买招标文件的每一投标人。</w:t>
      </w:r>
    </w:p>
    <w:p w14:paraId="6ECEF56E">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54" w:name="_Toc98580400"/>
      <w:r>
        <w:rPr>
          <w:rFonts w:hint="eastAsia" w:ascii="宋体" w:hAnsi="宋体" w:eastAsia="宋体" w:cs="宋体"/>
          <w:sz w:val="24"/>
          <w:szCs w:val="24"/>
          <w:highlight w:val="none"/>
        </w:rPr>
        <w:t>C投标文件的编写</w:t>
      </w:r>
      <w:bookmarkEnd w:id="54"/>
    </w:p>
    <w:p w14:paraId="7811775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5" w:name="_Toc98580401"/>
      <w:r>
        <w:rPr>
          <w:rFonts w:hint="eastAsia" w:ascii="宋体" w:hAnsi="宋体" w:eastAsia="宋体" w:cs="宋体"/>
          <w:sz w:val="24"/>
          <w:szCs w:val="24"/>
          <w:highlight w:val="none"/>
        </w:rPr>
        <w:t>9.投标语言及计量单位</w:t>
      </w:r>
      <w:bookmarkEnd w:id="55"/>
    </w:p>
    <w:p w14:paraId="79675DB2">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9.1投标文件及投标人和</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就投标交换的文件和来往信件，以中文书写（专有名词除外）；</w:t>
      </w:r>
    </w:p>
    <w:p w14:paraId="7CA75F5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9.2除在招标文件的“技术要求”中另有规定外， 计量单位应使用中华人民共和国法定计量单位（国际单位制和国家选定的其他计量单位）。</w:t>
      </w:r>
    </w:p>
    <w:p w14:paraId="7DC6EA7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10．投标文件的组成</w:t>
      </w:r>
      <w:bookmarkEnd w:id="49"/>
    </w:p>
    <w:p w14:paraId="44BF2C69">
      <w:pPr>
        <w:pageBreakBefore w:val="0"/>
        <w:kinsoku/>
        <w:wordWrap/>
        <w:overflowPunct/>
        <w:topLinePunct w:val="0"/>
        <w:bidi w:val="0"/>
        <w:adjustRightInd w:val="0"/>
        <w:snapToGrid w:val="0"/>
        <w:spacing w:line="360" w:lineRule="auto"/>
        <w:ind w:left="56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详见第六部分：投标文件格式。</w:t>
      </w:r>
    </w:p>
    <w:p w14:paraId="72D586B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6" w:name="_Toc98580403"/>
      <w:r>
        <w:rPr>
          <w:rFonts w:hint="eastAsia" w:ascii="宋体" w:hAnsi="宋体" w:eastAsia="宋体" w:cs="宋体"/>
          <w:sz w:val="24"/>
          <w:szCs w:val="24"/>
          <w:highlight w:val="none"/>
        </w:rPr>
        <w:t>11.投标文件内容填写说明</w:t>
      </w:r>
      <w:bookmarkEnd w:id="56"/>
    </w:p>
    <w:p w14:paraId="12E77DCD">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11.1投标人应严格按招标文件要求的内容逐项填写编制投标文件，有规定格式的按规定格式填写，无规定格式的由投标人自拟，并胶装成册。</w:t>
      </w:r>
    </w:p>
    <w:p w14:paraId="6B9376D9">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11.2开标一览表为在开标仪式上唱标的内容，要求按格式填写、统一规范，不得自行增减内容。投标文件不得漏项或虚报，否则将可能导致其投标被拒绝。</w:t>
      </w:r>
    </w:p>
    <w:p w14:paraId="7FCD1007">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11.3 投标人应保证其所提供文件的真实性，并应对招标文件的实质性要求作出完全响应，否则其投标可能被拒绝。</w:t>
      </w:r>
    </w:p>
    <w:p w14:paraId="29CF44D7">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11.4投标人视需要自行编制技术文件的补充附件。规格幅面应与正文一致，附于正文之后，与正文页码统一编目编码装订。</w:t>
      </w:r>
    </w:p>
    <w:p w14:paraId="36A37C65">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7" w:name="_Toc98580404"/>
      <w:r>
        <w:rPr>
          <w:rFonts w:hint="eastAsia" w:ascii="宋体" w:hAnsi="宋体" w:eastAsia="宋体" w:cs="宋体"/>
          <w:sz w:val="24"/>
          <w:szCs w:val="24"/>
          <w:highlight w:val="none"/>
        </w:rPr>
        <w:t>12.投标报价</w:t>
      </w:r>
      <w:bookmarkEnd w:id="57"/>
    </w:p>
    <w:p w14:paraId="2D66C745">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12.1 所有投标均以人民币报价；</w:t>
      </w:r>
    </w:p>
    <w:p w14:paraId="28A9FEB1">
      <w:pPr>
        <w:pageBreakBefore w:val="0"/>
        <w:kinsoku/>
        <w:wordWrap/>
        <w:overflowPunct/>
        <w:topLinePunct w:val="0"/>
        <w:bidi w:val="0"/>
        <w:adjustRightInd w:val="0"/>
        <w:snapToGrid w:val="0"/>
        <w:spacing w:line="360" w:lineRule="auto"/>
        <w:ind w:left="1" w:firstLine="41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12.2投标人应在填写分项报价表时注明各项单价、总价。如果单价与总价有出入，以单价为准。</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不接受有任何选择的报价；报价须有法人代表或授权代表签署。</w:t>
      </w:r>
    </w:p>
    <w:p w14:paraId="299CF32B">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12.3投标人应按上述12.1-12.3条款要求填写投标报价，以供评标委员会比较评价。</w:t>
      </w:r>
    </w:p>
    <w:p w14:paraId="449A6B53">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12.4投标人因承包本项目需支付的一切费用，并包含在所报的单价或总额价内。</w:t>
      </w:r>
    </w:p>
    <w:p w14:paraId="14286472">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8" w:name="_Toc98580405"/>
      <w:r>
        <w:rPr>
          <w:rFonts w:hint="eastAsia" w:ascii="宋体" w:hAnsi="宋体" w:eastAsia="宋体" w:cs="宋体"/>
          <w:sz w:val="24"/>
          <w:szCs w:val="24"/>
          <w:highlight w:val="none"/>
        </w:rPr>
        <w:t>13.投标保证金</w:t>
      </w:r>
      <w:bookmarkEnd w:id="58"/>
      <w:r>
        <w:rPr>
          <w:rFonts w:hint="eastAsia" w:ascii="宋体" w:hAnsi="宋体" w:eastAsia="宋体" w:cs="宋体"/>
          <w:sz w:val="24"/>
          <w:szCs w:val="24"/>
          <w:highlight w:val="none"/>
        </w:rPr>
        <w:t>（如有）</w:t>
      </w:r>
    </w:p>
    <w:p w14:paraId="6C68CC1B">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13.1投标保证金的形式：现金或现金支票、保兑支票、银行汇票及银行、专业担保公司、保险公司出具的保函等形式，以现金或支票形式提交的投标保证金应当从投标人的基本账户转出。</w:t>
      </w:r>
    </w:p>
    <w:p w14:paraId="509FD277">
      <w:pPr>
        <w:pageBreakBefore w:val="0"/>
        <w:kinsoku/>
        <w:wordWrap/>
        <w:overflowPunct/>
        <w:topLinePunct w:val="0"/>
        <w:bidi w:val="0"/>
        <w:adjustRightInd w:val="0"/>
        <w:snapToGrid w:val="0"/>
        <w:spacing w:line="360" w:lineRule="auto"/>
        <w:ind w:firstLine="42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13.2投标保证金的金额：见</w:t>
      </w:r>
      <w:r>
        <w:rPr>
          <w:rFonts w:hint="eastAsia" w:ascii="宋体" w:hAnsi="宋体" w:eastAsia="宋体" w:cs="宋体"/>
          <w:sz w:val="24"/>
          <w:szCs w:val="24"/>
          <w:highlight w:val="none"/>
        </w:rPr>
        <w:t>投标人须知前附表第19项</w:t>
      </w:r>
      <w:r>
        <w:rPr>
          <w:rFonts w:hint="eastAsia" w:ascii="宋体" w:hAnsi="宋体" w:eastAsia="宋体" w:cs="宋体"/>
          <w:bCs/>
          <w:kern w:val="15"/>
          <w:sz w:val="24"/>
          <w:szCs w:val="24"/>
          <w:highlight w:val="none"/>
        </w:rPr>
        <w:t xml:space="preserve">； </w:t>
      </w:r>
    </w:p>
    <w:p w14:paraId="038495B8">
      <w:pPr>
        <w:pageBreakBefore w:val="0"/>
        <w:kinsoku/>
        <w:wordWrap/>
        <w:overflowPunct/>
        <w:topLinePunct w:val="0"/>
        <w:bidi w:val="0"/>
        <w:adjustRightInd w:val="0"/>
        <w:snapToGrid w:val="0"/>
        <w:spacing w:line="360" w:lineRule="auto"/>
        <w:ind w:firstLine="420"/>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13.3递交方式：见</w:t>
      </w:r>
      <w:r>
        <w:rPr>
          <w:rFonts w:hint="eastAsia" w:ascii="宋体" w:hAnsi="宋体" w:eastAsia="宋体" w:cs="宋体"/>
          <w:sz w:val="24"/>
          <w:szCs w:val="24"/>
          <w:highlight w:val="none"/>
        </w:rPr>
        <w:t>投标人须知前附表第19项</w:t>
      </w:r>
      <w:r>
        <w:rPr>
          <w:rFonts w:hint="eastAsia" w:ascii="宋体" w:hAnsi="宋体" w:eastAsia="宋体" w:cs="宋体"/>
          <w:bCs/>
          <w:kern w:val="15"/>
          <w:sz w:val="24"/>
          <w:szCs w:val="24"/>
          <w:highlight w:val="none"/>
        </w:rPr>
        <w:t>；</w:t>
      </w:r>
    </w:p>
    <w:p w14:paraId="0242A757">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13.4投标保证金用于保护本次招标免受因投标人不履行投标承诺及合同等行为而引起的风险；</w:t>
      </w:r>
    </w:p>
    <w:p w14:paraId="088C7A85">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13.5未按13.1和13.2条款要求提交投标保证金的投标将被视为投标无效；</w:t>
      </w:r>
    </w:p>
    <w:p w14:paraId="2F498FF2">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13.6未中标投标人的投标保证金将按25.2条规定予以无息退还；</w:t>
      </w:r>
    </w:p>
    <w:p w14:paraId="7D5D45BC">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13.7中标人的投标保证金，在中标人交纳中标服务费后予以无息退还；</w:t>
      </w:r>
    </w:p>
    <w:p w14:paraId="3D35EA71">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13.8 发生下列情况之一，投标保证金将被没收：</w:t>
      </w:r>
    </w:p>
    <w:p w14:paraId="14C9E989">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（1）投标人在提交响应文件截止时间后撤回响应文件的;</w:t>
      </w:r>
    </w:p>
    <w:p w14:paraId="6961CB0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（2）投标人在响应文件中提供虚假材料的;</w:t>
      </w:r>
    </w:p>
    <w:p w14:paraId="61AA3D3E">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（3）除因不可抗力或谈判文件、询价通知书认可的情形以外，</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不与采购人签订合同的;</w:t>
      </w:r>
    </w:p>
    <w:p w14:paraId="2CBF270C">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（4）投标人与采购人、其他投标人或者采购代理机构恶意串通的;</w:t>
      </w:r>
    </w:p>
    <w:p w14:paraId="77634F8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（5）采购文件规定的其他情形。</w:t>
      </w:r>
    </w:p>
    <w:p w14:paraId="2F7E003E">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59" w:name="_Toc98580406"/>
      <w:r>
        <w:rPr>
          <w:rFonts w:hint="eastAsia" w:ascii="宋体" w:hAnsi="宋体" w:eastAsia="宋体" w:cs="宋体"/>
          <w:sz w:val="24"/>
          <w:szCs w:val="24"/>
          <w:highlight w:val="none"/>
        </w:rPr>
        <w:t>14.投标有效期</w:t>
      </w:r>
      <w:bookmarkEnd w:id="59"/>
    </w:p>
    <w:p w14:paraId="63AB1A2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14.1从开标之日起，投标有效期为90天。不能满足投标有效期的投标，将被拒绝；</w:t>
      </w:r>
    </w:p>
    <w:p w14:paraId="6A3B038C">
      <w:pPr>
        <w:pageBreakBefore w:val="0"/>
        <w:kinsoku/>
        <w:wordWrap/>
        <w:overflowPunct/>
        <w:topLinePunct w:val="0"/>
        <w:bidi w:val="0"/>
        <w:adjustRightInd w:val="0"/>
        <w:snapToGrid w:val="0"/>
        <w:spacing w:line="360" w:lineRule="auto"/>
        <w:ind w:left="23" w:firstLine="39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14.2特殊情况下，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可于投标有效期满之前要求投标人延长投标有效期，这种要求和答复都应以书面、传真的形式进行。投标人可以拒绝接受延期要求。同意延长有效期的投标人不能修改投标文件。</w:t>
      </w:r>
    </w:p>
    <w:p w14:paraId="4A0CDBE3">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0" w:name="_Toc98580407"/>
      <w:r>
        <w:rPr>
          <w:rFonts w:hint="eastAsia" w:ascii="宋体" w:hAnsi="宋体" w:eastAsia="宋体" w:cs="宋体"/>
          <w:sz w:val="24"/>
          <w:szCs w:val="24"/>
          <w:highlight w:val="none"/>
        </w:rPr>
        <w:t>15.投标文件的签署及规定</w:t>
      </w:r>
      <w:bookmarkEnd w:id="60"/>
    </w:p>
    <w:p w14:paraId="7C02599B">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15.1 组成投标文件的各项资料均应遵守本须知第10条中所规定的内容。</w:t>
      </w:r>
    </w:p>
    <w:p w14:paraId="63DB9CFE">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15.2 投标人应填写单位全称，同时加盖印章。</w:t>
      </w:r>
    </w:p>
    <w:p w14:paraId="422A85D1">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15.3 投标文件必须由法人代表或法人授权代表签署。</w:t>
      </w:r>
    </w:p>
    <w:p w14:paraId="37E839B7">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15.4 </w:t>
      </w:r>
      <w:r>
        <w:rPr>
          <w:rFonts w:hint="eastAsia" w:ascii="宋体" w:hAnsi="宋体" w:cs="宋体"/>
          <w:sz w:val="24"/>
          <w:szCs w:val="24"/>
          <w:highlight w:val="none"/>
          <w:lang w:eastAsia="zh-CN"/>
        </w:rPr>
        <w:t>本项目不需要提供</w:t>
      </w:r>
      <w:r>
        <w:rPr>
          <w:rFonts w:hint="eastAsia" w:ascii="宋体" w:hAnsi="宋体" w:eastAsia="宋体" w:cs="宋体"/>
          <w:bCs/>
          <w:sz w:val="24"/>
          <w:szCs w:val="24"/>
          <w:highlight w:val="none"/>
          <w:lang w:eastAsia="zh-CN"/>
        </w:rPr>
        <w:t>纸质版投标文件。</w:t>
      </w:r>
      <w:r>
        <w:rPr>
          <w:rFonts w:hint="eastAsia" w:ascii="宋体" w:hAnsi="宋体" w:cs="宋体"/>
          <w:bCs/>
          <w:sz w:val="24"/>
          <w:szCs w:val="24"/>
          <w:highlight w:val="none"/>
          <w:lang w:eastAsia="zh-CN"/>
        </w:rPr>
        <w:t>详见投标人须知前附表</w:t>
      </w:r>
      <w:r>
        <w:rPr>
          <w:rFonts w:hint="eastAsia" w:ascii="宋体" w:hAnsi="宋体" w:eastAsia="宋体" w:cs="宋体"/>
          <w:sz w:val="24"/>
          <w:szCs w:val="24"/>
          <w:highlight w:val="none"/>
        </w:rPr>
        <w:t>。</w:t>
      </w:r>
    </w:p>
    <w:p w14:paraId="3E511842">
      <w:pPr>
        <w:pageBreakBefore w:val="0"/>
        <w:kinsoku/>
        <w:wordWrap/>
        <w:overflowPunct/>
        <w:topLinePunct w:val="0"/>
        <w:bidi w:val="0"/>
        <w:adjustRightInd w:val="0"/>
        <w:snapToGrid w:val="0"/>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15.5 投标文件不得涂改和增删，如有修改错漏处，必须由同一签署人签字或盖章。</w:t>
      </w:r>
    </w:p>
    <w:p w14:paraId="2E0F134F">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投标文件因字迹潦草或表达不清所引起的后果由投标人负责。</w:t>
      </w:r>
    </w:p>
    <w:p w14:paraId="388E2281">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cs="宋体"/>
          <w:sz w:val="24"/>
          <w:szCs w:val="24"/>
          <w:highlight w:val="none"/>
          <w:lang w:val="en-US" w:eastAsia="zh-CN"/>
        </w:rPr>
        <w:t xml:space="preserve">7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概不接受以电话、传真形式的投标。</w:t>
      </w:r>
    </w:p>
    <w:p w14:paraId="57F35348">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投标文件以“政采云”平台上传的电子版投标文件为准。</w:t>
      </w:r>
    </w:p>
    <w:p w14:paraId="5590B792">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61" w:name="_Toc98580408"/>
      <w:r>
        <w:rPr>
          <w:rFonts w:hint="eastAsia" w:ascii="宋体" w:hAnsi="宋体" w:eastAsia="宋体" w:cs="宋体"/>
          <w:sz w:val="24"/>
          <w:szCs w:val="24"/>
          <w:highlight w:val="none"/>
        </w:rPr>
        <w:t>D投标文件的递交</w:t>
      </w:r>
      <w:bookmarkEnd w:id="61"/>
    </w:p>
    <w:p w14:paraId="59620B0E">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2" w:name="_Toc98580409"/>
      <w:r>
        <w:rPr>
          <w:rFonts w:hint="eastAsia" w:ascii="宋体" w:hAnsi="宋体" w:eastAsia="宋体" w:cs="宋体"/>
          <w:sz w:val="24"/>
          <w:szCs w:val="24"/>
          <w:highlight w:val="none"/>
        </w:rPr>
        <w:t>16.投标文件的密封和标记</w:t>
      </w:r>
      <w:bookmarkEnd w:id="62"/>
    </w:p>
    <w:p w14:paraId="3027EC88">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16.1 投标人应在投标文件递交截止时间前通过登录政府采购云平台，网上注册（https://middle.zcygov.cn/v-settle-front/registry）并下载招标文件上传加密电子投标文件。</w:t>
      </w:r>
    </w:p>
    <w:p w14:paraId="1EFE4E69">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16.2 未在招标文件规定的截止时间前上传投标文件的，采购人不予受理。 </w:t>
      </w:r>
    </w:p>
    <w:p w14:paraId="4C1CB2D6">
      <w:pPr>
        <w:ind w:firstLine="420"/>
        <w:rPr>
          <w:rFonts w:hint="eastAsia" w:ascii="宋体" w:hAnsi="宋体" w:eastAsia="宋体" w:cs="宋体"/>
          <w:sz w:val="24"/>
          <w:szCs w:val="24"/>
          <w:highlight w:val="none"/>
        </w:rPr>
      </w:pPr>
      <w:bookmarkStart w:id="63" w:name="_Toc98580410"/>
      <w:r>
        <w:rPr>
          <w:rFonts w:hint="eastAsia" w:ascii="宋体" w:hAnsi="宋体" w:eastAsia="宋体" w:cs="宋体"/>
          <w:sz w:val="24"/>
          <w:szCs w:val="24"/>
          <w:highlight w:val="none"/>
        </w:rPr>
        <w:t>17.递交投标文件的截止时间</w:t>
      </w:r>
      <w:bookmarkEnd w:id="63"/>
    </w:p>
    <w:p w14:paraId="59EC2DB6">
      <w:pPr>
        <w:pageBreakBefore w:val="0"/>
        <w:kinsoku/>
        <w:wordWrap/>
        <w:overflowPunct/>
        <w:topLinePunct w:val="0"/>
        <w:bidi w:val="0"/>
        <w:adjustRightInd w:val="0"/>
        <w:snapToGrid w:val="0"/>
        <w:spacing w:line="360" w:lineRule="auto"/>
        <w:ind w:left="11" w:firstLine="40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17.1所有投标文件不论是通过专人或邮寄递交，都必须按照</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在投标邀请中规定的投标截止时间之前送至投标地点。</w:t>
      </w:r>
    </w:p>
    <w:p w14:paraId="6284DF38">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17.2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推迟投标截止时间时，应以书面(或传真)的形式，通知所有投标人。在这种情况下，</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和投标人的权利和义务将受到新的截止期的约束。</w:t>
      </w:r>
    </w:p>
    <w:p w14:paraId="653ED550">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17.3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对投标文件在邮寄过程中的遗失或损坏不负责任。</w:t>
      </w:r>
    </w:p>
    <w:p w14:paraId="0C411966">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17.4 在投标截止时间以后送达的投标文件，</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拒绝接收。</w:t>
      </w:r>
    </w:p>
    <w:p w14:paraId="64580BF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18.投标文件修改和撤消</w:t>
      </w:r>
    </w:p>
    <w:p w14:paraId="0C47C8BC">
      <w:pPr>
        <w:pageBreakBefore w:val="0"/>
        <w:kinsoku/>
        <w:wordWrap/>
        <w:overflowPunct/>
        <w:topLinePunct w:val="0"/>
        <w:bidi w:val="0"/>
        <w:adjustRightInd w:val="0"/>
        <w:snapToGrid w:val="0"/>
        <w:spacing w:line="360" w:lineRule="auto"/>
        <w:ind w:left="68" w:firstLine="352"/>
        <w:rPr>
          <w:rFonts w:hint="eastAsia" w:ascii="宋体" w:hAnsi="宋体" w:eastAsia="宋体" w:cs="宋体"/>
          <w:sz w:val="24"/>
          <w:szCs w:val="24"/>
          <w:highlight w:val="none"/>
        </w:rPr>
      </w:pPr>
      <w:r>
        <w:rPr>
          <w:rFonts w:hint="eastAsia" w:ascii="宋体" w:hAnsi="宋体" w:eastAsia="宋体" w:cs="宋体"/>
          <w:sz w:val="24"/>
          <w:szCs w:val="24"/>
          <w:highlight w:val="none"/>
        </w:rPr>
        <w:t>18.1 投标以后，如果投标人提出书面修改和撤标要求，在投标截止时间前送达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者，</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可以予以接受。但不退还投标文件。</w:t>
      </w:r>
    </w:p>
    <w:p w14:paraId="4256C48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18.2 投标人修改投标文件的书面材料，须密封送达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，同时应在封套上标明“修改投标文件(并注明招标编号)”和“开标时启封”字样。</w:t>
      </w:r>
    </w:p>
    <w:p w14:paraId="7F58FC7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18.3 撤消投标应以书面(或传真)的形式通知</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。如采取传真形式撤回投标，随后必须补充有法人代表或授权代表签署的要求撤消投标的正式文件。撤消投标的时间以送达</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或邮电到达日戳为准。</w:t>
      </w:r>
    </w:p>
    <w:p w14:paraId="28856341">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18.4投标截止时间以后不得修改投标文件；</w:t>
      </w:r>
    </w:p>
    <w:p w14:paraId="4B99ACCE">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18.5开标后投标人不得撤回投标。</w:t>
      </w:r>
    </w:p>
    <w:p w14:paraId="18577E2C">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投标文件以“政采云”平台上传的电子版投标文件为准。</w:t>
      </w:r>
    </w:p>
    <w:p w14:paraId="0479A9F4">
      <w:pPr>
        <w:pageBreakBefore w:val="0"/>
        <w:kinsoku/>
        <w:wordWrap/>
        <w:overflowPunct/>
        <w:topLinePunct w:val="0"/>
        <w:bidi w:val="0"/>
        <w:adjustRightInd w:val="0"/>
        <w:snapToGrid w:val="0"/>
        <w:spacing w:line="360" w:lineRule="auto"/>
        <w:ind w:left="420"/>
        <w:jc w:val="both"/>
        <w:rPr>
          <w:rFonts w:hint="eastAsia" w:ascii="宋体" w:hAnsi="宋体" w:eastAsia="宋体" w:cs="宋体"/>
          <w:sz w:val="24"/>
          <w:szCs w:val="24"/>
          <w:highlight w:val="none"/>
        </w:rPr>
      </w:pPr>
    </w:p>
    <w:p w14:paraId="080B0F6F">
      <w:pPr>
        <w:pStyle w:val="5"/>
        <w:pageBreakBefore w:val="0"/>
        <w:kinsoku/>
        <w:wordWrap/>
        <w:overflowPunct/>
        <w:topLinePunct w:val="0"/>
        <w:bidi w:val="0"/>
        <w:adjustRightInd w:val="0"/>
        <w:snapToGrid w:val="0"/>
        <w:spacing w:before="0" w:after="0" w:line="360" w:lineRule="auto"/>
        <w:jc w:val="center"/>
        <w:rPr>
          <w:rFonts w:hint="eastAsia" w:ascii="宋体" w:hAnsi="宋体" w:eastAsia="宋体" w:cs="宋体"/>
          <w:sz w:val="24"/>
          <w:szCs w:val="24"/>
          <w:highlight w:val="none"/>
        </w:rPr>
      </w:pPr>
      <w:bookmarkStart w:id="64" w:name="_Toc98580411"/>
      <w:r>
        <w:rPr>
          <w:rFonts w:hint="eastAsia" w:ascii="宋体" w:hAnsi="宋体" w:eastAsia="宋体" w:cs="宋体"/>
          <w:sz w:val="24"/>
          <w:szCs w:val="24"/>
          <w:highlight w:val="none"/>
        </w:rPr>
        <w:t>E开标及评标</w:t>
      </w:r>
      <w:bookmarkEnd w:id="64"/>
    </w:p>
    <w:p w14:paraId="15E3A7BC">
      <w:pPr>
        <w:pStyle w:val="6"/>
        <w:pageBreakBefore w:val="0"/>
        <w:numPr>
          <w:ilvl w:val="0"/>
          <w:numId w:val="4"/>
        </w:numPr>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5" w:name="_Toc98580412"/>
      <w:r>
        <w:rPr>
          <w:rFonts w:hint="eastAsia" w:ascii="宋体" w:hAnsi="宋体" w:eastAsia="宋体" w:cs="宋体"/>
          <w:sz w:val="24"/>
          <w:szCs w:val="24"/>
          <w:highlight w:val="none"/>
        </w:rPr>
        <w:t>开标</w:t>
      </w:r>
      <w:bookmarkEnd w:id="65"/>
    </w:p>
    <w:p w14:paraId="3097DE52">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19.1</w:t>
      </w:r>
      <w:r>
        <w:rPr>
          <w:rFonts w:hint="eastAsia" w:ascii="宋体" w:hAnsi="宋体" w:eastAsia="宋体" w:cs="宋体"/>
          <w:sz w:val="24"/>
          <w:szCs w:val="24"/>
          <w:highlight w:val="none"/>
          <w:lang w:val="zh-CN"/>
        </w:rPr>
        <w:t>招标代理机构将在招标文件规定的时间和地点公开开标。投标人法定代表人或其授权代理人应参加并签名报到以证明其出席，并携带有效身份证件以备审查。</w:t>
      </w:r>
    </w:p>
    <w:p w14:paraId="13D15D23">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19.2采购代理机构按招标文件规定的时间、地点主持公开开标。开标仪式由采购代理机构主持，采购人代表及有关工作人员参加。</w:t>
      </w:r>
    </w:p>
    <w:p w14:paraId="6D4E7C48">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19.3开标时由投标人查验投标文件密封情况，确认无误后拆封唱标。</w:t>
      </w:r>
    </w:p>
    <w:p w14:paraId="1DFD630B">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19.4采购代理机构在开标仪式上，将公开唱出所有投标人的“开标一览表”内容及投标声明，以及采购机构认为合适的其它内容并记录。</w:t>
      </w:r>
    </w:p>
    <w:p w14:paraId="670D27E0">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bookmarkStart w:id="66" w:name="_Toc98580413"/>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9.5</w:t>
      </w:r>
      <w:r>
        <w:rPr>
          <w:rFonts w:hint="eastAsia" w:ascii="宋体" w:hAnsi="宋体" w:eastAsia="宋体" w:cs="宋体"/>
          <w:sz w:val="24"/>
          <w:szCs w:val="24"/>
          <w:highlight w:val="none"/>
          <w:lang w:val="zh-CN"/>
        </w:rPr>
        <w:t xml:space="preserve"> 开标时有下列情形之一的为无效投标：</w:t>
      </w:r>
    </w:p>
    <w:p w14:paraId="3C35FB5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（1）投标文件在规定的投标截止时间以后送达的；</w:t>
      </w:r>
    </w:p>
    <w:p w14:paraId="7DCCC7C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（2）未按招标文件规定提交投标保证金的；</w:t>
      </w:r>
    </w:p>
    <w:p w14:paraId="2D2ECF2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（3）投标文件未按招标文件规定密封的；</w:t>
      </w:r>
    </w:p>
    <w:p w14:paraId="281E7C52">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（4）未提交单独密封的开标一览表或者开标一览表未按规定加盖公章和有效签署的；</w:t>
      </w:r>
    </w:p>
    <w:p w14:paraId="6A3F05F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（5）招标文件规定开标时属于无效投标的其他情形。</w:t>
      </w:r>
    </w:p>
    <w:p w14:paraId="4BAEB93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9.6</w:t>
      </w:r>
      <w:r>
        <w:rPr>
          <w:rFonts w:hint="eastAsia" w:ascii="宋体" w:hAnsi="宋体" w:eastAsia="宋体" w:cs="宋体"/>
          <w:sz w:val="24"/>
          <w:szCs w:val="24"/>
          <w:highlight w:val="none"/>
          <w:lang w:val="zh-CN"/>
        </w:rPr>
        <w:t xml:space="preserve"> 开标时有下列情形之一的，招标代理机构有权宣布本项目招标失败：</w:t>
      </w:r>
    </w:p>
    <w:p w14:paraId="3B96A90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（1）交货时间符合招标文件要求的投标人不足三家的；</w:t>
      </w:r>
    </w:p>
    <w:p w14:paraId="5184133B">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（2）所有投标人的报价均超过采购项目预算，采购单位不能支付的。</w:t>
      </w:r>
    </w:p>
    <w:p w14:paraId="0DB2A562">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20.对投标文件的初审</w:t>
      </w:r>
      <w:bookmarkEnd w:id="66"/>
    </w:p>
    <w:p w14:paraId="0D6AEF7C">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采购人根据招标项目特点组建评标委员会，由采购人从专家库中抽取的专家组成。 </w:t>
      </w:r>
    </w:p>
    <w:p w14:paraId="421ACC6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37D9D200">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rPr>
      </w:pPr>
      <w:r>
        <w:rPr>
          <w:rFonts w:hint="eastAsia" w:ascii="宋体" w:hAnsi="宋体" w:eastAsia="宋体" w:cs="宋体"/>
          <w:sz w:val="24"/>
          <w:szCs w:val="24"/>
          <w:highlight w:val="none"/>
        </w:rPr>
        <w:t>20.2 初审中，对价格的计算错误按下述原则修正：</w:t>
      </w:r>
    </w:p>
    <w:p w14:paraId="3079518D">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）投标文件中开标一览表内容与投标文件中相应内容不一致的，以《开标一览表》的报价为准；</w:t>
      </w:r>
    </w:p>
    <w:p w14:paraId="74E2B8AB">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）开标一览表内如果小写金额与大写金额不一致时，以大写金额为准；</w:t>
      </w:r>
    </w:p>
    <w:p w14:paraId="592951B2">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）如果总价金额与单价金额不一致，以单价金额为准。</w:t>
      </w:r>
    </w:p>
    <w:p w14:paraId="2E85839C">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）除非单价有明显的小数点错位，此时应以该行标出的总额为准，并修改单价。</w:t>
      </w:r>
    </w:p>
    <w:p w14:paraId="6D90B742">
      <w:pPr>
        <w:pageBreakBefore w:val="0"/>
        <w:kinsoku/>
        <w:wordWrap/>
        <w:overflowPunct/>
        <w:topLinePunct w:val="0"/>
        <w:bidi w:val="0"/>
        <w:adjustRightInd w:val="0"/>
        <w:snapToGrid w:val="0"/>
        <w:spacing w:line="360" w:lineRule="auto"/>
        <w:ind w:left="1" w:firstLine="41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5C01B5AD">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20.3 与招标文件有重大偏离的投标文件将被视为具有非实质响应性的投标文件而被拒绝。</w:t>
      </w:r>
    </w:p>
    <w:p w14:paraId="00FB0392">
      <w:pPr>
        <w:pageBreakBefore w:val="0"/>
        <w:kinsoku/>
        <w:wordWrap/>
        <w:overflowPunct/>
        <w:topLinePunct w:val="0"/>
        <w:bidi w:val="0"/>
        <w:adjustRightInd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20.4 投标有下列情况之一者，</w:t>
      </w:r>
      <w:r>
        <w:rPr>
          <w:rFonts w:hint="eastAsia" w:ascii="宋体" w:hAnsi="宋体" w:eastAsia="宋体" w:cs="宋体"/>
          <w:b/>
          <w:sz w:val="24"/>
          <w:szCs w:val="24"/>
          <w:highlight w:val="none"/>
        </w:rPr>
        <w:t>将被视为非实质性响应的投标而被拒绝：</w:t>
      </w:r>
    </w:p>
    <w:p w14:paraId="4B73059B">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资格条件及证明文件不符合招标文件要求的；</w:t>
      </w:r>
    </w:p>
    <w:p w14:paraId="7C72885B">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投标文件无公章或无法定代表人签字，或签字人无法定代表人有效授权书的，或未按要求签字、盖公章的；</w:t>
      </w:r>
    </w:p>
    <w:p w14:paraId="5793D448">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不能满足投标有效期的；</w:t>
      </w:r>
    </w:p>
    <w:p w14:paraId="78697C15">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投标明显不符合技术规格、技术标准的要求；</w:t>
      </w:r>
    </w:p>
    <w:p w14:paraId="4138A84F">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投标文件附有买方不能接受的条件；</w:t>
      </w:r>
    </w:p>
    <w:p w14:paraId="786613D5">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投标报价超过采购预算的；</w:t>
      </w:r>
    </w:p>
    <w:p w14:paraId="76051689">
      <w:pPr>
        <w:pageBreakBefore w:val="0"/>
        <w:numPr>
          <w:ilvl w:val="0"/>
          <w:numId w:val="5"/>
        </w:numPr>
        <w:tabs>
          <w:tab w:val="left" w:pos="0"/>
          <w:tab w:val="left" w:pos="686"/>
        </w:tabs>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未响应招标文件规定的其它实质性条款。</w:t>
      </w:r>
    </w:p>
    <w:p w14:paraId="565612FF">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7" w:name="_Toc98580414"/>
      <w:r>
        <w:rPr>
          <w:rFonts w:hint="eastAsia" w:ascii="宋体" w:hAnsi="宋体" w:eastAsia="宋体" w:cs="宋体"/>
          <w:sz w:val="24"/>
          <w:szCs w:val="24"/>
          <w:highlight w:val="none"/>
        </w:rPr>
        <w:t>21.投标的澄清</w:t>
      </w:r>
      <w:bookmarkEnd w:id="67"/>
    </w:p>
    <w:p w14:paraId="0228C1C0">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有权就投标文件中含混之处向投标人提出询问或澄清要求，或要求其补充某些材料。投标人必须按照</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通知的时间、地点派技术和商务人员进行答疑和澄清。</w:t>
      </w:r>
    </w:p>
    <w:p w14:paraId="1B01781A">
      <w:pPr>
        <w:pageBreakBefore w:val="0"/>
        <w:kinsoku/>
        <w:wordWrap/>
        <w:overflowPunct/>
        <w:topLinePunct w:val="0"/>
        <w:bidi w:val="0"/>
        <w:adjustRightInd w:val="0"/>
        <w:snapToGrid w:val="0"/>
        <w:spacing w:line="360" w:lineRule="auto"/>
        <w:ind w:firstLine="42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val="zh-CN"/>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0C662937">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68" w:name="_Toc98580415"/>
      <w:bookmarkStart w:id="69" w:name="_Toc98580416"/>
      <w:r>
        <w:rPr>
          <w:rFonts w:hint="eastAsia" w:ascii="宋体" w:hAnsi="宋体" w:eastAsia="宋体" w:cs="宋体"/>
          <w:sz w:val="24"/>
          <w:szCs w:val="24"/>
          <w:highlight w:val="none"/>
        </w:rPr>
        <w:t>22.评标</w:t>
      </w:r>
      <w:bookmarkEnd w:id="68"/>
    </w:p>
    <w:p w14:paraId="4E02E3D4">
      <w:pPr>
        <w:pageBreakBefore w:val="0"/>
        <w:kinsoku/>
        <w:wordWrap/>
        <w:overflowPunct/>
        <w:topLinePunct w:val="0"/>
        <w:autoSpaceDE w:val="0"/>
        <w:autoSpaceDN w:val="0"/>
        <w:bidi w:val="0"/>
        <w:adjustRightInd w:val="0"/>
        <w:snapToGrid w:val="0"/>
        <w:spacing w:line="360" w:lineRule="auto"/>
        <w:ind w:firstLine="420"/>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22.1 原则：对所有</w:t>
      </w:r>
      <w:r>
        <w:rPr>
          <w:rFonts w:hint="eastAsia" w:ascii="宋体" w:hAnsi="宋体" w:eastAsia="宋体" w:cs="宋体"/>
          <w:sz w:val="24"/>
          <w:szCs w:val="24"/>
          <w:highlight w:val="none"/>
        </w:rPr>
        <w:t>投标人</w:t>
      </w:r>
      <w:r>
        <w:rPr>
          <w:rFonts w:hint="eastAsia" w:ascii="宋体" w:hAnsi="宋体" w:eastAsia="宋体" w:cs="宋体"/>
          <w:bCs/>
          <w:sz w:val="24"/>
          <w:szCs w:val="24"/>
          <w:highlight w:val="none"/>
        </w:rPr>
        <w:t>的投标评估，都采用相同的程序和标准。</w:t>
      </w:r>
    </w:p>
    <w:p w14:paraId="12549E50">
      <w:pPr>
        <w:pageBreakBefore w:val="0"/>
        <w:kinsoku/>
        <w:wordWrap/>
        <w:overflowPunct/>
        <w:topLinePunct w:val="0"/>
        <w:autoSpaceDE w:val="0"/>
        <w:autoSpaceDN w:val="0"/>
        <w:bidi w:val="0"/>
        <w:adjustRightInd w:val="0"/>
        <w:snapToGrid w:val="0"/>
        <w:spacing w:line="360" w:lineRule="auto"/>
        <w:ind w:firstLine="42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22.2 标准：评标严格按照招标文件的要求和条件进行。</w:t>
      </w:r>
    </w:p>
    <w:p w14:paraId="317FCD0C">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22.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本项目采用</w:t>
      </w:r>
      <w:bookmarkStart w:id="70" w:name="blank29_copy_1619578097000"/>
      <w:r>
        <w:rPr>
          <w:rFonts w:hint="eastAsia" w:ascii="宋体" w:hAnsi="宋体" w:eastAsia="宋体" w:cs="宋体"/>
          <w:sz w:val="24"/>
          <w:szCs w:val="24"/>
          <w:highlight w:val="none"/>
        </w:rPr>
        <w:t>综合评分法</w:t>
      </w:r>
      <w:bookmarkEnd w:id="70"/>
      <w:r>
        <w:rPr>
          <w:rFonts w:hint="eastAsia" w:ascii="宋体" w:hAnsi="宋体" w:eastAsia="宋体" w:cs="宋体"/>
          <w:sz w:val="24"/>
          <w:szCs w:val="24"/>
          <w:highlight w:val="none"/>
          <w:lang w:val="zh-CN"/>
        </w:rPr>
        <w:t>：</w:t>
      </w:r>
    </w:p>
    <w:p w14:paraId="23F3EAC2">
      <w:pPr>
        <w:pStyle w:val="6"/>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评标委员会将按第三章规定的评审因素和标准，</w:t>
      </w:r>
      <w:r>
        <w:rPr>
          <w:rFonts w:hint="eastAsia" w:ascii="宋体" w:hAnsi="宋体" w:eastAsia="宋体" w:cs="宋体"/>
          <w:sz w:val="24"/>
          <w:szCs w:val="24"/>
          <w:highlight w:val="none"/>
        </w:rPr>
        <w:t xml:space="preserve">按评审后投标人综合得分由高到低的顺序推荐中标候选人排序。 </w:t>
      </w:r>
    </w:p>
    <w:p w14:paraId="007CF396">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23.评标过程保密</w:t>
      </w:r>
      <w:bookmarkEnd w:id="69"/>
    </w:p>
    <w:p w14:paraId="703C7016">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23.1有关投标文件的审查、澄清、评估和比较以及有关授予合同意向的一切情况均不得透露给任一投标人或与上述评标工作无关的人员；</w:t>
      </w:r>
    </w:p>
    <w:p w14:paraId="1F0E6F74">
      <w:pPr>
        <w:pageBreakBefore w:val="0"/>
        <w:kinsoku/>
        <w:wordWrap/>
        <w:overflowPunct/>
        <w:topLinePunct w:val="0"/>
        <w:bidi w:val="0"/>
        <w:adjustRightInd w:val="0"/>
        <w:snapToGrid w:val="0"/>
        <w:spacing w:line="360" w:lineRule="auto"/>
        <w:ind w:firstLine="420"/>
        <w:rPr>
          <w:rFonts w:hint="eastAsia" w:ascii="宋体" w:hAnsi="宋体" w:eastAsia="宋体" w:cs="宋体"/>
          <w:b/>
          <w:sz w:val="24"/>
          <w:szCs w:val="24"/>
          <w:highlight w:val="none"/>
        </w:rPr>
      </w:pPr>
      <w:r>
        <w:rPr>
          <w:rFonts w:hint="eastAsia" w:ascii="宋体" w:hAnsi="宋体" w:eastAsia="宋体" w:cs="宋体"/>
          <w:sz w:val="24"/>
          <w:szCs w:val="24"/>
          <w:highlight w:val="none"/>
        </w:rPr>
        <w:t>23.2在评标期间，投标人企图影响招标方的任何活动，将导致投标被拒绝，并承担相应的法律责任。</w:t>
      </w:r>
    </w:p>
    <w:p w14:paraId="7F6C766F">
      <w:pPr>
        <w:pageBreakBefore w:val="0"/>
        <w:kinsoku/>
        <w:wordWrap/>
        <w:overflowPunct/>
        <w:topLinePunct w:val="0"/>
        <w:bidi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F 确定中标</w:t>
      </w:r>
    </w:p>
    <w:p w14:paraId="417A7C2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71" w:name="_Toc98580417"/>
      <w:r>
        <w:rPr>
          <w:rFonts w:hint="eastAsia" w:ascii="宋体" w:hAnsi="宋体" w:eastAsia="宋体" w:cs="宋体"/>
          <w:sz w:val="24"/>
          <w:szCs w:val="24"/>
          <w:highlight w:val="none"/>
        </w:rPr>
        <w:t>24.最终审查</w:t>
      </w:r>
      <w:bookmarkEnd w:id="71"/>
    </w:p>
    <w:p w14:paraId="0628FADE">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24.1评标委员会按照招标文件确定的评标标准和方法，对投标文件进行评审，并提出书面评标报告，确定中标人。最终审查的对象是招标项目的合格的投标人。 </w:t>
      </w:r>
    </w:p>
    <w:p w14:paraId="36A0C9FE">
      <w:pPr>
        <w:pageBreakBefore w:val="0"/>
        <w:kinsoku/>
        <w:wordWrap/>
        <w:overflowPunct/>
        <w:topLinePunct w:val="0"/>
        <w:bidi w:val="0"/>
        <w:adjustRightInd w:val="0"/>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24.2最终审查的内容是对合格的投标人的财务状况、资格、信誉以及采购人认为有必要了解的其他问题作进一步的审查。  </w:t>
      </w:r>
    </w:p>
    <w:p w14:paraId="6022E020">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24.3 接受最终审查的合格的投标人，必须如实回答和受理采购人的询问或考查，并提供所需的有关资料。</w:t>
      </w:r>
    </w:p>
    <w:p w14:paraId="45AF3E64">
      <w:pPr>
        <w:pageBreakBefore w:val="0"/>
        <w:kinsoku/>
        <w:wordWrap/>
        <w:overflowPunct/>
        <w:topLinePunct w:val="0"/>
        <w:bidi w:val="0"/>
        <w:adjustRightInd w:val="0"/>
        <w:snapToGrid w:val="0"/>
        <w:spacing w:line="360" w:lineRule="auto"/>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24.4评标委员会从合格的投标人中评出中标人，并写出完整的评标报告。</w:t>
      </w:r>
    </w:p>
    <w:p w14:paraId="13CEF728">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bookmarkStart w:id="72" w:name="_Toc98580418"/>
      <w:r>
        <w:rPr>
          <w:rFonts w:hint="eastAsia" w:ascii="宋体" w:hAnsi="宋体" w:eastAsia="宋体" w:cs="宋体"/>
          <w:sz w:val="24"/>
          <w:szCs w:val="24"/>
          <w:highlight w:val="none"/>
        </w:rPr>
        <w:t>25.中标通知</w:t>
      </w:r>
      <w:bookmarkEnd w:id="72"/>
    </w:p>
    <w:p w14:paraId="3C41C5FA">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25.1在投标有效期内，招标代理机构以书面形式通知所选定的中标人。通知也可以以传真的形式发出，但需要随以书面形式最终确认。</w:t>
      </w:r>
    </w:p>
    <w:p w14:paraId="1EBBE691">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zh-CN"/>
        </w:rPr>
        <w:t>招标代理机构将自中标通知书发出之日起5个工作日内退还未中标人的投标保证金，自政府采购合同签订之日起5个工作日内退还中标人的投标保证金。</w:t>
      </w:r>
    </w:p>
    <w:p w14:paraId="2CE44DC0">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26.签定合同</w:t>
      </w:r>
    </w:p>
    <w:p w14:paraId="3E14BE01">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.1中标通知书发出后，采购单位改变中标结果的，或者中标人放弃中标项目的，应当依法承担法律责任。</w:t>
      </w:r>
    </w:p>
    <w:p w14:paraId="1B7D61EE">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26</w:t>
      </w:r>
      <w:r>
        <w:rPr>
          <w:rFonts w:hint="eastAsia" w:ascii="宋体" w:hAnsi="宋体" w:eastAsia="宋体" w:cs="宋体"/>
          <w:sz w:val="24"/>
          <w:szCs w:val="24"/>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2DBDD87">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26.3中标结果将在发布招标公告的同步网络媒介上公告，不再以书面方式通知未中标人。</w:t>
      </w:r>
    </w:p>
    <w:p w14:paraId="7CA46590">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27.履约保证金</w:t>
      </w:r>
    </w:p>
    <w:p w14:paraId="6879E17A">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本项目</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lang w:val="en-US" w:eastAsia="zh-CN"/>
        </w:rPr>
        <w:t>收取</w:t>
      </w:r>
      <w:r>
        <w:rPr>
          <w:rFonts w:hint="eastAsia" w:ascii="宋体" w:hAnsi="宋体" w:eastAsia="宋体" w:cs="宋体"/>
          <w:sz w:val="24"/>
          <w:szCs w:val="24"/>
          <w:highlight w:val="none"/>
          <w:lang w:val="zh-CN"/>
        </w:rPr>
        <w:t>履约保证金</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详见须知前附表。</w:t>
      </w:r>
    </w:p>
    <w:p w14:paraId="68955259">
      <w:pPr>
        <w:pStyle w:val="6"/>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.保密和披露</w:t>
      </w:r>
    </w:p>
    <w:p w14:paraId="31217A2C">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.1招标代理机构有权将投标人提供的所有资料向其他政府部门或有关的非政府机构负责评审标书的人员或与评标有关的人员披露。</w:t>
      </w:r>
    </w:p>
    <w:p w14:paraId="6626AA4F">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28.2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487E7B9">
      <w:pPr>
        <w:pStyle w:val="7"/>
        <w:pageBreakBefore w:val="0"/>
        <w:kinsoku/>
        <w:wordWrap/>
        <w:overflowPunct/>
        <w:topLinePunct w:val="0"/>
        <w:bidi w:val="0"/>
        <w:adjustRightInd w:val="0"/>
        <w:snapToGrid w:val="0"/>
        <w:spacing w:line="360" w:lineRule="auto"/>
        <w:ind w:firstLine="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29、质疑和投诉</w:t>
      </w:r>
    </w:p>
    <w:p w14:paraId="192A6BD4">
      <w:pPr>
        <w:pStyle w:val="7"/>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29.1投标人认为招标文件、招标过程和中标结果使自己的合法权益受到损害的，应当在知道或者应知其权益受到损害之日起七个</w:t>
      </w:r>
      <w:r>
        <w:rPr>
          <w:rFonts w:hint="eastAsia" w:ascii="宋体" w:hAnsi="宋体" w:eastAsia="宋体" w:cs="宋体"/>
          <w:sz w:val="24"/>
          <w:szCs w:val="24"/>
          <w:highlight w:val="none"/>
        </w:rPr>
        <w:t>工作日内，向招标方提出质疑。投标人对招标代理机构的质疑答复不满意或者招标代理机构未在规定时间内作出答复的，可以在答复期满后十五个工作日内向同级采购监管部门投诉。</w:t>
      </w:r>
    </w:p>
    <w:p w14:paraId="3CA48B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29.2质疑书、投诉书均应明确阐述招标文件、招标过程和中标结果中使自己合法权益受到损害的实质性内容，提供相关事实、依据和证据及其来源或线索，便于有关单位调查、答复和处理</w:t>
      </w:r>
      <w:r>
        <w:rPr>
          <w:rFonts w:hint="eastAsia" w:ascii="宋体" w:hAnsi="宋体" w:eastAsia="宋体" w:cs="宋体"/>
          <w:sz w:val="24"/>
          <w:szCs w:val="24"/>
          <w:highlight w:val="none"/>
          <w:lang w:eastAsia="zh-CN"/>
        </w:rPr>
        <w:t>。</w:t>
      </w:r>
    </w:p>
    <w:p w14:paraId="5E0A8616">
      <w:pPr>
        <w:pStyle w:val="7"/>
        <w:spacing w:line="360" w:lineRule="auto"/>
        <w:ind w:left="464" w:hanging="530" w:hangingChars="221"/>
        <w:rPr>
          <w:rFonts w:hint="eastAsia" w:ascii="宋体" w:hAnsi="宋体" w:eastAsia="宋体" w:cs="宋体"/>
          <w:sz w:val="24"/>
          <w:szCs w:val="24"/>
          <w:highlight w:val="none"/>
        </w:rPr>
      </w:pPr>
    </w:p>
    <w:p w14:paraId="1EA9A7DE">
      <w:pPr>
        <w:pStyle w:val="7"/>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20C2843A">
      <w:pPr>
        <w:pStyle w:val="3"/>
        <w:spacing w:before="0" w:after="0" w:line="360" w:lineRule="auto"/>
        <w:jc w:val="center"/>
        <w:rPr>
          <w:rFonts w:hint="eastAsia" w:ascii="宋体" w:hAnsi="宋体" w:eastAsia="宋体" w:cs="宋体"/>
          <w:highlight w:val="none"/>
        </w:rPr>
      </w:pPr>
      <w:bookmarkStart w:id="73" w:name="_Toc54891394"/>
      <w:bookmarkStart w:id="74" w:name="_Toc48760973"/>
      <w:r>
        <w:rPr>
          <w:rFonts w:hint="eastAsia" w:ascii="宋体" w:hAnsi="宋体" w:eastAsia="宋体" w:cs="宋体"/>
          <w:highlight w:val="none"/>
        </w:rPr>
        <w:t>第三部分  评标办法</w:t>
      </w:r>
      <w:bookmarkEnd w:id="73"/>
      <w:bookmarkEnd w:id="74"/>
    </w:p>
    <w:p w14:paraId="4CCE716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w:t>
      </w:r>
      <w:bookmarkStart w:id="75" w:name="blank29_copy_1619578115000"/>
      <w:r>
        <w:rPr>
          <w:rFonts w:hint="eastAsia" w:ascii="宋体" w:hAnsi="宋体" w:eastAsia="宋体" w:cs="宋体"/>
          <w:sz w:val="24"/>
          <w:szCs w:val="24"/>
          <w:highlight w:val="none"/>
        </w:rPr>
        <w:t>综合评分法</w:t>
      </w:r>
      <w:bookmarkEnd w:id="75"/>
      <w:r>
        <w:rPr>
          <w:rFonts w:hint="eastAsia" w:ascii="宋体" w:hAnsi="宋体" w:eastAsia="宋体" w:cs="宋体"/>
          <w:sz w:val="24"/>
          <w:szCs w:val="24"/>
          <w:highlight w:val="none"/>
        </w:rPr>
        <w:t>）</w:t>
      </w:r>
    </w:p>
    <w:p w14:paraId="70D10A5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评标办法</w:t>
      </w:r>
    </w:p>
    <w:p w14:paraId="64340E2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按照国家相关部门的规定，遵循公开、公平、公正和诚实信用的原则，结合本招标项目的实际情况，制定本招标项目评标办法。</w:t>
      </w:r>
    </w:p>
    <w:p w14:paraId="2E450079">
      <w:pPr>
        <w:keepNext w:val="0"/>
        <w:keepLines w:val="0"/>
        <w:pageBreakBefore w:val="0"/>
        <w:kinsoku/>
        <w:wordWrap/>
        <w:overflowPunct/>
        <w:topLinePunct w:val="0"/>
        <w:autoSpaceDE/>
        <w:autoSpaceDN/>
        <w:bidi w:val="0"/>
        <w:adjustRightInd w:val="0"/>
        <w:snapToGrid w:val="0"/>
        <w:spacing w:before="156" w:after="156"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一、评 标 程 序</w:t>
      </w:r>
    </w:p>
    <w:p w14:paraId="059AF405">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（一）组成评标委员会</w:t>
      </w:r>
    </w:p>
    <w:p w14:paraId="582A895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按照国家有关部委及省、市的相关规定，由</w:t>
      </w:r>
      <w:r>
        <w:rPr>
          <w:rFonts w:hint="eastAsia" w:ascii="宋体" w:hAnsi="宋体" w:eastAsia="宋体" w:cs="宋体"/>
          <w:bCs/>
          <w:sz w:val="24"/>
          <w:szCs w:val="24"/>
          <w:highlight w:val="none"/>
        </w:rPr>
        <w:t>从</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政采云”</w:t>
      </w:r>
      <w:r>
        <w:rPr>
          <w:rFonts w:hint="eastAsia" w:ascii="宋体" w:hAnsi="宋体" w:eastAsia="宋体" w:cs="宋体"/>
          <w:bCs/>
          <w:sz w:val="24"/>
          <w:szCs w:val="24"/>
          <w:highlight w:val="none"/>
        </w:rPr>
        <w:t>评审专家库中随机抽取</w:t>
      </w:r>
      <w:bookmarkStart w:id="76" w:name="blank31"/>
      <w:r>
        <w:rPr>
          <w:rFonts w:hint="eastAsia" w:ascii="宋体" w:hAnsi="宋体" w:eastAsia="宋体" w:cs="宋体"/>
          <w:sz w:val="24"/>
          <w:szCs w:val="24"/>
          <w:highlight w:val="none"/>
        </w:rPr>
        <w:t>经济、技术</w:t>
      </w:r>
      <w:bookmarkEnd w:id="76"/>
      <w:r>
        <w:rPr>
          <w:rFonts w:hint="eastAsia" w:ascii="宋体" w:hAnsi="宋体" w:eastAsia="宋体" w:cs="宋体"/>
          <w:sz w:val="24"/>
          <w:szCs w:val="24"/>
          <w:highlight w:val="none"/>
        </w:rPr>
        <w:t>等方面的专家共</w:t>
      </w:r>
      <w:bookmarkStart w:id="77" w:name="blank30_copy_1619578145000"/>
      <w:r>
        <w:rPr>
          <w:rFonts w:hint="eastAsia" w:ascii="宋体" w:hAnsi="宋体" w:eastAsia="宋体" w:cs="宋体"/>
          <w:sz w:val="24"/>
          <w:szCs w:val="24"/>
          <w:highlight w:val="none"/>
        </w:rPr>
        <w:t>5</w:t>
      </w:r>
      <w:bookmarkEnd w:id="77"/>
      <w:r>
        <w:rPr>
          <w:rFonts w:hint="eastAsia" w:ascii="宋体" w:hAnsi="宋体" w:eastAsia="宋体" w:cs="宋体"/>
          <w:sz w:val="24"/>
          <w:szCs w:val="24"/>
          <w:highlight w:val="none"/>
        </w:rPr>
        <w:t>人组成评标委员会。为保证评标工作的顺利进行，推荐一名评委担任评委会主任，负责评标全面工作。</w:t>
      </w:r>
    </w:p>
    <w:p w14:paraId="51635CE1">
      <w:pPr>
        <w:pStyle w:val="39"/>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（二）评标工作</w:t>
      </w:r>
    </w:p>
    <w:p w14:paraId="4A53F1D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评标本着客观公正、公平竞争、择优推荐、规范合法的原则进行。评标工作分为资格审查、初步评审和详细评审三个步骤。</w:t>
      </w:r>
    </w:p>
    <w:p w14:paraId="10ACCD6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1.资格审查。采购人或代理机构对各投标人的资格进行审查。资格审查合格的投标人方可进入符合性审查。</w:t>
      </w:r>
    </w:p>
    <w:p w14:paraId="17DDE7F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2.符合性审查。评委会对投标人的投标文件进行符合性鉴定。符合性审查合格的投标人方可进入详细评审。</w:t>
      </w:r>
    </w:p>
    <w:p w14:paraId="543382E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3.详细评审。详细评审采用</w:t>
      </w:r>
      <w:bookmarkStart w:id="78" w:name="blank29_copy_1619578169000"/>
      <w:r>
        <w:rPr>
          <w:rFonts w:hint="eastAsia" w:ascii="宋体" w:hAnsi="宋体" w:eastAsia="宋体" w:cs="宋体"/>
          <w:sz w:val="24"/>
          <w:szCs w:val="24"/>
          <w:highlight w:val="none"/>
        </w:rPr>
        <w:t>综合评分法</w:t>
      </w:r>
      <w:bookmarkEnd w:id="78"/>
      <w:r>
        <w:rPr>
          <w:rFonts w:hint="eastAsia" w:ascii="宋体" w:hAnsi="宋体" w:eastAsia="宋体" w:cs="宋体"/>
          <w:sz w:val="24"/>
          <w:szCs w:val="24"/>
          <w:highlight w:val="none"/>
        </w:rPr>
        <w:t>。评委依据评标办法分别对各投标人的投标文件进行评审、赋分。</w:t>
      </w:r>
    </w:p>
    <w:p w14:paraId="1E50C47B">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（三）询标（必要时）</w:t>
      </w:r>
    </w:p>
    <w:p w14:paraId="144F7C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评标委员会对投标文件需要澄清的问题，采用集体询标方式进行。</w:t>
      </w:r>
    </w:p>
    <w:p w14:paraId="38EB0FCB">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（四）确定中标人</w:t>
      </w:r>
    </w:p>
    <w:p w14:paraId="374EE949">
      <w:pPr>
        <w:pStyle w:val="26"/>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按最终综合得分由高到低的顺序推荐中标候选人3家。</w:t>
      </w:r>
    </w:p>
    <w:p w14:paraId="0C2048E3">
      <w:pPr>
        <w:keepNext w:val="0"/>
        <w:keepLines w:val="0"/>
        <w:pageBreakBefore w:val="0"/>
        <w:kinsoku/>
        <w:wordWrap/>
        <w:overflowPunct/>
        <w:topLinePunct w:val="0"/>
        <w:autoSpaceDE/>
        <w:autoSpaceDN/>
        <w:bidi w:val="0"/>
        <w:adjustRightInd w:val="0"/>
        <w:snapToGrid w:val="0"/>
        <w:spacing w:before="156" w:after="156"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（五）评标报告</w:t>
      </w:r>
    </w:p>
    <w:p w14:paraId="2D97EC3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评标工作结束时，评委会将本项目综合评审结果向采购人提交书面“评标报告”，各评委对评标报告内容讨论通过后，在“评标报告”上签字，对评标结果予以确认。</w:t>
      </w:r>
    </w:p>
    <w:p w14:paraId="3AFDD792">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033EF980">
      <w:pPr>
        <w:spacing w:before="156" w:after="156"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二、评 标 办 法</w:t>
      </w:r>
    </w:p>
    <w:p w14:paraId="75963B86">
      <w:pPr>
        <w:rPr>
          <w:rFonts w:hint="eastAsia" w:ascii="宋体" w:hAnsi="宋体" w:eastAsia="宋体" w:cs="宋体"/>
          <w:b/>
          <w:sz w:val="24"/>
          <w:szCs w:val="24"/>
          <w:highlight w:val="none"/>
        </w:rPr>
      </w:pPr>
      <w:r>
        <w:rPr>
          <w:rFonts w:hint="eastAsia" w:ascii="宋体" w:hAnsi="宋体" w:eastAsia="宋体" w:cs="宋体"/>
          <w:b/>
          <w:sz w:val="24"/>
          <w:szCs w:val="24"/>
          <w:highlight w:val="none"/>
        </w:rPr>
        <w:t>（一）资格审查</w:t>
      </w:r>
    </w:p>
    <w:p w14:paraId="509059F9">
      <w:pPr>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资格审查表</w:t>
      </w:r>
    </w:p>
    <w:tbl>
      <w:tblPr>
        <w:tblStyle w:val="2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553"/>
        <w:gridCol w:w="2552"/>
      </w:tblGrid>
      <w:tr w14:paraId="655F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7F977941">
            <w:pPr>
              <w:spacing w:line="0" w:lineRule="atLeast"/>
              <w:jc w:val="center"/>
              <w:rPr>
                <w:rFonts w:hint="eastAsia" w:ascii="宋体" w:hAnsi="宋体" w:eastAsia="宋体" w:cs="宋体"/>
                <w:spacing w:val="-6"/>
                <w:sz w:val="24"/>
                <w:szCs w:val="24"/>
                <w:highlight w:val="none"/>
              </w:rPr>
            </w:pPr>
            <w:r>
              <w:rPr>
                <w:rFonts w:hint="eastAsia" w:ascii="宋体" w:hAnsi="宋体" w:eastAsia="宋体" w:cs="宋体"/>
                <w:b/>
                <w:sz w:val="24"/>
                <w:szCs w:val="24"/>
                <w:highlight w:val="none"/>
              </w:rPr>
              <w:t>序号</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267B5517">
            <w:pPr>
              <w:spacing w:line="0" w:lineRule="atLeast"/>
              <w:jc w:val="center"/>
              <w:rPr>
                <w:rFonts w:hint="eastAsia" w:ascii="宋体" w:hAnsi="宋体" w:eastAsia="宋体" w:cs="宋体"/>
                <w:spacing w:val="-6"/>
                <w:sz w:val="24"/>
                <w:szCs w:val="24"/>
                <w:highlight w:val="none"/>
              </w:rPr>
            </w:pPr>
            <w:r>
              <w:rPr>
                <w:rFonts w:hint="eastAsia" w:ascii="宋体" w:hAnsi="宋体" w:eastAsia="宋体" w:cs="宋体"/>
                <w:b/>
                <w:sz w:val="24"/>
                <w:szCs w:val="24"/>
                <w:highlight w:val="none"/>
              </w:rPr>
              <w:t>资格审查内容</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06B0AB93">
            <w:pPr>
              <w:spacing w:line="0" w:lineRule="atLeast"/>
              <w:jc w:val="center"/>
              <w:rPr>
                <w:rFonts w:hint="eastAsia" w:ascii="宋体" w:hAnsi="宋体" w:eastAsia="宋体" w:cs="宋体"/>
                <w:b/>
                <w:spacing w:val="-6"/>
                <w:sz w:val="24"/>
                <w:szCs w:val="24"/>
                <w:highlight w:val="none"/>
              </w:rPr>
            </w:pPr>
            <w:r>
              <w:rPr>
                <w:rFonts w:hint="eastAsia" w:ascii="宋体" w:hAnsi="宋体" w:eastAsia="宋体" w:cs="宋体"/>
                <w:b/>
                <w:spacing w:val="-6"/>
                <w:sz w:val="24"/>
                <w:szCs w:val="24"/>
                <w:highlight w:val="none"/>
              </w:rPr>
              <w:t>要求</w:t>
            </w:r>
          </w:p>
        </w:tc>
      </w:tr>
      <w:tr w14:paraId="17E0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2A151B0C">
            <w:pPr>
              <w:spacing w:line="0" w:lineRule="atLeast"/>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rPr>
              <w:t>1</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26C21B87">
            <w:pPr>
              <w:spacing w:line="0" w:lineRule="atLeast"/>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营业执照副本</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6CB8025">
            <w:pPr>
              <w:spacing w:line="0" w:lineRule="atLeast"/>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29D9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6C205497">
            <w:pPr>
              <w:spacing w:line="0" w:lineRule="atLeast"/>
              <w:ind w:left="1" w:leftChars="-6" w:hanging="13" w:hangingChars="6"/>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lang w:val="en-US" w:eastAsia="zh-CN"/>
              </w:rPr>
              <w:t>2</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76F46904">
            <w:pPr>
              <w:spacing w:line="0" w:lineRule="atLeast"/>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法定代表人参加投标的，须提供法定代表人身份证明；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授权委托人参加投标的，须提供法定代表人授权委托书</w:t>
            </w:r>
            <w:r>
              <w:rPr>
                <w:rFonts w:hint="eastAsia" w:ascii="宋体" w:hAnsi="宋体" w:eastAsia="宋体" w:cs="宋体"/>
                <w:sz w:val="24"/>
                <w:szCs w:val="24"/>
                <w:highlight w:val="none"/>
                <w:lang w:eastAsia="zh-CN"/>
              </w:rPr>
              <w:t>。</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44E0DDF">
            <w:pPr>
              <w:spacing w:line="0" w:lineRule="atLeast"/>
              <w:jc w:val="center"/>
              <w:rPr>
                <w:rFonts w:hint="eastAsia" w:ascii="宋体" w:hAnsi="宋体" w:eastAsia="宋体" w:cs="宋体"/>
                <w:spacing w:val="-6"/>
                <w:sz w:val="24"/>
                <w:szCs w:val="24"/>
                <w:highlight w:val="none"/>
                <w:lang w:val="en-US" w:eastAsia="zh-CN" w:bidi="ar-SA"/>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4F5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397CFA73">
            <w:pPr>
              <w:spacing w:line="0" w:lineRule="atLeast"/>
              <w:ind w:left="1" w:leftChars="-6" w:hanging="13" w:hangingChars="6"/>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3</w:t>
            </w:r>
          </w:p>
        </w:tc>
        <w:tc>
          <w:tcPr>
            <w:tcW w:w="5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C31EBF">
            <w:pPr>
              <w:spacing w:line="0" w:lineRule="atLeast"/>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shd w:val="clear" w:color="auto" w:fill="FFFFFF"/>
              </w:rPr>
              <w:t>财务状况良好，提供近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w:t>
            </w:r>
            <w:r>
              <w:rPr>
                <w:rFonts w:hint="eastAsia" w:ascii="宋体" w:hAnsi="宋体" w:eastAsia="宋体" w:cs="宋体"/>
                <w:sz w:val="24"/>
                <w:szCs w:val="24"/>
                <w:highlight w:val="none"/>
                <w:shd w:val="clear" w:color="auto" w:fill="FFFFFF"/>
                <w:lang w:val="en-US" w:eastAsia="zh-CN"/>
              </w:rPr>
              <w:t>或公司财务报表</w:t>
            </w:r>
            <w:r>
              <w:rPr>
                <w:rFonts w:hint="eastAsia" w:ascii="宋体" w:hAnsi="宋体" w:eastAsia="宋体" w:cs="宋体"/>
                <w:sz w:val="24"/>
                <w:szCs w:val="24"/>
                <w:highlight w:val="none"/>
                <w:shd w:val="clear" w:color="auto" w:fill="FFFFFF"/>
              </w:rPr>
              <w:t>。（若投标人为20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A2AD33">
            <w:pPr>
              <w:spacing w:line="0" w:lineRule="atLeast"/>
              <w:jc w:val="center"/>
              <w:rPr>
                <w:rFonts w:hint="eastAsia" w:ascii="宋体" w:hAnsi="宋体" w:eastAsia="宋体" w:cs="宋体"/>
                <w:sz w:val="24"/>
                <w:szCs w:val="24"/>
                <w:highlight w:val="none"/>
                <w:lang w:val="en-US" w:eastAsia="zh-CN" w:bidi="ar-SA"/>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346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03575A04">
            <w:pPr>
              <w:spacing w:line="0" w:lineRule="atLeast"/>
              <w:ind w:left="1" w:leftChars="-6" w:hanging="13" w:hangingChars="6"/>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4</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4F44D1C9">
            <w:pPr>
              <w:pStyle w:val="40"/>
              <w:numPr>
                <w:ilvl w:val="0"/>
                <w:numId w:val="0"/>
              </w:numPr>
              <w:adjustRightInd w:val="0"/>
              <w:snapToGrid w:val="0"/>
              <w:spacing w:line="0" w:lineRule="atLeast"/>
              <w:jc w:val="left"/>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企业具有依法缴纳税收和社会保障资金的良好记录，提供</w:t>
            </w:r>
            <w:r>
              <w:rPr>
                <w:rFonts w:hint="eastAsia" w:ascii="宋体" w:hAnsi="宋体" w:eastAsia="宋体" w:cs="宋体"/>
                <w:sz w:val="24"/>
                <w:szCs w:val="24"/>
                <w:highlight w:val="none"/>
                <w:lang w:eastAsia="zh-CN"/>
              </w:rPr>
              <w:t>近一年内</w:t>
            </w:r>
            <w:r>
              <w:rPr>
                <w:rFonts w:hint="eastAsia" w:ascii="宋体" w:hAnsi="宋体" w:eastAsia="宋体" w:cs="宋体"/>
                <w:sz w:val="24"/>
                <w:szCs w:val="24"/>
                <w:highlight w:val="none"/>
              </w:rPr>
              <w:t>任意一个月企业依法缴纳税收及社保的相关材料（依法免税或无欠税、依法不需要缴纳社会保险的，应提供相应文件证明其依法免税或无欠税、依法不需要缴纳社会保险）</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50FDD04">
            <w:pPr>
              <w:spacing w:line="0" w:lineRule="atLeast"/>
              <w:jc w:val="center"/>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r w14:paraId="48CB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00F93E56">
            <w:pPr>
              <w:spacing w:line="0" w:lineRule="atLeast"/>
              <w:ind w:left="1" w:leftChars="-6" w:hanging="13" w:hangingChars="6"/>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5</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62420180">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)拒绝列入政府取消投标期间的企业或个人投标；</w:t>
            </w:r>
          </w:p>
          <w:p w14:paraId="4E8B1E57">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不得为“信用中国”网站（www.creditchina.gov.cn）中列入失信被执行人和重大税收违法失信主体名单投标人，不得为中国政府采购网（www.ccpg.gov.cn）政府采购严重违法失信行为记录名单中被财政部门禁止参加政府采购活动的投标人（在处罚决定规定的时间和地域范围内）；</w:t>
            </w:r>
          </w:p>
          <w:p w14:paraId="4E7FF157">
            <w:pPr>
              <w:pStyle w:val="40"/>
              <w:numPr>
                <w:ilvl w:val="0"/>
                <w:numId w:val="0"/>
              </w:numPr>
              <w:adjustRightInd w:val="0"/>
              <w:snapToGrid w:val="0"/>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)参加政府采购活动前三年内，在经营活动中没有重大违法记录；</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45A2FAA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标书内附由法定代表人</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授权代表签字并加盖单位公章的承诺书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格式自拟</w:t>
            </w:r>
            <w:r>
              <w:rPr>
                <w:rFonts w:hint="eastAsia" w:ascii="宋体" w:hAnsi="宋体" w:eastAsia="宋体" w:cs="宋体"/>
                <w:sz w:val="24"/>
                <w:szCs w:val="24"/>
                <w:highlight w:val="none"/>
                <w:shd w:val="clear" w:color="auto" w:fill="FFFFFF"/>
                <w:lang w:eastAsia="zh-CN"/>
              </w:rPr>
              <w:t>）</w:t>
            </w:r>
          </w:p>
        </w:tc>
      </w:tr>
      <w:tr w14:paraId="0C59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22" w:type="dxa"/>
            <w:tcBorders>
              <w:top w:val="single" w:color="auto" w:sz="4" w:space="0"/>
              <w:left w:val="single" w:color="auto" w:sz="4" w:space="0"/>
              <w:bottom w:val="single" w:color="auto" w:sz="4" w:space="0"/>
              <w:right w:val="single" w:color="auto" w:sz="4" w:space="0"/>
              <w:tl2br w:val="nil"/>
              <w:tr2bl w:val="nil"/>
            </w:tcBorders>
            <w:vAlign w:val="center"/>
          </w:tcPr>
          <w:p w14:paraId="5C50AD09">
            <w:pPr>
              <w:spacing w:line="0" w:lineRule="atLeast"/>
              <w:ind w:left="1" w:leftChars="-6" w:hanging="13" w:hangingChars="6"/>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6</w:t>
            </w:r>
          </w:p>
        </w:tc>
        <w:tc>
          <w:tcPr>
            <w:tcW w:w="5553" w:type="dxa"/>
            <w:tcBorders>
              <w:top w:val="single" w:color="auto" w:sz="4" w:space="0"/>
              <w:left w:val="single" w:color="auto" w:sz="4" w:space="0"/>
              <w:bottom w:val="single" w:color="auto" w:sz="4" w:space="0"/>
              <w:right w:val="single" w:color="auto" w:sz="4" w:space="0"/>
              <w:tl2br w:val="nil"/>
              <w:tr2bl w:val="nil"/>
            </w:tcBorders>
            <w:vAlign w:val="center"/>
          </w:tcPr>
          <w:p w14:paraId="72A2A2ED">
            <w:pPr>
              <w:adjustRightInd w:val="0"/>
              <w:snapToGrid w:val="0"/>
              <w:spacing w:after="0" w:line="288"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提供《中小企业声明函》，并满足专门面向中小企业的条件（按照财库[2020]46号文件格式提供）。</w:t>
            </w:r>
          </w:p>
          <w:p w14:paraId="2D02A0CA">
            <w:pPr>
              <w:pStyle w:val="40"/>
              <w:numPr>
                <w:ilvl w:val="0"/>
                <w:numId w:val="0"/>
              </w:numPr>
              <w:adjustRightInd w:val="0"/>
              <w:snapToGrid w:val="0"/>
              <w:spacing w:line="0" w:lineRule="atLeas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68356B4">
            <w:pPr>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标书内附复印件加盖单位公章</w:t>
            </w:r>
            <w:r>
              <w:rPr>
                <w:rFonts w:hint="eastAsia" w:ascii="宋体" w:hAnsi="宋体" w:eastAsia="宋体" w:cs="宋体"/>
                <w:spacing w:val="-6"/>
                <w:sz w:val="24"/>
                <w:szCs w:val="24"/>
                <w:highlight w:val="none"/>
                <w:lang w:eastAsia="zh-CN"/>
              </w:rPr>
              <w:t>。</w:t>
            </w:r>
          </w:p>
        </w:tc>
      </w:tr>
    </w:tbl>
    <w:p w14:paraId="08AD4EE5">
      <w:pPr>
        <w:spacing w:line="3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注：（1）上述内容中有一项不合格，则资格审查不合格，不进入符合性审查、详细评审；</w:t>
      </w:r>
    </w:p>
    <w:p w14:paraId="5B0D0930">
      <w:pPr>
        <w:spacing w:line="3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（2）上述审查内容如某一证件正在年检或换证，需年检或换证部门出具有效证明方可确认；</w:t>
      </w:r>
    </w:p>
    <w:p w14:paraId="2B9B020F">
      <w:pPr>
        <w:spacing w:line="3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（3）资格审查结束后，合格的投标人进入符合性审查。</w:t>
      </w:r>
    </w:p>
    <w:p w14:paraId="0120FC48">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p>
    <w:p w14:paraId="6E444974">
      <w:pPr>
        <w:rPr>
          <w:rFonts w:hint="eastAsia" w:ascii="宋体" w:hAnsi="宋体" w:eastAsia="宋体" w:cs="宋体"/>
          <w:b/>
          <w:sz w:val="24"/>
          <w:szCs w:val="24"/>
          <w:highlight w:val="none"/>
        </w:rPr>
      </w:pPr>
      <w:r>
        <w:rPr>
          <w:rFonts w:hint="eastAsia" w:ascii="宋体" w:hAnsi="宋体" w:eastAsia="宋体" w:cs="宋体"/>
          <w:b/>
          <w:sz w:val="24"/>
          <w:szCs w:val="24"/>
          <w:highlight w:val="none"/>
        </w:rPr>
        <w:t>（二）符合性审查表</w:t>
      </w:r>
    </w:p>
    <w:p w14:paraId="390A9002">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符合性审查表</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6D8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5551F199">
            <w:pPr>
              <w:autoSpaceDE w:val="0"/>
              <w:autoSpaceDN w:val="0"/>
              <w:adjustRightInd w:val="0"/>
              <w:snapToGrid w:val="0"/>
              <w:spacing w:line="300" w:lineRule="exact"/>
              <w:jc w:val="cente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评审因素</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4975C8B">
            <w:pPr>
              <w:autoSpaceDE w:val="0"/>
              <w:autoSpaceDN w:val="0"/>
              <w:adjustRightInd w:val="0"/>
              <w:snapToGrid w:val="0"/>
              <w:spacing w:line="300" w:lineRule="exact"/>
              <w:jc w:val="center"/>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评审标准</w:t>
            </w:r>
          </w:p>
        </w:tc>
      </w:tr>
      <w:tr w14:paraId="5FE8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C0E6CB7">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0B6EC07A">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与营业执照一致。</w:t>
            </w:r>
          </w:p>
        </w:tc>
      </w:tr>
      <w:tr w14:paraId="5322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2A74A8BE">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投标函签字盖章</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7DF1449A">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有投标单位盖章并经法定代表人或其委托代理人签字。</w:t>
            </w:r>
          </w:p>
        </w:tc>
      </w:tr>
      <w:tr w14:paraId="3533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7EB320E6">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投标文件格式</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51A7637">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符合第</w:t>
            </w:r>
            <w:r>
              <w:rPr>
                <w:rFonts w:hint="eastAsia" w:ascii="宋体" w:hAnsi="宋体" w:eastAsia="宋体" w:cs="宋体"/>
                <w:bCs/>
                <w:sz w:val="24"/>
                <w:szCs w:val="24"/>
                <w:highlight w:val="none"/>
              </w:rPr>
              <w:t>六部分</w:t>
            </w:r>
            <w:r>
              <w:rPr>
                <w:rFonts w:hint="eastAsia" w:ascii="宋体" w:hAnsi="宋体" w:eastAsia="宋体" w:cs="宋体"/>
                <w:bCs/>
                <w:sz w:val="24"/>
                <w:szCs w:val="24"/>
                <w:highlight w:val="none"/>
                <w:lang w:val="zh-CN"/>
              </w:rPr>
              <w:t>“投标文件格式”的要求。</w:t>
            </w:r>
          </w:p>
        </w:tc>
      </w:tr>
      <w:tr w14:paraId="0B29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1F19147F">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投标报价</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6A7498DA">
            <w:pPr>
              <w:autoSpaceDE w:val="0"/>
              <w:autoSpaceDN w:val="0"/>
              <w:adjustRightInd w:val="0"/>
              <w:snapToGrid w:val="0"/>
              <w:spacing w:line="30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不得超过预算金额</w:t>
            </w:r>
            <w:r>
              <w:rPr>
                <w:rFonts w:hint="eastAsia" w:ascii="宋体" w:hAnsi="宋体" w:cs="宋体"/>
                <w:bCs/>
                <w:sz w:val="24"/>
                <w:szCs w:val="24"/>
                <w:highlight w:val="none"/>
                <w:lang w:val="en-US" w:eastAsia="zh-CN"/>
              </w:rPr>
              <w:t>。</w:t>
            </w:r>
          </w:p>
        </w:tc>
      </w:tr>
      <w:tr w14:paraId="38FF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5F8E8CD5">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投标内容</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64B90A5E">
            <w:pPr>
              <w:autoSpaceDE w:val="0"/>
              <w:autoSpaceDN w:val="0"/>
              <w:adjustRightInd w:val="0"/>
              <w:snapToGrid w:val="0"/>
              <w:spacing w:line="300" w:lineRule="exac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符合招标文件第四部分“</w:t>
            </w:r>
            <w:r>
              <w:rPr>
                <w:rFonts w:hint="eastAsia" w:ascii="宋体" w:hAnsi="宋体" w:eastAsia="宋体" w:cs="宋体"/>
                <w:bCs/>
                <w:color w:val="auto"/>
                <w:sz w:val="24"/>
                <w:szCs w:val="24"/>
                <w:highlight w:val="none"/>
                <w:lang w:val="en-US" w:eastAsia="zh-CN"/>
              </w:rPr>
              <w:t>采购需求</w:t>
            </w:r>
            <w:r>
              <w:rPr>
                <w:rFonts w:hint="eastAsia" w:ascii="宋体" w:hAnsi="宋体" w:eastAsia="宋体" w:cs="宋体"/>
                <w:bCs/>
                <w:color w:val="auto"/>
                <w:sz w:val="24"/>
                <w:szCs w:val="24"/>
                <w:highlight w:val="none"/>
                <w:lang w:val="zh-CN"/>
              </w:rPr>
              <w:t>”的要求，并出具承诺书。（格式自拟）</w:t>
            </w:r>
          </w:p>
        </w:tc>
      </w:tr>
      <w:tr w14:paraId="482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6419FCE">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合同履行期限</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0634EAB">
            <w:pPr>
              <w:autoSpaceDE/>
              <w:autoSpaceDN/>
              <w:adjustRightInd/>
              <w:snapToGrid/>
              <w:spacing w:line="38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二标段：长春知识产权数字化展示平台服务周期为2025年至2027年。</w:t>
            </w:r>
          </w:p>
        </w:tc>
      </w:tr>
      <w:tr w14:paraId="71BE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25B93D1">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服务标准</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A7B4878">
            <w:pPr>
              <w:autoSpaceDE w:val="0"/>
              <w:autoSpaceDN w:val="0"/>
              <w:adjustRightInd w:val="0"/>
              <w:snapToGrid w:val="0"/>
              <w:spacing w:line="40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提供优质服务。</w:t>
            </w:r>
          </w:p>
        </w:tc>
      </w:tr>
      <w:tr w14:paraId="1F91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6FFD24EF">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投标有效期</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4CAC90C">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投标截止之日后90天（日历天）。</w:t>
            </w:r>
          </w:p>
        </w:tc>
      </w:tr>
      <w:tr w14:paraId="280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485D6071">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1690CD40">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符合招标文件要求，提供单位银行基本账户开户证明。</w:t>
            </w:r>
          </w:p>
        </w:tc>
      </w:tr>
      <w:tr w14:paraId="50D5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078" w:type="dxa"/>
            <w:tcBorders>
              <w:top w:val="single" w:color="auto" w:sz="4" w:space="0"/>
              <w:left w:val="single" w:color="auto" w:sz="4" w:space="0"/>
              <w:bottom w:val="single" w:color="auto" w:sz="4" w:space="0"/>
              <w:right w:val="single" w:color="auto" w:sz="4" w:space="0"/>
              <w:tl2br w:val="nil"/>
              <w:tr2bl w:val="nil"/>
            </w:tcBorders>
            <w:vAlign w:val="center"/>
          </w:tcPr>
          <w:p w14:paraId="040DAB9B">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7102" w:type="dxa"/>
            <w:tcBorders>
              <w:top w:val="single" w:color="auto" w:sz="4" w:space="0"/>
              <w:left w:val="single" w:color="auto" w:sz="4" w:space="0"/>
              <w:bottom w:val="single" w:color="auto" w:sz="4" w:space="0"/>
              <w:right w:val="single" w:color="auto" w:sz="4" w:space="0"/>
              <w:tl2br w:val="nil"/>
              <w:tr2bl w:val="nil"/>
            </w:tcBorders>
            <w:vAlign w:val="center"/>
          </w:tcPr>
          <w:p w14:paraId="5ADA15A5">
            <w:pPr>
              <w:autoSpaceDE w:val="0"/>
              <w:autoSpaceDN w:val="0"/>
              <w:adjustRightInd w:val="0"/>
              <w:snapToGrid w:val="0"/>
              <w:spacing w:line="300" w:lineRule="exact"/>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符合招标文件“合同条款及格式”规定。</w:t>
            </w:r>
          </w:p>
        </w:tc>
      </w:tr>
    </w:tbl>
    <w:p w14:paraId="655C0F6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zh-CN"/>
        </w:rPr>
        <w:t>或其投标文件不符合上述情况之一的，则符合性审查不合格，不进入详细评审；</w:t>
      </w:r>
    </w:p>
    <w:p w14:paraId="2B396E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（2）符合性审查结束后，合格的</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zh-CN"/>
        </w:rPr>
        <w:t>进入详细评审。</w:t>
      </w:r>
    </w:p>
    <w:p w14:paraId="2BCB8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除此之外的内容，不作为本次资格审查及</w:t>
      </w:r>
      <w:r>
        <w:rPr>
          <w:rFonts w:hint="eastAsia" w:ascii="宋体" w:hAnsi="宋体" w:eastAsia="宋体" w:cs="宋体"/>
          <w:sz w:val="24"/>
          <w:szCs w:val="24"/>
          <w:highlight w:val="none"/>
          <w:lang w:val="zh-CN"/>
        </w:rPr>
        <w:t>符合性审查</w:t>
      </w:r>
      <w:r>
        <w:rPr>
          <w:rFonts w:hint="eastAsia" w:ascii="宋体" w:hAnsi="宋体" w:eastAsia="宋体" w:cs="宋体"/>
          <w:sz w:val="24"/>
          <w:szCs w:val="24"/>
          <w:highlight w:val="none"/>
        </w:rPr>
        <w:t>的内容。</w:t>
      </w:r>
    </w:p>
    <w:p w14:paraId="15DCEE6A">
      <w:pPr>
        <w:numPr>
          <w:ilvl w:val="-1"/>
          <w:numId w:val="0"/>
        </w:numPr>
        <w:spacing w:line="400" w:lineRule="exact"/>
        <w:rPr>
          <w:rFonts w:hint="eastAsia" w:ascii="宋体" w:hAnsi="宋体" w:eastAsia="宋体" w:cs="宋体"/>
          <w:highlight w:val="none"/>
        </w:rPr>
      </w:pPr>
    </w:p>
    <w:p w14:paraId="549C9F00">
      <w:pPr>
        <w:numPr>
          <w:ilvl w:val="-1"/>
          <w:numId w:val="0"/>
        </w:numPr>
        <w:spacing w:line="240" w:lineRule="auto"/>
        <w:rPr>
          <w:rFonts w:hint="eastAsia" w:ascii="宋体" w:hAnsi="宋体" w:eastAsia="宋体" w:cs="宋体"/>
          <w:highlight w:val="none"/>
        </w:rPr>
      </w:pPr>
    </w:p>
    <w:p w14:paraId="127D4188">
      <w:pPr>
        <w:pStyle w:val="26"/>
        <w:rPr>
          <w:rFonts w:hint="eastAsia" w:ascii="宋体" w:hAnsi="宋体" w:eastAsia="宋体" w:cs="宋体"/>
          <w:highlight w:val="none"/>
        </w:rPr>
      </w:pPr>
    </w:p>
    <w:p w14:paraId="5BC68E1B">
      <w:pPr>
        <w:spacing w:before="312" w:line="440" w:lineRule="exact"/>
        <w:jc w:val="center"/>
        <w:rPr>
          <w:rFonts w:hint="eastAsia" w:ascii="宋体" w:hAnsi="宋体" w:eastAsia="宋体" w:cs="宋体"/>
          <w:bCs/>
          <w:sz w:val="28"/>
          <w:szCs w:val="28"/>
          <w:highlight w:val="none"/>
        </w:rPr>
      </w:pPr>
    </w:p>
    <w:p w14:paraId="32D765AD">
      <w:pPr>
        <w:pStyle w:val="23"/>
        <w:adjustRightInd w:val="0"/>
        <w:snapToGrid w:val="0"/>
        <w:spacing w:line="340" w:lineRule="exact"/>
        <w:jc w:val="both"/>
        <w:rPr>
          <w:rFonts w:hint="eastAsia" w:ascii="宋体" w:hAnsi="宋体" w:eastAsia="宋体" w:cs="宋体"/>
          <w:bCs/>
          <w:sz w:val="28"/>
          <w:szCs w:val="28"/>
          <w:highlight w:val="none"/>
        </w:rPr>
      </w:pPr>
    </w:p>
    <w:p w14:paraId="737275C5">
      <w:pPr>
        <w:pStyle w:val="23"/>
        <w:adjustRightInd w:val="0"/>
        <w:snapToGrid w:val="0"/>
        <w:spacing w:line="340" w:lineRule="exact"/>
        <w:jc w:val="both"/>
        <w:rPr>
          <w:rFonts w:hint="eastAsia" w:ascii="宋体" w:hAnsi="宋体" w:eastAsia="宋体" w:cs="宋体"/>
          <w:bCs/>
          <w:sz w:val="28"/>
          <w:szCs w:val="28"/>
          <w:highlight w:val="none"/>
        </w:rPr>
      </w:pPr>
    </w:p>
    <w:p w14:paraId="1E22959A">
      <w:pPr>
        <w:pStyle w:val="23"/>
        <w:adjustRightInd w:val="0"/>
        <w:snapToGrid w:val="0"/>
        <w:spacing w:line="340" w:lineRule="exact"/>
        <w:jc w:val="both"/>
        <w:rPr>
          <w:rFonts w:hint="eastAsia" w:ascii="宋体" w:hAnsi="宋体" w:eastAsia="宋体" w:cs="宋体"/>
          <w:bCs/>
          <w:sz w:val="28"/>
          <w:szCs w:val="28"/>
          <w:highlight w:val="none"/>
        </w:rPr>
      </w:pPr>
    </w:p>
    <w:p w14:paraId="64F0EEC3">
      <w:pPr>
        <w:pStyle w:val="23"/>
        <w:adjustRightInd w:val="0"/>
        <w:snapToGrid w:val="0"/>
        <w:spacing w:line="340" w:lineRule="exact"/>
        <w:jc w:val="both"/>
        <w:rPr>
          <w:rFonts w:hint="eastAsia" w:ascii="宋体" w:hAnsi="宋体" w:eastAsia="宋体" w:cs="宋体"/>
          <w:bCs/>
          <w:sz w:val="28"/>
          <w:szCs w:val="28"/>
          <w:highlight w:val="none"/>
        </w:rPr>
      </w:pPr>
    </w:p>
    <w:p w14:paraId="0314DFFF">
      <w:pPr>
        <w:pStyle w:val="23"/>
        <w:adjustRightInd w:val="0"/>
        <w:snapToGrid w:val="0"/>
        <w:spacing w:line="340" w:lineRule="exact"/>
        <w:jc w:val="both"/>
        <w:rPr>
          <w:rFonts w:hint="eastAsia" w:ascii="宋体" w:hAnsi="宋体" w:eastAsia="宋体" w:cs="宋体"/>
          <w:bCs/>
          <w:sz w:val="28"/>
          <w:szCs w:val="28"/>
          <w:highlight w:val="none"/>
        </w:rPr>
      </w:pPr>
    </w:p>
    <w:p w14:paraId="05EE7C98">
      <w:pPr>
        <w:pStyle w:val="23"/>
        <w:adjustRightInd w:val="0"/>
        <w:snapToGrid w:val="0"/>
        <w:spacing w:line="340" w:lineRule="exact"/>
        <w:jc w:val="both"/>
        <w:rPr>
          <w:rFonts w:hint="eastAsia" w:ascii="宋体" w:hAnsi="宋体" w:eastAsia="宋体" w:cs="宋体"/>
          <w:bCs/>
          <w:sz w:val="28"/>
          <w:szCs w:val="28"/>
          <w:highlight w:val="none"/>
        </w:rPr>
      </w:pPr>
    </w:p>
    <w:p w14:paraId="46BC7FA6">
      <w:pPr>
        <w:pStyle w:val="23"/>
        <w:adjustRightInd w:val="0"/>
        <w:snapToGrid w:val="0"/>
        <w:spacing w:line="340" w:lineRule="exact"/>
        <w:jc w:val="both"/>
        <w:rPr>
          <w:rFonts w:hint="eastAsia" w:ascii="宋体" w:hAnsi="宋体" w:eastAsia="宋体" w:cs="宋体"/>
          <w:bCs/>
          <w:sz w:val="28"/>
          <w:szCs w:val="28"/>
          <w:highlight w:val="none"/>
        </w:rPr>
      </w:pPr>
    </w:p>
    <w:p w14:paraId="24066615">
      <w:pPr>
        <w:pStyle w:val="23"/>
        <w:adjustRightInd w:val="0"/>
        <w:snapToGrid w:val="0"/>
        <w:spacing w:line="340" w:lineRule="exact"/>
        <w:jc w:val="both"/>
        <w:rPr>
          <w:rFonts w:hint="eastAsia" w:ascii="宋体" w:hAnsi="宋体" w:eastAsia="宋体" w:cs="宋体"/>
          <w:bCs/>
          <w:sz w:val="28"/>
          <w:szCs w:val="28"/>
          <w:highlight w:val="none"/>
        </w:rPr>
      </w:pPr>
    </w:p>
    <w:p w14:paraId="4106244D">
      <w:pPr>
        <w:pStyle w:val="23"/>
        <w:adjustRightInd w:val="0"/>
        <w:snapToGrid w:val="0"/>
        <w:spacing w:line="340" w:lineRule="exact"/>
        <w:jc w:val="both"/>
        <w:rPr>
          <w:rFonts w:hint="eastAsia" w:ascii="宋体" w:hAnsi="宋体" w:eastAsia="宋体" w:cs="宋体"/>
          <w:bCs/>
          <w:sz w:val="28"/>
          <w:szCs w:val="28"/>
          <w:highlight w:val="none"/>
        </w:rPr>
      </w:pPr>
    </w:p>
    <w:p w14:paraId="0BD2815C">
      <w:pPr>
        <w:pStyle w:val="23"/>
        <w:adjustRightInd w:val="0"/>
        <w:snapToGrid w:val="0"/>
        <w:spacing w:line="340" w:lineRule="exact"/>
        <w:jc w:val="both"/>
        <w:rPr>
          <w:rFonts w:hint="eastAsia" w:ascii="宋体" w:hAnsi="宋体" w:eastAsia="宋体" w:cs="宋体"/>
          <w:bCs/>
          <w:sz w:val="28"/>
          <w:szCs w:val="28"/>
          <w:highlight w:val="none"/>
        </w:rPr>
      </w:pPr>
    </w:p>
    <w:p w14:paraId="1B6898F5">
      <w:pPr>
        <w:rPr>
          <w:rFonts w:hint="eastAsia" w:ascii="宋体" w:hAnsi="宋体" w:eastAsia="宋体" w:cs="宋体"/>
          <w:highlight w:val="none"/>
        </w:rPr>
      </w:pPr>
    </w:p>
    <w:p w14:paraId="325BEBA8">
      <w:pPr>
        <w:numPr>
          <w:ilvl w:val="-1"/>
          <w:numId w:val="0"/>
        </w:numPr>
        <w:spacing w:line="400" w:lineRule="exact"/>
        <w:rPr>
          <w:rFonts w:hint="eastAsia" w:ascii="宋体" w:hAnsi="宋体" w:eastAsia="宋体" w:cs="宋体"/>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 xml:space="preserve">）详细评审 </w:t>
      </w:r>
      <w:r>
        <w:rPr>
          <w:rFonts w:hint="eastAsia" w:ascii="宋体" w:hAnsi="宋体" w:cs="宋体"/>
          <w:b/>
          <w:sz w:val="24"/>
          <w:szCs w:val="24"/>
          <w:highlight w:val="none"/>
          <w:lang w:eastAsia="zh-CN"/>
        </w:rPr>
        <w:t>（二标段）</w:t>
      </w:r>
    </w:p>
    <w:p w14:paraId="1B5C5EFB">
      <w:pPr>
        <w:pStyle w:val="13"/>
        <w:tabs>
          <w:tab w:val="left" w:pos="6840"/>
        </w:tabs>
        <w:ind w:right="-5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详细评审表</w:t>
      </w:r>
    </w:p>
    <w:tbl>
      <w:tblPr>
        <w:tblStyle w:val="28"/>
        <w:tblpPr w:leftFromText="180" w:rightFromText="180" w:vertAnchor="text" w:horzAnchor="page" w:tblpXSpec="center" w:tblpY="254"/>
        <w:tblOverlap w:val="never"/>
        <w:tblW w:w="507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31"/>
        <w:gridCol w:w="6355"/>
        <w:gridCol w:w="769"/>
      </w:tblGrid>
      <w:tr w14:paraId="13AECC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6ADA6801">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3671" w:type="pct"/>
            <w:tcBorders>
              <w:top w:val="single" w:color="auto" w:sz="4" w:space="0"/>
              <w:left w:val="single" w:color="auto" w:sz="4" w:space="0"/>
              <w:bottom w:val="single" w:color="auto" w:sz="4" w:space="0"/>
              <w:right w:val="single" w:color="auto" w:sz="4" w:space="0"/>
            </w:tcBorders>
            <w:noWrap/>
            <w:vAlign w:val="center"/>
          </w:tcPr>
          <w:p w14:paraId="5DD6C606">
            <w:pPr>
              <w:pStyle w:val="13"/>
              <w:keepNext w:val="0"/>
              <w:keepLines w:val="0"/>
              <w:pageBreakBefore w:val="0"/>
              <w:widowControl/>
              <w:tabs>
                <w:tab w:val="left" w:pos="6840"/>
              </w:tabs>
              <w:kinsoku/>
              <w:wordWrap/>
              <w:overflowPunct/>
              <w:topLinePunct w:val="0"/>
              <w:autoSpaceDE/>
              <w:bidi w:val="0"/>
              <w:adjustRightInd w:val="0"/>
              <w:snapToGrid w:val="0"/>
              <w:spacing w:before="46" w:beforeLines="15" w:line="360" w:lineRule="auto"/>
              <w:ind w:right="-56"/>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444" w:type="pct"/>
            <w:tcBorders>
              <w:top w:val="single" w:color="auto" w:sz="4" w:space="0"/>
              <w:left w:val="single" w:color="auto" w:sz="4" w:space="0"/>
              <w:bottom w:val="single" w:color="auto" w:sz="4" w:space="0"/>
              <w:right w:val="single" w:color="auto" w:sz="4" w:space="0"/>
            </w:tcBorders>
            <w:noWrap/>
            <w:vAlign w:val="center"/>
          </w:tcPr>
          <w:p w14:paraId="0DE167FD">
            <w:pPr>
              <w:keepNext w:val="0"/>
              <w:keepLines w:val="0"/>
              <w:pageBreakBefore w:val="0"/>
              <w:widowControl/>
              <w:kinsoku/>
              <w:wordWrap/>
              <w:overflowPunct/>
              <w:topLinePunct w:val="0"/>
              <w:autoSpaceDE/>
              <w:autoSpaceDN w:val="0"/>
              <w:bidi w:val="0"/>
              <w:adjustRightInd w:val="0"/>
              <w:snapToGrid w:val="0"/>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187A61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395CE9D1">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rPr>
              <w:t>投标报价</w:t>
            </w:r>
            <w:r>
              <w:rPr>
                <w:rFonts w:hint="eastAsia" w:ascii="宋体" w:hAnsi="宋体" w:eastAsia="宋体" w:cs="宋体"/>
                <w:sz w:val="24"/>
                <w:szCs w:val="24"/>
                <w:highlight w:val="none"/>
                <w:shd w:val="clear" w:color="auto" w:fill="FFFFFF"/>
                <w:lang w:val="zh-CN"/>
              </w:rPr>
              <w:br w:type="textWrapping"/>
            </w:r>
            <w:r>
              <w:rPr>
                <w:rFonts w:hint="eastAsia" w:ascii="宋体" w:hAnsi="宋体" w:cs="宋体"/>
                <w:sz w:val="24"/>
                <w:szCs w:val="24"/>
                <w:highlight w:val="none"/>
                <w:shd w:val="clear" w:color="auto" w:fill="FFFFFF"/>
                <w:lang w:val="zh-CN"/>
              </w:rPr>
              <w:t>（</w:t>
            </w:r>
            <w:r>
              <w:rPr>
                <w:rFonts w:hint="eastAsia" w:ascii="宋体" w:hAnsi="宋体" w:cs="宋体"/>
                <w:sz w:val="24"/>
                <w:szCs w:val="24"/>
                <w:highlight w:val="none"/>
                <w:shd w:val="clear" w:color="auto" w:fill="FFFFFF"/>
                <w:lang w:val="en-US" w:eastAsia="zh-CN"/>
              </w:rPr>
              <w:t>30分</w:t>
            </w:r>
            <w:r>
              <w:rPr>
                <w:rFonts w:hint="eastAsia" w:ascii="宋体" w:hAnsi="宋体" w:cs="宋体"/>
                <w:sz w:val="24"/>
                <w:szCs w:val="24"/>
                <w:highlight w:val="none"/>
                <w:shd w:val="clear" w:color="auto" w:fill="FFFFFF"/>
                <w:lang w:val="zh-CN"/>
              </w:rPr>
              <w:t>）</w:t>
            </w:r>
          </w:p>
        </w:tc>
        <w:tc>
          <w:tcPr>
            <w:tcW w:w="3671" w:type="pct"/>
            <w:tcBorders>
              <w:top w:val="single" w:color="auto" w:sz="4" w:space="0"/>
              <w:left w:val="single" w:color="auto" w:sz="4" w:space="0"/>
              <w:bottom w:val="single" w:color="auto" w:sz="4" w:space="0"/>
              <w:right w:val="single" w:color="auto" w:sz="4" w:space="0"/>
            </w:tcBorders>
            <w:noWrap/>
            <w:vAlign w:val="center"/>
          </w:tcPr>
          <w:p w14:paraId="4E7E88A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满足招标文件要求且投标价格最低的投标报价为评标基准价，其价格分为满分。其他投标人的价格分统一按照下列公式计算：</w:t>
            </w:r>
          </w:p>
          <w:p w14:paraId="0C93983C">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投标报价得分=(评标基准价</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lang w:val="zh-CN" w:eastAsia="zh-CN"/>
              </w:rPr>
              <w:t>投标报价)×价格权值</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0。</w:t>
            </w:r>
          </w:p>
          <w:p w14:paraId="79B700FD">
            <w:pPr>
              <w:spacing w:line="0" w:lineRule="atLeast"/>
              <w:jc w:val="lef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lang w:eastAsia="zh-CN"/>
              </w:rPr>
              <w:t>注：1.报价得分保留二位小数，从第三位开始四舍五入。</w:t>
            </w:r>
          </w:p>
          <w:p w14:paraId="20A0C66B">
            <w:pPr>
              <w:numPr>
                <w:ilvl w:val="0"/>
                <w:numId w:val="6"/>
              </w:numPr>
              <w:spacing w:line="0" w:lineRule="atLeast"/>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所属行业为</w:t>
            </w:r>
            <w:r>
              <w:rPr>
                <w:rFonts w:hint="eastAsia" w:ascii="宋体" w:hAnsi="宋体" w:eastAsia="宋体" w:cs="宋体"/>
                <w:b/>
                <w:bCs/>
                <w:sz w:val="24"/>
                <w:szCs w:val="24"/>
                <w:highlight w:val="none"/>
                <w:u w:val="single"/>
                <w:shd w:val="clear" w:color="auto" w:fill="FFFFFF"/>
                <w:lang w:val="zh-CN" w:eastAsia="zh-CN"/>
              </w:rPr>
              <w:t>软件和信息技术服务业</w:t>
            </w:r>
            <w:r>
              <w:rPr>
                <w:rFonts w:hint="eastAsia" w:ascii="宋体" w:hAnsi="宋体" w:eastAsia="宋体" w:cs="宋体"/>
                <w:sz w:val="24"/>
                <w:szCs w:val="24"/>
                <w:highlight w:val="none"/>
                <w:shd w:val="clear" w:color="auto" w:fill="FFFFFF"/>
                <w:lang w:val="zh-CN" w:eastAsia="zh-CN"/>
              </w:rPr>
              <w:t>。</w:t>
            </w:r>
          </w:p>
        </w:tc>
        <w:tc>
          <w:tcPr>
            <w:tcW w:w="444" w:type="pct"/>
            <w:tcBorders>
              <w:top w:val="single" w:color="auto" w:sz="4" w:space="0"/>
              <w:left w:val="single" w:color="auto" w:sz="4" w:space="0"/>
              <w:bottom w:val="single" w:color="auto" w:sz="4" w:space="0"/>
              <w:right w:val="single" w:color="auto" w:sz="4" w:space="0"/>
            </w:tcBorders>
            <w:noWrap/>
            <w:vAlign w:val="center"/>
          </w:tcPr>
          <w:p w14:paraId="7CA40007">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30</w:t>
            </w:r>
          </w:p>
        </w:tc>
      </w:tr>
      <w:tr w14:paraId="489946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noWrap/>
            <w:vAlign w:val="center"/>
          </w:tcPr>
          <w:p w14:paraId="029ED9FF">
            <w:pPr>
              <w:spacing w:line="0" w:lineRule="atLeast"/>
              <w:jc w:val="center"/>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企业类似业绩</w:t>
            </w:r>
            <w:r>
              <w:rPr>
                <w:rFonts w:hint="eastAsia" w:ascii="宋体" w:hAnsi="宋体" w:cs="宋体"/>
                <w:sz w:val="24"/>
                <w:szCs w:val="24"/>
                <w:highlight w:val="none"/>
                <w:shd w:val="clear" w:color="auto" w:fill="FFFFFF"/>
                <w:lang w:eastAsia="zh-CN"/>
              </w:rPr>
              <w:t>（</w:t>
            </w:r>
            <w:r>
              <w:rPr>
                <w:rFonts w:hint="eastAsia" w:ascii="宋体" w:hAnsi="宋体" w:cs="宋体"/>
                <w:sz w:val="24"/>
                <w:szCs w:val="24"/>
                <w:highlight w:val="none"/>
                <w:shd w:val="clear" w:color="auto" w:fill="FFFFFF"/>
                <w:lang w:val="en-US" w:eastAsia="zh-CN"/>
              </w:rPr>
              <w:t>6分</w:t>
            </w:r>
            <w:r>
              <w:rPr>
                <w:rFonts w:hint="eastAsia" w:ascii="宋体" w:hAnsi="宋体" w:cs="宋体"/>
                <w:sz w:val="24"/>
                <w:szCs w:val="24"/>
                <w:highlight w:val="none"/>
                <w:shd w:val="clear" w:color="auto" w:fill="FFFFFF"/>
                <w:lang w:eastAsia="zh-CN"/>
              </w:rPr>
              <w:t>）</w:t>
            </w:r>
          </w:p>
        </w:tc>
        <w:tc>
          <w:tcPr>
            <w:tcW w:w="3671" w:type="pct"/>
            <w:tcBorders>
              <w:top w:val="single" w:color="auto" w:sz="4" w:space="0"/>
              <w:left w:val="single" w:color="auto" w:sz="4" w:space="0"/>
              <w:right w:val="single" w:color="auto" w:sz="4" w:space="0"/>
            </w:tcBorders>
            <w:shd w:val="clear" w:color="auto" w:fill="auto"/>
            <w:noWrap/>
            <w:vAlign w:val="center"/>
          </w:tcPr>
          <w:p w14:paraId="6AC6CF89">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投标人提供已完成的类似项目业绩，每提供一项得3分，最多得6分，不提供不得分。（标书内附加盖公章的中标通知书或合同协议书复印件，否则不计分。）</w:t>
            </w:r>
          </w:p>
        </w:tc>
        <w:tc>
          <w:tcPr>
            <w:tcW w:w="444" w:type="pct"/>
            <w:tcBorders>
              <w:top w:val="single" w:color="auto" w:sz="4" w:space="0"/>
              <w:left w:val="single" w:color="auto" w:sz="4" w:space="0"/>
              <w:bottom w:val="outset" w:color="auto" w:sz="6" w:space="0"/>
              <w:right w:val="single" w:color="auto" w:sz="4" w:space="0"/>
            </w:tcBorders>
            <w:noWrap/>
            <w:vAlign w:val="center"/>
          </w:tcPr>
          <w:p w14:paraId="6AC0EA78">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6</w:t>
            </w:r>
          </w:p>
        </w:tc>
      </w:tr>
      <w:tr w14:paraId="176762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884" w:type="pct"/>
            <w:tcBorders>
              <w:top w:val="single" w:color="auto" w:sz="4" w:space="0"/>
              <w:left w:val="single" w:color="auto" w:sz="4" w:space="0"/>
              <w:right w:val="single" w:color="auto" w:sz="4" w:space="0"/>
            </w:tcBorders>
            <w:shd w:val="clear" w:color="auto" w:fill="auto"/>
            <w:noWrap/>
            <w:vAlign w:val="center"/>
          </w:tcPr>
          <w:p w14:paraId="0040E8C1">
            <w:pPr>
              <w:spacing w:line="0" w:lineRule="atLeast"/>
              <w:jc w:val="center"/>
              <w:rPr>
                <w:rFonts w:hint="eastAsia"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数据更新</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（10分）</w:t>
            </w:r>
          </w:p>
        </w:tc>
        <w:tc>
          <w:tcPr>
            <w:tcW w:w="3671" w:type="pct"/>
            <w:tcBorders>
              <w:top w:val="single" w:color="auto" w:sz="4" w:space="0"/>
              <w:left w:val="single" w:color="auto" w:sz="4" w:space="0"/>
              <w:right w:val="single" w:color="auto" w:sz="4" w:space="0"/>
            </w:tcBorders>
            <w:shd w:val="clear" w:color="auto" w:fill="auto"/>
            <w:noWrap/>
            <w:vAlign w:val="top"/>
          </w:tcPr>
          <w:p w14:paraId="79F48522">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投标人需提供区域知识产权可视化系统知识产权数据更新样例和产业技术链数据可视化系统数据更新接口样例，确保可按时、按需完成展示平台的数据更新。</w:t>
            </w:r>
          </w:p>
          <w:p w14:paraId="05A4E248">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每提供一项得5分，最多得10分，不提供不得分。(标书内附加盖公章的上述样例证明文件复印件，否则不计分）</w:t>
            </w:r>
          </w:p>
        </w:tc>
        <w:tc>
          <w:tcPr>
            <w:tcW w:w="444" w:type="pct"/>
            <w:tcBorders>
              <w:top w:val="single" w:color="auto" w:sz="4" w:space="0"/>
              <w:left w:val="single" w:color="auto" w:sz="4" w:space="0"/>
              <w:bottom w:val="outset" w:color="auto" w:sz="6" w:space="0"/>
              <w:right w:val="single" w:color="auto" w:sz="4" w:space="0"/>
            </w:tcBorders>
            <w:shd w:val="clear" w:color="auto" w:fill="auto"/>
            <w:noWrap/>
            <w:vAlign w:val="center"/>
          </w:tcPr>
          <w:p w14:paraId="0D9EC05B">
            <w:pPr>
              <w:spacing w:line="0" w:lineRule="atLeast"/>
              <w:jc w:val="center"/>
              <w:rPr>
                <w:rFonts w:hint="default" w:ascii="宋体" w:hAnsi="宋体" w:eastAsia="宋体" w:cs="宋体"/>
                <w:sz w:val="24"/>
                <w:szCs w:val="24"/>
                <w:highlight w:val="none"/>
                <w:shd w:val="clear" w:color="auto" w:fill="FFFFFF"/>
                <w:lang w:val="en-US" w:eastAsia="zh-CN" w:bidi="ar-SA"/>
              </w:rPr>
            </w:pPr>
            <w:r>
              <w:rPr>
                <w:rFonts w:hint="eastAsia" w:ascii="宋体" w:hAnsi="宋体" w:cs="宋体"/>
                <w:sz w:val="24"/>
                <w:szCs w:val="24"/>
                <w:highlight w:val="none"/>
                <w:shd w:val="clear" w:color="auto" w:fill="FFFFFF"/>
                <w:lang w:val="en-US" w:eastAsia="zh-CN"/>
              </w:rPr>
              <w:t>10</w:t>
            </w:r>
          </w:p>
        </w:tc>
      </w:tr>
      <w:tr w14:paraId="272E5A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77D5AD8F">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整体服务方案</w:t>
            </w:r>
          </w:p>
          <w:p w14:paraId="70B9E687">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center"/>
          </w:tcPr>
          <w:p w14:paraId="770825B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投标人针对本项目采购需求提供的整体服务方案，要求包含但不限于：</w:t>
            </w:r>
          </w:p>
          <w:p w14:paraId="13CDC88F">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①硬件设备运维方案；</w:t>
            </w:r>
          </w:p>
          <w:p w14:paraId="53A4CD36">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②</w:t>
            </w:r>
            <w:r>
              <w:rPr>
                <w:rFonts w:hint="eastAsia" w:ascii="宋体" w:hAnsi="宋体" w:eastAsia="宋体" w:cs="宋体"/>
                <w:sz w:val="24"/>
                <w:szCs w:val="24"/>
                <w:highlight w:val="none"/>
                <w:shd w:val="clear" w:color="auto" w:fill="FFFFFF"/>
                <w:lang w:val="en-US" w:eastAsia="zh-CN"/>
              </w:rPr>
              <w:t>软件运维方案（须包括各展示系统的软件升级方案）；</w:t>
            </w:r>
          </w:p>
          <w:p w14:paraId="45DE67F6">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③</w:t>
            </w:r>
            <w:r>
              <w:rPr>
                <w:rFonts w:hint="eastAsia" w:ascii="宋体" w:hAnsi="宋体" w:eastAsia="宋体" w:cs="宋体"/>
                <w:sz w:val="24"/>
                <w:szCs w:val="24"/>
                <w:highlight w:val="none"/>
                <w:shd w:val="clear" w:color="auto" w:fill="FFFFFF"/>
                <w:lang w:val="en-US" w:eastAsia="zh-CN"/>
              </w:rPr>
              <w:t>强弱电线路和网络链路运维方案。</w:t>
            </w:r>
          </w:p>
          <w:p w14:paraId="28EA4366">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④运营城市多维呈现系统中长春市知识产权发展宣传片的更新方案。</w:t>
            </w:r>
          </w:p>
          <w:p w14:paraId="29B9302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eastAsia="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en-US" w:eastAsia="zh-CN"/>
              </w:rPr>
              <w:t>最多得24分</w:t>
            </w:r>
            <w:r>
              <w:rPr>
                <w:rFonts w:hint="eastAsia" w:ascii="宋体" w:hAnsi="宋体" w:eastAsia="宋体" w:cs="宋体"/>
                <w:sz w:val="24"/>
                <w:szCs w:val="24"/>
                <w:highlight w:val="none"/>
                <w:shd w:val="clear" w:color="auto" w:fill="FFFFFF"/>
                <w:lang w:val="zh-CN" w:eastAsia="zh-CN"/>
              </w:rPr>
              <w:t>。</w:t>
            </w:r>
          </w:p>
          <w:p w14:paraId="61D8816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eastAsia="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eastAsia="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097B91B4">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2F443A18">
            <w:pPr>
              <w:spacing w:line="0" w:lineRule="atLeast"/>
              <w:jc w:val="center"/>
              <w:rPr>
                <w:rFonts w:hint="default" w:ascii="宋体" w:hAnsi="宋体" w:eastAsia="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24</w:t>
            </w:r>
          </w:p>
        </w:tc>
      </w:tr>
      <w:tr w14:paraId="1ECA37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9" w:hRule="atLeast"/>
          <w:jc w:val="center"/>
        </w:trPr>
        <w:tc>
          <w:tcPr>
            <w:tcW w:w="8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36D45">
            <w:pPr>
              <w:spacing w:line="0" w:lineRule="atLeast"/>
              <w:jc w:val="center"/>
              <w:rPr>
                <w:rFonts w:hint="eastAsia" w:ascii="宋体" w:hAnsi="宋体" w:eastAsia="宋体" w:cs="宋体"/>
                <w:sz w:val="24"/>
                <w:szCs w:val="24"/>
                <w:highlight w:val="none"/>
                <w:shd w:val="clear" w:color="auto" w:fill="FFFFFF"/>
                <w:lang w:val="zh-CN" w:eastAsia="zh-CN" w:bidi="ar-SA"/>
              </w:rPr>
            </w:pPr>
            <w:r>
              <w:rPr>
                <w:rFonts w:hint="eastAsia" w:ascii="宋体" w:hAnsi="宋体" w:cs="宋体"/>
                <w:sz w:val="24"/>
                <w:szCs w:val="24"/>
                <w:highlight w:val="none"/>
                <w:shd w:val="clear" w:color="auto" w:fill="FFFFFF"/>
                <w:lang w:val="en-US" w:eastAsia="zh-CN"/>
              </w:rPr>
              <w:t>项目理解与分析</w:t>
            </w:r>
            <w:r>
              <w:rPr>
                <w:rFonts w:hint="eastAsia" w:ascii="宋体" w:hAnsi="宋体" w:cs="宋体"/>
                <w:sz w:val="24"/>
                <w:szCs w:val="24"/>
                <w:highlight w:val="none"/>
                <w:shd w:val="clear" w:color="auto" w:fill="FFFFFF"/>
                <w:lang w:val="en-US" w:eastAsia="zh-CN"/>
              </w:rPr>
              <w:br w:type="textWrapping"/>
            </w:r>
            <w:r>
              <w:rPr>
                <w:rFonts w:hint="eastAsia" w:ascii="宋体" w:hAnsi="宋体" w:cs="宋体"/>
                <w:sz w:val="24"/>
                <w:szCs w:val="24"/>
                <w:highlight w:val="none"/>
                <w:shd w:val="clear" w:color="auto" w:fill="FFFFFF"/>
                <w:lang w:val="en-US" w:eastAsia="zh-CN"/>
              </w:rPr>
              <w:t>（10分）</w:t>
            </w:r>
          </w:p>
        </w:tc>
        <w:tc>
          <w:tcPr>
            <w:tcW w:w="36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081EA">
            <w:pPr>
              <w:spacing w:line="0" w:lineRule="atLeast"/>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投标人结合所投项目情况及采购人业务需求特点等，对项目的总体理解及分析。</w:t>
            </w:r>
          </w:p>
          <w:p w14:paraId="552E6864">
            <w:pPr>
              <w:spacing w:line="0" w:lineRule="atLeast"/>
              <w:jc w:val="left"/>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①</w:t>
            </w:r>
            <w:r>
              <w:rPr>
                <w:rFonts w:hint="eastAsia" w:ascii="宋体" w:hAnsi="宋体" w:eastAsia="宋体" w:cs="宋体"/>
                <w:sz w:val="24"/>
                <w:szCs w:val="24"/>
                <w:highlight w:val="none"/>
                <w:shd w:val="clear" w:color="auto" w:fill="FFFFFF"/>
                <w:lang w:val="zh-CN" w:eastAsia="zh-CN"/>
              </w:rPr>
              <w:t>长春知识产权数字化展示平台</w:t>
            </w:r>
            <w:r>
              <w:rPr>
                <w:rFonts w:hint="eastAsia" w:ascii="宋体" w:hAnsi="宋体" w:eastAsia="宋体" w:cs="宋体"/>
                <w:sz w:val="24"/>
                <w:szCs w:val="24"/>
                <w:highlight w:val="none"/>
                <w:shd w:val="clear" w:color="auto" w:fill="FFFFFF"/>
                <w:lang w:val="en-US" w:eastAsia="zh-CN"/>
              </w:rPr>
              <w:t>提供现有设备、线路、数据更新内容和规则的理解与分析；</w:t>
            </w:r>
          </w:p>
          <w:p w14:paraId="2F556EC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②合理化建议。</w:t>
            </w:r>
          </w:p>
          <w:p w14:paraId="39CC3CF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eastAsia="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en-US" w:eastAsia="zh-CN"/>
              </w:rPr>
              <w:t>最多得10分</w:t>
            </w:r>
            <w:r>
              <w:rPr>
                <w:rFonts w:hint="eastAsia" w:ascii="宋体" w:hAnsi="宋体" w:eastAsia="宋体" w:cs="宋体"/>
                <w:sz w:val="24"/>
                <w:szCs w:val="24"/>
                <w:highlight w:val="none"/>
                <w:shd w:val="clear" w:color="auto" w:fill="FFFFFF"/>
                <w:lang w:val="zh-CN" w:eastAsia="zh-CN"/>
              </w:rPr>
              <w:t>。</w:t>
            </w:r>
          </w:p>
          <w:p w14:paraId="02F3790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eastAsia="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eastAsia="宋体" w:cs="宋体"/>
                <w:sz w:val="24"/>
                <w:szCs w:val="24"/>
                <w:highlight w:val="none"/>
                <w:shd w:val="clear" w:color="auto" w:fill="FFFFFF"/>
                <w:lang w:val="en-US" w:eastAsia="zh-CN"/>
              </w:rPr>
              <w:t>2.5</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3996FA8D">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40AAC">
            <w:pPr>
              <w:spacing w:line="0" w:lineRule="atLeast"/>
              <w:jc w:val="center"/>
              <w:rPr>
                <w:rFonts w:hint="default" w:ascii="宋体" w:hAnsi="宋体" w:eastAsia="宋体" w:cs="宋体"/>
                <w:sz w:val="24"/>
                <w:szCs w:val="24"/>
                <w:highlight w:val="red"/>
                <w:shd w:val="clear" w:color="auto" w:fill="FFFFFF"/>
                <w:lang w:val="en-US" w:eastAsia="zh-CN" w:bidi="ar-SA"/>
              </w:rPr>
            </w:pPr>
            <w:r>
              <w:rPr>
                <w:rFonts w:hint="eastAsia" w:ascii="宋体" w:hAnsi="宋体" w:cs="宋体"/>
                <w:color w:val="auto"/>
                <w:sz w:val="24"/>
                <w:szCs w:val="24"/>
                <w:highlight w:val="none"/>
                <w:shd w:val="clear" w:color="auto" w:fill="FFFFFF"/>
                <w:lang w:val="en-US" w:eastAsia="zh-CN"/>
              </w:rPr>
              <w:t>10</w:t>
            </w:r>
          </w:p>
        </w:tc>
      </w:tr>
      <w:tr w14:paraId="499386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9"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2431D4A3">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培训方案</w:t>
            </w:r>
          </w:p>
          <w:p w14:paraId="33E9D645">
            <w:pPr>
              <w:spacing w:line="0" w:lineRule="atLeast"/>
              <w:jc w:val="center"/>
              <w:rPr>
                <w:rFonts w:hint="eastAsia" w:ascii="宋体" w:hAnsi="宋体" w:eastAsia="宋体" w:cs="宋体"/>
                <w:sz w:val="24"/>
                <w:szCs w:val="24"/>
                <w:highlight w:val="none"/>
                <w:shd w:val="clear" w:color="auto" w:fill="FFFFFF"/>
                <w:lang w:val="zh-CN"/>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center"/>
          </w:tcPr>
          <w:p w14:paraId="6B94AD2B">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投标人针对本项目采购需求提供的培训方案，要求包含但不限于：</w:t>
            </w:r>
          </w:p>
          <w:p w14:paraId="06E2D30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①具备完整的培训课程；</w:t>
            </w:r>
          </w:p>
          <w:p w14:paraId="6DDF1FB4">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②培训地点、实施时间</w:t>
            </w:r>
            <w:r>
              <w:rPr>
                <w:rFonts w:hint="eastAsia" w:ascii="宋体" w:hAnsi="宋体" w:cs="宋体"/>
                <w:sz w:val="24"/>
                <w:szCs w:val="24"/>
                <w:highlight w:val="none"/>
                <w:shd w:val="clear" w:color="auto" w:fill="FFFFFF"/>
                <w:lang w:val="zh-CN" w:eastAsia="zh-CN"/>
              </w:rPr>
              <w:t>合理</w:t>
            </w:r>
            <w:r>
              <w:rPr>
                <w:rFonts w:hint="eastAsia" w:ascii="宋体" w:hAnsi="宋体" w:eastAsia="宋体" w:cs="宋体"/>
                <w:sz w:val="24"/>
                <w:szCs w:val="24"/>
                <w:highlight w:val="none"/>
                <w:shd w:val="clear" w:color="auto" w:fill="FFFFFF"/>
                <w:lang w:val="zh-CN" w:eastAsia="zh-CN"/>
              </w:rPr>
              <w:t>；</w:t>
            </w:r>
          </w:p>
          <w:p w14:paraId="17BFD565">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③培训计划</w:t>
            </w:r>
            <w:r>
              <w:rPr>
                <w:rFonts w:hint="eastAsia" w:ascii="宋体" w:hAnsi="宋体" w:cs="宋体"/>
                <w:sz w:val="24"/>
                <w:szCs w:val="24"/>
                <w:highlight w:val="none"/>
                <w:shd w:val="clear" w:color="auto" w:fill="FFFFFF"/>
                <w:lang w:val="zh-CN" w:eastAsia="zh-CN"/>
              </w:rPr>
              <w:t>方案</w:t>
            </w:r>
            <w:r>
              <w:rPr>
                <w:rFonts w:hint="eastAsia" w:ascii="宋体" w:hAnsi="宋体" w:eastAsia="宋体" w:cs="宋体"/>
                <w:sz w:val="24"/>
                <w:szCs w:val="24"/>
                <w:highlight w:val="none"/>
                <w:shd w:val="clear" w:color="auto" w:fill="FFFFFF"/>
                <w:lang w:val="zh-CN" w:eastAsia="zh-CN"/>
              </w:rPr>
              <w:t>；</w:t>
            </w:r>
          </w:p>
          <w:p w14:paraId="000EB1D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④培训</w:t>
            </w:r>
            <w:r>
              <w:rPr>
                <w:rFonts w:hint="eastAsia" w:ascii="宋体" w:hAnsi="宋体" w:cs="宋体"/>
                <w:sz w:val="24"/>
                <w:szCs w:val="24"/>
                <w:highlight w:val="none"/>
                <w:shd w:val="clear" w:color="auto" w:fill="FFFFFF"/>
                <w:lang w:val="zh-CN" w:eastAsia="zh-CN"/>
              </w:rPr>
              <w:t>形式多样性；</w:t>
            </w:r>
          </w:p>
          <w:p w14:paraId="33A7BE89">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⑤培训</w:t>
            </w:r>
            <w:r>
              <w:rPr>
                <w:rFonts w:hint="eastAsia" w:ascii="宋体" w:hAnsi="宋体" w:cs="宋体"/>
                <w:sz w:val="24"/>
                <w:szCs w:val="24"/>
                <w:highlight w:val="none"/>
                <w:shd w:val="clear" w:color="auto" w:fill="FFFFFF"/>
                <w:lang w:val="zh-CN" w:eastAsia="zh-CN"/>
              </w:rPr>
              <w:t>内容</w:t>
            </w:r>
            <w:r>
              <w:rPr>
                <w:rFonts w:hint="eastAsia" w:ascii="宋体" w:hAnsi="宋体" w:eastAsia="宋体" w:cs="宋体"/>
                <w:sz w:val="24"/>
                <w:szCs w:val="24"/>
                <w:highlight w:val="none"/>
                <w:shd w:val="clear" w:color="auto" w:fill="FFFFFF"/>
                <w:lang w:val="zh-CN" w:eastAsia="zh-CN"/>
              </w:rPr>
              <w:t>方案合理性和可行性</w:t>
            </w:r>
            <w:r>
              <w:rPr>
                <w:rFonts w:hint="eastAsia" w:ascii="宋体" w:hAnsi="宋体" w:cs="宋体"/>
                <w:sz w:val="24"/>
                <w:szCs w:val="24"/>
                <w:highlight w:val="none"/>
                <w:shd w:val="clear" w:color="auto" w:fill="FFFFFF"/>
                <w:lang w:val="zh-CN" w:eastAsia="zh-CN"/>
              </w:rPr>
              <w:t>。</w:t>
            </w:r>
          </w:p>
          <w:p w14:paraId="644ADE97">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最多得5分</w:t>
            </w:r>
            <w:r>
              <w:rPr>
                <w:rFonts w:hint="eastAsia" w:ascii="宋体" w:hAnsi="宋体" w:eastAsia="宋体" w:cs="宋体"/>
                <w:sz w:val="24"/>
                <w:szCs w:val="24"/>
                <w:highlight w:val="none"/>
                <w:shd w:val="clear" w:color="auto" w:fill="FFFFFF"/>
                <w:lang w:val="zh-CN" w:eastAsia="zh-CN"/>
              </w:rPr>
              <w:t>。</w:t>
            </w:r>
          </w:p>
          <w:p w14:paraId="6817FD4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en-US"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7A87E688">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338E1CBC">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2E2EDE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60F319BE">
            <w:pPr>
              <w:spacing w:line="0" w:lineRule="atLeast"/>
              <w:jc w:val="center"/>
              <w:rPr>
                <w:rFonts w:hint="eastAsia" w:ascii="宋体" w:hAnsi="宋体" w:eastAsia="宋体" w:cs="宋体"/>
                <w:sz w:val="24"/>
                <w:szCs w:val="24"/>
                <w:highlight w:val="none"/>
                <w:shd w:val="clear" w:color="auto" w:fill="FFFFFF"/>
                <w:lang w:val="zh-CN" w:eastAsia="zh-CN"/>
              </w:rPr>
            </w:pPr>
            <w:r>
              <w:rPr>
                <w:rFonts w:hint="eastAsia" w:ascii="宋体" w:hAnsi="宋体" w:cs="宋体"/>
                <w:sz w:val="24"/>
                <w:szCs w:val="24"/>
                <w:highlight w:val="none"/>
                <w:shd w:val="clear" w:color="auto" w:fill="FFFFFF"/>
                <w:lang w:val="zh-CN" w:eastAsia="zh-CN"/>
              </w:rPr>
              <w:t>安全及</w:t>
            </w:r>
            <w:r>
              <w:rPr>
                <w:rFonts w:hint="eastAsia" w:ascii="宋体" w:hAnsi="宋体" w:eastAsia="宋体" w:cs="宋体"/>
                <w:sz w:val="24"/>
                <w:szCs w:val="24"/>
                <w:highlight w:val="none"/>
                <w:shd w:val="clear" w:color="auto" w:fill="FFFFFF"/>
                <w:lang w:val="zh-CN" w:eastAsia="zh-CN"/>
              </w:rPr>
              <w:t>应急突发事</w:t>
            </w:r>
            <w:r>
              <w:rPr>
                <w:rFonts w:hint="eastAsia" w:ascii="宋体" w:hAnsi="宋体" w:cs="宋体"/>
                <w:sz w:val="24"/>
                <w:szCs w:val="24"/>
                <w:highlight w:val="none"/>
                <w:shd w:val="clear" w:color="auto" w:fill="FFFFFF"/>
                <w:lang w:val="zh-CN" w:eastAsia="zh-CN"/>
              </w:rPr>
              <w:t>件</w:t>
            </w:r>
            <w:r>
              <w:rPr>
                <w:rFonts w:hint="eastAsia" w:ascii="宋体" w:hAnsi="宋体" w:eastAsia="宋体" w:cs="宋体"/>
                <w:sz w:val="24"/>
                <w:szCs w:val="24"/>
                <w:highlight w:val="none"/>
                <w:shd w:val="clear" w:color="auto" w:fill="FFFFFF"/>
                <w:lang w:val="zh-CN" w:eastAsia="zh-CN"/>
              </w:rPr>
              <w:t>处理方案</w:t>
            </w:r>
          </w:p>
          <w:p w14:paraId="00D932F7">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5</w:t>
            </w:r>
            <w:r>
              <w:rPr>
                <w:rFonts w:hint="eastAsia" w:ascii="宋体" w:hAnsi="宋体" w:eastAsia="宋体" w:cs="宋体"/>
                <w:sz w:val="24"/>
                <w:szCs w:val="24"/>
                <w:highlight w:val="none"/>
                <w:shd w:val="clear" w:color="auto" w:fill="FFFFFF"/>
                <w:lang w:val="zh-CN" w:eastAsia="zh-CN"/>
              </w:rPr>
              <w:t>分）</w:t>
            </w:r>
          </w:p>
        </w:tc>
        <w:tc>
          <w:tcPr>
            <w:tcW w:w="3671" w:type="pct"/>
            <w:tcBorders>
              <w:top w:val="single" w:color="auto" w:sz="4" w:space="0"/>
              <w:left w:val="single" w:color="auto" w:sz="4" w:space="0"/>
              <w:bottom w:val="single" w:color="auto" w:sz="4" w:space="0"/>
              <w:right w:val="single" w:color="auto" w:sz="4" w:space="0"/>
            </w:tcBorders>
            <w:noWrap/>
            <w:vAlign w:val="top"/>
          </w:tcPr>
          <w:p w14:paraId="62585640">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投标人针对本项目采购需求提供的应急突发事故处理方案，要求包含但不限于：</w:t>
            </w:r>
          </w:p>
          <w:p w14:paraId="4F80A0F3">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①运维服务事件响应管理明确；</w:t>
            </w:r>
          </w:p>
          <w:p w14:paraId="7D5DDBBF">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②关键节点保障措施完整；</w:t>
            </w:r>
          </w:p>
          <w:p w14:paraId="417D68C2">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③网络及信息系统</w:t>
            </w:r>
            <w:r>
              <w:rPr>
                <w:rFonts w:hint="eastAsia" w:ascii="宋体" w:hAnsi="宋体" w:cs="宋体"/>
                <w:sz w:val="24"/>
                <w:szCs w:val="24"/>
                <w:highlight w:val="none"/>
                <w:shd w:val="clear" w:color="auto" w:fill="FFFFFF"/>
                <w:lang w:val="zh-CN" w:eastAsia="zh-CN"/>
              </w:rPr>
              <w:t>安全</w:t>
            </w:r>
            <w:r>
              <w:rPr>
                <w:rFonts w:hint="eastAsia" w:ascii="宋体" w:hAnsi="宋体" w:eastAsia="宋体" w:cs="宋体"/>
                <w:sz w:val="24"/>
                <w:szCs w:val="24"/>
                <w:highlight w:val="none"/>
                <w:shd w:val="clear" w:color="auto" w:fill="FFFFFF"/>
                <w:lang w:val="zh-CN" w:eastAsia="zh-CN"/>
              </w:rPr>
              <w:t>监测</w:t>
            </w:r>
            <w:r>
              <w:rPr>
                <w:rFonts w:hint="eastAsia" w:ascii="宋体" w:hAnsi="宋体" w:cs="宋体"/>
                <w:sz w:val="24"/>
                <w:szCs w:val="24"/>
                <w:highlight w:val="none"/>
                <w:shd w:val="clear" w:color="auto" w:fill="FFFFFF"/>
                <w:lang w:val="zh-CN" w:eastAsia="zh-CN"/>
              </w:rPr>
              <w:t>及安全性能设置合理</w:t>
            </w:r>
            <w:r>
              <w:rPr>
                <w:rFonts w:hint="eastAsia" w:ascii="宋体" w:hAnsi="宋体" w:eastAsia="宋体" w:cs="宋体"/>
                <w:sz w:val="24"/>
                <w:szCs w:val="24"/>
                <w:highlight w:val="none"/>
                <w:shd w:val="clear" w:color="auto" w:fill="FFFFFF"/>
                <w:lang w:val="zh-CN" w:eastAsia="zh-CN"/>
              </w:rPr>
              <w:t>；</w:t>
            </w:r>
          </w:p>
          <w:p w14:paraId="40BF86E6">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④突发事件处理方案可行</w:t>
            </w:r>
            <w:r>
              <w:rPr>
                <w:rFonts w:hint="eastAsia" w:ascii="宋体" w:hAnsi="宋体" w:cs="宋体"/>
                <w:sz w:val="24"/>
                <w:szCs w:val="24"/>
                <w:highlight w:val="none"/>
                <w:shd w:val="clear" w:color="auto" w:fill="FFFFFF"/>
                <w:lang w:val="zh-CN" w:eastAsia="zh-CN"/>
              </w:rPr>
              <w:t>；</w:t>
            </w:r>
          </w:p>
          <w:p w14:paraId="593B6C81">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⑤应急资源保障完善。</w:t>
            </w:r>
          </w:p>
          <w:p w14:paraId="300F8F30">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w:t>
            </w:r>
          </w:p>
          <w:p w14:paraId="29B9574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w:t>
            </w:r>
            <w:r>
              <w:rPr>
                <w:rFonts w:hint="eastAsia" w:ascii="宋体" w:hAnsi="宋体" w:cs="宋体"/>
                <w:sz w:val="24"/>
                <w:szCs w:val="24"/>
                <w:highlight w:val="none"/>
                <w:shd w:val="clear" w:color="auto" w:fill="FFFFFF"/>
                <w:lang w:val="zh-CN" w:eastAsia="zh-CN"/>
              </w:rPr>
              <w:t>每项</w:t>
            </w:r>
            <w:r>
              <w:rPr>
                <w:rFonts w:hint="eastAsia" w:ascii="宋体" w:hAnsi="宋体" w:eastAsia="宋体" w:cs="宋体"/>
                <w:sz w:val="24"/>
                <w:szCs w:val="24"/>
                <w:highlight w:val="none"/>
                <w:shd w:val="clear" w:color="auto" w:fill="FFFFFF"/>
                <w:lang w:val="zh-CN" w:eastAsia="zh-CN"/>
              </w:rPr>
              <w:t>得</w:t>
            </w:r>
            <w:r>
              <w:rPr>
                <w:rFonts w:hint="eastAsia" w:ascii="宋体" w:hAnsi="宋体" w:cs="宋体"/>
                <w:sz w:val="24"/>
                <w:szCs w:val="24"/>
                <w:highlight w:val="none"/>
                <w:shd w:val="clear" w:color="auto" w:fill="FFFFFF"/>
                <w:lang w:val="en-US" w:eastAsia="zh-CN"/>
              </w:rPr>
              <w:t>0.5</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（一般缺陷是指方案内容前后不一致、前后逻辑错误、内容有缺失，不影响项目的实施）。</w:t>
            </w:r>
          </w:p>
          <w:p w14:paraId="5F9FED47">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0631044E">
            <w:pPr>
              <w:spacing w:line="0" w:lineRule="atLeast"/>
              <w:jc w:val="center"/>
              <w:rPr>
                <w:rFonts w:hint="default" w:ascii="宋体" w:hAnsi="宋体" w:cs="宋体"/>
                <w:sz w:val="24"/>
                <w:szCs w:val="24"/>
                <w:highlight w:val="yellow"/>
                <w:shd w:val="clear" w:color="auto" w:fill="FFFFFF"/>
                <w:lang w:val="en-US" w:eastAsia="zh-CN"/>
              </w:rPr>
            </w:pPr>
            <w:r>
              <w:rPr>
                <w:rFonts w:hint="eastAsia" w:ascii="宋体" w:hAnsi="宋体" w:cs="宋体"/>
                <w:sz w:val="24"/>
                <w:szCs w:val="24"/>
                <w:highlight w:val="none"/>
                <w:shd w:val="clear" w:color="auto" w:fill="FFFFFF"/>
                <w:lang w:val="en-US" w:eastAsia="zh-CN"/>
              </w:rPr>
              <w:t>5</w:t>
            </w:r>
          </w:p>
        </w:tc>
      </w:tr>
      <w:tr w14:paraId="25D4D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3" w:hRule="atLeast"/>
          <w:jc w:val="center"/>
        </w:trPr>
        <w:tc>
          <w:tcPr>
            <w:tcW w:w="884" w:type="pct"/>
            <w:tcBorders>
              <w:top w:val="single" w:color="auto" w:sz="4" w:space="0"/>
              <w:left w:val="single" w:color="auto" w:sz="4" w:space="0"/>
              <w:bottom w:val="single" w:color="auto" w:sz="4" w:space="0"/>
              <w:right w:val="single" w:color="auto" w:sz="4" w:space="0"/>
            </w:tcBorders>
            <w:noWrap/>
            <w:vAlign w:val="center"/>
          </w:tcPr>
          <w:p w14:paraId="11348D2B">
            <w:pPr>
              <w:spacing w:line="0" w:lineRule="atLeast"/>
              <w:jc w:val="center"/>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val="zh-CN" w:eastAsia="zh-CN"/>
              </w:rPr>
              <w:t>运维团队管理（</w:t>
            </w:r>
            <w:r>
              <w:rPr>
                <w:rFonts w:hint="eastAsia" w:ascii="宋体" w:hAnsi="宋体" w:cs="宋体"/>
                <w:sz w:val="24"/>
                <w:szCs w:val="24"/>
                <w:highlight w:val="none"/>
                <w:shd w:val="clear" w:color="auto" w:fill="FFFFFF"/>
                <w:lang w:val="en-US" w:eastAsia="zh-CN"/>
              </w:rPr>
              <w:t>10</w:t>
            </w:r>
            <w:r>
              <w:rPr>
                <w:rFonts w:hint="eastAsia" w:ascii="宋体" w:hAnsi="宋体" w:eastAsia="宋体" w:cs="宋体"/>
                <w:sz w:val="24"/>
                <w:szCs w:val="24"/>
                <w:highlight w:val="none"/>
                <w:shd w:val="clear" w:color="auto" w:fill="FFFFFF"/>
                <w:lang w:eastAsia="zh-CN"/>
              </w:rPr>
              <w:t>分</w:t>
            </w:r>
            <w:r>
              <w:rPr>
                <w:rFonts w:hint="eastAsia" w:ascii="宋体" w:hAnsi="宋体" w:eastAsia="宋体" w:cs="宋体"/>
                <w:sz w:val="24"/>
                <w:szCs w:val="24"/>
                <w:highlight w:val="none"/>
                <w:shd w:val="clear" w:color="auto" w:fill="FFFFFF"/>
                <w:lang w:val="zh-CN" w:eastAsia="zh-CN"/>
              </w:rPr>
              <w:t>）</w:t>
            </w:r>
          </w:p>
        </w:tc>
        <w:tc>
          <w:tcPr>
            <w:tcW w:w="3671" w:type="pct"/>
            <w:tcBorders>
              <w:top w:val="single" w:color="auto" w:sz="4" w:space="0"/>
              <w:left w:val="single" w:color="auto" w:sz="4" w:space="0"/>
              <w:bottom w:val="single" w:color="auto" w:sz="4" w:space="0"/>
              <w:right w:val="single" w:color="auto" w:sz="4" w:space="0"/>
            </w:tcBorders>
            <w:noWrap/>
            <w:vAlign w:val="top"/>
          </w:tcPr>
          <w:p w14:paraId="2EA27F02">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投标人针对本项目采购需求提供的运维团队管理制度及措施方案，要求包含但不限于：</w:t>
            </w:r>
          </w:p>
          <w:p w14:paraId="2ACD3775">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①组织架构</w:t>
            </w:r>
            <w:r>
              <w:rPr>
                <w:rFonts w:hint="eastAsia" w:ascii="宋体" w:hAnsi="宋体" w:cs="宋体"/>
                <w:sz w:val="24"/>
                <w:szCs w:val="24"/>
                <w:highlight w:val="none"/>
                <w:shd w:val="clear" w:color="auto" w:fill="FFFFFF"/>
                <w:lang w:val="zh-CN" w:eastAsia="zh-CN"/>
              </w:rPr>
              <w:t>完整</w:t>
            </w:r>
            <w:r>
              <w:rPr>
                <w:rFonts w:hint="eastAsia" w:ascii="宋体" w:hAnsi="宋体" w:eastAsia="宋体" w:cs="宋体"/>
                <w:sz w:val="24"/>
                <w:szCs w:val="24"/>
                <w:highlight w:val="none"/>
                <w:shd w:val="clear" w:color="auto" w:fill="FFFFFF"/>
                <w:lang w:val="zh-CN" w:eastAsia="zh-CN"/>
              </w:rPr>
              <w:t>；</w:t>
            </w:r>
          </w:p>
          <w:p w14:paraId="51F17059">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②人员配置情况</w:t>
            </w:r>
            <w:r>
              <w:rPr>
                <w:rFonts w:hint="eastAsia" w:ascii="宋体" w:hAnsi="宋体" w:cs="宋体"/>
                <w:sz w:val="24"/>
                <w:szCs w:val="24"/>
                <w:highlight w:val="none"/>
                <w:shd w:val="clear" w:color="auto" w:fill="FFFFFF"/>
                <w:lang w:val="zh-CN" w:eastAsia="zh-CN"/>
              </w:rPr>
              <w:t>合理</w:t>
            </w:r>
            <w:r>
              <w:rPr>
                <w:rFonts w:hint="eastAsia" w:ascii="宋体" w:hAnsi="宋体" w:eastAsia="宋体" w:cs="宋体"/>
                <w:sz w:val="24"/>
                <w:szCs w:val="24"/>
                <w:highlight w:val="none"/>
                <w:shd w:val="clear" w:color="auto" w:fill="FFFFFF"/>
                <w:lang w:val="zh-CN" w:eastAsia="zh-CN"/>
              </w:rPr>
              <w:t>；</w:t>
            </w:r>
          </w:p>
          <w:p w14:paraId="1501A6D4">
            <w:pPr>
              <w:spacing w:line="0" w:lineRule="atLeast"/>
              <w:jc w:val="left"/>
              <w:rPr>
                <w:rFonts w:hint="eastAsia" w:ascii="宋体" w:hAnsi="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③人员管理</w:t>
            </w:r>
            <w:r>
              <w:rPr>
                <w:rFonts w:hint="eastAsia" w:ascii="宋体" w:hAnsi="宋体" w:cs="宋体"/>
                <w:sz w:val="24"/>
                <w:szCs w:val="24"/>
                <w:highlight w:val="none"/>
                <w:shd w:val="clear" w:color="auto" w:fill="FFFFFF"/>
                <w:lang w:val="zh-CN" w:eastAsia="zh-CN"/>
              </w:rPr>
              <w:t>措施完善；</w:t>
            </w:r>
          </w:p>
          <w:p w14:paraId="2AB1FE64">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④工作流程规范；</w:t>
            </w:r>
          </w:p>
          <w:p w14:paraId="2E7FF7BD">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⑤沟通协调机制完善。</w:t>
            </w:r>
          </w:p>
          <w:p w14:paraId="3830F63C">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上述小项方案具有针对性和可行性，内容完整合理满足采购需求要求的每项得</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lang w:val="zh-CN" w:eastAsia="zh-CN"/>
              </w:rPr>
              <w:t>分</w:t>
            </w:r>
            <w:r>
              <w:rPr>
                <w:rFonts w:hint="eastAsia" w:ascii="宋体" w:hAnsi="宋体" w:cs="宋体"/>
                <w:sz w:val="24"/>
                <w:szCs w:val="24"/>
                <w:highlight w:val="none"/>
                <w:shd w:val="clear" w:color="auto" w:fill="FFFFFF"/>
                <w:lang w:val="zh-CN" w:eastAsia="zh-CN"/>
              </w:rPr>
              <w:t>，</w:t>
            </w:r>
            <w:r>
              <w:rPr>
                <w:rFonts w:hint="eastAsia" w:ascii="宋体" w:hAnsi="宋体" w:cs="宋体"/>
                <w:sz w:val="24"/>
                <w:szCs w:val="24"/>
                <w:highlight w:val="none"/>
                <w:shd w:val="clear" w:color="auto" w:fill="FFFFFF"/>
                <w:lang w:val="en-US" w:eastAsia="zh-CN"/>
              </w:rPr>
              <w:t>最多得10</w:t>
            </w:r>
            <w:r>
              <w:rPr>
                <w:rFonts w:hint="eastAsia" w:ascii="宋体" w:hAnsi="宋体" w:cs="宋体"/>
                <w:sz w:val="24"/>
                <w:szCs w:val="24"/>
                <w:highlight w:val="none"/>
                <w:shd w:val="clear" w:color="auto" w:fill="FFFFFF"/>
                <w:lang w:val="zh-CN" w:eastAsia="zh-CN"/>
              </w:rPr>
              <w:t>分</w:t>
            </w:r>
            <w:r>
              <w:rPr>
                <w:rFonts w:hint="eastAsia" w:ascii="宋体" w:hAnsi="宋体" w:eastAsia="宋体" w:cs="宋体"/>
                <w:sz w:val="24"/>
                <w:szCs w:val="24"/>
                <w:highlight w:val="none"/>
                <w:shd w:val="clear" w:color="auto" w:fill="FFFFFF"/>
                <w:lang w:val="zh-CN" w:eastAsia="zh-CN"/>
              </w:rPr>
              <w:t>。</w:t>
            </w:r>
          </w:p>
          <w:p w14:paraId="26CBF70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存在一般缺陷的小项方案得</w:t>
            </w:r>
            <w:r>
              <w:rPr>
                <w:rFonts w:hint="eastAsia" w:ascii="宋体" w:hAnsi="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lang w:val="zh-CN" w:eastAsia="zh-CN"/>
              </w:rPr>
              <w:t>分（一般缺陷是指方案内容前后不一致、前后逻辑错误、内容有缺失，不影响项目的实施）。</w:t>
            </w:r>
          </w:p>
          <w:p w14:paraId="4078EC1A">
            <w:pPr>
              <w:spacing w:line="0" w:lineRule="atLeast"/>
              <w:jc w:val="left"/>
              <w:rPr>
                <w:rFonts w:hint="eastAsia" w:ascii="宋体" w:hAnsi="宋体" w:eastAsia="宋体" w:cs="宋体"/>
                <w:sz w:val="24"/>
                <w:szCs w:val="24"/>
                <w:highlight w:val="none"/>
                <w:shd w:val="clear" w:color="auto" w:fill="FFFFFF"/>
                <w:lang w:val="zh-CN" w:eastAsia="zh-CN"/>
              </w:rPr>
            </w:pPr>
            <w:r>
              <w:rPr>
                <w:rFonts w:hint="eastAsia" w:ascii="宋体" w:hAnsi="宋体" w:eastAsia="宋体" w:cs="宋体"/>
                <w:sz w:val="24"/>
                <w:szCs w:val="24"/>
                <w:highlight w:val="none"/>
                <w:shd w:val="clear" w:color="auto" w:fill="FFFFFF"/>
                <w:lang w:val="zh-CN" w:eastAsia="zh-CN"/>
              </w:rPr>
              <w:t>未提供或存在重大缺陷的小项方案不得分（重大缺陷是指方案凭空编造、与采购项目和采购需求无关，无法指导项目实施）</w:t>
            </w:r>
          </w:p>
        </w:tc>
        <w:tc>
          <w:tcPr>
            <w:tcW w:w="444" w:type="pct"/>
            <w:tcBorders>
              <w:top w:val="single" w:color="auto" w:sz="4" w:space="0"/>
              <w:left w:val="single" w:color="auto" w:sz="4" w:space="0"/>
              <w:bottom w:val="single" w:color="auto" w:sz="4" w:space="0"/>
              <w:right w:val="single" w:color="auto" w:sz="4" w:space="0"/>
            </w:tcBorders>
            <w:noWrap/>
            <w:vAlign w:val="center"/>
          </w:tcPr>
          <w:p w14:paraId="633A6CA5">
            <w:pPr>
              <w:spacing w:line="0" w:lineRule="atLeast"/>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10</w:t>
            </w:r>
          </w:p>
        </w:tc>
      </w:tr>
    </w:tbl>
    <w:p w14:paraId="69A096E9">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br w:type="page"/>
      </w:r>
    </w:p>
    <w:p w14:paraId="418406B7">
      <w:pPr>
        <w:pStyle w:val="7"/>
        <w:ind w:firstLine="560"/>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中小企业划型标准规定　</w:t>
      </w:r>
    </w:p>
    <w:p w14:paraId="5E101057">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一、根据《中华人民共和国中小企业促进法》和《国务院关于进一步促进中小企业发展的若干意见》(国发〔2009〕36号)，制定本规定。</w:t>
      </w:r>
    </w:p>
    <w:p w14:paraId="78E79139">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二、中小企业划分为中型、小型、微型三种类型，具体标准根据企业从业人员、营业收入、资产总额等指标，结合行业特点制定。</w:t>
      </w:r>
    </w:p>
    <w:p w14:paraId="240E6881">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18F9C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四、各行业划型标准为：</w:t>
      </w:r>
    </w:p>
    <w:p w14:paraId="53CDA21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139BE512">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DB262A">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6A6C79B">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921D4E">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41EDFC">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525819">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E02486">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DF068F">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56F1E8">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1ADF9">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EF7A5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7D80E5">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CF728C">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FB18F0">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45843DD">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（十六）其他未列明行业。从业人员300人以下的为中小微型企业。其中，从业人员100人及以上的为中型企业；从业人员10人及以上的为小型企业；从业人员10人以下的为微型企业。</w:t>
      </w:r>
    </w:p>
    <w:p w14:paraId="7FB518DC">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五、企业类型的划分以统计部门的统计数据为依据。</w:t>
      </w:r>
    </w:p>
    <w:p w14:paraId="30E112B2">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六、本规定适用于在中华人民共和国境内依法设立的各类所有制和各种组织形式的企业。个体工商户和本规定以外的行业，参照本规定进行划型。</w:t>
      </w:r>
    </w:p>
    <w:p w14:paraId="0951F878">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654C4764">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八、本规定由工业和信息化部、国家统计局会同有关部门根据《国民经济行业分类》修订情况和企业发展变化情况适时修订。</w:t>
      </w:r>
    </w:p>
    <w:p w14:paraId="537CECF6">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九、本规定由工业和信息化部、国家统计局会同有关部门负责解释。</w:t>
      </w:r>
    </w:p>
    <w:p w14:paraId="0C5E73A1">
      <w:pPr>
        <w:spacing w:line="340" w:lineRule="exact"/>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十、本规定自发布之日起执行，原国家经贸委、原国家计委、财政部和国家统计局2003年颁布的《中小企业标准暂行规定》同时废止。</w:t>
      </w:r>
    </w:p>
    <w:p w14:paraId="530C74F7">
      <w:pPr>
        <w:spacing w:line="360" w:lineRule="auto"/>
        <w:ind w:firstLine="480" w:firstLineChars="200"/>
        <w:rPr>
          <w:rFonts w:hint="eastAsia" w:ascii="宋体" w:hAnsi="宋体" w:eastAsia="宋体" w:cs="宋体"/>
          <w:bCs/>
          <w:sz w:val="24"/>
          <w:szCs w:val="24"/>
          <w:highlight w:val="none"/>
          <w:lang w:val="zh-CN"/>
        </w:rPr>
      </w:pPr>
    </w:p>
    <w:p w14:paraId="40A8FD19">
      <w:pPr>
        <w:spacing w:line="360" w:lineRule="auto"/>
        <w:ind w:firstLine="361"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br w:type="page"/>
      </w:r>
    </w:p>
    <w:p w14:paraId="1C59F437">
      <w:pPr>
        <w:pStyle w:val="3"/>
        <w:spacing w:before="0" w:after="0" w:line="360" w:lineRule="auto"/>
        <w:jc w:val="center"/>
        <w:rPr>
          <w:rFonts w:hint="eastAsia" w:ascii="宋体" w:hAnsi="宋体" w:eastAsia="宋体" w:cs="宋体"/>
          <w:highlight w:val="none"/>
        </w:rPr>
      </w:pPr>
      <w:bookmarkStart w:id="79" w:name="_Toc48760974"/>
      <w:bookmarkStart w:id="80" w:name="_Toc54891395"/>
      <w:r>
        <w:rPr>
          <w:rFonts w:hint="eastAsia" w:ascii="宋体" w:hAnsi="宋体" w:eastAsia="宋体" w:cs="宋体"/>
          <w:highlight w:val="none"/>
        </w:rPr>
        <w:t>第四部分  采购需求</w:t>
      </w:r>
      <w:bookmarkEnd w:id="79"/>
      <w:bookmarkEnd w:id="80"/>
      <w:bookmarkStart w:id="81" w:name="_第五部分__"/>
      <w:bookmarkEnd w:id="81"/>
    </w:p>
    <w:p w14:paraId="79D8D17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长春新区科学技术局知识产权服务业集聚区运维采购项目标段二</w:t>
      </w:r>
    </w:p>
    <w:p w14:paraId="1AA233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（长春知识产权数字化展示平台（以下简称“展厅”））</w:t>
      </w:r>
    </w:p>
    <w:p w14:paraId="0484A3E1">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1.项目概述</w:t>
      </w:r>
    </w:p>
    <w:p w14:paraId="3C06F878">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（1）运营城市多维呈现系统</w:t>
      </w:r>
    </w:p>
    <w:p w14:paraId="6AF165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通过弧形屏、地面屏幕与触控屏三屏联动，以独特方式展示长春市知识产权发展宣传片。交互系统借助虚幻引擎开发，实现多屏与弧形LED同步联动演示，交互页面全三维制作，前端触控屏操作能实时反馈至弧形大屏与底部背景屏，达成精准三屏同步效果。同时支持多端联动，可使用PAD等远程设备操控展示，为城市知识产权展示提供沉浸式、便捷化、高品质的多维呈现方案。</w:t>
      </w:r>
    </w:p>
    <w:p w14:paraId="5A1116DB">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（2）区域知识产权可视化系统</w:t>
      </w:r>
    </w:p>
    <w:p w14:paraId="6910EFA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采用背部LED幕墙与透明轨道屏幕结合，将复杂海量知识产权数据可视化呈现。中央平面区域以多种图表形式展示知识产权热力图，多维度呈现区域知识产权与科技创新数据及分析结果，突破传统数据呈现困境。参观者进入时，LED幕墙中心播放定制三维地形图，侧翼展示宏观区域数据。之后主控系统支持细分区域UI选择，透明滑轨屏幕移至对应位置叠加显示，在不影响主屏幕信息的基础上，于透明滑轨屏展示细分区域移动增强数据，达成高效信息传递与深度数据解读，助力区域知识产权直观呈现与深度剖析。</w:t>
      </w:r>
    </w:p>
    <w:p w14:paraId="0AF4EEB9">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（3）产业技术链数据可视化系统</w:t>
      </w:r>
    </w:p>
    <w:p w14:paraId="1E87E0F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通过构建完备的产业技术链，助力政府部门直观洞察长春市本土产业的知识产权、企业及科技创新等数据，精准把握产业发展现状、趋势、排位与风险，明晰产业聚集度、协调性与竞争力状况。基于此系统，能构建精准投资助力体系，凭借全面及时的数据剖析产业链中专利、企业、产品分布，挖掘建链、补链、强链关键环节，为长春市本土产业的战略规划与可持续发展提供有力的数据支撑与决策依据。</w:t>
      </w:r>
    </w:p>
    <w:p w14:paraId="3A710A5B">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（4）现代农业产业展示系统</w:t>
      </w:r>
    </w:p>
    <w:p w14:paraId="3F858E9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系统聚焦长春市突出的现代农业产业数据，借助全息展柜进行定制化内容展示。系统具备丰富展示层级，高清定制化商标地标关联数字内容，多点触控交互体验模块实现便捷灵活的人机互动。通过各模块协同运作，以创新形式全方位、立体化呈现现代农业产业风貌，让观众深入领略长春现代农业的独特魅力与卓越成就，为农业产业展示与交流搭建高效平台。</w:t>
      </w:r>
    </w:p>
    <w:p w14:paraId="1AEF1EEF">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（5）运营城市产业综合展示系统</w:t>
      </w:r>
    </w:p>
    <w:p w14:paraId="600AD9F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①汽车产业展示系统</w:t>
      </w:r>
    </w:p>
    <w:p w14:paraId="5973344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汽车产业展示系统后期运维包括多方面工作。硬件上，定期检查滑轨机械结构、驱动及传感装置，维护屏幕显示设备的显示效果、清洁表面与信号线路，检测触控屏交互性能与材质。软件方面，管理更新数字内容素材库，优化主控交互逻辑与动态数字动画生成，监测系统性能指标并优化，定期进行漏洞扫描与安全检测，全方位保障系统稳定运行，为汽车产业展示提供持续优质服务。</w:t>
      </w:r>
    </w:p>
    <w:p w14:paraId="16C5636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②高端装备产业展示系统</w:t>
      </w:r>
    </w:p>
    <w:p w14:paraId="329A081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融合了多种先进技术与功能模块，含定制素材库、影片嵌入与交互系统三大模块。素材库储备丰富产业数字资源，影片模块融入多元展示影片。体验者入场后，主控系统启动层级式主界面与动态UI，涵盖定制建模内容、企业概况与视频示意。交互系统捕捉体验者行为，智能灵活地展示高端装备产业数据，使体验者深入领略其魅力与企业实力，达成卓越展示效果。</w:t>
      </w:r>
    </w:p>
    <w:p w14:paraId="3B075F5C">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③新材料产业展示系统</w:t>
      </w:r>
    </w:p>
    <w:p w14:paraId="0CF7744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围绕新材料产业构建展示体系，其展示层级涵盖高清定制数字内容、数字影片嵌入及主动实时交互三大模块。我国对新材料产业发展的重视为其提供宏观指引。体验者进入区域后，主控系统启动远程检索，呈现层级式新材料信息检索主界面与动态UI，彰显新材料独特性能与功能，展示代表性产业。主界面融合产业关联、企业概况与视频示意层级，各层级均配Unreal Engine 4定制的动态高精度动画与宣传视频，以全方位、立体化方式呈现新材料产业全貌，助力观众深入了解其发展与特色。</w:t>
      </w:r>
    </w:p>
    <w:p w14:paraId="0A0E12B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④生物医药产业展示系统</w:t>
      </w:r>
    </w:p>
    <w:p w14:paraId="40A8147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由五大关键模块构建展示层级，涵盖高清定制化数字素材库、全息数字内容动态流送、特效融合、内容反调处理以及主动实时交互系统。系统前端配备触摸屏，可立体呈现医药信息并支持多项目自由切换。独特的四幅全息展示设计，使各屏幕独立运作，互不干扰，能同时展示多样化生物医药内容，以先进的全息技术与交互功能，全方位、多角度展示生物医药产业的前沿成果、核心技术与创新实力，为观众带来沉浸式、精细化的产业展示体验。</w:t>
      </w:r>
    </w:p>
    <w:p w14:paraId="0214389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⑤光电信息产业展示系统</w:t>
      </w:r>
    </w:p>
    <w:p w14:paraId="79F1B8C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该展示区域展示光电信息产业优秀企业的实物专利产品以及相关图文介绍。</w:t>
      </w:r>
    </w:p>
    <w:p w14:paraId="44D4065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⑥航空航天产业展示系统</w:t>
      </w:r>
    </w:p>
    <w:p w14:paraId="79CF14E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由五大核心模块构建展示层级，包括数字太空动态空间模拟、高精度建模、空间贴图实时生成、物理引擎特效模拟以及主动式实时交互系统。体验者进入展区后，主控系统远程触发，呈现层级式航空航天信息检索主界面与动态UI，融合高端装备关联数字建模、企业概况及展示视频等内容，以先进技术与丰富内容全方位、多层次展现航空航天产业的数据内容，为参观者带来极具沉浸感与专业性的展示体验。</w:t>
      </w:r>
    </w:p>
    <w:p w14:paraId="54D47CC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outlineLvl w:val="4"/>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⑦高价值专利成果展示</w:t>
      </w:r>
    </w:p>
    <w:p w14:paraId="59842B1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价值专利成果展示系统后期运维涵盖多方面。硬件上，定期维护全息展柜与数据大屏，包括外观检查、性能测试、线路与供电系统维护等。软件方面，持续进行数据更新管理与系统性能优化，保障数据准确完整且系统高效运行。注重内容更新优化，及时增添新成果信息，创作并完善数字内容。为用户提供系统操作培训与参观者引导支持。同时强化安全与应急管理，保障物理、数据及网络安全，制定应急响应预案并演练，确保系统稳定可靠运行，为专利成果展示提供持续有力支撑。</w:t>
      </w:r>
    </w:p>
    <w:p w14:paraId="4A9D9473">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（6）长春知识产权运营服务平台介绍</w:t>
      </w:r>
    </w:p>
    <w:p w14:paraId="765E7D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台介绍系统后期运维涵盖多方面工作。硬件上，定期检查屏幕显示效果与实体按钮功能，确保画面清晰，按钮触控灵敏无故障；软件方面，保障链接网址的有效性与稳定性，优化页面加载速度，监测系统各模块响应情况，及时修复漏洞与卡顿问题，确保用户能顺利点击模块查询信息并便捷返回主界面，维持系统良好运行状态。</w:t>
      </w:r>
    </w:p>
    <w:p w14:paraId="2ED2A663">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（7）长春知识产权服务业集聚区概况</w:t>
      </w:r>
    </w:p>
    <w:p w14:paraId="7A60170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聚区概况系统主要用于播放集聚区的数字化概况内容，其中涵盖入驻企业的详细信息及相关数据。通过该系统，用户可直观了解集聚区的整体情况，如企业的数量、规模、行业分布等数据信息，为全面认识和评估集聚区的发展现状及潜力提供有力支持。</w:t>
      </w:r>
    </w:p>
    <w:p w14:paraId="4BFE0CC0">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（8）未来展望</w:t>
      </w:r>
    </w:p>
    <w:p w14:paraId="117A720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该系统借助精心制作的视频展示形式，系统对这些未来关键技术展开简要且精准的阐释，生动勾勒出在其驱动下重点产业的发展愿景与预期走向。</w:t>
      </w:r>
    </w:p>
    <w:p w14:paraId="5993FEB2">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2.项目运维内容</w:t>
      </w:r>
    </w:p>
    <w:p w14:paraId="2CC0F971">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（1）展厅系统运维</w:t>
      </w:r>
    </w:p>
    <w:p w14:paraId="6BB7235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①系统日常运维</w:t>
      </w:r>
    </w:p>
    <w:p w14:paraId="293E32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1）系统硬件监控：监控CPU使用率、内存占用率、磁盘空间等硬件资源状态。</w:t>
      </w:r>
    </w:p>
    <w:p w14:paraId="39B177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2）系统软件监控：监控操作系统、数据库、中间件等软件的运行状态。</w:t>
      </w:r>
    </w:p>
    <w:p w14:paraId="295B5FB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运维：对展厅内的所有设备（包括但不限于展示屏幕、音响系统、互动设备等），运维单位将不定期进行检查，确保设备正常运行。检查内容包括但不限于设备的外观是否完好、电源连接是否稳定、功能是否正常等方面。</w:t>
      </w:r>
    </w:p>
    <w:p w14:paraId="359B64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部署的服务器进行管理和监测，包括服务器使用，结合业务实际开展情况，对服务器做升级，以便更好支撑软件系统稳定运行；同时，对展厅提供预防性主动维护服务，包括系统安全运行、应急处理和技术运维服务等。通过巡检检查系统运行情况，提出预示发生问题的解决方案和建议，避免因故障导致运行中断的事故出现。</w:t>
      </w:r>
    </w:p>
    <w:p w14:paraId="1F60A73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②软件更新</w:t>
      </w:r>
    </w:p>
    <w:p w14:paraId="370AD0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1）系统优化：优化系统资源配置，提高运行效率；</w:t>
      </w:r>
    </w:p>
    <w:p w14:paraId="089A2F7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2）功能增强与拓展：与长春新区科学技术局进行评估后进行进一步制作。</w:t>
      </w:r>
    </w:p>
    <w:p w14:paraId="66029C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软件更新后应进行全面且充分的测试，包括但不限于功能、性能、兼容性等方面，以确保更新后的稳定性。</w:t>
      </w:r>
    </w:p>
    <w:p w14:paraId="1557CD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对于紧急且重要的用户需求，应启动快速响应机制，在最短时间内对需求进行评估和处理。在整个更新过程中，将严格遵守知识产权法律法规，坚决杜绝使用未经授权的技术和代码。</w:t>
      </w:r>
    </w:p>
    <w:p w14:paraId="253D175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③数据可视化展示运维</w:t>
      </w:r>
    </w:p>
    <w:p w14:paraId="35DC5B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平台的数据可视化展示运维服务，具体工作内容包括：对平台内知识产权数据进行可视化处理，以便用户直观地了解知识产权的分布、数量、类型、趋势等信息。根据数据变化及时更新平台上的图表、地图、数据报表等可视化元素，确保数据可视化展示的稳定性和可靠性，及时处理和解决平台出现的故障和问题。定期对数据可视化展示进行维护和更新，例如，更新数据源、优化展示效果、改进用户界面等。</w:t>
      </w:r>
    </w:p>
    <w:p w14:paraId="1B72471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④功能日常升级</w:t>
      </w:r>
    </w:p>
    <w:p w14:paraId="2AA584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检查展厅的各类设施设备，对老化或性能不佳的易损设备进行升级换代。例如，更新照明系统，提升展示效果；升级音响设备，营造更好的氛围等。</w:t>
      </w:r>
    </w:p>
    <w:p w14:paraId="3B0E376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⑤服务器运维</w:t>
      </w:r>
    </w:p>
    <w:p w14:paraId="5D3836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部署的服务器进行管理和监测，包括服务器使用，结合业务实际开展情况，对服务器做升级，以便更好支撑软件系统稳定运行。同时，对展厅提供预防性主动维护服务，包括系统安全运行、应急处理和技术运维服务等。通过巡检检查系统运行情况，提出预示发生问题的解决方案和建议，避免因故障导致运行中断的事故出现。</w:t>
      </w:r>
    </w:p>
    <w:p w14:paraId="70DE8F5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⑥展厅硬件运维</w:t>
      </w:r>
    </w:p>
    <w:p w14:paraId="10C66E2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展厅硬件发生故障时，运维单位应安排专业人员予以处理，保证在4小时内抵达现场。设备在完成维修后，将对设备进行全面的测试和验证，保证设备的各项性能指标均达到原有设计标准。所有维修工作将符合相关行业标准和规范，确保维修后的设备正常运行时间不少于3个月。建立备件库，储备常用易损件，以缩短维修时间。在保证维修质量的前提下，控制维修成本。</w:t>
      </w:r>
    </w:p>
    <w:p w14:paraId="21C5A0B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（2）培训与支持</w:t>
      </w:r>
    </w:p>
    <w:p w14:paraId="0DE76F0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提供全面的展厅系统操作培训，帮助相关人员快速熟悉系统功能和操作流程。培训内容涵盖系统的基本操作、常见问题处理以及高级功能的应用等方面。</w:t>
      </w:r>
    </w:p>
    <w:p w14:paraId="0DDE99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定期组织培训课程，根据系统的更新和发展，及时培训新的知识和技能。培训形式包括线上课程、现场培训和操作演示等，以满足不同的需求。</w:t>
      </w:r>
    </w:p>
    <w:p w14:paraId="783C8EC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提供个性化的培训方案，根据具体需求和实际情况，定制专属的培训内容和培训计划。</w:t>
      </w:r>
    </w:p>
    <w:p w14:paraId="790F6AD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（3）安全事件响应</w:t>
      </w:r>
    </w:p>
    <w:p w14:paraId="56BE92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持续对展厅系统进行安全监测，利用先进的监测工具和技术，实时察觉潜在的安全风险迹象。建立预警机制，当系统出现异常活动或可能的安全威胁时，及时发出警报，确保相关人员能够迅速采取行动。</w:t>
      </w:r>
    </w:p>
    <w:p w14:paraId="22C5420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（4）技术支持服务</w:t>
      </w:r>
    </w:p>
    <w:p w14:paraId="1529C3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用户在工作时间内提出系统技术相关的问题时，技术团队承诺将在收到问题的2小时内迅速响应，首先进行问题的初步确认。这一响应包括但不限于确认收到用户请求、核实问题的基本情况，并可能要求用户提供更多信息以便深入分析问题。</w:t>
      </w:r>
    </w:p>
    <w:p w14:paraId="655CA7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随后，对用户提出的技术问题进行全面细致的分析。这一步骤可能涉及查阅系统日志、复现问题场景、比对历史解决方案库或进行内部技术讨论，确保对问题的本质有准确的理解。</w:t>
      </w:r>
    </w:p>
    <w:p w14:paraId="597DB6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完成问题分析后，将处理进展或初步诊断结果及时反馈给用户。反馈内容清晰、详尽地说明问题原因（如果已经确定）、预计解决时间、需要用户配合的事项（如有），以及任何临时应对措施或建议，确保用户充分了解问题处理的状态，并能在此基础上做出相应的安排。</w:t>
      </w:r>
    </w:p>
    <w:p w14:paraId="344B0B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整个过程要求快速响应、专业分析和透明沟通，旨在尽快解决用户的系统技术问题，减少其业务受影响的程度，同时通过高效的服务增强用户的满意度和信任。</w:t>
      </w:r>
    </w:p>
    <w:p w14:paraId="408A3606">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3.项目保障要求</w:t>
      </w:r>
    </w:p>
    <w:p w14:paraId="18899231">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（1）服务周期</w:t>
      </w:r>
    </w:p>
    <w:p w14:paraId="7A447A72">
      <w:pPr>
        <w:spacing w:line="380" w:lineRule="exact"/>
        <w:ind w:firstLine="480" w:firstLineChars="200"/>
        <w:rPr>
          <w:rFonts w:hint="eastAsia" w:ascii="宋体" w:hAnsi="宋体" w:cs="宋体"/>
          <w:strike w:val="0"/>
          <w:dstrike w:val="0"/>
          <w:color w:val="auto"/>
          <w:sz w:val="24"/>
          <w:szCs w:val="24"/>
          <w:highlight w:val="none"/>
          <w:shd w:val="clear" w:color="auto" w:fill="auto"/>
          <w:lang w:val="en-US" w:eastAsia="zh-CN"/>
        </w:rPr>
      </w:pPr>
      <w:r>
        <w:rPr>
          <w:rFonts w:hint="eastAsia" w:ascii="宋体" w:hAnsi="宋体" w:eastAsia="宋体" w:cs="宋体"/>
          <w:strike w:val="0"/>
          <w:dstrike w:val="0"/>
          <w:color w:val="auto"/>
          <w:sz w:val="24"/>
          <w:szCs w:val="24"/>
          <w:highlight w:val="none"/>
          <w:shd w:val="clear" w:color="auto" w:fill="auto"/>
          <w:lang w:eastAsia="zh-CN"/>
        </w:rPr>
        <w:t>2025年</w:t>
      </w:r>
      <w:r>
        <w:rPr>
          <w:rFonts w:hint="eastAsia" w:ascii="宋体" w:hAnsi="宋体" w:cs="宋体"/>
          <w:strike w:val="0"/>
          <w:dstrike w:val="0"/>
          <w:color w:val="auto"/>
          <w:sz w:val="24"/>
          <w:szCs w:val="24"/>
          <w:highlight w:val="none"/>
          <w:shd w:val="clear" w:color="auto" w:fill="auto"/>
          <w:lang w:eastAsia="zh-CN"/>
        </w:rPr>
        <w:t>至2027年</w:t>
      </w:r>
      <w:r>
        <w:rPr>
          <w:rFonts w:hint="eastAsia" w:ascii="宋体" w:hAnsi="宋体" w:cs="宋体"/>
          <w:strike w:val="0"/>
          <w:dstrike w:val="0"/>
          <w:color w:val="auto"/>
          <w:sz w:val="24"/>
          <w:szCs w:val="24"/>
          <w:highlight w:val="none"/>
          <w:shd w:val="clear" w:color="auto" w:fill="auto"/>
          <w:lang w:val="en-US" w:eastAsia="zh-CN"/>
        </w:rPr>
        <w:t>；</w:t>
      </w:r>
    </w:p>
    <w:p w14:paraId="30106F50">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outlineLvl w:val="3"/>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（2）组织机构</w:t>
      </w:r>
    </w:p>
    <w:p w14:paraId="53EA17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单位安排1-2专业技术人员驻场，具有相关资质，在该领域拥有丰富的实践经验。技术人员在接收到展厅故障报告后的2小时内，需迅速做出积极有效的响应，反馈初步的故障分析和处理计划。保证在4小时内抵达现场，24小时内将问题解决。</w:t>
      </w:r>
    </w:p>
    <w:p w14:paraId="1A597A96">
      <w:pPr>
        <w:keepNext w:val="0"/>
        <w:keepLines w:val="0"/>
        <w:pageBreakBefore w:val="0"/>
        <w:kinsoku/>
        <w:wordWrap/>
        <w:overflowPunct/>
        <w:topLinePunct w:val="0"/>
        <w:bidi w:val="0"/>
        <w:spacing w:line="560" w:lineRule="exact"/>
        <w:ind w:firstLine="400" w:firstLineChars="200"/>
        <w:rPr>
          <w:rFonts w:hint="eastAsia" w:ascii="宋体" w:hAnsi="宋体" w:eastAsia="宋体" w:cs="宋体"/>
          <w:sz w:val="24"/>
          <w:szCs w:val="24"/>
          <w:highlight w:val="none"/>
        </w:rPr>
      </w:pPr>
      <w:r>
        <w:rPr>
          <w:rFonts w:hint="eastAsia"/>
        </w:rPr>
        <w:br w:type="page"/>
      </w:r>
      <w:r>
        <w:rPr>
          <w:rFonts w:hint="eastAsia" w:ascii="宋体" w:hAnsi="宋体" w:eastAsia="宋体" w:cs="宋体"/>
          <w:b/>
          <w:bCs/>
          <w:sz w:val="24"/>
          <w:szCs w:val="24"/>
          <w:lang w:val="en-US" w:eastAsia="zh-CN"/>
        </w:rPr>
        <w:t>4.本运维项目包括但不限于以下</w:t>
      </w:r>
      <w:r>
        <w:rPr>
          <w:rFonts w:hint="eastAsia" w:ascii="宋体" w:hAnsi="宋体" w:eastAsia="宋体" w:cs="宋体"/>
          <w:b/>
          <w:bCs/>
          <w:i w:val="0"/>
          <w:iCs w:val="0"/>
          <w:kern w:val="0"/>
          <w:sz w:val="24"/>
          <w:szCs w:val="24"/>
          <w:u w:val="none"/>
          <w:lang w:val="en-US" w:eastAsia="zh-CN" w:bidi="ar"/>
        </w:rPr>
        <w:t>内容</w:t>
      </w:r>
      <w:r>
        <w:rPr>
          <w:rFonts w:hint="eastAsia" w:ascii="宋体" w:hAnsi="宋体" w:eastAsia="宋体" w:cs="宋体"/>
          <w:b/>
          <w:bCs/>
          <w:sz w:val="24"/>
          <w:szCs w:val="24"/>
        </w:rPr>
        <w:t>：</w:t>
      </w:r>
    </w:p>
    <w:tbl>
      <w:tblPr>
        <w:tblStyle w:val="28"/>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4349"/>
        <w:gridCol w:w="1269"/>
        <w:gridCol w:w="1200"/>
      </w:tblGrid>
      <w:tr w14:paraId="6C8F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0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44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运维服务内容</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0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55"/>
                <w:lang w:val="en-US" w:eastAsia="zh-CN" w:bidi="ar"/>
              </w:rPr>
              <w:t>预算</w:t>
            </w:r>
            <w:r>
              <w:rPr>
                <w:rFonts w:hint="eastAsia" w:ascii="宋体" w:hAnsi="宋体" w:eastAsia="宋体" w:cs="宋体"/>
                <w:b/>
                <w:bCs/>
                <w:i w:val="0"/>
                <w:iCs w:val="0"/>
                <w:color w:val="000000"/>
                <w:kern w:val="0"/>
                <w:sz w:val="24"/>
                <w:szCs w:val="24"/>
                <w:u w:val="none"/>
                <w:lang w:val="en-US" w:eastAsia="zh-CN" w:bidi="ar"/>
              </w:rPr>
              <w:t>/</w:t>
            </w:r>
            <w:r>
              <w:rPr>
                <w:rStyle w:val="55"/>
                <w:lang w:val="en-US" w:eastAsia="zh-CN" w:bidi="ar"/>
              </w:rPr>
              <w:t>年（万元）</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6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运维周期（年）</w:t>
            </w:r>
          </w:p>
        </w:tc>
      </w:tr>
      <w:tr w14:paraId="628E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A1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长春知识产权数字化展示平台</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F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系统优化和软件更新</w:t>
            </w:r>
          </w:p>
        </w:tc>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706" w:type="pct"/>
            <w:vMerge w:val="restart"/>
            <w:tcBorders>
              <w:top w:val="single" w:color="000000" w:sz="4" w:space="0"/>
              <w:left w:val="single" w:color="000000" w:sz="4" w:space="0"/>
              <w:right w:val="single" w:color="000000" w:sz="4" w:space="0"/>
            </w:tcBorders>
            <w:shd w:val="clear" w:color="auto" w:fill="auto"/>
            <w:noWrap/>
            <w:vAlign w:val="center"/>
          </w:tcPr>
          <w:p w14:paraId="792161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66FB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C3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D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日常维护</w:t>
            </w: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37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06" w:type="pct"/>
            <w:vMerge w:val="continue"/>
            <w:tcBorders>
              <w:left w:val="single" w:color="000000" w:sz="4" w:space="0"/>
              <w:right w:val="single" w:color="000000" w:sz="4" w:space="0"/>
            </w:tcBorders>
            <w:shd w:val="clear" w:color="auto" w:fill="auto"/>
            <w:noWrap/>
            <w:vAlign w:val="center"/>
          </w:tcPr>
          <w:p w14:paraId="52A0AE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7DE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59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4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数据可视化运维</w:t>
            </w: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85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06" w:type="pct"/>
            <w:vMerge w:val="continue"/>
            <w:tcBorders>
              <w:left w:val="single" w:color="000000" w:sz="4" w:space="0"/>
              <w:right w:val="single" w:color="000000" w:sz="4" w:space="0"/>
            </w:tcBorders>
            <w:shd w:val="clear" w:color="auto" w:fill="auto"/>
            <w:noWrap/>
            <w:vAlign w:val="center"/>
          </w:tcPr>
          <w:p w14:paraId="5D0F3F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423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E2C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0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硬件运维</w:t>
            </w: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15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706" w:type="pct"/>
            <w:vMerge w:val="continue"/>
            <w:tcBorders>
              <w:left w:val="single" w:color="000000" w:sz="4" w:space="0"/>
              <w:bottom w:val="single" w:color="000000" w:sz="4" w:space="0"/>
              <w:right w:val="single" w:color="000000" w:sz="4" w:space="0"/>
            </w:tcBorders>
            <w:shd w:val="clear" w:color="auto" w:fill="auto"/>
            <w:noWrap/>
            <w:vAlign w:val="center"/>
          </w:tcPr>
          <w:p w14:paraId="030108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bl>
    <w:p w14:paraId="2E19A85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p>
    <w:p w14:paraId="449D1D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br w:type="page"/>
      </w:r>
    </w:p>
    <w:p w14:paraId="6F0879E1">
      <w:pPr>
        <w:pStyle w:val="3"/>
        <w:spacing w:before="0" w:after="0" w:line="360" w:lineRule="auto"/>
        <w:jc w:val="center"/>
        <w:rPr>
          <w:rFonts w:hint="eastAsia" w:ascii="宋体" w:hAnsi="宋体" w:eastAsia="宋体" w:cs="宋体"/>
          <w:highlight w:val="none"/>
        </w:rPr>
      </w:pPr>
      <w:bookmarkStart w:id="82" w:name="_Toc48760975"/>
      <w:bookmarkStart w:id="83" w:name="_Toc54891396"/>
      <w:r>
        <w:rPr>
          <w:rFonts w:hint="eastAsia" w:ascii="宋体" w:hAnsi="宋体" w:eastAsia="宋体" w:cs="宋体"/>
          <w:highlight w:val="none"/>
        </w:rPr>
        <w:t>第五部分  合同条款</w:t>
      </w:r>
      <w:bookmarkEnd w:id="82"/>
      <w:bookmarkEnd w:id="83"/>
    </w:p>
    <w:p w14:paraId="10DE19C4">
      <w:pPr>
        <w:pStyle w:val="24"/>
        <w:spacing w:line="360" w:lineRule="auto"/>
        <w:outlineLvl w:val="9"/>
        <w:rPr>
          <w:rFonts w:hint="eastAsia" w:ascii="宋体" w:hAnsi="宋体" w:eastAsia="宋体" w:cs="宋体"/>
          <w:sz w:val="44"/>
          <w:szCs w:val="44"/>
          <w:highlight w:val="none"/>
        </w:rPr>
      </w:pPr>
      <w:bookmarkStart w:id="84" w:name="_Toc9722"/>
      <w:r>
        <w:rPr>
          <w:rFonts w:hint="eastAsia" w:ascii="宋体" w:hAnsi="宋体" w:eastAsia="宋体" w:cs="宋体"/>
          <w:highlight w:val="none"/>
        </w:rPr>
        <w:t>（参考合同</w:t>
      </w:r>
      <w:r>
        <w:rPr>
          <w:rFonts w:hint="eastAsia" w:ascii="宋体" w:hAnsi="宋体" w:eastAsia="宋体" w:cs="宋体"/>
          <w:highlight w:val="none"/>
          <w:lang w:eastAsia="zh-CN"/>
        </w:rPr>
        <w:t>，以实际签订合同为准。</w:t>
      </w:r>
      <w:r>
        <w:rPr>
          <w:rFonts w:hint="eastAsia" w:ascii="宋体" w:hAnsi="宋体" w:eastAsia="宋体" w:cs="宋体"/>
          <w:highlight w:val="none"/>
        </w:rPr>
        <w:t>）</w:t>
      </w:r>
      <w:bookmarkEnd w:id="84"/>
    </w:p>
    <w:p w14:paraId="7011A224">
      <w:pPr>
        <w:widowControl w:val="0"/>
        <w:spacing w:line="360" w:lineRule="auto"/>
        <w:ind w:right="480"/>
        <w:jc w:val="center"/>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rPr>
        <w:t>合同编号：</w:t>
      </w:r>
      <w:r>
        <w:rPr>
          <w:rFonts w:hint="eastAsia" w:ascii="宋体" w:hAnsi="宋体" w:cs="宋体"/>
          <w:b/>
          <w:bCs/>
          <w:sz w:val="24"/>
          <w:szCs w:val="24"/>
          <w:highlight w:val="none"/>
          <w:lang w:eastAsia="zh-CN"/>
        </w:rPr>
        <w:t>XQZC2024-049-002</w:t>
      </w:r>
    </w:p>
    <w:p w14:paraId="0280519E">
      <w:pPr>
        <w:adjustRightInd w:val="0"/>
        <w:snapToGrid w:val="0"/>
        <w:spacing w:before="360" w:line="360" w:lineRule="auto"/>
        <w:rPr>
          <w:rFonts w:hint="eastAsia" w:ascii="宋体" w:hAnsi="宋体" w:eastAsia="宋体" w:cs="宋体"/>
          <w:sz w:val="24"/>
          <w:szCs w:val="24"/>
          <w:highlight w:val="none"/>
        </w:rPr>
      </w:pPr>
    </w:p>
    <w:p w14:paraId="189FB29B">
      <w:pPr>
        <w:adjustRightInd w:val="0"/>
        <w:snapToGrid w:val="0"/>
        <w:spacing w:before="360" w:line="360" w:lineRule="auto"/>
        <w:rPr>
          <w:rFonts w:hint="eastAsia" w:ascii="宋体" w:hAnsi="宋体" w:eastAsia="宋体" w:cs="宋体"/>
          <w:sz w:val="24"/>
          <w:szCs w:val="24"/>
          <w:highlight w:val="none"/>
        </w:rPr>
      </w:pPr>
    </w:p>
    <w:p w14:paraId="3AAE5492">
      <w:pPr>
        <w:adjustRightInd w:val="0"/>
        <w:snapToGrid w:val="0"/>
        <w:spacing w:before="360" w:line="360" w:lineRule="auto"/>
        <w:rPr>
          <w:rFonts w:hint="eastAsia" w:ascii="宋体" w:hAnsi="宋体" w:eastAsia="宋体" w:cs="宋体"/>
          <w:sz w:val="24"/>
          <w:szCs w:val="24"/>
          <w:highlight w:val="none"/>
        </w:rPr>
      </w:pPr>
    </w:p>
    <w:p w14:paraId="3846F942">
      <w:pPr>
        <w:widowControl w:val="0"/>
        <w:spacing w:line="360" w:lineRule="auto"/>
        <w:ind w:firstLine="480" w:firstLineChars="200"/>
        <w:rPr>
          <w:rFonts w:hint="eastAsia" w:ascii="宋体" w:hAnsi="宋体" w:eastAsia="宋体" w:cs="宋体"/>
          <w:bCs/>
          <w:sz w:val="24"/>
          <w:szCs w:val="24"/>
          <w:highlight w:val="none"/>
        </w:rPr>
      </w:pPr>
    </w:p>
    <w:p w14:paraId="08F0B04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委 托 人（甲方）：                       </w:t>
      </w:r>
    </w:p>
    <w:p w14:paraId="418599A5">
      <w:pPr>
        <w:widowControl w:val="0"/>
        <w:spacing w:line="360" w:lineRule="auto"/>
        <w:ind w:firstLine="480" w:firstLineChars="200"/>
        <w:rPr>
          <w:rFonts w:hint="eastAsia" w:ascii="宋体" w:hAnsi="宋体" w:eastAsia="宋体" w:cs="宋体"/>
          <w:bCs/>
          <w:sz w:val="24"/>
          <w:szCs w:val="24"/>
          <w:highlight w:val="none"/>
        </w:rPr>
      </w:pPr>
    </w:p>
    <w:p w14:paraId="00BF159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被委托人（乙方）：                        </w:t>
      </w:r>
    </w:p>
    <w:p w14:paraId="2475C1DA">
      <w:pPr>
        <w:widowControl w:val="0"/>
        <w:spacing w:line="360" w:lineRule="auto"/>
        <w:ind w:firstLine="480" w:firstLineChars="200"/>
        <w:rPr>
          <w:rFonts w:hint="eastAsia" w:ascii="宋体" w:hAnsi="宋体" w:eastAsia="宋体" w:cs="宋体"/>
          <w:bCs/>
          <w:sz w:val="24"/>
          <w:szCs w:val="24"/>
          <w:highlight w:val="none"/>
        </w:rPr>
      </w:pPr>
    </w:p>
    <w:p w14:paraId="32AB374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签订地点：             </w:t>
      </w:r>
    </w:p>
    <w:p w14:paraId="42655FF3">
      <w:pPr>
        <w:widowControl w:val="0"/>
        <w:spacing w:line="360" w:lineRule="auto"/>
        <w:ind w:firstLine="480" w:firstLineChars="200"/>
        <w:rPr>
          <w:rFonts w:hint="eastAsia" w:ascii="宋体" w:hAnsi="宋体" w:eastAsia="宋体" w:cs="宋体"/>
          <w:bCs/>
          <w:sz w:val="24"/>
          <w:szCs w:val="24"/>
          <w:highlight w:val="none"/>
        </w:rPr>
      </w:pPr>
    </w:p>
    <w:p w14:paraId="522D7B0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签订日期： 年  月  日</w:t>
      </w:r>
    </w:p>
    <w:p w14:paraId="5772DA50">
      <w:pPr>
        <w:widowControl w:val="0"/>
        <w:spacing w:line="360" w:lineRule="auto"/>
        <w:ind w:firstLine="480" w:firstLineChars="200"/>
        <w:rPr>
          <w:rFonts w:hint="eastAsia" w:ascii="宋体" w:hAnsi="宋体" w:eastAsia="宋体" w:cs="宋体"/>
          <w:bCs/>
          <w:sz w:val="24"/>
          <w:szCs w:val="24"/>
          <w:highlight w:val="none"/>
        </w:rPr>
      </w:pPr>
    </w:p>
    <w:p w14:paraId="5D3E9FCF">
      <w:pPr>
        <w:widowControl w:val="0"/>
        <w:spacing w:line="360" w:lineRule="auto"/>
        <w:ind w:firstLine="480" w:firstLineChars="200"/>
        <w:rPr>
          <w:rFonts w:hint="eastAsia" w:ascii="宋体" w:hAnsi="宋体" w:eastAsia="宋体" w:cs="宋体"/>
          <w:bCs/>
          <w:sz w:val="24"/>
          <w:szCs w:val="24"/>
          <w:highlight w:val="none"/>
        </w:rPr>
      </w:pPr>
    </w:p>
    <w:p w14:paraId="24BCD354">
      <w:pPr>
        <w:widowControl w:val="0"/>
        <w:spacing w:line="360" w:lineRule="auto"/>
        <w:ind w:firstLine="480" w:firstLineChars="200"/>
        <w:rPr>
          <w:rFonts w:hint="eastAsia" w:ascii="宋体" w:hAnsi="宋体" w:eastAsia="宋体" w:cs="宋体"/>
          <w:bCs/>
          <w:sz w:val="24"/>
          <w:szCs w:val="24"/>
          <w:highlight w:val="none"/>
        </w:rPr>
      </w:pPr>
    </w:p>
    <w:p w14:paraId="1049CD7A">
      <w:pPr>
        <w:widowControl w:val="0"/>
        <w:spacing w:line="360" w:lineRule="auto"/>
        <w:ind w:firstLine="480" w:firstLineChars="200"/>
        <w:rPr>
          <w:rFonts w:hint="eastAsia" w:ascii="宋体" w:hAnsi="宋体" w:eastAsia="宋体" w:cs="宋体"/>
          <w:bCs/>
          <w:sz w:val="24"/>
          <w:szCs w:val="24"/>
          <w:highlight w:val="none"/>
        </w:rPr>
      </w:pPr>
    </w:p>
    <w:p w14:paraId="24A06D39">
      <w:pPr>
        <w:widowControl w:val="0"/>
        <w:spacing w:line="360" w:lineRule="auto"/>
        <w:ind w:firstLine="480" w:firstLineChars="200"/>
        <w:rPr>
          <w:rFonts w:hint="eastAsia" w:ascii="宋体" w:hAnsi="宋体" w:eastAsia="宋体" w:cs="宋体"/>
          <w:bCs/>
          <w:sz w:val="24"/>
          <w:szCs w:val="24"/>
          <w:highlight w:val="none"/>
        </w:rPr>
      </w:pPr>
    </w:p>
    <w:p w14:paraId="5634B7C6">
      <w:pPr>
        <w:widowControl w:val="0"/>
        <w:spacing w:line="360" w:lineRule="auto"/>
        <w:ind w:firstLine="480" w:firstLineChars="200"/>
        <w:rPr>
          <w:rFonts w:hint="eastAsia" w:ascii="宋体" w:hAnsi="宋体" w:eastAsia="宋体" w:cs="宋体"/>
          <w:bCs/>
          <w:sz w:val="24"/>
          <w:szCs w:val="24"/>
          <w:highlight w:val="none"/>
        </w:rPr>
      </w:pPr>
    </w:p>
    <w:p w14:paraId="15455F80">
      <w:pPr>
        <w:pStyle w:val="26"/>
        <w:rPr>
          <w:rFonts w:hint="eastAsia" w:ascii="宋体" w:hAnsi="宋体" w:eastAsia="宋体" w:cs="宋体"/>
          <w:bCs/>
          <w:sz w:val="24"/>
          <w:szCs w:val="24"/>
          <w:highlight w:val="none"/>
        </w:rPr>
      </w:pPr>
    </w:p>
    <w:p w14:paraId="6BAB9103">
      <w:pPr>
        <w:pStyle w:val="26"/>
        <w:rPr>
          <w:rFonts w:hint="eastAsia" w:ascii="宋体" w:hAnsi="宋体" w:eastAsia="宋体" w:cs="宋体"/>
          <w:bCs/>
          <w:sz w:val="24"/>
          <w:szCs w:val="24"/>
          <w:highlight w:val="none"/>
        </w:rPr>
      </w:pPr>
    </w:p>
    <w:p w14:paraId="71CCC9B8">
      <w:pPr>
        <w:pStyle w:val="26"/>
        <w:rPr>
          <w:rFonts w:hint="eastAsia" w:ascii="宋体" w:hAnsi="宋体" w:eastAsia="宋体" w:cs="宋体"/>
          <w:bCs/>
          <w:sz w:val="24"/>
          <w:szCs w:val="24"/>
          <w:highlight w:val="none"/>
        </w:rPr>
      </w:pPr>
    </w:p>
    <w:p w14:paraId="34394E31">
      <w:pPr>
        <w:pStyle w:val="26"/>
        <w:rPr>
          <w:rFonts w:hint="eastAsia" w:ascii="宋体" w:hAnsi="宋体" w:eastAsia="宋体" w:cs="宋体"/>
          <w:bCs/>
          <w:sz w:val="24"/>
          <w:szCs w:val="24"/>
          <w:highlight w:val="none"/>
        </w:rPr>
      </w:pPr>
    </w:p>
    <w:p w14:paraId="24243789">
      <w:pPr>
        <w:pStyle w:val="26"/>
        <w:rPr>
          <w:rFonts w:hint="eastAsia" w:ascii="宋体" w:hAnsi="宋体" w:eastAsia="宋体" w:cs="宋体"/>
          <w:bCs/>
          <w:sz w:val="24"/>
          <w:szCs w:val="24"/>
          <w:highlight w:val="none"/>
        </w:rPr>
      </w:pPr>
    </w:p>
    <w:p w14:paraId="3F6DBC6D">
      <w:pPr>
        <w:pStyle w:val="26"/>
        <w:rPr>
          <w:rFonts w:hint="eastAsia" w:ascii="宋体" w:hAnsi="宋体" w:eastAsia="宋体" w:cs="宋体"/>
          <w:bCs/>
          <w:sz w:val="24"/>
          <w:szCs w:val="24"/>
          <w:highlight w:val="none"/>
        </w:rPr>
      </w:pPr>
    </w:p>
    <w:p w14:paraId="32D86A6B">
      <w:pPr>
        <w:pStyle w:val="26"/>
        <w:rPr>
          <w:rFonts w:hint="eastAsia" w:ascii="宋体" w:hAnsi="宋体" w:eastAsia="宋体" w:cs="宋体"/>
          <w:bCs/>
          <w:sz w:val="24"/>
          <w:szCs w:val="24"/>
          <w:highlight w:val="none"/>
        </w:rPr>
      </w:pPr>
    </w:p>
    <w:p w14:paraId="79F8F3B7">
      <w:pPr>
        <w:pStyle w:val="26"/>
        <w:rPr>
          <w:rFonts w:hint="eastAsia" w:ascii="宋体" w:hAnsi="宋体" w:eastAsia="宋体" w:cs="宋体"/>
          <w:bCs/>
          <w:sz w:val="24"/>
          <w:szCs w:val="24"/>
          <w:highlight w:val="none"/>
        </w:rPr>
      </w:pPr>
    </w:p>
    <w:p w14:paraId="5D702D10">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14:paraId="309490F9">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p>
    <w:p w14:paraId="6D2AC50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项目经批准采用公开招标采购方式，确定将采购合同授予乙方。为进一步明确双方的责任，确保合同的顺利履行，根据《中华人民共和国</w:t>
      </w:r>
      <w:r>
        <w:rPr>
          <w:rFonts w:hint="eastAsia" w:ascii="宋体" w:hAnsi="宋体" w:eastAsia="宋体" w:cs="宋体"/>
          <w:bCs/>
          <w:sz w:val="24"/>
          <w:szCs w:val="24"/>
          <w:highlight w:val="none"/>
          <w:lang w:val="en-US" w:eastAsia="zh-CN"/>
        </w:rPr>
        <w:t>民法典</w:t>
      </w:r>
      <w:r>
        <w:rPr>
          <w:rFonts w:hint="eastAsia" w:ascii="宋体" w:hAnsi="宋体" w:eastAsia="宋体" w:cs="宋体"/>
          <w:bCs/>
          <w:sz w:val="24"/>
          <w:szCs w:val="24"/>
          <w:highlight w:val="none"/>
        </w:rPr>
        <w:t>》之规定，经甲乙双方充分协商，就乙方为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项目达成如下合同，以便共同遵守。</w:t>
      </w:r>
    </w:p>
    <w:p w14:paraId="238158F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第一条、合同金额</w:t>
      </w:r>
    </w:p>
    <w:p w14:paraId="0F324FC8">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甲方向乙方采购</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项目，所有费用金额总计人民币大写：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元）。具体的服务时间、服务地点、服务要求等详见招标文件。</w:t>
      </w:r>
    </w:p>
    <w:p w14:paraId="334ECECB">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第二条、服务日期</w:t>
      </w:r>
    </w:p>
    <w:p w14:paraId="692907FF">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相关服务在签署合同后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个工作日内开展。</w:t>
      </w:r>
    </w:p>
    <w:p w14:paraId="22AC6F5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第三条、付款方式：</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6311F48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第四条、甲、乙双方责任与义务：</w:t>
      </w:r>
    </w:p>
    <w:p w14:paraId="7F7E159E">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（甲乙双方按照招标文件及投标文件内容、实际情况编制填写）。</w:t>
      </w:r>
    </w:p>
    <w:p w14:paraId="74D540F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第五条、服务及服务期限</w:t>
      </w:r>
    </w:p>
    <w:p w14:paraId="341217D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1、乙方对本项目提供安保服务。服务包含             。</w:t>
      </w:r>
    </w:p>
    <w:p w14:paraId="4CCB629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2、服务期限：             。</w:t>
      </w:r>
    </w:p>
    <w:p w14:paraId="2FB86163">
      <w:pPr>
        <w:widowControl w:val="0"/>
        <w:spacing w:line="360" w:lineRule="auto"/>
        <w:ind w:firstLine="480" w:firstLineChars="200"/>
        <w:rPr>
          <w:rFonts w:hint="eastAsia" w:ascii="宋体" w:hAnsi="宋体" w:eastAsia="宋体" w:cs="宋体"/>
          <w:bCs/>
          <w:sz w:val="24"/>
          <w:szCs w:val="24"/>
          <w:highlight w:val="none"/>
        </w:rPr>
      </w:pPr>
      <w:bookmarkStart w:id="85" w:name="_Toc15624"/>
      <w:r>
        <w:rPr>
          <w:rFonts w:hint="eastAsia" w:ascii="宋体" w:hAnsi="宋体" w:eastAsia="宋体" w:cs="宋体"/>
          <w:bCs/>
          <w:sz w:val="24"/>
          <w:szCs w:val="24"/>
          <w:highlight w:val="none"/>
        </w:rPr>
        <w:t>第六条、不可抗力</w:t>
      </w:r>
      <w:bookmarkEnd w:id="85"/>
    </w:p>
    <w:p w14:paraId="10C4238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本合同执行的过程中，由于发生战争、洪水、台风、地震、疫情、灾害或其他人力不能控制等不可抗力事件，致使本合同的任何一方无法履行本合同规定的义务，遭受不可抗力的一方不承担违约责任。发生不可抗力的一方应在不可抗力事件发生的十五日内将情况及时通知对方并积极配合对方将损失降至最小。</w:t>
      </w:r>
    </w:p>
    <w:p w14:paraId="7D009F4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第七条 适用法律及争议解决</w:t>
      </w:r>
    </w:p>
    <w:p w14:paraId="05775601">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1、本合同的订立、解释和有效性适用于中华人民共和国有关法律。</w:t>
      </w:r>
    </w:p>
    <w:p w14:paraId="73F274C6">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2、甲乙双方如在解释或履行合同时发生争议，应尽量通过友好协商解决。如经过协商解决无效，任何一方均可向乙方住所地（签约地）的人民法院提起诉讼。</w:t>
      </w:r>
    </w:p>
    <w:p w14:paraId="154666E1">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3、在诉讼过程中，除争议点外，双方仍应继续履行合同。</w:t>
      </w:r>
    </w:p>
    <w:p w14:paraId="5CB3412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第八条、违约责任</w:t>
      </w:r>
    </w:p>
    <w:p w14:paraId="7AC1BA02">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（甲乙双方根据服务内容协商拟定）。</w:t>
      </w:r>
    </w:p>
    <w:p w14:paraId="5F3A26C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第九条、合同的组成及效力</w:t>
      </w:r>
    </w:p>
    <w:p w14:paraId="1CFB43A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1、本合同一经签订，即具有法律效力，任何一方不得擅自变更或解除，否则按违约行为处理。</w:t>
      </w:r>
    </w:p>
    <w:p w14:paraId="6E32A51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2、本项目的招标采购文件及有关附件是本合同不可分割的组成部分，与本合同具有同等法律效力。</w:t>
      </w:r>
    </w:p>
    <w:p w14:paraId="7BF3ED4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3、本合同一式陆份，双方各执叁份，具有同等法律效力。自双方加盖公章或合同章之日起生效。</w:t>
      </w:r>
    </w:p>
    <w:p w14:paraId="79541377">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4、双方当事人在本合同签定后，可以书面方式对本合同条款及附件进行修改和补充，该书面修改及补充构成本合同的有效组成部分。</w:t>
      </w:r>
    </w:p>
    <w:p w14:paraId="3B55A9FF">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5、如本合同有任何条款被司法机关视为无效、被撤销、不合法或不可执行，不影响本合同其他条款的效力。</w:t>
      </w:r>
    </w:p>
    <w:p w14:paraId="27DDFD13">
      <w:pPr>
        <w:pStyle w:val="26"/>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第十条 争端的解决</w:t>
      </w:r>
    </w:p>
    <w:p w14:paraId="242A76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14:paraId="2CE9FB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如果调解不成，供需双方的任何一方可以向人民法院提起诉讼。诉讼由合同签订地人民法院管辖。</w:t>
      </w:r>
    </w:p>
    <w:p w14:paraId="5FFFB7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17.3诉讼费除法院另有裁决外均由败诉方负担。</w:t>
      </w:r>
    </w:p>
    <w:p w14:paraId="1C46AC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17.4在诉讼期间，除正在进行诉讼的部分外，本合同的其它部分应继续执行。</w:t>
      </w:r>
    </w:p>
    <w:p w14:paraId="5B5E74C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第十一条、保密规定</w:t>
      </w:r>
    </w:p>
    <w:p w14:paraId="77AA61E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乙方因为履行本合同而获得的甲方的项目资料，以及乙方依据本合同所完成的项目成果和资料，均属于甲方的商业秘密，乙方应采取妥善措施履行保密义务。未经甲方许可，乙方不得向第三方转让或许可使用，不得以此进行牟利。</w:t>
      </w:r>
    </w:p>
    <w:p w14:paraId="3BF9B41A">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甲方及甲方员工也应严格保守乙方的商业秘密，甲方未经乙方同意不得向任何第三方泄漏乙方所提供的相关信息。甲方对所获知的乙方未向社会公开的所有信息资料、技术情况和商业秘密负有保密义务，未经乙方许可，甲方不得将其泄露给第三方。</w:t>
      </w:r>
    </w:p>
    <w:p w14:paraId="091C896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3、未经甲方书面同意，乙方不得使用或允许他人使用本委托协议项下的工作成果。</w:t>
      </w:r>
    </w:p>
    <w:p w14:paraId="6010A690">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4、如发生泄露，给甲方造成经济损失的，甲方向乙方按照实际损失追偿；本合同终止，不影响乙方应当承担的保密和知识产权责任。</w:t>
      </w:r>
    </w:p>
    <w:p w14:paraId="62FBF0D3">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第十二条、合同的终止</w:t>
      </w:r>
    </w:p>
    <w:p w14:paraId="65455FE3">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1、本合同及相关附件规定的甲乙双方的权利义务全部履行完毕后，本合同自然终止。</w:t>
      </w:r>
    </w:p>
    <w:p w14:paraId="2F47517C">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2、本合同及相关附件的任何条款在其法律效力没有终止之前，均适用于甲乙双方各自的继承人和受让人。</w:t>
      </w:r>
    </w:p>
    <w:p w14:paraId="44017AEE">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3、本合同未尽事宜由双方另行协商解决。</w:t>
      </w:r>
    </w:p>
    <w:p w14:paraId="756B92A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甲方：（公章）                        乙方：（公章）  </w:t>
      </w:r>
    </w:p>
    <w:p w14:paraId="17146A74">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                               地址：</w:t>
      </w:r>
    </w:p>
    <w:p w14:paraId="4A22689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                         法定代表人：</w:t>
      </w:r>
    </w:p>
    <w:p w14:paraId="36840239">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委托代理人：                         委托代理人：</w:t>
      </w:r>
    </w:p>
    <w:p w14:paraId="5B68E065">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                               电话：</w:t>
      </w:r>
    </w:p>
    <w:p w14:paraId="6EA7E788">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                           开户银行：</w:t>
      </w:r>
    </w:p>
    <w:p w14:paraId="7B08C477">
      <w:pPr>
        <w:widowControl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账号：                               账号：</w:t>
      </w:r>
    </w:p>
    <w:p w14:paraId="13C1D342">
      <w:pPr>
        <w:widowControl w:val="0"/>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14:paraId="7867B9F0">
      <w:pPr>
        <w:pStyle w:val="3"/>
        <w:spacing w:before="0" w:after="0" w:line="360" w:lineRule="auto"/>
        <w:jc w:val="center"/>
        <w:rPr>
          <w:rFonts w:hint="eastAsia" w:ascii="宋体" w:hAnsi="宋体" w:eastAsia="宋体" w:cs="宋体"/>
          <w:highlight w:val="none"/>
        </w:rPr>
      </w:pPr>
      <w:bookmarkStart w:id="86" w:name="_Toc54891397"/>
      <w:bookmarkStart w:id="87" w:name="_Toc48760976"/>
      <w:r>
        <w:rPr>
          <w:rFonts w:hint="eastAsia" w:ascii="宋体" w:hAnsi="宋体" w:eastAsia="宋体" w:cs="宋体"/>
          <w:highlight w:val="none"/>
        </w:rPr>
        <w:t>第六部分  投标文件格式</w:t>
      </w:r>
      <w:bookmarkEnd w:id="86"/>
      <w:bookmarkEnd w:id="87"/>
    </w:p>
    <w:p w14:paraId="6CC559A1">
      <w:pPr>
        <w:spacing w:line="440" w:lineRule="exact"/>
        <w:rPr>
          <w:rFonts w:hint="eastAsia" w:ascii="宋体" w:hAnsi="宋体" w:eastAsia="宋体" w:cs="宋体"/>
          <w:highlight w:val="none"/>
        </w:rPr>
      </w:pPr>
    </w:p>
    <w:p w14:paraId="3A2904A1">
      <w:pPr>
        <w:spacing w:line="440" w:lineRule="exact"/>
        <w:rPr>
          <w:rFonts w:hint="eastAsia" w:ascii="宋体" w:hAnsi="宋体" w:eastAsia="宋体" w:cs="宋体"/>
          <w:highlight w:val="none"/>
        </w:rPr>
      </w:pPr>
    </w:p>
    <w:p w14:paraId="78844392">
      <w:pPr>
        <w:spacing w:line="440" w:lineRule="exact"/>
        <w:rPr>
          <w:rFonts w:hint="eastAsia" w:ascii="宋体" w:hAnsi="宋体" w:eastAsia="宋体" w:cs="宋体"/>
          <w:highlight w:val="none"/>
        </w:rPr>
      </w:pPr>
    </w:p>
    <w:p w14:paraId="6861B6FA">
      <w:pPr>
        <w:jc w:val="center"/>
        <w:rPr>
          <w:rFonts w:hint="default" w:ascii="宋体" w:hAnsi="宋体" w:eastAsia="宋体" w:cs="宋体"/>
          <w:highlight w:val="none"/>
          <w:lang w:val="en-US" w:eastAsia="zh-CN"/>
        </w:rPr>
      </w:pP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（项目名称）</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lang w:val="en-US" w:eastAsia="zh-CN"/>
        </w:rPr>
        <w:t>（标段）</w:t>
      </w:r>
    </w:p>
    <w:p w14:paraId="152C356F">
      <w:pPr>
        <w:jc w:val="center"/>
        <w:rPr>
          <w:rFonts w:hint="eastAsia" w:ascii="宋体" w:hAnsi="宋体" w:eastAsia="宋体" w:cs="宋体"/>
          <w:highlight w:val="none"/>
        </w:rPr>
      </w:pPr>
    </w:p>
    <w:p w14:paraId="6BA44D29">
      <w:pPr>
        <w:pStyle w:val="26"/>
        <w:rPr>
          <w:rFonts w:hint="eastAsia" w:ascii="宋体" w:hAnsi="宋体" w:eastAsia="宋体" w:cs="宋体"/>
          <w:highlight w:val="none"/>
        </w:rPr>
      </w:pPr>
    </w:p>
    <w:p w14:paraId="6357A691">
      <w:pPr>
        <w:pStyle w:val="26"/>
        <w:rPr>
          <w:rFonts w:hint="eastAsia" w:ascii="宋体" w:hAnsi="宋体" w:eastAsia="宋体" w:cs="宋体"/>
          <w:highlight w:val="none"/>
        </w:rPr>
      </w:pPr>
    </w:p>
    <w:p w14:paraId="7A7A5601">
      <w:pPr>
        <w:rPr>
          <w:rFonts w:hint="eastAsia" w:ascii="宋体" w:hAnsi="宋体" w:eastAsia="宋体" w:cs="宋体"/>
          <w:highlight w:val="none"/>
        </w:rPr>
      </w:pPr>
    </w:p>
    <w:p w14:paraId="3715B668">
      <w:pPr>
        <w:jc w:val="center"/>
        <w:rPr>
          <w:rFonts w:hint="eastAsia" w:ascii="宋体" w:hAnsi="宋体" w:eastAsia="宋体" w:cs="宋体"/>
          <w:sz w:val="144"/>
          <w:szCs w:val="144"/>
          <w:highlight w:val="none"/>
        </w:rPr>
      </w:pPr>
      <w:r>
        <w:rPr>
          <w:rFonts w:hint="eastAsia" w:ascii="宋体" w:hAnsi="宋体" w:eastAsia="宋体" w:cs="宋体"/>
          <w:sz w:val="112"/>
          <w:szCs w:val="112"/>
          <w:highlight w:val="none"/>
        </w:rPr>
        <w:t>投标文件</w:t>
      </w:r>
    </w:p>
    <w:p w14:paraId="526E37BD">
      <w:pPr>
        <w:jc w:val="center"/>
        <w:rPr>
          <w:rFonts w:hint="eastAsia" w:ascii="宋体" w:hAnsi="宋体" w:eastAsia="宋体" w:cs="宋体"/>
          <w:sz w:val="28"/>
          <w:szCs w:val="28"/>
          <w:highlight w:val="none"/>
        </w:rPr>
      </w:pPr>
    </w:p>
    <w:p w14:paraId="20B3FF1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r>
        <w:rPr>
          <w:rFonts w:hint="eastAsia" w:ascii="宋体" w:hAnsi="宋体" w:eastAsia="宋体" w:cs="宋体"/>
          <w:b/>
          <w:sz w:val="32"/>
          <w:highlight w:val="none"/>
        </w:rPr>
        <w:t xml:space="preserve">         </w:t>
      </w:r>
    </w:p>
    <w:p w14:paraId="52394AD6">
      <w:pPr>
        <w:rPr>
          <w:rFonts w:hint="eastAsia" w:ascii="宋体" w:hAnsi="宋体" w:eastAsia="宋体" w:cs="宋体"/>
          <w:sz w:val="28"/>
          <w:szCs w:val="28"/>
          <w:highlight w:val="none"/>
        </w:rPr>
      </w:pPr>
    </w:p>
    <w:p w14:paraId="520C9487">
      <w:pPr>
        <w:rPr>
          <w:rFonts w:hint="eastAsia" w:ascii="宋体" w:hAnsi="宋体" w:eastAsia="宋体" w:cs="宋体"/>
          <w:sz w:val="28"/>
          <w:szCs w:val="28"/>
          <w:highlight w:val="none"/>
        </w:rPr>
      </w:pPr>
    </w:p>
    <w:p w14:paraId="453CACB2">
      <w:pPr>
        <w:rPr>
          <w:rFonts w:hint="eastAsia" w:ascii="宋体" w:hAnsi="宋体" w:eastAsia="宋体" w:cs="宋体"/>
          <w:sz w:val="28"/>
          <w:szCs w:val="28"/>
          <w:highlight w:val="none"/>
        </w:rPr>
      </w:pPr>
    </w:p>
    <w:p w14:paraId="3BB6BA41">
      <w:pPr>
        <w:rPr>
          <w:rFonts w:hint="eastAsia" w:ascii="宋体" w:hAnsi="宋体" w:eastAsia="宋体" w:cs="宋体"/>
          <w:sz w:val="28"/>
          <w:szCs w:val="28"/>
          <w:highlight w:val="none"/>
        </w:rPr>
      </w:pPr>
    </w:p>
    <w:p w14:paraId="474E741F">
      <w:pPr>
        <w:rPr>
          <w:rFonts w:hint="eastAsia" w:ascii="宋体" w:hAnsi="宋体" w:eastAsia="宋体" w:cs="宋体"/>
          <w:sz w:val="28"/>
          <w:szCs w:val="28"/>
          <w:highlight w:val="none"/>
        </w:rPr>
      </w:pPr>
    </w:p>
    <w:p w14:paraId="555FC684">
      <w:pPr>
        <w:rPr>
          <w:rFonts w:hint="eastAsia" w:ascii="宋体" w:hAnsi="宋体" w:eastAsia="宋体" w:cs="宋体"/>
          <w:sz w:val="28"/>
          <w:szCs w:val="28"/>
          <w:highlight w:val="none"/>
        </w:rPr>
      </w:pPr>
    </w:p>
    <w:p w14:paraId="54927E0A">
      <w:pPr>
        <w:rPr>
          <w:rFonts w:hint="eastAsia" w:ascii="宋体" w:hAnsi="宋体" w:eastAsia="宋体" w:cs="宋体"/>
          <w:sz w:val="28"/>
          <w:szCs w:val="28"/>
          <w:highlight w:val="none"/>
        </w:rPr>
      </w:pPr>
    </w:p>
    <w:p w14:paraId="29B9C54D">
      <w:pPr>
        <w:rPr>
          <w:rFonts w:hint="eastAsia" w:ascii="宋体" w:hAnsi="宋体" w:eastAsia="宋体" w:cs="宋体"/>
          <w:sz w:val="28"/>
          <w:szCs w:val="28"/>
          <w:highlight w:val="none"/>
        </w:rPr>
      </w:pPr>
    </w:p>
    <w:p w14:paraId="15A46043">
      <w:pPr>
        <w:rPr>
          <w:rFonts w:hint="eastAsia" w:ascii="宋体" w:hAnsi="宋体" w:eastAsia="宋体" w:cs="宋体"/>
          <w:sz w:val="28"/>
          <w:szCs w:val="28"/>
          <w:highlight w:val="none"/>
        </w:rPr>
      </w:pPr>
    </w:p>
    <w:p w14:paraId="42FB64CE">
      <w:pPr>
        <w:rPr>
          <w:rFonts w:hint="eastAsia" w:ascii="宋体" w:hAnsi="宋体" w:eastAsia="宋体" w:cs="宋体"/>
          <w:sz w:val="28"/>
          <w:szCs w:val="28"/>
          <w:highlight w:val="none"/>
        </w:rPr>
      </w:pPr>
    </w:p>
    <w:p w14:paraId="1CC923DF">
      <w:pPr>
        <w:spacing w:line="360" w:lineRule="auto"/>
        <w:rPr>
          <w:rFonts w:hint="eastAsia" w:ascii="宋体" w:hAnsi="宋体" w:eastAsia="宋体" w:cs="宋体"/>
          <w:sz w:val="28"/>
          <w:szCs w:val="28"/>
          <w:highlight w:val="none"/>
        </w:rPr>
      </w:pPr>
    </w:p>
    <w:p w14:paraId="7EE3CF4F">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4"/>
          <w:szCs w:val="24"/>
          <w:highlight w:val="none"/>
          <w:lang w:val="zh-CN"/>
        </w:rPr>
        <w:t>投标人名称</w:t>
      </w:r>
      <w:r>
        <w:rPr>
          <w:rFonts w:hint="eastAsia" w:ascii="宋体" w:hAnsi="宋体" w:eastAsia="宋体" w:cs="宋体"/>
          <w:sz w:val="28"/>
          <w:szCs w:val="28"/>
          <w:highlight w:val="none"/>
        </w:rPr>
        <w:t>：（盖单位章）</w:t>
      </w:r>
    </w:p>
    <w:p w14:paraId="08D5987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法定代表人或其委托代理人：（签字）</w:t>
      </w:r>
    </w:p>
    <w:p w14:paraId="178BCE8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14:paraId="15AF7B0E">
      <w:pPr>
        <w:spacing w:line="360" w:lineRule="auto"/>
        <w:rPr>
          <w:rFonts w:hint="eastAsia" w:ascii="宋体" w:hAnsi="宋体" w:eastAsia="宋体" w:cs="宋体"/>
          <w:sz w:val="32"/>
          <w:highlight w:val="none"/>
        </w:rPr>
      </w:pPr>
      <w:r>
        <w:rPr>
          <w:rFonts w:hint="eastAsia" w:ascii="宋体" w:hAnsi="宋体" w:eastAsia="宋体" w:cs="宋体"/>
          <w:sz w:val="32"/>
          <w:highlight w:val="none"/>
        </w:rPr>
        <w:br w:type="page"/>
      </w:r>
    </w:p>
    <w:p w14:paraId="07EFDB32">
      <w:pPr>
        <w:jc w:val="center"/>
        <w:rPr>
          <w:rFonts w:hint="eastAsia" w:ascii="宋体" w:hAnsi="宋体" w:eastAsia="宋体" w:cs="宋体"/>
          <w:b/>
          <w:sz w:val="32"/>
          <w:highlight w:val="none"/>
        </w:rPr>
      </w:pPr>
    </w:p>
    <w:p w14:paraId="4E2AD62A">
      <w:pPr>
        <w:spacing w:line="360" w:lineRule="auto"/>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目  录</w:t>
      </w:r>
    </w:p>
    <w:p w14:paraId="523D3B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一、开标一览表</w:t>
      </w:r>
    </w:p>
    <w:p w14:paraId="5EFDE2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二、投标函及投标函附录 </w:t>
      </w:r>
    </w:p>
    <w:p w14:paraId="317622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三、法定代表人资格证明  </w:t>
      </w:r>
    </w:p>
    <w:p w14:paraId="2B47B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四、法定代表人授权委托书 </w:t>
      </w:r>
    </w:p>
    <w:p w14:paraId="43854AB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五、投标保证金 </w:t>
      </w:r>
    </w:p>
    <w:p w14:paraId="17BB1C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六、投标报价表 </w:t>
      </w:r>
    </w:p>
    <w:p w14:paraId="6F0725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七、服务承诺</w:t>
      </w:r>
    </w:p>
    <w:p w14:paraId="77716E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八、优惠条件</w:t>
      </w:r>
    </w:p>
    <w:p w14:paraId="2C5B6C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九、资格审查资料 </w:t>
      </w:r>
    </w:p>
    <w:p w14:paraId="3175648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十、中小企业声明函</w:t>
      </w:r>
      <w:r>
        <w:rPr>
          <w:rFonts w:hint="eastAsia" w:ascii="宋体" w:hAnsi="宋体" w:eastAsia="宋体" w:cs="宋体"/>
          <w:sz w:val="24"/>
          <w:szCs w:val="24"/>
          <w:highlight w:val="none"/>
          <w:lang w:eastAsia="zh-CN"/>
        </w:rPr>
        <w:t>（如有）</w:t>
      </w:r>
    </w:p>
    <w:p w14:paraId="3D4557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十一、其他</w:t>
      </w:r>
    </w:p>
    <w:p w14:paraId="398E16F3">
      <w:pPr>
        <w:spacing w:line="360" w:lineRule="auto"/>
        <w:ind w:firstLine="400" w:firstLineChars="200"/>
        <w:rPr>
          <w:rFonts w:hint="eastAsia" w:ascii="宋体" w:hAnsi="宋体" w:eastAsia="宋体" w:cs="宋体"/>
          <w:szCs w:val="21"/>
          <w:highlight w:val="none"/>
        </w:rPr>
      </w:pPr>
    </w:p>
    <w:p w14:paraId="7E14792F">
      <w:pP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br w:type="page"/>
      </w:r>
    </w:p>
    <w:p w14:paraId="22AE87CB">
      <w:pPr>
        <w:rPr>
          <w:rFonts w:hint="eastAsia" w:ascii="宋体" w:hAnsi="宋体" w:eastAsia="宋体" w:cs="宋体"/>
          <w:highlight w:val="none"/>
        </w:rPr>
      </w:pPr>
    </w:p>
    <w:p w14:paraId="4A1DC65B">
      <w:pPr>
        <w:autoSpaceDE w:val="0"/>
        <w:autoSpaceDN w:val="0"/>
        <w:adjustRightInd w:val="0"/>
        <w:spacing w:before="156" w:after="156" w:line="400" w:lineRule="exact"/>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一、</w:t>
      </w:r>
      <w:r>
        <w:rPr>
          <w:rFonts w:hint="eastAsia" w:ascii="宋体" w:hAnsi="宋体" w:eastAsia="宋体" w:cs="宋体"/>
          <w:b/>
          <w:sz w:val="32"/>
          <w:szCs w:val="32"/>
          <w:highlight w:val="none"/>
        </w:rPr>
        <w:t>开 标 一 览 表</w:t>
      </w:r>
    </w:p>
    <w:p w14:paraId="5061AD38">
      <w:pPr>
        <w:rPr>
          <w:rFonts w:hint="eastAsia" w:ascii="宋体" w:hAnsi="宋体" w:eastAsia="宋体" w:cs="宋体"/>
          <w:szCs w:val="21"/>
          <w:highlight w:val="none"/>
        </w:rPr>
      </w:pPr>
    </w:p>
    <w:p w14:paraId="0E003CC8">
      <w:pPr>
        <w:ind w:left="152" w:leftChars="-109" w:hanging="370" w:hangingChars="185"/>
        <w:rPr>
          <w:rFonts w:hint="eastAsia" w:ascii="宋体" w:hAnsi="宋体" w:eastAsia="宋体" w:cs="宋体"/>
          <w:szCs w:val="21"/>
          <w:highlight w:val="none"/>
        </w:rPr>
      </w:pPr>
    </w:p>
    <w:p w14:paraId="76579CA5">
      <w:pPr>
        <w:spacing w:line="320" w:lineRule="exact"/>
        <w:ind w:left="-342" w:leftChars="-171" w:firstLine="1320" w:firstLineChars="55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                                       开标时间：</w:t>
      </w:r>
    </w:p>
    <w:tbl>
      <w:tblPr>
        <w:tblStyle w:val="28"/>
        <w:tblW w:w="8037" w:type="dxa"/>
        <w:jc w:val="center"/>
        <w:tblLayout w:type="fixed"/>
        <w:tblCellMar>
          <w:top w:w="0" w:type="dxa"/>
          <w:left w:w="108" w:type="dxa"/>
          <w:bottom w:w="0" w:type="dxa"/>
          <w:right w:w="108" w:type="dxa"/>
        </w:tblCellMar>
      </w:tblPr>
      <w:tblGrid>
        <w:gridCol w:w="1651"/>
        <w:gridCol w:w="1419"/>
        <w:gridCol w:w="1657"/>
        <w:gridCol w:w="1835"/>
        <w:gridCol w:w="1475"/>
      </w:tblGrid>
      <w:tr w14:paraId="753DBA9A">
        <w:tblPrEx>
          <w:tblCellMar>
            <w:top w:w="0" w:type="dxa"/>
            <w:left w:w="108" w:type="dxa"/>
            <w:bottom w:w="0" w:type="dxa"/>
            <w:right w:w="108" w:type="dxa"/>
          </w:tblCellMar>
        </w:tblPrEx>
        <w:trPr>
          <w:trHeight w:val="649" w:hRule="atLeast"/>
          <w:jc w:val="center"/>
        </w:trPr>
        <w:tc>
          <w:tcPr>
            <w:tcW w:w="1651" w:type="dxa"/>
            <w:tcBorders>
              <w:top w:val="single" w:color="auto" w:sz="4" w:space="0"/>
              <w:left w:val="single" w:color="auto" w:sz="4" w:space="0"/>
              <w:bottom w:val="single" w:color="auto" w:sz="4" w:space="0"/>
              <w:right w:val="single" w:color="auto" w:sz="4" w:space="0"/>
              <w:tl2br w:val="nil"/>
              <w:tr2bl w:val="nil"/>
            </w:tcBorders>
            <w:vAlign w:val="center"/>
          </w:tcPr>
          <w:p w14:paraId="67872958">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投标人名称</w:t>
            </w:r>
          </w:p>
        </w:tc>
        <w:tc>
          <w:tcPr>
            <w:tcW w:w="1419" w:type="dxa"/>
            <w:tcBorders>
              <w:top w:val="single" w:color="auto" w:sz="4" w:space="0"/>
              <w:left w:val="nil"/>
              <w:bottom w:val="single" w:color="auto" w:sz="4" w:space="0"/>
              <w:right w:val="single" w:color="auto" w:sz="4" w:space="0"/>
              <w:tl2br w:val="nil"/>
              <w:tr2bl w:val="nil"/>
            </w:tcBorders>
            <w:vAlign w:val="center"/>
          </w:tcPr>
          <w:p w14:paraId="0C8D7F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总</w:t>
            </w:r>
            <w:r>
              <w:rPr>
                <w:rFonts w:hint="eastAsia" w:ascii="宋体" w:hAnsi="宋体" w:eastAsia="宋体" w:cs="宋体"/>
                <w:sz w:val="24"/>
                <w:szCs w:val="24"/>
                <w:highlight w:val="none"/>
              </w:rPr>
              <w:t>价</w:t>
            </w:r>
          </w:p>
          <w:p w14:paraId="1A69B62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657" w:type="dxa"/>
            <w:tcBorders>
              <w:top w:val="single" w:color="auto" w:sz="4" w:space="0"/>
              <w:left w:val="nil"/>
              <w:bottom w:val="single" w:color="auto" w:sz="4" w:space="0"/>
              <w:right w:val="single" w:color="auto" w:sz="4" w:space="0"/>
              <w:tl2br w:val="nil"/>
              <w:tr2bl w:val="nil"/>
            </w:tcBorders>
            <w:vAlign w:val="center"/>
          </w:tcPr>
          <w:p w14:paraId="74264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合同履行期限 </w:t>
            </w:r>
          </w:p>
        </w:tc>
        <w:tc>
          <w:tcPr>
            <w:tcW w:w="1835" w:type="dxa"/>
            <w:tcBorders>
              <w:top w:val="single" w:color="auto" w:sz="4" w:space="0"/>
              <w:left w:val="nil"/>
              <w:bottom w:val="single" w:color="auto" w:sz="4" w:space="0"/>
              <w:right w:val="single" w:color="auto" w:sz="4" w:space="0"/>
              <w:tl2br w:val="nil"/>
              <w:tr2bl w:val="nil"/>
            </w:tcBorders>
            <w:vAlign w:val="center"/>
          </w:tcPr>
          <w:p w14:paraId="56C247DF">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服务标准</w:t>
            </w:r>
          </w:p>
        </w:tc>
        <w:tc>
          <w:tcPr>
            <w:tcW w:w="1475" w:type="dxa"/>
            <w:tcBorders>
              <w:top w:val="single" w:color="auto" w:sz="4" w:space="0"/>
              <w:left w:val="nil"/>
              <w:bottom w:val="single" w:color="auto" w:sz="4" w:space="0"/>
              <w:right w:val="single" w:color="auto" w:sz="4" w:space="0"/>
              <w:tl2br w:val="nil"/>
              <w:tr2bl w:val="nil"/>
            </w:tcBorders>
            <w:vAlign w:val="center"/>
          </w:tcPr>
          <w:p w14:paraId="6F7FEBE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14:paraId="29ADA189">
        <w:tblPrEx>
          <w:tblCellMar>
            <w:top w:w="0" w:type="dxa"/>
            <w:left w:w="108" w:type="dxa"/>
            <w:bottom w:w="0" w:type="dxa"/>
            <w:right w:w="108" w:type="dxa"/>
          </w:tblCellMar>
        </w:tblPrEx>
        <w:trPr>
          <w:trHeight w:val="1213" w:hRule="atLeast"/>
          <w:jc w:val="center"/>
        </w:trPr>
        <w:tc>
          <w:tcPr>
            <w:tcW w:w="1651" w:type="dxa"/>
            <w:tcBorders>
              <w:top w:val="nil"/>
              <w:left w:val="single" w:color="auto" w:sz="4" w:space="0"/>
              <w:bottom w:val="single" w:color="auto" w:sz="4" w:space="0"/>
              <w:right w:val="single" w:color="auto" w:sz="4" w:space="0"/>
              <w:tl2br w:val="nil"/>
              <w:tr2bl w:val="nil"/>
            </w:tcBorders>
            <w:noWrap/>
            <w:vAlign w:val="center"/>
          </w:tcPr>
          <w:p w14:paraId="092CD447">
            <w:pPr>
              <w:jc w:val="center"/>
              <w:rPr>
                <w:rFonts w:hint="eastAsia" w:ascii="宋体" w:hAnsi="宋体" w:eastAsia="宋体" w:cs="宋体"/>
                <w:sz w:val="24"/>
                <w:szCs w:val="24"/>
                <w:highlight w:val="none"/>
              </w:rPr>
            </w:pPr>
          </w:p>
        </w:tc>
        <w:tc>
          <w:tcPr>
            <w:tcW w:w="1419" w:type="dxa"/>
            <w:tcBorders>
              <w:top w:val="nil"/>
              <w:left w:val="nil"/>
              <w:bottom w:val="single" w:color="auto" w:sz="4" w:space="0"/>
              <w:right w:val="single" w:color="auto" w:sz="4" w:space="0"/>
              <w:tl2br w:val="nil"/>
              <w:tr2bl w:val="nil"/>
            </w:tcBorders>
            <w:noWrap/>
            <w:vAlign w:val="center"/>
          </w:tcPr>
          <w:p w14:paraId="3D2446E3">
            <w:pPr>
              <w:ind w:right="-16"/>
              <w:jc w:val="center"/>
              <w:rPr>
                <w:rFonts w:hint="eastAsia" w:ascii="宋体" w:hAnsi="宋体" w:eastAsia="宋体" w:cs="宋体"/>
                <w:sz w:val="24"/>
                <w:szCs w:val="24"/>
                <w:highlight w:val="none"/>
              </w:rPr>
            </w:pPr>
          </w:p>
        </w:tc>
        <w:tc>
          <w:tcPr>
            <w:tcW w:w="1657" w:type="dxa"/>
            <w:tcBorders>
              <w:top w:val="nil"/>
              <w:left w:val="nil"/>
              <w:bottom w:val="single" w:color="auto" w:sz="4" w:space="0"/>
              <w:right w:val="single" w:color="auto" w:sz="4" w:space="0"/>
              <w:tl2br w:val="nil"/>
              <w:tr2bl w:val="nil"/>
            </w:tcBorders>
            <w:noWrap/>
            <w:vAlign w:val="center"/>
          </w:tcPr>
          <w:p w14:paraId="6CEFD248">
            <w:pPr>
              <w:jc w:val="center"/>
              <w:rPr>
                <w:rFonts w:hint="eastAsia" w:ascii="宋体" w:hAnsi="宋体" w:eastAsia="宋体" w:cs="宋体"/>
                <w:sz w:val="24"/>
                <w:szCs w:val="24"/>
                <w:highlight w:val="none"/>
              </w:rPr>
            </w:pPr>
          </w:p>
        </w:tc>
        <w:tc>
          <w:tcPr>
            <w:tcW w:w="1835" w:type="dxa"/>
            <w:tcBorders>
              <w:top w:val="nil"/>
              <w:left w:val="nil"/>
              <w:bottom w:val="single" w:color="auto" w:sz="4" w:space="0"/>
              <w:right w:val="single" w:color="auto" w:sz="4" w:space="0"/>
              <w:tl2br w:val="nil"/>
              <w:tr2bl w:val="nil"/>
            </w:tcBorders>
            <w:noWrap/>
            <w:vAlign w:val="center"/>
          </w:tcPr>
          <w:p w14:paraId="4B9E0966">
            <w:pPr>
              <w:jc w:val="center"/>
              <w:rPr>
                <w:rFonts w:hint="eastAsia" w:ascii="宋体" w:hAnsi="宋体" w:eastAsia="宋体" w:cs="宋体"/>
                <w:sz w:val="24"/>
                <w:szCs w:val="24"/>
                <w:highlight w:val="none"/>
              </w:rPr>
            </w:pPr>
          </w:p>
        </w:tc>
        <w:tc>
          <w:tcPr>
            <w:tcW w:w="1475" w:type="dxa"/>
            <w:tcBorders>
              <w:top w:val="nil"/>
              <w:left w:val="nil"/>
              <w:bottom w:val="single" w:color="auto" w:sz="4" w:space="0"/>
              <w:right w:val="single" w:color="auto" w:sz="4" w:space="0"/>
              <w:tl2br w:val="nil"/>
              <w:tr2bl w:val="nil"/>
            </w:tcBorders>
            <w:noWrap/>
            <w:vAlign w:val="center"/>
          </w:tcPr>
          <w:p w14:paraId="6A102155">
            <w:pPr>
              <w:jc w:val="center"/>
              <w:rPr>
                <w:rFonts w:hint="eastAsia" w:ascii="宋体" w:hAnsi="宋体" w:eastAsia="宋体" w:cs="宋体"/>
                <w:sz w:val="24"/>
                <w:szCs w:val="24"/>
                <w:highlight w:val="none"/>
              </w:rPr>
            </w:pPr>
          </w:p>
        </w:tc>
      </w:tr>
    </w:tbl>
    <w:p w14:paraId="6A05DDDD">
      <w:pPr>
        <w:ind w:firstLine="470" w:firstLineChars="196"/>
        <w:rPr>
          <w:rFonts w:hint="eastAsia" w:ascii="宋体" w:hAnsi="宋体" w:eastAsia="宋体" w:cs="宋体"/>
          <w:bCs/>
          <w:sz w:val="24"/>
          <w:szCs w:val="24"/>
          <w:highlight w:val="none"/>
        </w:rPr>
      </w:pPr>
    </w:p>
    <w:p w14:paraId="00DE1A1B">
      <w:pPr>
        <w:ind w:firstLine="470" w:firstLineChars="196"/>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注：1、本表只作唱标用，但本表的一切内容均具有法律效力，不得更改</w:t>
      </w:r>
      <w:r>
        <w:rPr>
          <w:rFonts w:hint="eastAsia" w:ascii="宋体" w:hAnsi="宋体" w:eastAsia="宋体" w:cs="宋体"/>
          <w:bCs/>
          <w:sz w:val="24"/>
          <w:szCs w:val="24"/>
          <w:highlight w:val="none"/>
          <w:lang w:eastAsia="zh-CN"/>
        </w:rPr>
        <w:t>。</w:t>
      </w:r>
    </w:p>
    <w:p w14:paraId="3D6B4CF4">
      <w:pPr>
        <w:ind w:left="420" w:firstLine="42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2、投标报价不得超过采购预算，否则按废标处理</w:t>
      </w:r>
      <w:r>
        <w:rPr>
          <w:rFonts w:hint="eastAsia" w:ascii="宋体" w:hAnsi="宋体" w:eastAsia="宋体" w:cs="宋体"/>
          <w:bCs/>
          <w:sz w:val="24"/>
          <w:szCs w:val="24"/>
          <w:highlight w:val="none"/>
          <w:lang w:eastAsia="zh-CN"/>
        </w:rPr>
        <w:t>。</w:t>
      </w:r>
    </w:p>
    <w:p w14:paraId="52474712">
      <w:pPr>
        <w:ind w:left="420"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、本表格须装订在投标文件内。</w:t>
      </w:r>
    </w:p>
    <w:p w14:paraId="25C8E5E8">
      <w:pPr>
        <w:spacing w:line="280" w:lineRule="exact"/>
        <w:ind w:firstLine="472" w:firstLineChars="196"/>
        <w:rPr>
          <w:rFonts w:hint="eastAsia" w:ascii="宋体" w:hAnsi="宋体" w:eastAsia="宋体" w:cs="宋体"/>
          <w:b/>
          <w:bCs/>
          <w:sz w:val="24"/>
          <w:szCs w:val="24"/>
          <w:highlight w:val="none"/>
        </w:rPr>
      </w:pPr>
    </w:p>
    <w:p w14:paraId="15E16252">
      <w:pPr>
        <w:spacing w:line="280" w:lineRule="exact"/>
        <w:rPr>
          <w:rFonts w:hint="eastAsia" w:ascii="宋体" w:hAnsi="宋体" w:eastAsia="宋体" w:cs="宋体"/>
          <w:b/>
          <w:bCs/>
          <w:sz w:val="24"/>
          <w:szCs w:val="24"/>
          <w:highlight w:val="none"/>
        </w:rPr>
      </w:pPr>
    </w:p>
    <w:p w14:paraId="230DEF22">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                （公章）                    </w:t>
      </w:r>
    </w:p>
    <w:p w14:paraId="3CFCD5F9">
      <w:pPr>
        <w:spacing w:line="300" w:lineRule="auto"/>
        <w:ind w:firstLine="480" w:firstLineChars="200"/>
        <w:rPr>
          <w:rFonts w:hint="eastAsia" w:ascii="宋体" w:hAnsi="宋体" w:eastAsia="宋体" w:cs="宋体"/>
          <w:sz w:val="24"/>
          <w:szCs w:val="24"/>
          <w:highlight w:val="none"/>
        </w:rPr>
      </w:pPr>
    </w:p>
    <w:p w14:paraId="632E3708">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58072C85">
      <w:pPr>
        <w:spacing w:line="300" w:lineRule="auto"/>
        <w:ind w:firstLine="480" w:firstLineChars="200"/>
        <w:rPr>
          <w:rFonts w:hint="eastAsia" w:ascii="宋体" w:hAnsi="宋体" w:eastAsia="宋体" w:cs="宋体"/>
          <w:sz w:val="24"/>
          <w:szCs w:val="24"/>
          <w:highlight w:val="none"/>
        </w:rPr>
      </w:pPr>
    </w:p>
    <w:p w14:paraId="75B7B705">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            （签字）  </w:t>
      </w:r>
    </w:p>
    <w:p w14:paraId="5DAC59F5">
      <w:pPr>
        <w:spacing w:line="360" w:lineRule="auto"/>
        <w:ind w:firstLine="480" w:firstLineChars="200"/>
        <w:rPr>
          <w:rFonts w:hint="eastAsia" w:ascii="宋体" w:hAnsi="宋体" w:eastAsia="宋体" w:cs="宋体"/>
          <w:sz w:val="24"/>
          <w:szCs w:val="24"/>
          <w:highlight w:val="none"/>
        </w:rPr>
      </w:pPr>
    </w:p>
    <w:p w14:paraId="3D79AE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2D4B258">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9F35D60">
      <w:pPr>
        <w:rPr>
          <w:rFonts w:hint="eastAsia" w:ascii="宋体" w:hAnsi="宋体" w:eastAsia="宋体" w:cs="宋体"/>
          <w:highlight w:val="none"/>
        </w:rPr>
      </w:pPr>
    </w:p>
    <w:p w14:paraId="54252925">
      <w:pPr>
        <w:autoSpaceDE w:val="0"/>
        <w:autoSpaceDN w:val="0"/>
        <w:adjustRightInd w:val="0"/>
        <w:spacing w:before="156" w:after="156" w:line="400" w:lineRule="exact"/>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二、投标函及投标函附录</w:t>
      </w:r>
    </w:p>
    <w:p w14:paraId="51E706A5">
      <w:pPr>
        <w:autoSpaceDE w:val="0"/>
        <w:autoSpaceDN w:val="0"/>
        <w:adjustRightInd w:val="0"/>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5F721FD">
      <w:pPr>
        <w:autoSpaceDE w:val="0"/>
        <w:autoSpaceDN w:val="0"/>
        <w:adjustRightInd w:val="0"/>
        <w:spacing w:line="500" w:lineRule="exact"/>
        <w:rPr>
          <w:rFonts w:hint="eastAsia" w:ascii="宋体" w:hAnsi="宋体" w:eastAsia="宋体" w:cs="宋体"/>
          <w:sz w:val="24"/>
          <w:szCs w:val="24"/>
          <w:highlight w:val="none"/>
          <w:u w:val="single"/>
        </w:rPr>
      </w:pPr>
    </w:p>
    <w:p w14:paraId="2F6E4FE8">
      <w:pPr>
        <w:autoSpaceDE w:val="0"/>
        <w:autoSpaceDN w:val="0"/>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24B331CB">
      <w:pPr>
        <w:spacing w:line="360" w:lineRule="auto"/>
        <w:ind w:firstLine="480" w:firstLineChars="20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1.我方已仔细研究了</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招标文件的全部内容，我方愿按投标报价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，服务期为</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，按合同约定实施和完成承包上述招标项目。</w:t>
      </w:r>
    </w:p>
    <w:p w14:paraId="34E633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2.我方承诺在投标有效期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天内不修改、撤销投标文件。</w:t>
      </w:r>
    </w:p>
    <w:p w14:paraId="78BD8C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3.如我方中标：</w:t>
      </w:r>
    </w:p>
    <w:p w14:paraId="12DB3A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(1)我方承诺在收到中标通知书后，在中标通知书规定的期限内与你方签订合同，并遵守合同中关于权利和义务的约定；</w:t>
      </w:r>
    </w:p>
    <w:p w14:paraId="18653763">
      <w:pPr>
        <w:spacing w:line="360" w:lineRule="auto"/>
        <w:ind w:firstLine="440" w:firstLineChars="20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 xml:space="preserve"> (2)</w:t>
      </w:r>
      <w:r>
        <w:rPr>
          <w:rFonts w:hint="eastAsia" w:ascii="宋体" w:hAnsi="宋体" w:eastAsia="宋体" w:cs="宋体"/>
          <w:sz w:val="24"/>
          <w:szCs w:val="24"/>
          <w:highlight w:val="none"/>
        </w:rPr>
        <w:t>我方承诺按照招标文件中规定的采购需求在合同约定的期限内，完成并移交全部合同内容。</w:t>
      </w:r>
    </w:p>
    <w:p w14:paraId="391D23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.我方在此声明，所递交的投标文件及有关资料内容完整、真实和准确。</w:t>
      </w:r>
    </w:p>
    <w:p w14:paraId="125098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14:paraId="51862CC0">
      <w:pPr>
        <w:spacing w:line="360" w:lineRule="auto"/>
        <w:ind w:firstLine="480" w:firstLineChars="200"/>
        <w:rPr>
          <w:rFonts w:hint="eastAsia" w:ascii="宋体" w:hAnsi="宋体" w:eastAsia="宋体" w:cs="宋体"/>
          <w:sz w:val="24"/>
          <w:szCs w:val="24"/>
          <w:highlight w:val="none"/>
        </w:rPr>
      </w:pPr>
    </w:p>
    <w:p w14:paraId="7233CF9E">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4288E6A7">
      <w:pPr>
        <w:autoSpaceDE w:val="0"/>
        <w:autoSpaceDN w:val="0"/>
        <w:adjustRightIn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630C9A0D">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BEE2214">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r>
        <w:rPr>
          <w:rFonts w:hint="eastAsia" w:ascii="宋体" w:hAnsi="宋体" w:eastAsia="宋体" w:cs="宋体"/>
          <w:sz w:val="24"/>
          <w:szCs w:val="24"/>
          <w:highlight w:val="none"/>
          <w:u w:val="single"/>
        </w:rPr>
        <w:t xml:space="preserve">                                        </w:t>
      </w:r>
    </w:p>
    <w:p w14:paraId="7C02CCEA">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14:paraId="6A8E1AEC">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14:paraId="05C08E07">
      <w:pPr>
        <w:autoSpaceDE w:val="0"/>
        <w:autoSpaceDN w:val="0"/>
        <w:adjustRightIn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5FF682B6">
      <w:pPr>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C000B6">
      <w:pPr>
        <w:autoSpaceDE w:val="0"/>
        <w:autoSpaceDN w:val="0"/>
        <w:adjustRightInd w:val="0"/>
        <w:spacing w:line="500" w:lineRule="exact"/>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bookmarkStart w:id="88" w:name="_Toc152045790"/>
      <w:bookmarkStart w:id="89" w:name="_Toc152042579"/>
      <w:bookmarkStart w:id="90" w:name="_Toc363457205"/>
      <w:bookmarkStart w:id="91" w:name="_Toc246997101"/>
      <w:bookmarkStart w:id="92" w:name="_Toc247085876"/>
      <w:bookmarkStart w:id="93" w:name="_Toc179632810"/>
      <w:bookmarkStart w:id="94" w:name="_Toc246996358"/>
      <w:bookmarkStart w:id="95" w:name="_Toc144974859"/>
      <w:r>
        <w:rPr>
          <w:rFonts w:hint="eastAsia" w:ascii="宋体" w:hAnsi="宋体" w:eastAsia="宋体" w:cs="宋体"/>
          <w:sz w:val="28"/>
          <w:szCs w:val="28"/>
          <w:highlight w:val="none"/>
        </w:rPr>
        <w:t>（二）投标函附录</w:t>
      </w:r>
      <w:bookmarkEnd w:id="88"/>
      <w:bookmarkEnd w:id="89"/>
      <w:bookmarkEnd w:id="90"/>
      <w:bookmarkEnd w:id="91"/>
      <w:bookmarkEnd w:id="92"/>
      <w:bookmarkEnd w:id="93"/>
      <w:bookmarkEnd w:id="94"/>
      <w:bookmarkEnd w:id="95"/>
    </w:p>
    <w:p w14:paraId="273EF5E1">
      <w:pPr>
        <w:spacing w:line="440" w:lineRule="exact"/>
        <w:rPr>
          <w:rFonts w:hint="eastAsia" w:ascii="宋体" w:hAnsi="宋体" w:eastAsia="宋体" w:cs="宋体"/>
          <w:highlight w:val="none"/>
        </w:rPr>
      </w:pPr>
    </w:p>
    <w:tbl>
      <w:tblPr>
        <w:tblStyle w:val="28"/>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0AB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27D37B1D">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C17E023">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0259B52B">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2F09204">
            <w:pPr>
              <w:spacing w:line="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是否响应</w:t>
            </w:r>
          </w:p>
        </w:tc>
      </w:tr>
      <w:tr w14:paraId="5641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7B6AD235">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22344262">
            <w:pPr>
              <w:autoSpaceDE w:val="0"/>
              <w:autoSpaceDN w:val="0"/>
              <w:adjustRightInd w:val="0"/>
              <w:snapToGrid w:val="0"/>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zh-CN"/>
              </w:rPr>
              <w:t>投标内容</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94DE5E7">
            <w:pPr>
              <w:widowControl w:val="0"/>
              <w:autoSpaceDE w:val="0"/>
              <w:autoSpaceDN w:val="0"/>
              <w:adjustRightInd w:val="0"/>
              <w:spacing w:line="32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46E35CB2">
            <w:pPr>
              <w:spacing w:line="440" w:lineRule="exact"/>
              <w:jc w:val="center"/>
              <w:rPr>
                <w:rFonts w:hint="eastAsia" w:ascii="宋体" w:hAnsi="宋体" w:eastAsia="宋体" w:cs="宋体"/>
                <w:sz w:val="24"/>
                <w:szCs w:val="24"/>
                <w:highlight w:val="none"/>
              </w:rPr>
            </w:pPr>
          </w:p>
        </w:tc>
      </w:tr>
      <w:tr w14:paraId="0E47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5CFCE2AE">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0CC0AC44">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04EE6979">
            <w:pPr>
              <w:autoSpaceDE w:val="0"/>
              <w:autoSpaceDN w:val="0"/>
              <w:adjustRightInd w:val="0"/>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2E4AFBC1">
            <w:pPr>
              <w:spacing w:line="440" w:lineRule="exact"/>
              <w:jc w:val="center"/>
              <w:rPr>
                <w:rFonts w:hint="eastAsia" w:ascii="宋体" w:hAnsi="宋体" w:eastAsia="宋体" w:cs="宋体"/>
                <w:sz w:val="24"/>
                <w:szCs w:val="24"/>
                <w:highlight w:val="none"/>
              </w:rPr>
            </w:pPr>
          </w:p>
        </w:tc>
      </w:tr>
      <w:tr w14:paraId="417B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5EA154B2">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46CD3B2A">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服务标准</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15C57FC">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9454569">
            <w:pPr>
              <w:spacing w:line="440" w:lineRule="exact"/>
              <w:jc w:val="center"/>
              <w:rPr>
                <w:rFonts w:hint="eastAsia" w:ascii="宋体" w:hAnsi="宋体" w:eastAsia="宋体" w:cs="宋体"/>
                <w:sz w:val="24"/>
                <w:szCs w:val="24"/>
                <w:highlight w:val="none"/>
              </w:rPr>
            </w:pPr>
          </w:p>
        </w:tc>
      </w:tr>
      <w:tr w14:paraId="63E6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3070C699">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DC619F0">
            <w:pPr>
              <w:autoSpaceDE w:val="0"/>
              <w:autoSpaceDN w:val="0"/>
              <w:adjustRightInd w:val="0"/>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zh-CN"/>
              </w:rPr>
              <w:t>投标有效期</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48EB41C6">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0BE3E956">
            <w:pPr>
              <w:spacing w:line="440" w:lineRule="exact"/>
              <w:jc w:val="center"/>
              <w:rPr>
                <w:rFonts w:hint="eastAsia" w:ascii="宋体" w:hAnsi="宋体" w:eastAsia="宋体" w:cs="宋体"/>
                <w:sz w:val="24"/>
                <w:szCs w:val="24"/>
                <w:highlight w:val="none"/>
              </w:rPr>
            </w:pPr>
          </w:p>
        </w:tc>
      </w:tr>
      <w:tr w14:paraId="168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21519D38">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197B8B9C">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投标保证金</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193DFC35">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75122D93">
            <w:pPr>
              <w:spacing w:line="440" w:lineRule="exact"/>
              <w:jc w:val="center"/>
              <w:rPr>
                <w:rFonts w:hint="eastAsia" w:ascii="宋体" w:hAnsi="宋体" w:eastAsia="宋体" w:cs="宋体"/>
                <w:sz w:val="24"/>
                <w:szCs w:val="24"/>
                <w:highlight w:val="none"/>
              </w:rPr>
            </w:pPr>
          </w:p>
        </w:tc>
      </w:tr>
      <w:tr w14:paraId="7612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0F6A126A">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3A6FA53B">
            <w:pPr>
              <w:autoSpaceDE w:val="0"/>
              <w:autoSpaceDN w:val="0"/>
              <w:adjustRightInd w:val="0"/>
              <w:snapToGrid w:val="0"/>
              <w:spacing w:line="3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权利义务</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4F47C326">
            <w:pPr>
              <w:autoSpaceDE w:val="0"/>
              <w:autoSpaceDN w:val="0"/>
              <w:adjustRightInd w:val="0"/>
              <w:spacing w:line="240" w:lineRule="exact"/>
              <w:rPr>
                <w:rFonts w:hint="eastAsia" w:ascii="宋体" w:hAnsi="宋体" w:eastAsia="宋体" w:cs="宋体"/>
                <w:sz w:val="24"/>
                <w:szCs w:val="24"/>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0818D18F">
            <w:pPr>
              <w:spacing w:line="440" w:lineRule="exact"/>
              <w:jc w:val="center"/>
              <w:rPr>
                <w:rFonts w:hint="eastAsia" w:ascii="宋体" w:hAnsi="宋体" w:eastAsia="宋体" w:cs="宋体"/>
                <w:sz w:val="24"/>
                <w:szCs w:val="24"/>
                <w:highlight w:val="none"/>
              </w:rPr>
            </w:pPr>
          </w:p>
        </w:tc>
      </w:tr>
      <w:tr w14:paraId="4588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l2br w:val="nil"/>
              <w:tr2bl w:val="nil"/>
            </w:tcBorders>
            <w:noWrap/>
            <w:vAlign w:val="center"/>
          </w:tcPr>
          <w:p w14:paraId="0F64EB6C">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37" w:type="dxa"/>
            <w:tcBorders>
              <w:top w:val="single" w:color="auto" w:sz="4" w:space="0"/>
              <w:left w:val="single" w:color="auto" w:sz="4" w:space="0"/>
              <w:bottom w:val="single" w:color="auto" w:sz="4" w:space="0"/>
              <w:right w:val="single" w:color="auto" w:sz="4" w:space="0"/>
              <w:tl2br w:val="nil"/>
              <w:tr2bl w:val="nil"/>
            </w:tcBorders>
            <w:noWrap/>
            <w:vAlign w:val="center"/>
          </w:tcPr>
          <w:p w14:paraId="45E067FA">
            <w:pPr>
              <w:autoSpaceDE w:val="0"/>
              <w:autoSpaceDN w:val="0"/>
              <w:adjustRightInd w:val="0"/>
              <w:spacing w:line="2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4321" w:type="dxa"/>
            <w:tcBorders>
              <w:top w:val="single" w:color="auto" w:sz="4" w:space="0"/>
              <w:left w:val="single" w:color="auto" w:sz="4" w:space="0"/>
              <w:bottom w:val="single" w:color="auto" w:sz="4" w:space="0"/>
              <w:right w:val="single" w:color="auto" w:sz="4" w:space="0"/>
              <w:tl2br w:val="nil"/>
              <w:tr2bl w:val="nil"/>
            </w:tcBorders>
            <w:noWrap/>
            <w:vAlign w:val="center"/>
          </w:tcPr>
          <w:p w14:paraId="77F63784">
            <w:pPr>
              <w:autoSpaceDE w:val="0"/>
              <w:autoSpaceDN w:val="0"/>
              <w:adjustRightInd w:val="0"/>
              <w:spacing w:line="2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885" w:type="dxa"/>
            <w:tcBorders>
              <w:top w:val="single" w:color="auto" w:sz="4" w:space="0"/>
              <w:left w:val="single" w:color="auto" w:sz="4" w:space="0"/>
              <w:bottom w:val="single" w:color="auto" w:sz="4" w:space="0"/>
              <w:right w:val="single" w:color="auto" w:sz="4" w:space="0"/>
              <w:tl2br w:val="nil"/>
              <w:tr2bl w:val="nil"/>
            </w:tcBorders>
            <w:noWrap/>
            <w:vAlign w:val="center"/>
          </w:tcPr>
          <w:p w14:paraId="6EE9EAF7">
            <w:pPr>
              <w:spacing w:line="440" w:lineRule="exact"/>
              <w:jc w:val="center"/>
              <w:rPr>
                <w:rFonts w:hint="eastAsia" w:ascii="宋体" w:hAnsi="宋体" w:eastAsia="宋体" w:cs="宋体"/>
                <w:sz w:val="24"/>
                <w:szCs w:val="24"/>
                <w:highlight w:val="none"/>
              </w:rPr>
            </w:pPr>
          </w:p>
        </w:tc>
      </w:tr>
    </w:tbl>
    <w:p w14:paraId="4A2D8A7D">
      <w:pPr>
        <w:spacing w:line="500" w:lineRule="exact"/>
        <w:jc w:val="right"/>
        <w:rPr>
          <w:rFonts w:hint="eastAsia" w:ascii="宋体" w:hAnsi="宋体" w:eastAsia="宋体" w:cs="宋体"/>
          <w:szCs w:val="21"/>
          <w:highlight w:val="none"/>
        </w:rPr>
      </w:pPr>
    </w:p>
    <w:p w14:paraId="76544C11">
      <w:pPr>
        <w:autoSpaceDE w:val="0"/>
        <w:autoSpaceDN w:val="0"/>
        <w:adjustRightInd w:val="0"/>
        <w:spacing w:line="500" w:lineRule="exact"/>
        <w:rPr>
          <w:rFonts w:hint="eastAsia" w:ascii="宋体" w:hAnsi="宋体" w:eastAsia="宋体" w:cs="宋体"/>
          <w:b/>
          <w:szCs w:val="21"/>
          <w:highlight w:val="none"/>
          <w:lang w:val="zh-CN"/>
        </w:rPr>
      </w:pPr>
    </w:p>
    <w:p w14:paraId="228A20E1">
      <w:pPr>
        <w:autoSpaceDE w:val="0"/>
        <w:autoSpaceDN w:val="0"/>
        <w:adjustRightInd w:val="0"/>
        <w:spacing w:line="500" w:lineRule="exact"/>
        <w:jc w:val="center"/>
        <w:rPr>
          <w:rFonts w:hint="eastAsia" w:ascii="宋体" w:hAnsi="宋体" w:eastAsia="宋体" w:cs="宋体"/>
          <w:szCs w:val="21"/>
          <w:highlight w:val="none"/>
        </w:rPr>
      </w:pPr>
    </w:p>
    <w:p w14:paraId="0CA4AB2D">
      <w:pPr>
        <w:rPr>
          <w:rFonts w:hint="eastAsia" w:ascii="宋体" w:hAnsi="宋体" w:eastAsia="宋体" w:cs="宋体"/>
          <w:b/>
          <w:szCs w:val="21"/>
          <w:highlight w:val="none"/>
        </w:rPr>
      </w:pPr>
    </w:p>
    <w:p w14:paraId="4F1DA99A">
      <w:pPr>
        <w:rPr>
          <w:rFonts w:hint="eastAsia" w:ascii="宋体" w:hAnsi="宋体" w:eastAsia="宋体" w:cs="宋体"/>
          <w:b/>
          <w:szCs w:val="21"/>
          <w:highlight w:val="none"/>
        </w:rPr>
      </w:pPr>
    </w:p>
    <w:p w14:paraId="3A9D836B">
      <w:pPr>
        <w:spacing w:after="100" w:afterAutospacing="1" w:line="360" w:lineRule="auto"/>
        <w:jc w:val="center"/>
        <w:rPr>
          <w:rFonts w:hint="eastAsia" w:ascii="宋体" w:hAnsi="宋体" w:eastAsia="宋体" w:cs="宋体"/>
          <w:b/>
          <w:sz w:val="32"/>
          <w:szCs w:val="32"/>
          <w:highlight w:val="none"/>
        </w:rPr>
      </w:pPr>
    </w:p>
    <w:p w14:paraId="6FA550B3">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32"/>
          <w:szCs w:val="32"/>
          <w:highlight w:val="none"/>
        </w:rPr>
        <w:br w:type="page"/>
      </w:r>
      <w:r>
        <w:rPr>
          <w:rFonts w:hint="eastAsia" w:ascii="宋体" w:hAnsi="宋体" w:eastAsia="宋体" w:cs="宋体"/>
          <w:b/>
          <w:sz w:val="28"/>
          <w:szCs w:val="28"/>
          <w:highlight w:val="none"/>
          <w:lang w:val="zh-CN"/>
        </w:rPr>
        <w:t>法定代表人资格证明</w:t>
      </w:r>
    </w:p>
    <w:p w14:paraId="7D2D2EDE">
      <w:pPr>
        <w:spacing w:after="100" w:afterAutospacing="1" w:line="360" w:lineRule="auto"/>
        <w:ind w:left="980"/>
        <w:jc w:val="center"/>
        <w:rPr>
          <w:rFonts w:hint="eastAsia" w:ascii="宋体" w:hAnsi="宋体" w:eastAsia="宋体" w:cs="宋体"/>
          <w:sz w:val="24"/>
          <w:szCs w:val="24"/>
          <w:highlight w:val="none"/>
        </w:rPr>
      </w:pPr>
    </w:p>
    <w:p w14:paraId="33FCB36E">
      <w:pPr>
        <w:tabs>
          <w:tab w:val="left" w:pos="400"/>
        </w:tabs>
        <w:autoSpaceDE w:val="0"/>
        <w:autoSpaceDN w:val="0"/>
        <w:adjustRightInd w:val="0"/>
        <w:spacing w:line="480" w:lineRule="auto"/>
        <w:ind w:left="136" w:leftChars="68" w:firstLine="235" w:firstLineChars="98"/>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投标人名称：</w:t>
      </w:r>
      <w:r>
        <w:rPr>
          <w:rFonts w:hint="eastAsia" w:ascii="宋体" w:hAnsi="宋体" w:eastAsia="宋体" w:cs="宋体"/>
          <w:sz w:val="24"/>
          <w:szCs w:val="24"/>
          <w:highlight w:val="none"/>
          <w:u w:val="single"/>
          <w:lang w:val="en-US" w:eastAsia="zh-CN"/>
        </w:rPr>
        <w:t xml:space="preserve">                                </w:t>
      </w:r>
    </w:p>
    <w:p w14:paraId="18A45A91">
      <w:pPr>
        <w:autoSpaceDE w:val="0"/>
        <w:autoSpaceDN w:val="0"/>
        <w:adjustRightInd w:val="0"/>
        <w:spacing w:line="48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 xml:space="preserve">   单位性质：</w:t>
      </w:r>
      <w:r>
        <w:rPr>
          <w:rFonts w:hint="eastAsia" w:ascii="宋体" w:hAnsi="宋体" w:eastAsia="宋体" w:cs="宋体"/>
          <w:sz w:val="24"/>
          <w:szCs w:val="24"/>
          <w:highlight w:val="none"/>
          <w:u w:val="single"/>
          <w:lang w:val="en-US" w:eastAsia="zh-CN"/>
        </w:rPr>
        <w:t xml:space="preserve">                                  </w:t>
      </w:r>
    </w:p>
    <w:p w14:paraId="351EF68E">
      <w:pPr>
        <w:autoSpaceDE w:val="0"/>
        <w:autoSpaceDN w:val="0"/>
        <w:adjustRightInd w:val="0"/>
        <w:spacing w:line="48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 xml:space="preserve">   地址：</w:t>
      </w:r>
      <w:r>
        <w:rPr>
          <w:rFonts w:hint="eastAsia" w:ascii="宋体" w:hAnsi="宋体" w:eastAsia="宋体" w:cs="宋体"/>
          <w:sz w:val="24"/>
          <w:szCs w:val="24"/>
          <w:highlight w:val="none"/>
          <w:u w:val="single"/>
          <w:lang w:val="en-US" w:eastAsia="zh-CN"/>
        </w:rPr>
        <w:t xml:space="preserve">                                      </w:t>
      </w:r>
    </w:p>
    <w:p w14:paraId="7E4A97D5">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成立时间</w:t>
      </w:r>
      <w:r>
        <w:rPr>
          <w:rFonts w:hint="eastAsia" w:ascii="宋体" w:hAnsi="宋体" w:eastAsia="宋体" w:cs="宋体"/>
          <w:sz w:val="24"/>
          <w:szCs w:val="24"/>
          <w:highlight w:val="none"/>
          <w:u w:val="none"/>
          <w:lang w:val="zh-CN"/>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w:t>
      </w:r>
    </w:p>
    <w:p w14:paraId="50A0B18A">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经营期限：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 xml:space="preserve"> </w:t>
      </w:r>
    </w:p>
    <w:p w14:paraId="5C9FCE79">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性别：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职务：</w:t>
      </w:r>
    </w:p>
    <w:p w14:paraId="2CEBE2F3">
      <w:pPr>
        <w:autoSpaceDE w:val="0"/>
        <w:autoSpaceDN w:val="0"/>
        <w:adjustRightInd w:val="0"/>
        <w:spacing w:line="48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w:t>
      </w:r>
    </w:p>
    <w:p w14:paraId="13DCCC70">
      <w:pPr>
        <w:autoSpaceDE w:val="0"/>
        <w:autoSpaceDN w:val="0"/>
        <w:adjustRightInd w:val="0"/>
        <w:spacing w:line="360" w:lineRule="auto"/>
        <w:rPr>
          <w:rFonts w:hint="eastAsia" w:ascii="宋体" w:hAnsi="宋体" w:eastAsia="宋体" w:cs="宋体"/>
          <w:sz w:val="24"/>
          <w:szCs w:val="24"/>
          <w:highlight w:val="none"/>
          <w:lang w:val="zh-CN"/>
        </w:rPr>
      </w:pPr>
    </w:p>
    <w:p w14:paraId="51D1ED77">
      <w:pPr>
        <w:autoSpaceDE w:val="0"/>
        <w:autoSpaceDN w:val="0"/>
        <w:adjustRightInd w:val="0"/>
        <w:spacing w:line="360" w:lineRule="auto"/>
        <w:rPr>
          <w:rFonts w:hint="eastAsia" w:ascii="宋体" w:hAnsi="宋体" w:eastAsia="宋体" w:cs="宋体"/>
          <w:sz w:val="24"/>
          <w:szCs w:val="24"/>
          <w:highlight w:val="none"/>
          <w:lang w:val="zh-CN"/>
        </w:rPr>
      </w:pPr>
    </w:p>
    <w:p w14:paraId="68F51586">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4A1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l2br w:val="nil"/>
              <w:tr2bl w:val="nil"/>
            </w:tcBorders>
            <w:noWrap/>
          </w:tcPr>
          <w:p w14:paraId="4842D7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tc>
      </w:tr>
    </w:tbl>
    <w:p w14:paraId="61026695">
      <w:pPr>
        <w:spacing w:line="360" w:lineRule="auto"/>
        <w:rPr>
          <w:rFonts w:hint="eastAsia" w:ascii="宋体" w:hAnsi="宋体" w:eastAsia="宋体" w:cs="宋体"/>
          <w:sz w:val="24"/>
          <w:szCs w:val="24"/>
          <w:highlight w:val="none"/>
        </w:rPr>
      </w:pPr>
    </w:p>
    <w:p w14:paraId="171B1887">
      <w:pPr>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100529F4">
      <w:pPr>
        <w:spacing w:line="360" w:lineRule="auto"/>
        <w:jc w:val="right"/>
        <w:rPr>
          <w:rFonts w:hint="eastAsia" w:ascii="宋体" w:hAnsi="宋体" w:eastAsia="宋体" w:cs="宋体"/>
          <w:sz w:val="24"/>
          <w:szCs w:val="24"/>
          <w:highlight w:val="none"/>
        </w:rPr>
      </w:pPr>
    </w:p>
    <w:p w14:paraId="44F25714">
      <w:pPr>
        <w:autoSpaceDE w:val="0"/>
        <w:autoSpaceDN w:val="0"/>
        <w:adjustRightIn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                  日  期：      年      月      日</w:t>
      </w:r>
    </w:p>
    <w:p w14:paraId="393AD815">
      <w:pPr>
        <w:autoSpaceDE w:val="0"/>
        <w:autoSpaceDN w:val="0"/>
        <w:adjustRightInd w:val="0"/>
        <w:snapToGrid w:val="0"/>
        <w:spacing w:line="240" w:lineRule="exact"/>
        <w:rPr>
          <w:rFonts w:hint="eastAsia" w:ascii="宋体" w:hAnsi="宋体" w:eastAsia="宋体" w:cs="宋体"/>
          <w:highlight w:val="none"/>
        </w:rPr>
      </w:pPr>
    </w:p>
    <w:p w14:paraId="6DA0B15C">
      <w:pPr>
        <w:rPr>
          <w:rFonts w:hint="eastAsia" w:ascii="宋体" w:hAnsi="宋体" w:eastAsia="宋体" w:cs="宋体"/>
          <w:sz w:val="32"/>
          <w:szCs w:val="32"/>
          <w:highlight w:val="none"/>
        </w:rPr>
      </w:pPr>
    </w:p>
    <w:p w14:paraId="23928FAE">
      <w:pPr>
        <w:spacing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1136D069">
      <w:pPr>
        <w:rPr>
          <w:rFonts w:hint="eastAsia" w:ascii="宋体" w:hAnsi="宋体" w:eastAsia="宋体" w:cs="宋体"/>
          <w:highlight w:val="none"/>
        </w:rPr>
      </w:pPr>
    </w:p>
    <w:p w14:paraId="01257994">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法定代表人授权委托书</w:t>
      </w:r>
    </w:p>
    <w:p w14:paraId="010BDE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w:t>
      </w:r>
    </w:p>
    <w:p w14:paraId="00E760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名称）的法定代表人，现授权委托</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（姓名）为我公司代表，以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名称）的名义参加本项目投标活动。</w:t>
      </w:r>
    </w:p>
    <w:p w14:paraId="0FF17D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委托代理人在开标、评标、</w:t>
      </w:r>
      <w:r>
        <w:rPr>
          <w:rFonts w:hint="eastAsia" w:ascii="宋体" w:hAnsi="宋体" w:eastAsia="宋体" w:cs="宋体"/>
          <w:color w:val="auto"/>
          <w:sz w:val="24"/>
          <w:szCs w:val="24"/>
          <w:highlight w:val="none"/>
        </w:rPr>
        <w:t>合同谈判过程</w:t>
      </w:r>
      <w:r>
        <w:rPr>
          <w:rFonts w:hint="eastAsia" w:ascii="宋体" w:hAnsi="宋体" w:eastAsia="宋体" w:cs="宋体"/>
          <w:sz w:val="24"/>
          <w:szCs w:val="24"/>
          <w:highlight w:val="none"/>
        </w:rPr>
        <w:t>中签署的一切文件和处理与之有关的一切事务，我均予以承认。</w:t>
      </w:r>
    </w:p>
    <w:p w14:paraId="499FFF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委托代理人无转委托权。</w:t>
      </w:r>
    </w:p>
    <w:p w14:paraId="48B30F65">
      <w:pPr>
        <w:spacing w:line="360" w:lineRule="auto"/>
        <w:rPr>
          <w:rFonts w:hint="eastAsia" w:ascii="宋体" w:hAnsi="宋体" w:eastAsia="宋体" w:cs="宋体"/>
          <w:sz w:val="24"/>
          <w:szCs w:val="24"/>
          <w:highlight w:val="none"/>
        </w:rPr>
      </w:pPr>
    </w:p>
    <w:p w14:paraId="2D77E36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特此委托。</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6F82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l2br w:val="nil"/>
              <w:tr2bl w:val="nil"/>
            </w:tcBorders>
            <w:noWrap/>
          </w:tcPr>
          <w:p w14:paraId="2DCBFFD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p>
        </w:tc>
      </w:tr>
    </w:tbl>
    <w:p w14:paraId="04DBE16A">
      <w:pPr>
        <w:spacing w:line="360" w:lineRule="auto"/>
        <w:ind w:firstLine="480" w:firstLineChars="200"/>
        <w:rPr>
          <w:rFonts w:hint="eastAsia" w:ascii="宋体" w:hAnsi="宋体" w:eastAsia="宋体" w:cs="宋体"/>
          <w:sz w:val="24"/>
          <w:szCs w:val="24"/>
          <w:highlight w:val="none"/>
        </w:rPr>
      </w:pPr>
    </w:p>
    <w:p w14:paraId="40D32DBC">
      <w:pPr>
        <w:spacing w:line="360" w:lineRule="auto"/>
        <w:ind w:firstLine="480" w:firstLineChars="200"/>
        <w:rPr>
          <w:rFonts w:hint="eastAsia" w:ascii="宋体" w:hAnsi="宋体" w:eastAsia="宋体" w:cs="宋体"/>
          <w:sz w:val="24"/>
          <w:szCs w:val="24"/>
          <w:highlight w:val="none"/>
        </w:rPr>
      </w:pPr>
    </w:p>
    <w:p w14:paraId="1D2E9E68">
      <w:pPr>
        <w:spacing w:line="360" w:lineRule="auto"/>
        <w:ind w:firstLine="480" w:firstLineChars="200"/>
        <w:rPr>
          <w:rFonts w:hint="eastAsia" w:ascii="宋体" w:hAnsi="宋体" w:eastAsia="宋体" w:cs="宋体"/>
          <w:sz w:val="24"/>
          <w:szCs w:val="24"/>
          <w:highlight w:val="none"/>
        </w:rPr>
      </w:pPr>
    </w:p>
    <w:p w14:paraId="224A004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51DC9CF8">
      <w:pPr>
        <w:spacing w:line="360" w:lineRule="auto"/>
        <w:ind w:firstLine="480" w:firstLineChars="200"/>
        <w:rPr>
          <w:rFonts w:hint="eastAsia" w:ascii="宋体" w:hAnsi="宋体" w:eastAsia="宋体" w:cs="宋体"/>
          <w:sz w:val="24"/>
          <w:szCs w:val="24"/>
          <w:highlight w:val="none"/>
        </w:rPr>
      </w:pPr>
    </w:p>
    <w:p w14:paraId="6AD1E9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322F2315">
      <w:pPr>
        <w:spacing w:line="360" w:lineRule="auto"/>
        <w:ind w:firstLine="480" w:firstLineChars="200"/>
        <w:rPr>
          <w:rFonts w:hint="eastAsia" w:ascii="宋体" w:hAnsi="宋体" w:eastAsia="宋体" w:cs="宋体"/>
          <w:sz w:val="24"/>
          <w:szCs w:val="24"/>
          <w:highlight w:val="none"/>
        </w:rPr>
      </w:pPr>
    </w:p>
    <w:p w14:paraId="623C99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01D49518">
      <w:pPr>
        <w:spacing w:line="360" w:lineRule="auto"/>
        <w:ind w:firstLine="480" w:firstLineChars="200"/>
        <w:rPr>
          <w:rFonts w:hint="eastAsia" w:ascii="宋体" w:hAnsi="宋体" w:eastAsia="宋体" w:cs="宋体"/>
          <w:sz w:val="24"/>
          <w:szCs w:val="24"/>
          <w:highlight w:val="none"/>
        </w:rPr>
      </w:pPr>
    </w:p>
    <w:p w14:paraId="632EC427">
      <w:pPr>
        <w:autoSpaceDE w:val="0"/>
        <w:autoSpaceDN w:val="0"/>
        <w:adjustRightInd w:val="0"/>
        <w:snapToGrid w:val="0"/>
        <w:spacing w:line="249"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C21B6FD">
      <w:pPr>
        <w:autoSpaceDE w:val="0"/>
        <w:autoSpaceDN w:val="0"/>
        <w:adjustRightInd w:val="0"/>
        <w:snapToGrid w:val="0"/>
        <w:spacing w:line="249" w:lineRule="exact"/>
        <w:rPr>
          <w:rFonts w:hint="eastAsia" w:ascii="宋体" w:hAnsi="宋体" w:eastAsia="宋体" w:cs="宋体"/>
          <w:sz w:val="24"/>
          <w:szCs w:val="24"/>
          <w:highlight w:val="none"/>
        </w:rPr>
      </w:pPr>
    </w:p>
    <w:p w14:paraId="3BA21CDF">
      <w:pPr>
        <w:rPr>
          <w:rFonts w:hint="eastAsia" w:ascii="宋体" w:hAnsi="宋体" w:eastAsia="宋体" w:cs="宋体"/>
          <w:b/>
          <w:highlight w:val="none"/>
        </w:rPr>
      </w:pPr>
    </w:p>
    <w:p w14:paraId="46E61C11">
      <w:pPr>
        <w:rPr>
          <w:rFonts w:hint="eastAsia" w:ascii="宋体" w:hAnsi="宋体" w:eastAsia="宋体" w:cs="宋体"/>
          <w:spacing w:val="14"/>
          <w:sz w:val="32"/>
          <w:szCs w:val="32"/>
          <w:highlight w:val="none"/>
        </w:rPr>
      </w:pPr>
    </w:p>
    <w:p w14:paraId="708D1B27">
      <w:pPr>
        <w:jc w:val="center"/>
        <w:rPr>
          <w:rFonts w:hint="eastAsia" w:ascii="宋体" w:hAnsi="宋体" w:eastAsia="宋体" w:cs="宋体"/>
          <w:highlight w:val="none"/>
        </w:rPr>
      </w:pPr>
      <w:bookmarkStart w:id="96" w:name="_Toc455496977"/>
      <w:bookmarkStart w:id="97" w:name="_Toc455576013"/>
      <w:bookmarkStart w:id="98" w:name="_Toc201719190"/>
      <w:r>
        <w:rPr>
          <w:rFonts w:hint="eastAsia" w:ascii="宋体" w:hAnsi="宋体" w:eastAsia="宋体" w:cs="宋体"/>
          <w:highlight w:val="none"/>
        </w:rPr>
        <w:br w:type="page"/>
      </w:r>
      <w:bookmarkStart w:id="99" w:name="_Toc476591081"/>
    </w:p>
    <w:p w14:paraId="34069DC3">
      <w:pPr>
        <w:jc w:val="center"/>
        <w:rPr>
          <w:rFonts w:hint="eastAsia" w:ascii="宋体" w:hAnsi="宋体" w:eastAsia="宋体" w:cs="宋体"/>
          <w:highlight w:val="none"/>
        </w:rPr>
      </w:pPr>
    </w:p>
    <w:p w14:paraId="70DF25D6">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投标保证金</w:t>
      </w:r>
      <w:bookmarkEnd w:id="96"/>
      <w:bookmarkEnd w:id="97"/>
      <w:bookmarkEnd w:id="98"/>
      <w:bookmarkEnd w:id="99"/>
    </w:p>
    <w:p w14:paraId="41A7BEE0">
      <w:pPr>
        <w:autoSpaceDE w:val="0"/>
        <w:autoSpaceDN w:val="0"/>
        <w:adjustRightInd w:val="0"/>
        <w:spacing w:line="400" w:lineRule="exact"/>
        <w:rPr>
          <w:rFonts w:hint="eastAsia" w:ascii="宋体" w:hAnsi="宋体" w:eastAsia="宋体" w:cs="宋体"/>
          <w:szCs w:val="18"/>
          <w:highlight w:val="none"/>
          <w:u w:val="single"/>
          <w:lang w:val="zh-CN"/>
        </w:rPr>
      </w:pPr>
    </w:p>
    <w:p w14:paraId="0DA692E0">
      <w:pPr>
        <w:spacing w:line="360" w:lineRule="auto"/>
        <w:rPr>
          <w:rFonts w:hint="eastAsia" w:ascii="宋体" w:hAnsi="宋体" w:eastAsia="宋体" w:cs="宋体"/>
          <w:sz w:val="24"/>
          <w:szCs w:val="24"/>
          <w:highlight w:val="none"/>
        </w:rPr>
      </w:pPr>
      <w:bookmarkStart w:id="100" w:name="_Toc476591084"/>
      <w:r>
        <w:rPr>
          <w:rFonts w:hint="eastAsia" w:ascii="宋体" w:hAnsi="宋体" w:eastAsia="宋体" w:cs="宋体"/>
          <w:sz w:val="24"/>
          <w:szCs w:val="24"/>
          <w:highlight w:val="none"/>
          <w:lang w:val="en-US" w:eastAsia="zh-CN"/>
        </w:rPr>
        <w:t>本项目不收取投标保证金</w:t>
      </w:r>
      <w:r>
        <w:rPr>
          <w:rFonts w:hint="eastAsia" w:ascii="宋体" w:hAnsi="宋体" w:eastAsia="宋体" w:cs="宋体"/>
          <w:sz w:val="24"/>
          <w:szCs w:val="24"/>
          <w:highlight w:val="none"/>
        </w:rPr>
        <w:t>。</w:t>
      </w:r>
      <w:bookmarkEnd w:id="100"/>
    </w:p>
    <w:p w14:paraId="3E481D87">
      <w:pPr>
        <w:spacing w:line="360" w:lineRule="auto"/>
        <w:rPr>
          <w:rFonts w:hint="eastAsia" w:ascii="宋体" w:hAnsi="宋体" w:eastAsia="宋体" w:cs="宋体"/>
          <w:sz w:val="24"/>
          <w:szCs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2"/>
      </w:tblGrid>
      <w:tr w14:paraId="13A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22" w:type="dxa"/>
            <w:tcBorders>
              <w:top w:val="single" w:color="auto" w:sz="4" w:space="0"/>
              <w:left w:val="single" w:color="auto" w:sz="4" w:space="0"/>
              <w:bottom w:val="single" w:color="auto" w:sz="4" w:space="0"/>
              <w:right w:val="single" w:color="auto" w:sz="4" w:space="0"/>
              <w:tl2br w:val="nil"/>
              <w:tr2bl w:val="nil"/>
            </w:tcBorders>
            <w:noWrap/>
          </w:tcPr>
          <w:p w14:paraId="05A1B832">
            <w:pPr>
              <w:spacing w:line="360" w:lineRule="auto"/>
              <w:rPr>
                <w:rFonts w:hint="eastAsia" w:ascii="宋体" w:hAnsi="宋体" w:eastAsia="宋体" w:cs="宋体"/>
                <w:sz w:val="24"/>
                <w:szCs w:val="24"/>
                <w:highlight w:val="none"/>
              </w:rPr>
            </w:pPr>
          </w:p>
          <w:p w14:paraId="3D03A78B">
            <w:pPr>
              <w:spacing w:line="360" w:lineRule="auto"/>
              <w:rPr>
                <w:rFonts w:hint="eastAsia" w:ascii="宋体" w:hAnsi="宋体" w:eastAsia="宋体" w:cs="宋体"/>
                <w:sz w:val="24"/>
                <w:szCs w:val="24"/>
                <w:highlight w:val="none"/>
              </w:rPr>
            </w:pPr>
          </w:p>
          <w:p w14:paraId="5B7B5038">
            <w:pPr>
              <w:spacing w:line="360" w:lineRule="auto"/>
              <w:rPr>
                <w:rFonts w:hint="eastAsia" w:ascii="宋体" w:hAnsi="宋体" w:eastAsia="宋体" w:cs="宋体"/>
                <w:sz w:val="24"/>
                <w:szCs w:val="24"/>
                <w:highlight w:val="none"/>
              </w:rPr>
            </w:pPr>
          </w:p>
          <w:p w14:paraId="7E14B690">
            <w:pPr>
              <w:spacing w:line="360" w:lineRule="auto"/>
              <w:rPr>
                <w:rFonts w:hint="eastAsia" w:ascii="宋体" w:hAnsi="宋体" w:eastAsia="宋体" w:cs="宋体"/>
                <w:sz w:val="24"/>
                <w:szCs w:val="24"/>
                <w:highlight w:val="none"/>
              </w:rPr>
            </w:pPr>
          </w:p>
          <w:p w14:paraId="569FE6F2">
            <w:pPr>
              <w:spacing w:line="360" w:lineRule="auto"/>
              <w:rPr>
                <w:rFonts w:hint="eastAsia" w:ascii="宋体" w:hAnsi="宋体" w:eastAsia="宋体" w:cs="宋体"/>
                <w:sz w:val="24"/>
                <w:szCs w:val="24"/>
                <w:highlight w:val="none"/>
              </w:rPr>
            </w:pPr>
            <w:bookmarkStart w:id="101" w:name="_Toc476591085"/>
            <w:r>
              <w:rPr>
                <w:rFonts w:hint="eastAsia" w:ascii="宋体" w:hAnsi="宋体" w:eastAsia="宋体" w:cs="宋体"/>
                <w:sz w:val="24"/>
                <w:szCs w:val="24"/>
                <w:highlight w:val="none"/>
              </w:rPr>
              <w:t>附：</w:t>
            </w:r>
            <w:r>
              <w:rPr>
                <w:rFonts w:hint="eastAsia" w:ascii="宋体" w:hAnsi="宋体" w:eastAsia="宋体" w:cs="宋体"/>
                <w:bCs/>
                <w:sz w:val="24"/>
                <w:szCs w:val="24"/>
                <w:highlight w:val="none"/>
                <w:lang w:val="zh-CN"/>
              </w:rPr>
              <w:t>单位银行基本账户开户证明</w:t>
            </w:r>
            <w:r>
              <w:rPr>
                <w:rFonts w:hint="eastAsia" w:ascii="宋体" w:hAnsi="宋体" w:eastAsia="宋体" w:cs="宋体"/>
                <w:sz w:val="24"/>
                <w:szCs w:val="24"/>
                <w:highlight w:val="none"/>
              </w:rPr>
              <w:t>复印件。</w:t>
            </w:r>
            <w:bookmarkEnd w:id="101"/>
          </w:p>
          <w:p w14:paraId="66A327D2">
            <w:pPr>
              <w:spacing w:line="360" w:lineRule="auto"/>
              <w:rPr>
                <w:rFonts w:hint="eastAsia" w:ascii="宋体" w:hAnsi="宋体" w:eastAsia="宋体" w:cs="宋体"/>
                <w:sz w:val="24"/>
                <w:szCs w:val="24"/>
                <w:highlight w:val="none"/>
              </w:rPr>
            </w:pPr>
          </w:p>
          <w:p w14:paraId="5067E22D">
            <w:pPr>
              <w:spacing w:line="360" w:lineRule="auto"/>
              <w:rPr>
                <w:rFonts w:hint="eastAsia" w:ascii="宋体" w:hAnsi="宋体" w:eastAsia="宋体" w:cs="宋体"/>
                <w:sz w:val="24"/>
                <w:szCs w:val="24"/>
                <w:highlight w:val="none"/>
              </w:rPr>
            </w:pPr>
          </w:p>
          <w:p w14:paraId="054F85F1">
            <w:pPr>
              <w:spacing w:line="360" w:lineRule="auto"/>
              <w:rPr>
                <w:rFonts w:hint="eastAsia" w:ascii="宋体" w:hAnsi="宋体" w:eastAsia="宋体" w:cs="宋体"/>
                <w:sz w:val="24"/>
                <w:szCs w:val="24"/>
                <w:highlight w:val="none"/>
              </w:rPr>
            </w:pPr>
          </w:p>
          <w:p w14:paraId="72423DD5">
            <w:pPr>
              <w:spacing w:line="360" w:lineRule="auto"/>
              <w:rPr>
                <w:rFonts w:hint="eastAsia" w:ascii="宋体" w:hAnsi="宋体" w:eastAsia="宋体" w:cs="宋体"/>
                <w:sz w:val="24"/>
                <w:szCs w:val="24"/>
                <w:highlight w:val="none"/>
              </w:rPr>
            </w:pPr>
          </w:p>
          <w:p w14:paraId="7DEAE8E4">
            <w:pPr>
              <w:spacing w:line="360" w:lineRule="auto"/>
              <w:rPr>
                <w:rFonts w:hint="eastAsia" w:ascii="宋体" w:hAnsi="宋体" w:eastAsia="宋体" w:cs="宋体"/>
                <w:sz w:val="24"/>
                <w:szCs w:val="24"/>
                <w:highlight w:val="none"/>
              </w:rPr>
            </w:pPr>
          </w:p>
        </w:tc>
      </w:tr>
    </w:tbl>
    <w:p w14:paraId="2A14CEC5">
      <w:pPr>
        <w:spacing w:line="360" w:lineRule="auto"/>
        <w:rPr>
          <w:rFonts w:hint="eastAsia" w:ascii="宋体" w:hAnsi="宋体" w:eastAsia="宋体" w:cs="宋体"/>
          <w:sz w:val="24"/>
          <w:szCs w:val="24"/>
          <w:highlight w:val="none"/>
        </w:rPr>
      </w:pPr>
    </w:p>
    <w:p w14:paraId="419F277E">
      <w:pPr>
        <w:spacing w:line="360" w:lineRule="auto"/>
        <w:rPr>
          <w:rFonts w:hint="eastAsia" w:ascii="宋体" w:hAnsi="宋体" w:eastAsia="宋体" w:cs="宋体"/>
          <w:sz w:val="24"/>
          <w:szCs w:val="24"/>
          <w:highlight w:val="none"/>
        </w:rPr>
      </w:pPr>
    </w:p>
    <w:p w14:paraId="3A820523">
      <w:pPr>
        <w:spacing w:line="360" w:lineRule="auto"/>
        <w:rPr>
          <w:rFonts w:hint="eastAsia" w:ascii="宋体" w:hAnsi="宋体" w:eastAsia="宋体" w:cs="宋体"/>
          <w:sz w:val="24"/>
          <w:szCs w:val="24"/>
          <w:highlight w:val="none"/>
        </w:rPr>
      </w:pPr>
    </w:p>
    <w:p w14:paraId="2F6BD45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3D47139B">
      <w:pPr>
        <w:spacing w:line="360" w:lineRule="auto"/>
        <w:rPr>
          <w:rFonts w:hint="eastAsia" w:ascii="宋体" w:hAnsi="宋体" w:eastAsia="宋体" w:cs="宋体"/>
          <w:sz w:val="24"/>
          <w:szCs w:val="24"/>
          <w:highlight w:val="none"/>
        </w:rPr>
      </w:pPr>
    </w:p>
    <w:p w14:paraId="3D8BFA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75C2848D">
      <w:pPr>
        <w:spacing w:line="360" w:lineRule="auto"/>
        <w:rPr>
          <w:rFonts w:hint="eastAsia" w:ascii="宋体" w:hAnsi="宋体" w:eastAsia="宋体" w:cs="宋体"/>
          <w:sz w:val="24"/>
          <w:szCs w:val="24"/>
          <w:highlight w:val="none"/>
        </w:rPr>
      </w:pPr>
    </w:p>
    <w:p w14:paraId="44D408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75E1983F">
      <w:pPr>
        <w:spacing w:line="360" w:lineRule="auto"/>
        <w:rPr>
          <w:rFonts w:hint="eastAsia" w:ascii="宋体" w:hAnsi="宋体" w:eastAsia="宋体" w:cs="宋体"/>
          <w:sz w:val="24"/>
          <w:szCs w:val="24"/>
          <w:highlight w:val="none"/>
        </w:rPr>
      </w:pPr>
    </w:p>
    <w:p w14:paraId="3F9952D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48CA57C4">
      <w:pPr>
        <w:autoSpaceDE w:val="0"/>
        <w:autoSpaceDN w:val="0"/>
        <w:adjustRightInd w:val="0"/>
        <w:spacing w:line="400" w:lineRule="exact"/>
        <w:rPr>
          <w:rFonts w:hint="eastAsia" w:ascii="宋体" w:hAnsi="宋体" w:eastAsia="宋体" w:cs="宋体"/>
          <w:szCs w:val="21"/>
          <w:highlight w:val="none"/>
        </w:rPr>
      </w:pPr>
    </w:p>
    <w:p w14:paraId="66C7FB8F">
      <w:pPr>
        <w:autoSpaceDE w:val="0"/>
        <w:autoSpaceDN w:val="0"/>
        <w:adjustRightInd w:val="0"/>
        <w:spacing w:line="400" w:lineRule="exact"/>
        <w:rPr>
          <w:rFonts w:hint="eastAsia" w:ascii="宋体" w:hAnsi="宋体" w:eastAsia="宋体" w:cs="宋体"/>
          <w:szCs w:val="21"/>
          <w:highlight w:val="none"/>
        </w:rPr>
      </w:pPr>
    </w:p>
    <w:p w14:paraId="10646EE7">
      <w:pPr>
        <w:autoSpaceDE w:val="0"/>
        <w:autoSpaceDN w:val="0"/>
        <w:adjustRightInd w:val="0"/>
        <w:spacing w:line="400" w:lineRule="exact"/>
        <w:rPr>
          <w:rFonts w:hint="eastAsia" w:ascii="宋体" w:hAnsi="宋体" w:eastAsia="宋体" w:cs="宋体"/>
          <w:spacing w:val="14"/>
          <w:sz w:val="32"/>
          <w:szCs w:val="32"/>
          <w:highlight w:val="none"/>
        </w:rPr>
      </w:pPr>
      <w:r>
        <w:rPr>
          <w:rFonts w:hint="eastAsia" w:ascii="宋体" w:hAnsi="宋体" w:eastAsia="宋体" w:cs="宋体"/>
          <w:szCs w:val="21"/>
          <w:highlight w:val="none"/>
        </w:rPr>
        <w:br w:type="page"/>
      </w:r>
    </w:p>
    <w:p w14:paraId="7E9059CA">
      <w:pPr>
        <w:autoSpaceDE w:val="0"/>
        <w:autoSpaceDN w:val="0"/>
        <w:adjustRightInd w:val="0"/>
        <w:spacing w:line="400" w:lineRule="exact"/>
        <w:rPr>
          <w:rFonts w:hint="eastAsia" w:ascii="宋体" w:hAnsi="宋体" w:eastAsia="宋体" w:cs="宋体"/>
          <w:bCs/>
          <w:sz w:val="24"/>
          <w:highlight w:val="none"/>
          <w:lang w:val="zh-CN"/>
        </w:rPr>
      </w:pPr>
    </w:p>
    <w:p w14:paraId="2B1B583A">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投标报价说明</w:t>
      </w:r>
    </w:p>
    <w:p w14:paraId="3F06E2F7">
      <w:pPr>
        <w:rPr>
          <w:rFonts w:hint="eastAsia" w:ascii="宋体" w:hAnsi="宋体" w:eastAsia="宋体" w:cs="宋体"/>
          <w:spacing w:val="14"/>
          <w:sz w:val="32"/>
          <w:szCs w:val="32"/>
          <w:highlight w:val="none"/>
        </w:rPr>
      </w:pPr>
      <w:r>
        <w:rPr>
          <w:rFonts w:hint="eastAsia" w:ascii="宋体" w:hAnsi="宋体" w:eastAsia="宋体" w:cs="宋体"/>
          <w:sz w:val="24"/>
          <w:highlight w:val="none"/>
        </w:rPr>
        <mc:AlternateContent>
          <mc:Choice Requires="wps">
            <w:drawing>
              <wp:anchor distT="0" distB="0" distL="113665" distR="113665" simplePos="0" relativeHeight="251659264" behindDoc="0" locked="0" layoutInCell="1" allowOverlap="1">
                <wp:simplePos x="0" y="0"/>
                <wp:positionH relativeFrom="column">
                  <wp:posOffset>127000</wp:posOffset>
                </wp:positionH>
                <wp:positionV relativeFrom="paragraph">
                  <wp:posOffset>78105</wp:posOffset>
                </wp:positionV>
                <wp:extent cx="5083175" cy="2520950"/>
                <wp:effectExtent l="4445" t="4445" r="17780" b="8255"/>
                <wp:wrapNone/>
                <wp:docPr id="4" name="Rectangle 211"/>
                <wp:cNvGraphicFramePr/>
                <a:graphic xmlns:a="http://schemas.openxmlformats.org/drawingml/2006/main">
                  <a:graphicData uri="http://schemas.microsoft.com/office/word/2010/wordprocessingShape">
                    <wps:wsp>
                      <wps:cNvSpPr/>
                      <wps:spPr>
                        <a:xfrm>
                          <a:off x="0" y="0"/>
                          <a:ext cx="5083175" cy="2520950"/>
                        </a:xfrm>
                        <a:prstGeom prst="rect">
                          <a:avLst/>
                        </a:prstGeom>
                        <a:solidFill>
                          <a:srgbClr val="FFFFFF"/>
                        </a:solidFill>
                        <a:ln w="9525" cap="flat" cmpd="sng">
                          <a:solidFill>
                            <a:srgbClr val="000000"/>
                          </a:solidFill>
                          <a:prstDash val="solid"/>
                          <a:miter/>
                        </a:ln>
                      </wps:spPr>
                      <wps:txbx>
                        <w:txbxContent>
                          <w:p w14:paraId="74F3AB2E">
                            <w:pPr>
                              <w:rPr>
                                <w:rFonts w:ascii="仿宋_GB2312" w:eastAsia="仿宋_GB2312"/>
                                <w:sz w:val="30"/>
                                <w:szCs w:val="30"/>
                              </w:rPr>
                            </w:pPr>
                          </w:p>
                          <w:p w14:paraId="42D609B5">
                            <w:pPr>
                              <w:rPr>
                                <w:rFonts w:ascii="仿宋_GB2312" w:eastAsia="仿宋_GB2312"/>
                                <w:sz w:val="30"/>
                                <w:szCs w:val="30"/>
                              </w:rPr>
                            </w:pPr>
                          </w:p>
                          <w:p w14:paraId="04DDC89B">
                            <w:pP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11" o:spid="_x0000_s1026" o:spt="1" style="position:absolute;left:0pt;margin-left:10pt;margin-top:6.15pt;height:198.5pt;width:400.25pt;z-index:251659264;mso-width-relative:page;mso-height-relative:page;" fillcolor="#FFFFFF" filled="t" stroked="t" coordsize="21600,21600" o:gfxdata="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V9Cq1gAAAAkB&#10;AAAPAAAAAAAAAAEAIAAAACIAAABkcnMvZG93bnJldi54bWxQSwECFAAUAAAACACHTuJAj4eb/x0C&#10;AABcBAAADgAAAAAAAAABACAAAAAlAQAAZHJzL2Uyb0RvYy54bWxQSwUGAAAAAAYABgBZAQAAtAUA&#10;AAAA&#10;">
                <v:fill on="t" focussize="0,0"/>
                <v:stroke color="#000000" joinstyle="miter"/>
                <v:imagedata o:title=""/>
                <o:lock v:ext="edit" aspectratio="f"/>
                <v:textbox>
                  <w:txbxContent>
                    <w:p w14:paraId="74F3AB2E">
                      <w:pPr>
                        <w:rPr>
                          <w:rFonts w:ascii="仿宋_GB2312" w:eastAsia="仿宋_GB2312"/>
                          <w:sz w:val="30"/>
                          <w:szCs w:val="30"/>
                        </w:rPr>
                      </w:pPr>
                    </w:p>
                    <w:p w14:paraId="42D609B5">
                      <w:pPr>
                        <w:rPr>
                          <w:rFonts w:ascii="仿宋_GB2312" w:eastAsia="仿宋_GB2312"/>
                          <w:sz w:val="30"/>
                          <w:szCs w:val="30"/>
                        </w:rPr>
                      </w:pPr>
                    </w:p>
                    <w:p w14:paraId="04DDC89B">
                      <w:pPr>
                        <w:rPr>
                          <w:rFonts w:ascii="仿宋_GB2312" w:eastAsia="仿宋_GB2312"/>
                          <w:sz w:val="30"/>
                          <w:szCs w:val="30"/>
                        </w:rPr>
                      </w:pPr>
                    </w:p>
                  </w:txbxContent>
                </v:textbox>
              </v:rect>
            </w:pict>
          </mc:Fallback>
        </mc:AlternateContent>
      </w:r>
    </w:p>
    <w:p w14:paraId="7203C770">
      <w:pPr>
        <w:rPr>
          <w:rFonts w:hint="eastAsia" w:ascii="宋体" w:hAnsi="宋体" w:eastAsia="宋体" w:cs="宋体"/>
          <w:spacing w:val="14"/>
          <w:sz w:val="32"/>
          <w:szCs w:val="32"/>
          <w:highlight w:val="none"/>
        </w:rPr>
      </w:pPr>
    </w:p>
    <w:p w14:paraId="496C7345">
      <w:pPr>
        <w:rPr>
          <w:rFonts w:hint="eastAsia" w:ascii="宋体" w:hAnsi="宋体" w:eastAsia="宋体" w:cs="宋体"/>
          <w:spacing w:val="14"/>
          <w:sz w:val="32"/>
          <w:szCs w:val="32"/>
          <w:highlight w:val="none"/>
        </w:rPr>
      </w:pPr>
    </w:p>
    <w:p w14:paraId="2DFCF559">
      <w:pPr>
        <w:rPr>
          <w:rFonts w:hint="eastAsia" w:ascii="宋体" w:hAnsi="宋体" w:eastAsia="宋体" w:cs="宋体"/>
          <w:spacing w:val="14"/>
          <w:sz w:val="24"/>
          <w:szCs w:val="24"/>
          <w:highlight w:val="none"/>
        </w:rPr>
      </w:pPr>
    </w:p>
    <w:p w14:paraId="096A5AD1">
      <w:pPr>
        <w:rPr>
          <w:rFonts w:hint="eastAsia" w:ascii="宋体" w:hAnsi="宋体" w:eastAsia="宋体" w:cs="宋体"/>
          <w:spacing w:val="14"/>
          <w:sz w:val="24"/>
          <w:szCs w:val="24"/>
          <w:highlight w:val="none"/>
        </w:rPr>
      </w:pPr>
    </w:p>
    <w:p w14:paraId="579B2210">
      <w:pPr>
        <w:rPr>
          <w:rFonts w:hint="eastAsia" w:ascii="宋体" w:hAnsi="宋体" w:eastAsia="宋体" w:cs="宋体"/>
          <w:spacing w:val="14"/>
          <w:sz w:val="24"/>
          <w:szCs w:val="24"/>
          <w:highlight w:val="none"/>
        </w:rPr>
      </w:pPr>
    </w:p>
    <w:p w14:paraId="65CE0A3E">
      <w:pPr>
        <w:rPr>
          <w:rFonts w:hint="eastAsia" w:ascii="宋体" w:hAnsi="宋体" w:eastAsia="宋体" w:cs="宋体"/>
          <w:spacing w:val="14"/>
          <w:sz w:val="24"/>
          <w:szCs w:val="24"/>
          <w:highlight w:val="none"/>
        </w:rPr>
      </w:pPr>
    </w:p>
    <w:p w14:paraId="5DA5A07A">
      <w:pPr>
        <w:rPr>
          <w:rFonts w:hint="eastAsia" w:ascii="宋体" w:hAnsi="宋体" w:eastAsia="宋体" w:cs="宋体"/>
          <w:spacing w:val="14"/>
          <w:sz w:val="24"/>
          <w:szCs w:val="24"/>
          <w:highlight w:val="none"/>
        </w:rPr>
      </w:pPr>
    </w:p>
    <w:p w14:paraId="07ADE69D">
      <w:pPr>
        <w:rPr>
          <w:rFonts w:hint="eastAsia" w:ascii="宋体" w:hAnsi="宋体" w:eastAsia="宋体" w:cs="宋体"/>
          <w:spacing w:val="14"/>
          <w:sz w:val="24"/>
          <w:szCs w:val="24"/>
          <w:highlight w:val="none"/>
        </w:rPr>
      </w:pPr>
    </w:p>
    <w:p w14:paraId="7B47CA89">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p>
    <w:p w14:paraId="6A9097BA">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p>
    <w:p w14:paraId="7F469F60">
      <w:pPr>
        <w:spacing w:line="360" w:lineRule="auto"/>
        <w:ind w:firstLine="720" w:firstLineChars="300"/>
        <w:rPr>
          <w:rFonts w:hint="eastAsia" w:ascii="宋体" w:hAnsi="宋体" w:eastAsia="宋体" w:cs="宋体"/>
          <w:sz w:val="24"/>
          <w:szCs w:val="24"/>
          <w:highlight w:val="none"/>
        </w:rPr>
      </w:pPr>
    </w:p>
    <w:p w14:paraId="4C281F86">
      <w:pPr>
        <w:spacing w:line="360" w:lineRule="auto"/>
        <w:ind w:firstLine="720" w:firstLineChars="300"/>
        <w:rPr>
          <w:rFonts w:hint="eastAsia" w:ascii="宋体" w:hAnsi="宋体" w:eastAsia="宋体" w:cs="宋体"/>
          <w:sz w:val="24"/>
          <w:szCs w:val="24"/>
          <w:highlight w:val="none"/>
        </w:rPr>
      </w:pPr>
    </w:p>
    <w:p w14:paraId="7790BC94">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5F833A96">
      <w:pPr>
        <w:spacing w:line="360" w:lineRule="auto"/>
        <w:ind w:firstLine="480" w:firstLineChars="200"/>
        <w:rPr>
          <w:rFonts w:hint="eastAsia" w:ascii="宋体" w:hAnsi="宋体" w:eastAsia="宋体" w:cs="宋体"/>
          <w:sz w:val="24"/>
          <w:szCs w:val="24"/>
          <w:highlight w:val="none"/>
        </w:rPr>
      </w:pPr>
    </w:p>
    <w:p w14:paraId="32103A60">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3B0C3823">
      <w:pPr>
        <w:spacing w:line="360" w:lineRule="auto"/>
        <w:ind w:firstLine="480" w:firstLineChars="200"/>
        <w:rPr>
          <w:rFonts w:hint="eastAsia" w:ascii="宋体" w:hAnsi="宋体" w:eastAsia="宋体" w:cs="宋体"/>
          <w:sz w:val="24"/>
          <w:szCs w:val="24"/>
          <w:highlight w:val="none"/>
        </w:rPr>
      </w:pPr>
    </w:p>
    <w:p w14:paraId="559EB30C">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A838653">
      <w:pPr>
        <w:spacing w:line="360" w:lineRule="auto"/>
        <w:ind w:firstLine="480" w:firstLineChars="200"/>
        <w:rPr>
          <w:rFonts w:hint="eastAsia" w:ascii="宋体" w:hAnsi="宋体" w:eastAsia="宋体" w:cs="宋体"/>
          <w:sz w:val="24"/>
          <w:szCs w:val="24"/>
          <w:highlight w:val="none"/>
        </w:rPr>
      </w:pPr>
    </w:p>
    <w:p w14:paraId="19D07D32">
      <w:pPr>
        <w:autoSpaceDE w:val="0"/>
        <w:autoSpaceDN w:val="0"/>
        <w:adjustRightInd w:val="0"/>
        <w:snapToGrid w:val="0"/>
        <w:spacing w:after="100" w:afterAutospacing="1"/>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18DD5FB">
      <w:pPr>
        <w:rPr>
          <w:rFonts w:hint="eastAsia" w:ascii="宋体" w:hAnsi="宋体" w:eastAsia="宋体" w:cs="宋体"/>
          <w:sz w:val="24"/>
          <w:szCs w:val="24"/>
          <w:highlight w:val="none"/>
        </w:rPr>
      </w:pPr>
    </w:p>
    <w:p w14:paraId="0F0EA137">
      <w:pPr>
        <w:rPr>
          <w:rFonts w:hint="eastAsia" w:ascii="宋体" w:hAnsi="宋体" w:eastAsia="宋体" w:cs="宋体"/>
          <w:sz w:val="24"/>
          <w:szCs w:val="24"/>
          <w:highlight w:val="none"/>
        </w:rPr>
      </w:pPr>
    </w:p>
    <w:p w14:paraId="6D73F3AE">
      <w:pPr>
        <w:rPr>
          <w:rFonts w:hint="eastAsia" w:ascii="宋体" w:hAnsi="宋体" w:eastAsia="宋体" w:cs="宋体"/>
          <w:spacing w:val="14"/>
          <w:sz w:val="24"/>
          <w:szCs w:val="24"/>
          <w:highlight w:val="none"/>
        </w:rPr>
      </w:pPr>
    </w:p>
    <w:p w14:paraId="2330C1EF">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7FC40BB9">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服务承诺</w:t>
      </w:r>
    </w:p>
    <w:p w14:paraId="30F9387B">
      <w:pPr>
        <w:autoSpaceDE w:val="0"/>
        <w:autoSpaceDN w:val="0"/>
        <w:adjustRightInd w:val="0"/>
        <w:snapToGrid w:val="0"/>
        <w:spacing w:line="360" w:lineRule="auto"/>
        <w:rPr>
          <w:rFonts w:hint="eastAsia" w:ascii="宋体" w:hAnsi="宋体" w:eastAsia="宋体" w:cs="宋体"/>
          <w:sz w:val="24"/>
          <w:highlight w:val="none"/>
        </w:rPr>
      </w:pPr>
      <w:r>
        <w:rPr>
          <w:rFonts w:hint="eastAsia" w:ascii="宋体" w:hAnsi="宋体" w:eastAsia="宋体" w:cs="宋体"/>
          <w:b/>
          <w:highlight w:val="none"/>
        </w:rPr>
        <mc:AlternateContent>
          <mc:Choice Requires="wps">
            <w:drawing>
              <wp:anchor distT="0" distB="0" distL="113665" distR="113665" simplePos="0" relativeHeight="251660288" behindDoc="0" locked="0" layoutInCell="1" allowOverlap="1">
                <wp:simplePos x="0" y="0"/>
                <wp:positionH relativeFrom="column">
                  <wp:posOffset>121285</wp:posOffset>
                </wp:positionH>
                <wp:positionV relativeFrom="paragraph">
                  <wp:posOffset>111125</wp:posOffset>
                </wp:positionV>
                <wp:extent cx="5125720" cy="4991735"/>
                <wp:effectExtent l="4445" t="4445" r="13335" b="13970"/>
                <wp:wrapNone/>
                <wp:docPr id="7" name="Rectangle 209"/>
                <wp:cNvGraphicFramePr/>
                <a:graphic xmlns:a="http://schemas.openxmlformats.org/drawingml/2006/main">
                  <a:graphicData uri="http://schemas.microsoft.com/office/word/2010/wordprocessingShape">
                    <wps:wsp>
                      <wps:cNvSpPr/>
                      <wps:spPr>
                        <a:xfrm>
                          <a:off x="0" y="0"/>
                          <a:ext cx="5125720" cy="4991735"/>
                        </a:xfrm>
                        <a:prstGeom prst="rect">
                          <a:avLst/>
                        </a:prstGeom>
                        <a:solidFill>
                          <a:srgbClr val="FFFFFF"/>
                        </a:solidFill>
                        <a:ln w="9525" cap="flat" cmpd="sng">
                          <a:solidFill>
                            <a:srgbClr val="000000"/>
                          </a:solidFill>
                          <a:prstDash val="solid"/>
                          <a:miter/>
                        </a:ln>
                      </wps:spPr>
                      <wps:txbx>
                        <w:txbxContent>
                          <w:p w14:paraId="3C69F662">
                            <w:pPr>
                              <w:jc w:val="center"/>
                              <w:rPr>
                                <w:rFonts w:ascii="仿宋_GB2312" w:eastAsia="仿宋_GB2312"/>
                                <w:sz w:val="30"/>
                                <w:szCs w:val="30"/>
                              </w:rPr>
                            </w:pPr>
                          </w:p>
                          <w:p w14:paraId="1D988C65">
                            <w:pPr>
                              <w:jc w:val="center"/>
                              <w:rPr>
                                <w:rFonts w:ascii="仿宋_GB2312" w:eastAsia="仿宋_GB2312"/>
                                <w:sz w:val="30"/>
                                <w:szCs w:val="30"/>
                              </w:rPr>
                            </w:pPr>
                          </w:p>
                          <w:p w14:paraId="1F9C4FAD">
                            <w:pPr>
                              <w:jc w:val="center"/>
                              <w:rPr>
                                <w:rFonts w:ascii="仿宋_GB2312" w:eastAsia="仿宋_GB2312"/>
                                <w:sz w:val="30"/>
                                <w:szCs w:val="30"/>
                              </w:rPr>
                            </w:pPr>
                          </w:p>
                          <w:p w14:paraId="32B0998F">
                            <w:pPr>
                              <w:jc w:val="center"/>
                              <w:rPr>
                                <w:rFonts w:ascii="仿宋_GB2312" w:eastAsia="仿宋_GB2312"/>
                                <w:sz w:val="30"/>
                                <w:szCs w:val="30"/>
                              </w:rPr>
                            </w:pPr>
                          </w:p>
                          <w:p w14:paraId="01E893A6">
                            <w:pPr>
                              <w:jc w:val="center"/>
                              <w:rPr>
                                <w:rFonts w:ascii="仿宋_GB2312" w:eastAsia="仿宋_GB2312"/>
                                <w:sz w:val="30"/>
                                <w:szCs w:val="30"/>
                              </w:rPr>
                            </w:pPr>
                          </w:p>
                          <w:p w14:paraId="7294EE76">
                            <w:pPr>
                              <w:jc w:val="center"/>
                              <w:rPr>
                                <w:rFonts w:ascii="仿宋_GB2312" w:eastAsia="仿宋_GB2312"/>
                                <w:sz w:val="30"/>
                                <w:szCs w:val="30"/>
                              </w:rPr>
                            </w:pPr>
                          </w:p>
                          <w:p w14:paraId="5F9B5F37">
                            <w:pPr>
                              <w:jc w:val="center"/>
                              <w:rPr>
                                <w:rFonts w:hint="eastAsia" w:ascii="宋体" w:hAnsi="宋体" w:eastAsia="宋体" w:cs="宋体"/>
                                <w:sz w:val="24"/>
                                <w:szCs w:val="24"/>
                              </w:rPr>
                            </w:pPr>
                            <w:r>
                              <w:rPr>
                                <w:rFonts w:hint="eastAsia" w:ascii="宋体" w:hAnsi="宋体" w:eastAsia="宋体" w:cs="宋体"/>
                                <w:sz w:val="24"/>
                                <w:szCs w:val="24"/>
                              </w:rPr>
                              <w:t>格式自拟</w:t>
                            </w:r>
                          </w:p>
                        </w:txbxContent>
                      </wps:txbx>
                      <wps:bodyPr vert="horz" wrap="square" lIns="91440" tIns="45720" rIns="91440" bIns="45720" anchor="t" anchorCtr="0" upright="1">
                        <a:noAutofit/>
                      </wps:bodyPr>
                    </wps:wsp>
                  </a:graphicData>
                </a:graphic>
              </wp:anchor>
            </w:drawing>
          </mc:Choice>
          <mc:Fallback>
            <w:pict>
              <v:rect id="Rectangle 209" o:spid="_x0000_s1026" o:spt="1" style="position:absolute;left:0pt;margin-left:9.55pt;margin-top:8.75pt;height:393.05pt;width:403.6pt;z-index:251660288;mso-width-relative:page;mso-height-relative:page;" fillcolor="#FFFFFF" filled="t" stroked="t" coordsize="21600,21600" o:gfxdata="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R8P/XAAAACQEAAA8A&#10;AAAAAAAAAQAgAAAAIgAAAGRycy9kb3ducmV2LnhtbFBLAQIUABQAAAAIAIdO4kAkKWGuGAIAAFwE&#10;AAAOAAAAAAAAAAEAIAAAACYBAABkcnMvZTJvRG9jLnhtbFBLBQYAAAAABgAGAFkBAACwBQAAAAA=&#10;">
                <v:fill on="t" focussize="0,0"/>
                <v:stroke color="#000000" joinstyle="miter"/>
                <v:imagedata o:title=""/>
                <o:lock v:ext="edit" aspectratio="f"/>
                <v:textbox>
                  <w:txbxContent>
                    <w:p w14:paraId="3C69F662">
                      <w:pPr>
                        <w:jc w:val="center"/>
                        <w:rPr>
                          <w:rFonts w:ascii="仿宋_GB2312" w:eastAsia="仿宋_GB2312"/>
                          <w:sz w:val="30"/>
                          <w:szCs w:val="30"/>
                        </w:rPr>
                      </w:pPr>
                    </w:p>
                    <w:p w14:paraId="1D988C65">
                      <w:pPr>
                        <w:jc w:val="center"/>
                        <w:rPr>
                          <w:rFonts w:ascii="仿宋_GB2312" w:eastAsia="仿宋_GB2312"/>
                          <w:sz w:val="30"/>
                          <w:szCs w:val="30"/>
                        </w:rPr>
                      </w:pPr>
                    </w:p>
                    <w:p w14:paraId="1F9C4FAD">
                      <w:pPr>
                        <w:jc w:val="center"/>
                        <w:rPr>
                          <w:rFonts w:ascii="仿宋_GB2312" w:eastAsia="仿宋_GB2312"/>
                          <w:sz w:val="30"/>
                          <w:szCs w:val="30"/>
                        </w:rPr>
                      </w:pPr>
                    </w:p>
                    <w:p w14:paraId="32B0998F">
                      <w:pPr>
                        <w:jc w:val="center"/>
                        <w:rPr>
                          <w:rFonts w:ascii="仿宋_GB2312" w:eastAsia="仿宋_GB2312"/>
                          <w:sz w:val="30"/>
                          <w:szCs w:val="30"/>
                        </w:rPr>
                      </w:pPr>
                    </w:p>
                    <w:p w14:paraId="01E893A6">
                      <w:pPr>
                        <w:jc w:val="center"/>
                        <w:rPr>
                          <w:rFonts w:ascii="仿宋_GB2312" w:eastAsia="仿宋_GB2312"/>
                          <w:sz w:val="30"/>
                          <w:szCs w:val="30"/>
                        </w:rPr>
                      </w:pPr>
                    </w:p>
                    <w:p w14:paraId="7294EE76">
                      <w:pPr>
                        <w:jc w:val="center"/>
                        <w:rPr>
                          <w:rFonts w:ascii="仿宋_GB2312" w:eastAsia="仿宋_GB2312"/>
                          <w:sz w:val="30"/>
                          <w:szCs w:val="30"/>
                        </w:rPr>
                      </w:pPr>
                    </w:p>
                    <w:p w14:paraId="5F9B5F37">
                      <w:pPr>
                        <w:jc w:val="center"/>
                        <w:rPr>
                          <w:rFonts w:hint="eastAsia" w:ascii="宋体" w:hAnsi="宋体" w:eastAsia="宋体" w:cs="宋体"/>
                          <w:sz w:val="24"/>
                          <w:szCs w:val="24"/>
                        </w:rPr>
                      </w:pPr>
                      <w:r>
                        <w:rPr>
                          <w:rFonts w:hint="eastAsia" w:ascii="宋体" w:hAnsi="宋体" w:eastAsia="宋体" w:cs="宋体"/>
                          <w:sz w:val="24"/>
                          <w:szCs w:val="24"/>
                        </w:rPr>
                        <w:t>格式自拟</w:t>
                      </w:r>
                    </w:p>
                  </w:txbxContent>
                </v:textbox>
              </v:rect>
            </w:pict>
          </mc:Fallback>
        </mc:AlternateContent>
      </w:r>
    </w:p>
    <w:p w14:paraId="70A79A84">
      <w:pPr>
        <w:autoSpaceDE w:val="0"/>
        <w:autoSpaceDN w:val="0"/>
        <w:adjustRightInd w:val="0"/>
        <w:snapToGrid w:val="0"/>
        <w:spacing w:line="360" w:lineRule="auto"/>
        <w:rPr>
          <w:rFonts w:hint="eastAsia" w:ascii="宋体" w:hAnsi="宋体" w:eastAsia="宋体" w:cs="宋体"/>
          <w:sz w:val="24"/>
          <w:highlight w:val="none"/>
        </w:rPr>
      </w:pPr>
    </w:p>
    <w:p w14:paraId="7614FA39">
      <w:pPr>
        <w:autoSpaceDE w:val="0"/>
        <w:autoSpaceDN w:val="0"/>
        <w:adjustRightInd w:val="0"/>
        <w:snapToGrid w:val="0"/>
        <w:spacing w:line="360" w:lineRule="auto"/>
        <w:rPr>
          <w:rFonts w:hint="eastAsia" w:ascii="宋体" w:hAnsi="宋体" w:eastAsia="宋体" w:cs="宋体"/>
          <w:sz w:val="24"/>
          <w:highlight w:val="none"/>
        </w:rPr>
      </w:pPr>
    </w:p>
    <w:p w14:paraId="7B4546B7">
      <w:pPr>
        <w:autoSpaceDE w:val="0"/>
        <w:autoSpaceDN w:val="0"/>
        <w:adjustRightInd w:val="0"/>
        <w:snapToGrid w:val="0"/>
        <w:spacing w:line="360" w:lineRule="auto"/>
        <w:rPr>
          <w:rFonts w:hint="eastAsia" w:ascii="宋体" w:hAnsi="宋体" w:eastAsia="宋体" w:cs="宋体"/>
          <w:sz w:val="24"/>
          <w:szCs w:val="24"/>
          <w:highlight w:val="none"/>
        </w:rPr>
      </w:pPr>
    </w:p>
    <w:p w14:paraId="10470342">
      <w:pPr>
        <w:autoSpaceDE w:val="0"/>
        <w:autoSpaceDN w:val="0"/>
        <w:adjustRightInd w:val="0"/>
        <w:snapToGrid w:val="0"/>
        <w:spacing w:line="360" w:lineRule="auto"/>
        <w:rPr>
          <w:rFonts w:hint="eastAsia" w:ascii="宋体" w:hAnsi="宋体" w:eastAsia="宋体" w:cs="宋体"/>
          <w:sz w:val="24"/>
          <w:szCs w:val="24"/>
          <w:highlight w:val="none"/>
        </w:rPr>
      </w:pPr>
    </w:p>
    <w:p w14:paraId="50C42B90">
      <w:pPr>
        <w:autoSpaceDE w:val="0"/>
        <w:autoSpaceDN w:val="0"/>
        <w:adjustRightInd w:val="0"/>
        <w:snapToGrid w:val="0"/>
        <w:spacing w:line="360" w:lineRule="auto"/>
        <w:rPr>
          <w:rFonts w:hint="eastAsia" w:ascii="宋体" w:hAnsi="宋体" w:eastAsia="宋体" w:cs="宋体"/>
          <w:sz w:val="24"/>
          <w:szCs w:val="24"/>
          <w:highlight w:val="none"/>
        </w:rPr>
      </w:pPr>
    </w:p>
    <w:p w14:paraId="6F7FF1D5">
      <w:pPr>
        <w:autoSpaceDE w:val="0"/>
        <w:autoSpaceDN w:val="0"/>
        <w:adjustRightInd w:val="0"/>
        <w:snapToGrid w:val="0"/>
        <w:spacing w:line="360" w:lineRule="auto"/>
        <w:rPr>
          <w:rFonts w:hint="eastAsia" w:ascii="宋体" w:hAnsi="宋体" w:eastAsia="宋体" w:cs="宋体"/>
          <w:sz w:val="24"/>
          <w:szCs w:val="24"/>
          <w:highlight w:val="none"/>
        </w:rPr>
      </w:pPr>
    </w:p>
    <w:p w14:paraId="59AD9541">
      <w:pPr>
        <w:autoSpaceDE w:val="0"/>
        <w:autoSpaceDN w:val="0"/>
        <w:adjustRightInd w:val="0"/>
        <w:snapToGrid w:val="0"/>
        <w:spacing w:line="360" w:lineRule="auto"/>
        <w:rPr>
          <w:rFonts w:hint="eastAsia" w:ascii="宋体" w:hAnsi="宋体" w:eastAsia="宋体" w:cs="宋体"/>
          <w:sz w:val="24"/>
          <w:szCs w:val="24"/>
          <w:highlight w:val="none"/>
        </w:rPr>
      </w:pPr>
    </w:p>
    <w:p w14:paraId="3A00B012">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  应  商：                （公章）</w:t>
      </w:r>
    </w:p>
    <w:p w14:paraId="395B54B5">
      <w:pPr>
        <w:spacing w:line="360" w:lineRule="auto"/>
        <w:ind w:firstLine="480" w:firstLineChars="200"/>
        <w:rPr>
          <w:rFonts w:hint="eastAsia" w:ascii="宋体" w:hAnsi="宋体" w:eastAsia="宋体" w:cs="宋体"/>
          <w:sz w:val="24"/>
          <w:szCs w:val="24"/>
          <w:highlight w:val="none"/>
        </w:rPr>
      </w:pPr>
    </w:p>
    <w:p w14:paraId="736D50D6">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23C5B203">
      <w:pPr>
        <w:spacing w:line="360" w:lineRule="auto"/>
        <w:ind w:firstLine="480" w:firstLineChars="200"/>
        <w:rPr>
          <w:rFonts w:hint="eastAsia" w:ascii="宋体" w:hAnsi="宋体" w:eastAsia="宋体" w:cs="宋体"/>
          <w:sz w:val="24"/>
          <w:szCs w:val="24"/>
          <w:highlight w:val="none"/>
        </w:rPr>
      </w:pPr>
    </w:p>
    <w:p w14:paraId="41DEBB26">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4C284A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43EF53F5">
      <w:pPr>
        <w:autoSpaceDE w:val="0"/>
        <w:autoSpaceDN w:val="0"/>
        <w:adjustRightInd w:val="0"/>
        <w:snapToGrid w:val="0"/>
        <w:spacing w:line="360" w:lineRule="auto"/>
        <w:rPr>
          <w:rFonts w:hint="eastAsia" w:ascii="宋体" w:hAnsi="宋体" w:eastAsia="宋体" w:cs="宋体"/>
          <w:b/>
          <w:sz w:val="24"/>
          <w:szCs w:val="24"/>
          <w:highlight w:val="none"/>
        </w:rPr>
      </w:pPr>
    </w:p>
    <w:p w14:paraId="54920E88">
      <w:pPr>
        <w:rPr>
          <w:rFonts w:hint="eastAsia" w:ascii="宋体" w:hAnsi="宋体" w:eastAsia="宋体" w:cs="宋体"/>
          <w:sz w:val="24"/>
          <w:szCs w:val="24"/>
          <w:highlight w:val="none"/>
        </w:rPr>
      </w:pPr>
    </w:p>
    <w:p w14:paraId="27AC8C3C">
      <w:pPr>
        <w:spacing w:after="100" w:afterAutospacing="1"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八、优惠条件</w:t>
      </w:r>
    </w:p>
    <w:p w14:paraId="2B348103">
      <w:pPr>
        <w:autoSpaceDE w:val="0"/>
        <w:autoSpaceDN w:val="0"/>
        <w:adjustRightInd w:val="0"/>
        <w:snapToGrid w:val="0"/>
        <w:spacing w:line="360" w:lineRule="auto"/>
        <w:rPr>
          <w:rFonts w:hint="eastAsia" w:ascii="宋体" w:hAnsi="宋体" w:eastAsia="宋体" w:cs="宋体"/>
          <w:sz w:val="24"/>
          <w:szCs w:val="24"/>
          <w:highlight w:val="none"/>
        </w:rPr>
      </w:pPr>
    </w:p>
    <w:p w14:paraId="0BE96FC2">
      <w:pPr>
        <w:spacing w:line="360" w:lineRule="auto"/>
        <w:ind w:firstLine="480" w:firstLineChars="200"/>
        <w:rPr>
          <w:rFonts w:hint="eastAsia" w:ascii="宋体" w:hAnsi="宋体" w:eastAsia="宋体" w:cs="宋体"/>
          <w:sz w:val="24"/>
          <w:szCs w:val="24"/>
          <w:highlight w:val="none"/>
        </w:rPr>
      </w:pPr>
    </w:p>
    <w:p w14:paraId="5517DDD4">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2C94A25F">
      <w:pPr>
        <w:spacing w:line="360" w:lineRule="auto"/>
        <w:ind w:firstLine="480" w:firstLineChars="200"/>
        <w:rPr>
          <w:rFonts w:hint="eastAsia" w:ascii="宋体" w:hAnsi="宋体" w:eastAsia="宋体" w:cs="宋体"/>
          <w:sz w:val="24"/>
          <w:szCs w:val="24"/>
          <w:highlight w:val="none"/>
        </w:rPr>
      </w:pPr>
    </w:p>
    <w:p w14:paraId="1F89AE25">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6626BBBF">
      <w:pPr>
        <w:spacing w:line="360" w:lineRule="auto"/>
        <w:ind w:firstLine="480" w:firstLineChars="200"/>
        <w:rPr>
          <w:rFonts w:hint="eastAsia" w:ascii="宋体" w:hAnsi="宋体" w:eastAsia="宋体" w:cs="宋体"/>
          <w:sz w:val="24"/>
          <w:szCs w:val="24"/>
          <w:highlight w:val="none"/>
        </w:rPr>
      </w:pPr>
    </w:p>
    <w:p w14:paraId="63FB14C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708D487D">
      <w:pPr>
        <w:spacing w:line="360" w:lineRule="auto"/>
        <w:ind w:firstLine="480" w:firstLineChars="200"/>
        <w:rPr>
          <w:rFonts w:hint="eastAsia" w:ascii="宋体" w:hAnsi="宋体" w:eastAsia="宋体" w:cs="宋体"/>
          <w:sz w:val="24"/>
          <w:szCs w:val="24"/>
          <w:highlight w:val="none"/>
        </w:rPr>
      </w:pPr>
    </w:p>
    <w:p w14:paraId="1BA18952">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2E2500D4">
      <w:pPr>
        <w:pStyle w:val="26"/>
        <w:rPr>
          <w:rFonts w:hint="eastAsia"/>
        </w:rPr>
      </w:pPr>
    </w:p>
    <w:p w14:paraId="3A483BF5">
      <w:pPr>
        <w:rPr>
          <w:rFonts w:hint="eastAsia" w:ascii="宋体" w:hAnsi="宋体" w:eastAsia="宋体" w:cs="宋体"/>
          <w:sz w:val="24"/>
          <w:szCs w:val="24"/>
          <w:highlight w:val="none"/>
        </w:rPr>
      </w:pPr>
    </w:p>
    <w:p w14:paraId="2B37F8B1">
      <w:pPr>
        <w:widowControl w:val="0"/>
        <w:numPr>
          <w:ilvl w:val="0"/>
          <w:numId w:val="7"/>
        </w:numPr>
        <w:spacing w:after="100" w:afterAutospacing="1" w:line="360" w:lineRule="auto"/>
        <w:jc w:val="center"/>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优惠条件</w:t>
      </w:r>
    </w:p>
    <w:p w14:paraId="48466774">
      <w:pPr>
        <w:autoSpaceDE w:val="0"/>
        <w:autoSpaceDN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mc:AlternateContent>
          <mc:Choice Requires="wps">
            <w:drawing>
              <wp:anchor distT="0" distB="0" distL="113665" distR="113665" simplePos="0" relativeHeight="251660288" behindDoc="0" locked="0" layoutInCell="1" allowOverlap="1">
                <wp:simplePos x="0" y="0"/>
                <wp:positionH relativeFrom="column">
                  <wp:posOffset>121285</wp:posOffset>
                </wp:positionH>
                <wp:positionV relativeFrom="paragraph">
                  <wp:posOffset>111125</wp:posOffset>
                </wp:positionV>
                <wp:extent cx="5046345" cy="4875530"/>
                <wp:effectExtent l="4445" t="5080" r="16510" b="15240"/>
                <wp:wrapNone/>
                <wp:docPr id="10" name="Rectangle 209"/>
                <wp:cNvGraphicFramePr/>
                <a:graphic xmlns:a="http://schemas.openxmlformats.org/drawingml/2006/main">
                  <a:graphicData uri="http://schemas.microsoft.com/office/word/2010/wordprocessingShape">
                    <wps:wsp>
                      <wps:cNvSpPr/>
                      <wps:spPr>
                        <a:xfrm>
                          <a:off x="0" y="0"/>
                          <a:ext cx="5046345" cy="4875530"/>
                        </a:xfrm>
                        <a:prstGeom prst="rect">
                          <a:avLst/>
                        </a:prstGeom>
                        <a:solidFill>
                          <a:srgbClr val="FFFFFF"/>
                        </a:solidFill>
                        <a:ln w="9525" cap="flat" cmpd="sng">
                          <a:solidFill>
                            <a:srgbClr val="000000"/>
                          </a:solidFill>
                          <a:prstDash val="solid"/>
                          <a:miter/>
                        </a:ln>
                      </wps:spPr>
                      <wps:txbx>
                        <w:txbxContent>
                          <w:p w14:paraId="5C2668F3">
                            <w:pPr>
                              <w:jc w:val="center"/>
                              <w:rPr>
                                <w:rFonts w:ascii="仿宋_GB2312" w:eastAsia="仿宋_GB2312"/>
                                <w:sz w:val="30"/>
                                <w:szCs w:val="30"/>
                              </w:rPr>
                            </w:pPr>
                          </w:p>
                          <w:p w14:paraId="4004E360">
                            <w:pPr>
                              <w:jc w:val="center"/>
                              <w:rPr>
                                <w:rFonts w:ascii="仿宋_GB2312" w:eastAsia="仿宋_GB2312"/>
                                <w:sz w:val="30"/>
                                <w:szCs w:val="30"/>
                              </w:rPr>
                            </w:pPr>
                          </w:p>
                          <w:p w14:paraId="3FB7637F">
                            <w:pPr>
                              <w:jc w:val="center"/>
                              <w:rPr>
                                <w:rFonts w:ascii="仿宋_GB2312" w:eastAsia="仿宋_GB2312"/>
                                <w:sz w:val="30"/>
                                <w:szCs w:val="30"/>
                              </w:rPr>
                            </w:pPr>
                          </w:p>
                          <w:p w14:paraId="6EF63F16">
                            <w:pPr>
                              <w:jc w:val="center"/>
                              <w:rPr>
                                <w:rFonts w:ascii="仿宋_GB2312" w:eastAsia="仿宋_GB2312"/>
                                <w:sz w:val="30"/>
                                <w:szCs w:val="30"/>
                              </w:rPr>
                            </w:pPr>
                          </w:p>
                          <w:p w14:paraId="30D1EF63">
                            <w:pPr>
                              <w:jc w:val="center"/>
                              <w:rPr>
                                <w:rFonts w:ascii="仿宋_GB2312" w:eastAsia="仿宋_GB2312"/>
                                <w:sz w:val="30"/>
                                <w:szCs w:val="30"/>
                              </w:rPr>
                            </w:pPr>
                          </w:p>
                          <w:p w14:paraId="27E51888">
                            <w:pPr>
                              <w:jc w:val="center"/>
                              <w:rPr>
                                <w:rFonts w:ascii="仿宋_GB2312" w:eastAsia="仿宋_GB2312"/>
                                <w:sz w:val="30"/>
                                <w:szCs w:val="30"/>
                              </w:rPr>
                            </w:pPr>
                          </w:p>
                          <w:p w14:paraId="1C2B1260">
                            <w:pPr>
                              <w:jc w:val="center"/>
                              <w:rPr>
                                <w:rFonts w:hint="eastAsia" w:ascii="宋体" w:hAnsi="宋体" w:eastAsia="宋体" w:cs="宋体"/>
                                <w:sz w:val="24"/>
                                <w:szCs w:val="24"/>
                              </w:rPr>
                            </w:pPr>
                            <w:r>
                              <w:rPr>
                                <w:rFonts w:hint="eastAsia" w:ascii="宋体" w:hAnsi="宋体" w:eastAsia="宋体" w:cs="宋体"/>
                                <w:sz w:val="24"/>
                                <w:szCs w:val="24"/>
                              </w:rPr>
                              <w:t>格式自拟</w:t>
                            </w:r>
                          </w:p>
                          <w:p w14:paraId="4476BFCD">
                            <w:pPr>
                              <w:jc w:val="center"/>
                              <w:rPr>
                                <w:rFonts w:ascii="仿宋_GB2312" w:eastAsia="仿宋_GB2312"/>
                                <w:sz w:val="30"/>
                                <w:szCs w:val="30"/>
                              </w:rPr>
                            </w:pPr>
                          </w:p>
                        </w:txbxContent>
                      </wps:txbx>
                      <wps:bodyPr vert="horz" wrap="square" lIns="91440" tIns="45720" rIns="91440" bIns="45720" anchor="t" anchorCtr="0" upright="1">
                        <a:noAutofit/>
                      </wps:bodyPr>
                    </wps:wsp>
                  </a:graphicData>
                </a:graphic>
              </wp:anchor>
            </w:drawing>
          </mc:Choice>
          <mc:Fallback>
            <w:pict>
              <v:rect id="Rectangle 209" o:spid="_x0000_s1026" o:spt="1" style="position:absolute;left:0pt;margin-left:9.55pt;margin-top:8.75pt;height:383.9pt;width:397.35pt;z-index:251660288;mso-width-relative:page;mso-height-relative:page;" fillcolor="#FFFFFF" filled="t" stroked="t" coordsize="21600,21600" o:gfxdata="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YYjD2AAA&#10;AAkBAAAPAAAAAAAAAAEAIAAAACIAAABkcnMvZG93bnJldi54bWxQSwECFAAUAAAACACHTuJA2Jzt&#10;DR4CAABdBAAADgAAAAAAAAABACAAAAAnAQAAZHJzL2Uyb0RvYy54bWxQSwUGAAAAAAYABgBZAQAA&#10;twUAAAAA&#10;">
                <v:fill on="t" focussize="0,0"/>
                <v:stroke color="#000000" joinstyle="miter"/>
                <v:imagedata o:title=""/>
                <o:lock v:ext="edit" aspectratio="f"/>
                <v:textbox>
                  <w:txbxContent>
                    <w:p w14:paraId="5C2668F3">
                      <w:pPr>
                        <w:jc w:val="center"/>
                        <w:rPr>
                          <w:rFonts w:ascii="仿宋_GB2312" w:eastAsia="仿宋_GB2312"/>
                          <w:sz w:val="30"/>
                          <w:szCs w:val="30"/>
                        </w:rPr>
                      </w:pPr>
                    </w:p>
                    <w:p w14:paraId="4004E360">
                      <w:pPr>
                        <w:jc w:val="center"/>
                        <w:rPr>
                          <w:rFonts w:ascii="仿宋_GB2312" w:eastAsia="仿宋_GB2312"/>
                          <w:sz w:val="30"/>
                          <w:szCs w:val="30"/>
                        </w:rPr>
                      </w:pPr>
                    </w:p>
                    <w:p w14:paraId="3FB7637F">
                      <w:pPr>
                        <w:jc w:val="center"/>
                        <w:rPr>
                          <w:rFonts w:ascii="仿宋_GB2312" w:eastAsia="仿宋_GB2312"/>
                          <w:sz w:val="30"/>
                          <w:szCs w:val="30"/>
                        </w:rPr>
                      </w:pPr>
                    </w:p>
                    <w:p w14:paraId="6EF63F16">
                      <w:pPr>
                        <w:jc w:val="center"/>
                        <w:rPr>
                          <w:rFonts w:ascii="仿宋_GB2312" w:eastAsia="仿宋_GB2312"/>
                          <w:sz w:val="30"/>
                          <w:szCs w:val="30"/>
                        </w:rPr>
                      </w:pPr>
                    </w:p>
                    <w:p w14:paraId="30D1EF63">
                      <w:pPr>
                        <w:jc w:val="center"/>
                        <w:rPr>
                          <w:rFonts w:ascii="仿宋_GB2312" w:eastAsia="仿宋_GB2312"/>
                          <w:sz w:val="30"/>
                          <w:szCs w:val="30"/>
                        </w:rPr>
                      </w:pPr>
                    </w:p>
                    <w:p w14:paraId="27E51888">
                      <w:pPr>
                        <w:jc w:val="center"/>
                        <w:rPr>
                          <w:rFonts w:ascii="仿宋_GB2312" w:eastAsia="仿宋_GB2312"/>
                          <w:sz w:val="30"/>
                          <w:szCs w:val="30"/>
                        </w:rPr>
                      </w:pPr>
                    </w:p>
                    <w:p w14:paraId="1C2B1260">
                      <w:pPr>
                        <w:jc w:val="center"/>
                        <w:rPr>
                          <w:rFonts w:hint="eastAsia" w:ascii="宋体" w:hAnsi="宋体" w:eastAsia="宋体" w:cs="宋体"/>
                          <w:sz w:val="24"/>
                          <w:szCs w:val="24"/>
                        </w:rPr>
                      </w:pPr>
                      <w:r>
                        <w:rPr>
                          <w:rFonts w:hint="eastAsia" w:ascii="宋体" w:hAnsi="宋体" w:eastAsia="宋体" w:cs="宋体"/>
                          <w:sz w:val="24"/>
                          <w:szCs w:val="24"/>
                        </w:rPr>
                        <w:t>格式自拟</w:t>
                      </w:r>
                    </w:p>
                    <w:p w14:paraId="4476BFCD">
                      <w:pPr>
                        <w:jc w:val="center"/>
                        <w:rPr>
                          <w:rFonts w:ascii="仿宋_GB2312" w:eastAsia="仿宋_GB2312"/>
                          <w:sz w:val="30"/>
                          <w:szCs w:val="30"/>
                        </w:rPr>
                      </w:pPr>
                    </w:p>
                  </w:txbxContent>
                </v:textbox>
              </v:rect>
            </w:pict>
          </mc:Fallback>
        </mc:AlternateContent>
      </w:r>
    </w:p>
    <w:p w14:paraId="4BD136AD">
      <w:pPr>
        <w:autoSpaceDE w:val="0"/>
        <w:autoSpaceDN w:val="0"/>
        <w:adjustRightInd w:val="0"/>
        <w:snapToGrid w:val="0"/>
        <w:spacing w:line="360" w:lineRule="auto"/>
        <w:rPr>
          <w:rFonts w:hint="eastAsia" w:ascii="宋体" w:hAnsi="宋体" w:eastAsia="宋体" w:cs="宋体"/>
          <w:sz w:val="24"/>
          <w:szCs w:val="24"/>
          <w:highlight w:val="none"/>
        </w:rPr>
      </w:pPr>
    </w:p>
    <w:p w14:paraId="3C8BDDEC">
      <w:pPr>
        <w:autoSpaceDE w:val="0"/>
        <w:autoSpaceDN w:val="0"/>
        <w:adjustRightInd w:val="0"/>
        <w:snapToGrid w:val="0"/>
        <w:spacing w:line="360" w:lineRule="auto"/>
        <w:rPr>
          <w:rFonts w:hint="eastAsia" w:ascii="宋体" w:hAnsi="宋体" w:eastAsia="宋体" w:cs="宋体"/>
          <w:sz w:val="24"/>
          <w:szCs w:val="24"/>
          <w:highlight w:val="none"/>
        </w:rPr>
      </w:pPr>
    </w:p>
    <w:p w14:paraId="215FBA69">
      <w:pPr>
        <w:autoSpaceDE w:val="0"/>
        <w:autoSpaceDN w:val="0"/>
        <w:adjustRightInd w:val="0"/>
        <w:snapToGrid w:val="0"/>
        <w:spacing w:line="360" w:lineRule="auto"/>
        <w:rPr>
          <w:rFonts w:hint="eastAsia" w:ascii="宋体" w:hAnsi="宋体" w:eastAsia="宋体" w:cs="宋体"/>
          <w:sz w:val="24"/>
          <w:szCs w:val="24"/>
          <w:highlight w:val="none"/>
        </w:rPr>
      </w:pPr>
    </w:p>
    <w:p w14:paraId="5120525F">
      <w:pPr>
        <w:autoSpaceDE w:val="0"/>
        <w:autoSpaceDN w:val="0"/>
        <w:adjustRightInd w:val="0"/>
        <w:snapToGrid w:val="0"/>
        <w:spacing w:line="360" w:lineRule="auto"/>
        <w:rPr>
          <w:rFonts w:hint="eastAsia" w:ascii="宋体" w:hAnsi="宋体" w:eastAsia="宋体" w:cs="宋体"/>
          <w:sz w:val="24"/>
          <w:szCs w:val="24"/>
          <w:highlight w:val="none"/>
        </w:rPr>
      </w:pPr>
    </w:p>
    <w:p w14:paraId="65A994DF">
      <w:pPr>
        <w:autoSpaceDE w:val="0"/>
        <w:autoSpaceDN w:val="0"/>
        <w:adjustRightInd w:val="0"/>
        <w:snapToGrid w:val="0"/>
        <w:spacing w:line="360" w:lineRule="auto"/>
        <w:rPr>
          <w:rFonts w:hint="eastAsia" w:ascii="宋体" w:hAnsi="宋体" w:eastAsia="宋体" w:cs="宋体"/>
          <w:sz w:val="24"/>
          <w:szCs w:val="24"/>
          <w:highlight w:val="none"/>
        </w:rPr>
      </w:pPr>
    </w:p>
    <w:p w14:paraId="31CCCDA1">
      <w:pPr>
        <w:autoSpaceDE w:val="0"/>
        <w:autoSpaceDN w:val="0"/>
        <w:adjustRightInd w:val="0"/>
        <w:snapToGrid w:val="0"/>
        <w:spacing w:line="360" w:lineRule="auto"/>
        <w:rPr>
          <w:rFonts w:hint="eastAsia" w:ascii="宋体" w:hAnsi="宋体" w:eastAsia="宋体" w:cs="宋体"/>
          <w:sz w:val="24"/>
          <w:szCs w:val="24"/>
          <w:highlight w:val="none"/>
        </w:rPr>
      </w:pPr>
    </w:p>
    <w:p w14:paraId="60852A80">
      <w:pPr>
        <w:autoSpaceDE w:val="0"/>
        <w:autoSpaceDN w:val="0"/>
        <w:adjustRightInd w:val="0"/>
        <w:snapToGrid w:val="0"/>
        <w:spacing w:line="360" w:lineRule="auto"/>
        <w:rPr>
          <w:rFonts w:hint="eastAsia" w:ascii="宋体" w:hAnsi="宋体" w:eastAsia="宋体" w:cs="宋体"/>
          <w:sz w:val="24"/>
          <w:szCs w:val="24"/>
          <w:highlight w:val="none"/>
        </w:rPr>
      </w:pPr>
    </w:p>
    <w:p w14:paraId="02A3528C">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供  应  商：                （公章）</w:t>
      </w:r>
    </w:p>
    <w:p w14:paraId="3F0FE24F">
      <w:pPr>
        <w:spacing w:line="360" w:lineRule="auto"/>
        <w:ind w:firstLine="480" w:firstLineChars="200"/>
        <w:rPr>
          <w:rFonts w:hint="eastAsia" w:ascii="宋体" w:hAnsi="宋体" w:eastAsia="宋体" w:cs="宋体"/>
          <w:sz w:val="24"/>
          <w:szCs w:val="24"/>
          <w:highlight w:val="none"/>
        </w:rPr>
      </w:pPr>
    </w:p>
    <w:p w14:paraId="00D51DA0">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79D21F04">
      <w:pPr>
        <w:spacing w:line="360" w:lineRule="auto"/>
        <w:ind w:firstLine="480" w:firstLineChars="200"/>
        <w:rPr>
          <w:rFonts w:hint="eastAsia" w:ascii="宋体" w:hAnsi="宋体" w:eastAsia="宋体" w:cs="宋体"/>
          <w:sz w:val="24"/>
          <w:szCs w:val="24"/>
          <w:highlight w:val="none"/>
        </w:rPr>
      </w:pPr>
    </w:p>
    <w:p w14:paraId="137725EC">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813F0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      年      月      日</w:t>
      </w:r>
    </w:p>
    <w:p w14:paraId="54C218F5">
      <w:pPr>
        <w:autoSpaceDE w:val="0"/>
        <w:autoSpaceDN w:val="0"/>
        <w:adjustRightInd w:val="0"/>
        <w:snapToGrid w:val="0"/>
        <w:spacing w:line="360" w:lineRule="auto"/>
        <w:rPr>
          <w:rFonts w:hint="eastAsia" w:ascii="宋体" w:hAnsi="宋体" w:eastAsia="宋体" w:cs="宋体"/>
          <w:b/>
          <w:sz w:val="24"/>
          <w:szCs w:val="24"/>
          <w:highlight w:val="none"/>
        </w:rPr>
      </w:pPr>
    </w:p>
    <w:p w14:paraId="533D262A">
      <w:pPr>
        <w:rPr>
          <w:rFonts w:hint="eastAsia" w:ascii="宋体" w:hAnsi="宋体" w:eastAsia="宋体" w:cs="宋体"/>
          <w:sz w:val="24"/>
          <w:szCs w:val="24"/>
          <w:highlight w:val="none"/>
        </w:rPr>
      </w:pPr>
    </w:p>
    <w:p w14:paraId="1ECE135B">
      <w:pPr>
        <w:spacing w:after="100" w:afterAutospacing="1" w:line="48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八、优惠条件</w:t>
      </w:r>
    </w:p>
    <w:p w14:paraId="49B332A5">
      <w:pPr>
        <w:autoSpaceDE w:val="0"/>
        <w:autoSpaceDN w:val="0"/>
        <w:adjustRightInd w:val="0"/>
        <w:snapToGrid w:val="0"/>
        <w:spacing w:line="360" w:lineRule="auto"/>
        <w:rPr>
          <w:rFonts w:hint="eastAsia" w:ascii="宋体" w:hAnsi="宋体" w:eastAsia="宋体" w:cs="宋体"/>
          <w:sz w:val="24"/>
          <w:szCs w:val="24"/>
          <w:highlight w:val="none"/>
        </w:rPr>
      </w:pPr>
    </w:p>
    <w:p w14:paraId="29A7EAF5">
      <w:pPr>
        <w:spacing w:line="360" w:lineRule="auto"/>
        <w:ind w:firstLine="480" w:firstLineChars="200"/>
        <w:rPr>
          <w:rFonts w:hint="eastAsia" w:ascii="宋体" w:hAnsi="宋体" w:eastAsia="宋体" w:cs="宋体"/>
          <w:sz w:val="24"/>
          <w:szCs w:val="24"/>
          <w:highlight w:val="none"/>
        </w:rPr>
      </w:pPr>
    </w:p>
    <w:p w14:paraId="677C5F6F">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人</w:t>
      </w:r>
      <w:r>
        <w:rPr>
          <w:rFonts w:hint="eastAsia" w:ascii="宋体" w:hAnsi="宋体" w:eastAsia="宋体" w:cs="宋体"/>
          <w:sz w:val="24"/>
          <w:szCs w:val="24"/>
          <w:highlight w:val="none"/>
        </w:rPr>
        <w:t>：                （公章）</w:t>
      </w:r>
    </w:p>
    <w:p w14:paraId="020CD482">
      <w:pPr>
        <w:spacing w:line="360" w:lineRule="auto"/>
        <w:ind w:firstLine="480" w:firstLineChars="200"/>
        <w:rPr>
          <w:rFonts w:hint="eastAsia" w:ascii="宋体" w:hAnsi="宋体" w:eastAsia="宋体" w:cs="宋体"/>
          <w:sz w:val="24"/>
          <w:szCs w:val="24"/>
          <w:highlight w:val="none"/>
        </w:rPr>
      </w:pPr>
    </w:p>
    <w:p w14:paraId="7A57F77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（盖章）</w:t>
      </w:r>
    </w:p>
    <w:p w14:paraId="1A10852F">
      <w:pPr>
        <w:spacing w:line="360" w:lineRule="auto"/>
        <w:ind w:firstLine="480" w:firstLineChars="200"/>
        <w:rPr>
          <w:rFonts w:hint="eastAsia" w:ascii="宋体" w:hAnsi="宋体" w:eastAsia="宋体" w:cs="宋体"/>
          <w:sz w:val="24"/>
          <w:szCs w:val="24"/>
          <w:highlight w:val="none"/>
        </w:rPr>
      </w:pPr>
    </w:p>
    <w:p w14:paraId="1F52324B">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（签字）</w:t>
      </w:r>
    </w:p>
    <w:p w14:paraId="125137B6">
      <w:pPr>
        <w:spacing w:line="360" w:lineRule="auto"/>
        <w:ind w:firstLine="480" w:firstLineChars="200"/>
        <w:rPr>
          <w:rFonts w:hint="eastAsia" w:ascii="宋体" w:hAnsi="宋体" w:eastAsia="宋体" w:cs="宋体"/>
          <w:sz w:val="24"/>
          <w:szCs w:val="24"/>
          <w:highlight w:val="none"/>
        </w:rPr>
      </w:pPr>
    </w:p>
    <w:p w14:paraId="478849DF">
      <w:pPr>
        <w:autoSpaceDE w:val="0"/>
        <w:autoSpaceDN w:val="0"/>
        <w:adjustRightInd w:val="0"/>
        <w:snapToGri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日      期：      年      月      日</w:t>
      </w:r>
    </w:p>
    <w:p w14:paraId="6850D905">
      <w:pPr>
        <w:pStyle w:val="26"/>
        <w:rPr>
          <w:rFonts w:hint="eastAsia"/>
        </w:rPr>
      </w:pPr>
    </w:p>
    <w:p w14:paraId="0BC81506">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rPr>
      </w:pPr>
      <w:bookmarkStart w:id="102" w:name="_Toc284060544"/>
      <w:bookmarkStart w:id="103" w:name="_Toc60537410"/>
      <w:r>
        <w:rPr>
          <w:rFonts w:hint="eastAsia" w:ascii="宋体" w:hAnsi="宋体" w:eastAsia="宋体" w:cs="宋体"/>
          <w:b/>
          <w:sz w:val="28"/>
          <w:szCs w:val="28"/>
          <w:highlight w:val="none"/>
        </w:rPr>
        <w:t>资格审查资料</w:t>
      </w:r>
    </w:p>
    <w:p w14:paraId="277F09B9">
      <w:pPr>
        <w:spacing w:line="360" w:lineRule="auto"/>
        <w:ind w:left="1120" w:hanging="960" w:hangingChars="4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(一)投标人基本情况表</w:t>
      </w:r>
    </w:p>
    <w:tbl>
      <w:tblPr>
        <w:tblStyle w:val="2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800"/>
        <w:gridCol w:w="1980"/>
        <w:gridCol w:w="2340"/>
      </w:tblGrid>
      <w:tr w14:paraId="454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CB36E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投标人名称</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E8CF0E5">
            <w:pPr>
              <w:jc w:val="center"/>
              <w:rPr>
                <w:rFonts w:hint="eastAsia" w:ascii="宋体" w:hAnsi="宋体" w:eastAsia="宋体" w:cs="宋体"/>
                <w:sz w:val="24"/>
                <w:szCs w:val="24"/>
                <w:highlight w:val="none"/>
              </w:rPr>
            </w:pPr>
          </w:p>
        </w:tc>
      </w:tr>
      <w:tr w14:paraId="67CE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67ADBC">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E31CF9">
            <w:pPr>
              <w:jc w:val="center"/>
              <w:rPr>
                <w:rFonts w:hint="eastAsia" w:ascii="宋体" w:hAnsi="宋体" w:eastAsia="宋体" w:cs="宋体"/>
                <w:sz w:val="24"/>
                <w:szCs w:val="24"/>
                <w:highlight w:val="none"/>
                <w:lang w:val="en-US" w:eastAsia="zh-CN" w:bidi="ar-SA"/>
              </w:rPr>
            </w:pP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ED6A34">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成立日期</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2C91CA63">
            <w:pPr>
              <w:jc w:val="center"/>
              <w:rPr>
                <w:rFonts w:hint="eastAsia" w:ascii="宋体" w:hAnsi="宋体" w:eastAsia="宋体" w:cs="宋体"/>
                <w:sz w:val="24"/>
                <w:szCs w:val="24"/>
                <w:highlight w:val="none"/>
              </w:rPr>
            </w:pPr>
          </w:p>
        </w:tc>
      </w:tr>
      <w:tr w14:paraId="079B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6F9877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企业地址</w:t>
            </w:r>
          </w:p>
        </w:tc>
        <w:tc>
          <w:tcPr>
            <w:tcW w:w="1800" w:type="dxa"/>
            <w:tcBorders>
              <w:top w:val="single" w:color="auto" w:sz="4" w:space="0"/>
              <w:left w:val="single" w:color="auto" w:sz="4" w:space="0"/>
              <w:bottom w:val="single" w:color="auto" w:sz="4" w:space="0"/>
              <w:right w:val="single" w:color="auto" w:sz="4" w:space="0"/>
              <w:tl2br w:val="nil"/>
              <w:tr2bl w:val="nil"/>
            </w:tcBorders>
            <w:noWrap/>
            <w:vAlign w:val="center"/>
          </w:tcPr>
          <w:p w14:paraId="45BAAB31">
            <w:pPr>
              <w:jc w:val="center"/>
              <w:rPr>
                <w:rFonts w:hint="eastAsia" w:ascii="宋体" w:hAnsi="宋体" w:eastAsia="宋体" w:cs="宋体"/>
                <w:sz w:val="24"/>
                <w:szCs w:val="24"/>
                <w:highlight w:val="none"/>
              </w:rPr>
            </w:pP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7428E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注册资本</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2D890DA">
            <w:pPr>
              <w:ind w:firstLine="1440" w:firstLineChars="6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5B97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7B70A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1261DCA">
            <w:pPr>
              <w:jc w:val="center"/>
              <w:rPr>
                <w:rFonts w:hint="eastAsia" w:ascii="宋体" w:hAnsi="宋体" w:eastAsia="宋体" w:cs="宋体"/>
                <w:sz w:val="24"/>
                <w:szCs w:val="24"/>
                <w:highlight w:val="none"/>
              </w:rPr>
            </w:pPr>
          </w:p>
        </w:tc>
      </w:tr>
      <w:tr w14:paraId="3D86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0ED167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职工人数</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927FE9C">
            <w:pPr>
              <w:jc w:val="center"/>
              <w:rPr>
                <w:rFonts w:hint="eastAsia" w:ascii="宋体" w:hAnsi="宋体" w:eastAsia="宋体" w:cs="宋体"/>
                <w:sz w:val="24"/>
                <w:szCs w:val="24"/>
                <w:highlight w:val="none"/>
              </w:rPr>
            </w:pPr>
          </w:p>
        </w:tc>
      </w:tr>
      <w:tr w14:paraId="2BF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2CBD9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资产总计</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6B61E67">
            <w:pPr>
              <w:ind w:right="2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14:paraId="1335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AA2176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净资产</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71B7349">
            <w:pPr>
              <w:ind w:right="2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14:paraId="5FC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1DF6E2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上一年度</w:t>
            </w:r>
            <w:r>
              <w:rPr>
                <w:rFonts w:hint="eastAsia" w:ascii="宋体" w:hAnsi="宋体" w:eastAsia="宋体" w:cs="宋体"/>
                <w:sz w:val="24"/>
                <w:szCs w:val="24"/>
                <w:highlight w:val="none"/>
              </w:rPr>
              <w:t>收入</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98B89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33B6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3486E1E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实现利润</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2CD9C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r w14:paraId="169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D4E07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房屋</w:t>
            </w:r>
            <w:r>
              <w:rPr>
                <w:rFonts w:hint="eastAsia" w:ascii="宋体" w:hAnsi="宋体" w:eastAsia="宋体" w:cs="宋体"/>
                <w:sz w:val="24"/>
                <w:szCs w:val="24"/>
                <w:highlight w:val="none"/>
              </w:rPr>
              <w:t>面积</w:t>
            </w:r>
          </w:p>
        </w:tc>
        <w:tc>
          <w:tcPr>
            <w:tcW w:w="1800" w:type="dxa"/>
            <w:tcBorders>
              <w:top w:val="single" w:color="auto" w:sz="4" w:space="0"/>
              <w:left w:val="single" w:color="auto" w:sz="4" w:space="0"/>
              <w:bottom w:val="single" w:color="auto" w:sz="4" w:space="0"/>
              <w:right w:val="single" w:color="auto" w:sz="4" w:space="0"/>
              <w:tl2br w:val="nil"/>
              <w:tr2bl w:val="nil"/>
            </w:tcBorders>
            <w:noWrap/>
            <w:vAlign w:val="center"/>
          </w:tcPr>
          <w:p w14:paraId="4D615695">
            <w:pPr>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平方米</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5C2A2A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7C912A4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自有面积   平方米</w:t>
            </w:r>
          </w:p>
          <w:p w14:paraId="7374101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承租面积   平方米</w:t>
            </w:r>
          </w:p>
        </w:tc>
      </w:tr>
      <w:tr w14:paraId="13C3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0C81339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单位简历及内设机构及生产设备情况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BBE4DB1">
            <w:pPr>
              <w:jc w:val="center"/>
              <w:rPr>
                <w:rFonts w:hint="eastAsia" w:ascii="宋体" w:hAnsi="宋体" w:eastAsia="宋体" w:cs="宋体"/>
                <w:sz w:val="24"/>
                <w:szCs w:val="24"/>
                <w:highlight w:val="none"/>
              </w:rPr>
            </w:pPr>
          </w:p>
        </w:tc>
      </w:tr>
      <w:tr w14:paraId="159F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552FA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单位优势及特长</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450DBAA">
            <w:pPr>
              <w:jc w:val="center"/>
              <w:rPr>
                <w:rFonts w:hint="eastAsia" w:ascii="宋体" w:hAnsi="宋体" w:eastAsia="宋体" w:cs="宋体"/>
                <w:sz w:val="24"/>
                <w:szCs w:val="24"/>
                <w:highlight w:val="none"/>
              </w:rPr>
            </w:pPr>
          </w:p>
        </w:tc>
      </w:tr>
      <w:tr w14:paraId="5C0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25FB1F5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近三年来完成或正在履行的重大合同情况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6C63D8E9">
            <w:pPr>
              <w:jc w:val="center"/>
              <w:rPr>
                <w:rFonts w:hint="eastAsia" w:ascii="宋体" w:hAnsi="宋体" w:eastAsia="宋体" w:cs="宋体"/>
                <w:sz w:val="24"/>
                <w:szCs w:val="24"/>
                <w:highlight w:val="none"/>
              </w:rPr>
            </w:pPr>
          </w:p>
        </w:tc>
      </w:tr>
      <w:tr w14:paraId="4AD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753D1C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最近3年内在经营过程中受到何种奖励或处分</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83B11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（包括财政、工商、税务、物价、技监部门稽查情况、结果）</w:t>
            </w:r>
          </w:p>
        </w:tc>
      </w:tr>
      <w:tr w14:paraId="3D6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6CE25C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最近3年内主要负责人有无经济犯罪被司法机关追究的情况及说明</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33F8A4D5">
            <w:pPr>
              <w:jc w:val="center"/>
              <w:rPr>
                <w:rFonts w:hint="eastAsia" w:ascii="宋体" w:hAnsi="宋体" w:eastAsia="宋体" w:cs="宋体"/>
                <w:sz w:val="24"/>
                <w:szCs w:val="24"/>
                <w:highlight w:val="none"/>
              </w:rPr>
            </w:pPr>
          </w:p>
        </w:tc>
      </w:tr>
      <w:tr w14:paraId="0C48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7ED9B8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获得技术认证的项目负责人及简介</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4C160BFE">
            <w:pPr>
              <w:jc w:val="center"/>
              <w:rPr>
                <w:rFonts w:hint="eastAsia" w:ascii="宋体" w:hAnsi="宋体" w:eastAsia="宋体" w:cs="宋体"/>
                <w:sz w:val="24"/>
                <w:szCs w:val="24"/>
                <w:highlight w:val="none"/>
              </w:rPr>
            </w:pPr>
          </w:p>
        </w:tc>
      </w:tr>
      <w:tr w14:paraId="2D07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988" w:type="dxa"/>
            <w:tcBorders>
              <w:top w:val="single" w:color="auto" w:sz="4" w:space="0"/>
              <w:left w:val="single" w:color="auto" w:sz="4" w:space="0"/>
              <w:bottom w:val="single" w:color="auto" w:sz="4" w:space="0"/>
              <w:right w:val="single" w:color="auto" w:sz="4" w:space="0"/>
              <w:tl2br w:val="nil"/>
              <w:tr2bl w:val="nil"/>
            </w:tcBorders>
            <w:noWrap/>
            <w:vAlign w:val="center"/>
          </w:tcPr>
          <w:p w14:paraId="2D01CF3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其他需要说明的情况</w:t>
            </w:r>
          </w:p>
        </w:tc>
        <w:tc>
          <w:tcPr>
            <w:tcW w:w="6120" w:type="dxa"/>
            <w:gridSpan w:val="3"/>
            <w:tcBorders>
              <w:top w:val="single" w:color="auto" w:sz="4" w:space="0"/>
              <w:left w:val="single" w:color="auto" w:sz="4" w:space="0"/>
              <w:bottom w:val="single" w:color="auto" w:sz="4" w:space="0"/>
              <w:right w:val="single" w:color="auto" w:sz="4" w:space="0"/>
              <w:tl2br w:val="nil"/>
              <w:tr2bl w:val="nil"/>
            </w:tcBorders>
            <w:noWrap/>
          </w:tcPr>
          <w:p w14:paraId="61BF8FEF">
            <w:pPr>
              <w:jc w:val="center"/>
              <w:rPr>
                <w:rFonts w:hint="eastAsia" w:ascii="宋体" w:hAnsi="宋体" w:eastAsia="宋体" w:cs="宋体"/>
                <w:sz w:val="24"/>
                <w:szCs w:val="24"/>
                <w:highlight w:val="none"/>
              </w:rPr>
            </w:pPr>
          </w:p>
        </w:tc>
      </w:tr>
    </w:tbl>
    <w:p w14:paraId="144C1217">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注：在本表后应附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营业执照（副本）、</w:t>
      </w:r>
      <w:r>
        <w:rPr>
          <w:rFonts w:hint="eastAsia" w:ascii="宋体" w:hAnsi="宋体" w:eastAsia="宋体" w:cs="宋体"/>
          <w:sz w:val="24"/>
          <w:szCs w:val="24"/>
          <w:highlight w:val="none"/>
          <w:lang w:val="zh-CN"/>
        </w:rPr>
        <w:t>基本账户开户证明</w:t>
      </w:r>
      <w:r>
        <w:rPr>
          <w:rFonts w:hint="eastAsia" w:ascii="宋体" w:hAnsi="宋体" w:eastAsia="宋体" w:cs="宋体"/>
          <w:sz w:val="24"/>
          <w:szCs w:val="24"/>
          <w:highlight w:val="none"/>
        </w:rPr>
        <w:t>等相关证件的复印件。</w:t>
      </w:r>
    </w:p>
    <w:p w14:paraId="4DD6FC49">
      <w:pPr>
        <w:spacing w:before="156" w:after="156"/>
        <w:rPr>
          <w:rFonts w:hint="eastAsia" w:ascii="宋体" w:hAnsi="宋体" w:eastAsia="宋体" w:cs="宋体"/>
          <w:sz w:val="24"/>
          <w:szCs w:val="24"/>
          <w:highlight w:val="none"/>
        </w:rPr>
      </w:pPr>
    </w:p>
    <w:p w14:paraId="332ED748">
      <w:pPr>
        <w:widowControl w:val="0"/>
        <w:spacing w:after="120" w:line="312" w:lineRule="auto"/>
        <w:ind w:firstLine="420"/>
        <w:jc w:val="both"/>
        <w:rPr>
          <w:rFonts w:hint="eastAsia" w:ascii="宋体" w:hAnsi="宋体" w:eastAsia="宋体" w:cs="宋体"/>
          <w:kern w:val="2"/>
          <w:sz w:val="21"/>
          <w:szCs w:val="24"/>
          <w:highlight w:val="none"/>
        </w:rPr>
      </w:pPr>
    </w:p>
    <w:p w14:paraId="3C45246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(二)投标人已完成类似项目情况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653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238E65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07E217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起止时间</w:t>
            </w: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0BAD1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D319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业主单位</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CECE8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完成情况</w:t>
            </w: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5FDDFD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993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521ABEB7">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4C280C9B">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16DA8209">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6E9C8D9B">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3CFDB2E9">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138D0516">
            <w:pPr>
              <w:jc w:val="center"/>
              <w:rPr>
                <w:rFonts w:hint="eastAsia" w:ascii="宋体" w:hAnsi="宋体" w:eastAsia="宋体" w:cs="宋体"/>
                <w:sz w:val="24"/>
                <w:szCs w:val="24"/>
                <w:highlight w:val="none"/>
              </w:rPr>
            </w:pPr>
          </w:p>
        </w:tc>
      </w:tr>
      <w:tr w14:paraId="7AA6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2B3FFCEC">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16CCFC2F">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7901E79D">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0E8A8A39">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76F3E5C">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0FB46FC2">
            <w:pPr>
              <w:jc w:val="center"/>
              <w:rPr>
                <w:rFonts w:hint="eastAsia" w:ascii="宋体" w:hAnsi="宋体" w:eastAsia="宋体" w:cs="宋体"/>
                <w:sz w:val="24"/>
                <w:szCs w:val="24"/>
                <w:highlight w:val="none"/>
              </w:rPr>
            </w:pPr>
          </w:p>
        </w:tc>
      </w:tr>
      <w:tr w14:paraId="2A6D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1D765DFD">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2B7CE644">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5FF1BAF8">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478F5E0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9D6B440">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63769A9D">
            <w:pPr>
              <w:jc w:val="center"/>
              <w:rPr>
                <w:rFonts w:hint="eastAsia" w:ascii="宋体" w:hAnsi="宋体" w:eastAsia="宋体" w:cs="宋体"/>
                <w:sz w:val="24"/>
                <w:szCs w:val="24"/>
                <w:highlight w:val="none"/>
              </w:rPr>
            </w:pPr>
          </w:p>
        </w:tc>
      </w:tr>
      <w:tr w14:paraId="5A81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6484A4D1">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19D32466">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095F6607">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2023038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64F18204">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7C713030">
            <w:pPr>
              <w:jc w:val="center"/>
              <w:rPr>
                <w:rFonts w:hint="eastAsia" w:ascii="宋体" w:hAnsi="宋体" w:eastAsia="宋体" w:cs="宋体"/>
                <w:sz w:val="24"/>
                <w:szCs w:val="24"/>
                <w:highlight w:val="none"/>
              </w:rPr>
            </w:pPr>
          </w:p>
        </w:tc>
      </w:tr>
      <w:tr w14:paraId="578A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5E77A3AD">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7EEEF273">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9012C8C">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032537B9">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BA2CC46">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4D0E8832">
            <w:pPr>
              <w:jc w:val="center"/>
              <w:rPr>
                <w:rFonts w:hint="eastAsia" w:ascii="宋体" w:hAnsi="宋体" w:eastAsia="宋体" w:cs="宋体"/>
                <w:sz w:val="24"/>
                <w:szCs w:val="24"/>
                <w:highlight w:val="none"/>
              </w:rPr>
            </w:pPr>
          </w:p>
        </w:tc>
      </w:tr>
      <w:tr w14:paraId="711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29C60843">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7F6A763A">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4CD66D7">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1FA822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D61E146">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2244EFC0">
            <w:pPr>
              <w:jc w:val="center"/>
              <w:rPr>
                <w:rFonts w:hint="eastAsia" w:ascii="宋体" w:hAnsi="宋体" w:eastAsia="宋体" w:cs="宋体"/>
                <w:sz w:val="24"/>
                <w:szCs w:val="24"/>
                <w:highlight w:val="none"/>
              </w:rPr>
            </w:pPr>
          </w:p>
        </w:tc>
      </w:tr>
      <w:tr w14:paraId="7C74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60B32167">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3D4EBB83">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61F1B2CC">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2554C69C">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AFEA90B">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54323B8F">
            <w:pPr>
              <w:jc w:val="center"/>
              <w:rPr>
                <w:rFonts w:hint="eastAsia" w:ascii="宋体" w:hAnsi="宋体" w:eastAsia="宋体" w:cs="宋体"/>
                <w:sz w:val="24"/>
                <w:szCs w:val="24"/>
                <w:highlight w:val="none"/>
              </w:rPr>
            </w:pPr>
          </w:p>
        </w:tc>
      </w:tr>
      <w:tr w14:paraId="38DD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noWrap/>
          </w:tcPr>
          <w:p w14:paraId="34F280A9">
            <w:pPr>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3C2BCFEB">
            <w:pPr>
              <w:jc w:val="center"/>
              <w:rPr>
                <w:rFonts w:hint="eastAsia" w:ascii="宋体" w:hAnsi="宋体" w:eastAsia="宋体" w:cs="宋体"/>
                <w:sz w:val="24"/>
                <w:szCs w:val="24"/>
                <w:highlight w:val="none"/>
              </w:rPr>
            </w:pPr>
          </w:p>
        </w:tc>
        <w:tc>
          <w:tcPr>
            <w:tcW w:w="2405" w:type="dxa"/>
            <w:tcBorders>
              <w:top w:val="single" w:color="auto" w:sz="4" w:space="0"/>
              <w:left w:val="single" w:color="auto" w:sz="4" w:space="0"/>
              <w:bottom w:val="single" w:color="auto" w:sz="4" w:space="0"/>
              <w:right w:val="single" w:color="auto" w:sz="4" w:space="0"/>
              <w:tl2br w:val="nil"/>
              <w:tr2bl w:val="nil"/>
            </w:tcBorders>
            <w:noWrap/>
            <w:vAlign w:val="center"/>
          </w:tcPr>
          <w:p w14:paraId="3B39A07D">
            <w:pPr>
              <w:jc w:val="center"/>
              <w:rPr>
                <w:rFonts w:hint="eastAsia" w:ascii="宋体" w:hAnsi="宋体" w:eastAsia="宋体" w:cs="宋体"/>
                <w:sz w:val="24"/>
                <w:szCs w:val="24"/>
                <w:highlight w:val="none"/>
              </w:rPr>
            </w:pPr>
          </w:p>
        </w:tc>
        <w:tc>
          <w:tcPr>
            <w:tcW w:w="2275" w:type="dxa"/>
            <w:tcBorders>
              <w:top w:val="single" w:color="auto" w:sz="4" w:space="0"/>
              <w:left w:val="single" w:color="auto" w:sz="4" w:space="0"/>
              <w:bottom w:val="single" w:color="auto" w:sz="4" w:space="0"/>
              <w:right w:val="single" w:color="auto" w:sz="4" w:space="0"/>
              <w:tl2br w:val="nil"/>
              <w:tr2bl w:val="nil"/>
            </w:tcBorders>
            <w:noWrap/>
            <w:vAlign w:val="center"/>
          </w:tcPr>
          <w:p w14:paraId="34BD6FDC">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6E1E289">
            <w:pPr>
              <w:jc w:val="center"/>
              <w:rPr>
                <w:rFonts w:hint="eastAsia" w:ascii="宋体" w:hAnsi="宋体" w:eastAsia="宋体" w:cs="宋体"/>
                <w:sz w:val="24"/>
                <w:szCs w:val="24"/>
                <w:highlight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ign w:val="center"/>
          </w:tcPr>
          <w:p w14:paraId="1D017007">
            <w:pPr>
              <w:jc w:val="center"/>
              <w:rPr>
                <w:rFonts w:hint="eastAsia" w:ascii="宋体" w:hAnsi="宋体" w:eastAsia="宋体" w:cs="宋体"/>
                <w:sz w:val="24"/>
                <w:szCs w:val="24"/>
                <w:highlight w:val="none"/>
              </w:rPr>
            </w:pPr>
          </w:p>
        </w:tc>
      </w:tr>
    </w:tbl>
    <w:p w14:paraId="24781897">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应将近3年内已完成的类似项目情况填入本表中。</w:t>
      </w:r>
    </w:p>
    <w:p w14:paraId="7811CF59">
      <w:pPr>
        <w:spacing w:before="156" w:after="15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2、项目概况包括：项目名称、规模、金额等。</w:t>
      </w:r>
    </w:p>
    <w:p w14:paraId="012FC59B">
      <w:pPr>
        <w:spacing w:before="156" w:after="156"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应随本表出具所填项目的委托合同或其他证明材料的复印件，否则，采购人将不考虑</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所填项目的业绩。</w:t>
      </w:r>
    </w:p>
    <w:p w14:paraId="50FA9374">
      <w:pPr>
        <w:spacing w:before="156" w:after="156"/>
        <w:rPr>
          <w:rFonts w:hint="eastAsia" w:ascii="宋体" w:hAnsi="宋体" w:eastAsia="宋体" w:cs="宋体"/>
          <w:szCs w:val="21"/>
          <w:highlight w:val="none"/>
        </w:rPr>
      </w:pPr>
    </w:p>
    <w:p w14:paraId="2B4D7FCB">
      <w:pPr>
        <w:ind w:right="-398" w:rightChars="-199"/>
        <w:rPr>
          <w:rFonts w:hint="eastAsia" w:ascii="宋体" w:hAnsi="宋体" w:eastAsia="宋体" w:cs="宋体"/>
          <w:sz w:val="28"/>
          <w:szCs w:val="28"/>
          <w:highlight w:val="none"/>
        </w:rPr>
      </w:pPr>
    </w:p>
    <w:p w14:paraId="314EF685">
      <w:pPr>
        <w:spacing w:line="360" w:lineRule="auto"/>
        <w:ind w:right="-398" w:rightChars="-199"/>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(三)管理团队人员基本情况表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13C3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49F46A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在本项目中所担任的职务</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711448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C32009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94C0A8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09FED3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学历及</w:t>
            </w:r>
          </w:p>
          <w:p w14:paraId="3B7217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所学专业</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90299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现任职务及职称</w:t>
            </w:r>
          </w:p>
        </w:tc>
      </w:tr>
      <w:tr w14:paraId="4172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77E2BC18">
            <w:pP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8C571AF">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2A34100">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69BE5AB8">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3CD39B0A">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3913BCBA">
            <w:pPr>
              <w:jc w:val="center"/>
              <w:rPr>
                <w:rFonts w:hint="eastAsia" w:ascii="宋体" w:hAnsi="宋体" w:eastAsia="宋体" w:cs="宋体"/>
                <w:sz w:val="24"/>
                <w:szCs w:val="24"/>
                <w:highlight w:val="none"/>
              </w:rPr>
            </w:pPr>
          </w:p>
        </w:tc>
      </w:tr>
      <w:tr w14:paraId="310A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0365FBF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2474CB9">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351EC173">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0A0003A8">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71147AA9">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1ECCE909">
            <w:pPr>
              <w:jc w:val="center"/>
              <w:rPr>
                <w:rFonts w:hint="eastAsia" w:ascii="宋体" w:hAnsi="宋体" w:eastAsia="宋体" w:cs="宋体"/>
                <w:sz w:val="24"/>
                <w:szCs w:val="24"/>
                <w:highlight w:val="none"/>
              </w:rPr>
            </w:pPr>
          </w:p>
        </w:tc>
      </w:tr>
      <w:tr w14:paraId="6ADD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6E08FD36">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0C672E2C">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F840CE4">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434A5BF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D337D62">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5A612B8A">
            <w:pPr>
              <w:jc w:val="center"/>
              <w:rPr>
                <w:rFonts w:hint="eastAsia" w:ascii="宋体" w:hAnsi="宋体" w:eastAsia="宋体" w:cs="宋体"/>
                <w:sz w:val="24"/>
                <w:szCs w:val="24"/>
                <w:highlight w:val="none"/>
              </w:rPr>
            </w:pPr>
          </w:p>
        </w:tc>
      </w:tr>
      <w:tr w14:paraId="518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0CDB63DE">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6F4FFF78">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0F395C1">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2BEE0940">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2374B2E">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72EF2209">
            <w:pPr>
              <w:jc w:val="center"/>
              <w:rPr>
                <w:rFonts w:hint="eastAsia" w:ascii="宋体" w:hAnsi="宋体" w:eastAsia="宋体" w:cs="宋体"/>
                <w:sz w:val="24"/>
                <w:szCs w:val="24"/>
                <w:highlight w:val="none"/>
              </w:rPr>
            </w:pPr>
          </w:p>
        </w:tc>
      </w:tr>
      <w:tr w14:paraId="5C4D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2D8346EB">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4F1B2F95">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147299E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6A180C0F">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137B9E9A">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6709DE44">
            <w:pPr>
              <w:jc w:val="center"/>
              <w:rPr>
                <w:rFonts w:hint="eastAsia" w:ascii="宋体" w:hAnsi="宋体" w:eastAsia="宋体" w:cs="宋体"/>
                <w:sz w:val="24"/>
                <w:szCs w:val="24"/>
                <w:highlight w:val="none"/>
              </w:rPr>
            </w:pPr>
          </w:p>
        </w:tc>
      </w:tr>
      <w:tr w14:paraId="246C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noWrap/>
            <w:vAlign w:val="center"/>
          </w:tcPr>
          <w:p w14:paraId="6CAD16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5AE82FA2">
            <w:pPr>
              <w:jc w:val="center"/>
              <w:rPr>
                <w:rFonts w:hint="eastAsia" w:ascii="宋体" w:hAnsi="宋体" w:eastAsia="宋体" w:cs="宋体"/>
                <w:sz w:val="24"/>
                <w:szCs w:val="24"/>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0C688255">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tcPr>
          <w:p w14:paraId="58D8D233">
            <w:pPr>
              <w:jc w:val="center"/>
              <w:rPr>
                <w:rFonts w:hint="eastAsia" w:ascii="宋体" w:hAnsi="宋体" w:eastAsia="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ign w:val="center"/>
          </w:tcPr>
          <w:p w14:paraId="17659C61">
            <w:pPr>
              <w:jc w:val="center"/>
              <w:rPr>
                <w:rFonts w:hint="eastAsia" w:ascii="宋体" w:hAnsi="宋体" w:eastAsia="宋体" w:cs="宋体"/>
                <w:sz w:val="24"/>
                <w:szCs w:val="24"/>
                <w:highlight w:val="none"/>
              </w:rPr>
            </w:pP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14:paraId="0A90DCE1">
            <w:pPr>
              <w:jc w:val="center"/>
              <w:rPr>
                <w:rFonts w:hint="eastAsia" w:ascii="宋体" w:hAnsi="宋体" w:eastAsia="宋体" w:cs="宋体"/>
                <w:sz w:val="24"/>
                <w:szCs w:val="24"/>
                <w:highlight w:val="none"/>
              </w:rPr>
            </w:pPr>
          </w:p>
        </w:tc>
      </w:tr>
    </w:tbl>
    <w:p w14:paraId="01C5E325">
      <w:pPr>
        <w:spacing w:before="156" w:after="156"/>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应根据招标文件要求和招标项目的实际需要，列出拟配备的人员清单。</w:t>
      </w:r>
    </w:p>
    <w:p w14:paraId="4D96D414">
      <w:pPr>
        <w:spacing w:before="156" w:after="15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应按表五格式分别填写本表所列人员的资历。</w:t>
      </w:r>
    </w:p>
    <w:p w14:paraId="418D24F3">
      <w:pPr>
        <w:spacing w:before="156" w:after="156"/>
        <w:rPr>
          <w:rFonts w:hint="eastAsia" w:ascii="宋体" w:hAnsi="宋体" w:eastAsia="宋体" w:cs="宋体"/>
          <w:szCs w:val="21"/>
          <w:highlight w:val="none"/>
        </w:rPr>
      </w:pPr>
    </w:p>
    <w:p w14:paraId="3F52DDBA">
      <w:pPr>
        <w:spacing w:before="156" w:after="156"/>
        <w:rPr>
          <w:rFonts w:hint="eastAsia" w:ascii="宋体" w:hAnsi="宋体" w:eastAsia="宋体" w:cs="宋体"/>
          <w:szCs w:val="21"/>
          <w:highlight w:val="none"/>
        </w:rPr>
      </w:pPr>
    </w:p>
    <w:p w14:paraId="66516477">
      <w:pPr>
        <w:spacing w:before="156" w:after="156"/>
        <w:rPr>
          <w:rFonts w:hint="eastAsia" w:ascii="宋体" w:hAnsi="宋体" w:eastAsia="宋体" w:cs="宋体"/>
          <w:szCs w:val="21"/>
          <w:highlight w:val="none"/>
        </w:rPr>
      </w:pPr>
    </w:p>
    <w:p w14:paraId="2096F1C3">
      <w:pPr>
        <w:spacing w:line="360" w:lineRule="auto"/>
        <w:ind w:right="-398" w:rightChars="-199"/>
        <w:jc w:val="center"/>
        <w:rPr>
          <w:rFonts w:hint="eastAsia" w:ascii="宋体" w:hAnsi="宋体" w:eastAsia="宋体" w:cs="宋体"/>
          <w:sz w:val="28"/>
          <w:szCs w:val="28"/>
          <w:highlight w:val="none"/>
        </w:rPr>
      </w:pPr>
      <w:r>
        <w:rPr>
          <w:rFonts w:hint="eastAsia" w:ascii="宋体" w:hAnsi="宋体" w:eastAsia="宋体" w:cs="宋体"/>
          <w:szCs w:val="21"/>
          <w:highlight w:val="none"/>
        </w:rPr>
        <w:br w:type="page"/>
      </w:r>
      <w:r>
        <w:rPr>
          <w:rFonts w:hint="eastAsia" w:ascii="宋体" w:hAnsi="宋体" w:eastAsia="宋体" w:cs="宋体"/>
          <w:sz w:val="28"/>
          <w:szCs w:val="28"/>
          <w:highlight w:val="none"/>
        </w:rPr>
        <w:t>(四)人员资历表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6F2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B7096DB">
            <w:pPr>
              <w:rPr>
                <w:rFonts w:hint="eastAsia" w:ascii="宋体" w:hAnsi="宋体" w:eastAsia="宋体" w:cs="宋体"/>
                <w:b/>
                <w:sz w:val="24"/>
                <w:szCs w:val="24"/>
                <w:highlight w:val="none"/>
              </w:rPr>
            </w:pPr>
            <w:r>
              <w:rPr>
                <w:rFonts w:hint="eastAsia" w:ascii="宋体" w:hAnsi="宋体" w:eastAsia="宋体" w:cs="宋体"/>
                <w:b/>
                <w:sz w:val="24"/>
                <w:szCs w:val="24"/>
                <w:highlight w:val="none"/>
              </w:rPr>
              <w:t>1．一般情况</w:t>
            </w:r>
          </w:p>
        </w:tc>
      </w:tr>
      <w:tr w14:paraId="7BB3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3586C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692" w:type="dxa"/>
            <w:tcBorders>
              <w:top w:val="single" w:color="auto" w:sz="4" w:space="0"/>
              <w:left w:val="single" w:color="auto" w:sz="4" w:space="0"/>
              <w:bottom w:val="single" w:color="auto" w:sz="4" w:space="0"/>
              <w:right w:val="single" w:color="auto" w:sz="4" w:space="0"/>
              <w:tl2br w:val="nil"/>
              <w:tr2bl w:val="nil"/>
            </w:tcBorders>
            <w:noWrap/>
            <w:vAlign w:val="center"/>
          </w:tcPr>
          <w:p w14:paraId="5088151A">
            <w:pPr>
              <w:jc w:val="center"/>
              <w:rPr>
                <w:rFonts w:hint="eastAsia" w:ascii="宋体" w:hAnsi="宋体" w:eastAsia="宋体" w:cs="宋体"/>
                <w:sz w:val="24"/>
                <w:szCs w:val="24"/>
                <w:highlight w:val="none"/>
              </w:rPr>
            </w:pP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4A6AAD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83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CC6BC">
            <w:pPr>
              <w:jc w:val="center"/>
              <w:rPr>
                <w:rFonts w:hint="eastAsia" w:ascii="宋体" w:hAnsi="宋体" w:eastAsia="宋体" w:cs="宋体"/>
                <w:sz w:val="24"/>
                <w:szCs w:val="24"/>
                <w:highlight w:val="none"/>
              </w:rPr>
            </w:pPr>
          </w:p>
        </w:tc>
        <w:tc>
          <w:tcPr>
            <w:tcW w:w="952" w:type="dxa"/>
            <w:tcBorders>
              <w:top w:val="single" w:color="auto" w:sz="4" w:space="0"/>
              <w:left w:val="single" w:color="auto" w:sz="4" w:space="0"/>
              <w:bottom w:val="single" w:color="auto" w:sz="4" w:space="0"/>
              <w:right w:val="single" w:color="auto" w:sz="4" w:space="0"/>
              <w:tl2br w:val="nil"/>
              <w:tr2bl w:val="nil"/>
            </w:tcBorders>
            <w:noWrap/>
            <w:vAlign w:val="center"/>
          </w:tcPr>
          <w:p w14:paraId="4811D2F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704D5881">
            <w:pPr>
              <w:jc w:val="center"/>
              <w:rPr>
                <w:rFonts w:hint="eastAsia" w:ascii="宋体" w:hAnsi="宋体" w:eastAsia="宋体" w:cs="宋体"/>
                <w:sz w:val="24"/>
                <w:szCs w:val="24"/>
                <w:highlight w:val="none"/>
              </w:rPr>
            </w:pPr>
          </w:p>
        </w:tc>
      </w:tr>
      <w:tr w14:paraId="5A13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99016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在本合同中</w:t>
            </w:r>
          </w:p>
          <w:p w14:paraId="162D0AC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拟任职</w:t>
            </w:r>
          </w:p>
        </w:tc>
        <w:tc>
          <w:tcPr>
            <w:tcW w:w="1692" w:type="dxa"/>
            <w:tcBorders>
              <w:top w:val="single" w:color="auto" w:sz="4" w:space="0"/>
              <w:left w:val="single" w:color="auto" w:sz="4" w:space="0"/>
              <w:bottom w:val="single" w:color="auto" w:sz="4" w:space="0"/>
              <w:right w:val="single" w:color="auto" w:sz="4" w:space="0"/>
              <w:tl2br w:val="nil"/>
              <w:tr2bl w:val="nil"/>
            </w:tcBorders>
            <w:noWrap/>
            <w:vAlign w:val="center"/>
          </w:tcPr>
          <w:p w14:paraId="02DF85E9">
            <w:pPr>
              <w:jc w:val="center"/>
              <w:rPr>
                <w:rFonts w:hint="eastAsia" w:ascii="宋体" w:hAnsi="宋体" w:eastAsia="宋体" w:cs="宋体"/>
                <w:sz w:val="24"/>
                <w:szCs w:val="24"/>
                <w:highlight w:val="none"/>
              </w:rPr>
            </w:pPr>
          </w:p>
        </w:tc>
        <w:tc>
          <w:tcPr>
            <w:tcW w:w="1549" w:type="dxa"/>
            <w:tcBorders>
              <w:top w:val="single" w:color="auto" w:sz="4" w:space="0"/>
              <w:left w:val="single" w:color="auto" w:sz="4" w:space="0"/>
              <w:bottom w:val="single" w:color="auto" w:sz="4" w:space="0"/>
              <w:right w:val="single" w:color="auto" w:sz="4" w:space="0"/>
              <w:tl2br w:val="nil"/>
              <w:tr2bl w:val="nil"/>
            </w:tcBorders>
            <w:noWrap/>
            <w:vAlign w:val="center"/>
          </w:tcPr>
          <w:p w14:paraId="61E530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403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D805B66">
            <w:pPr>
              <w:jc w:val="center"/>
              <w:rPr>
                <w:rFonts w:hint="eastAsia" w:ascii="宋体" w:hAnsi="宋体" w:eastAsia="宋体" w:cs="宋体"/>
                <w:sz w:val="24"/>
                <w:szCs w:val="24"/>
                <w:highlight w:val="none"/>
              </w:rPr>
            </w:pPr>
          </w:p>
        </w:tc>
      </w:tr>
      <w:tr w14:paraId="0F5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562C469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7271"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14:paraId="58702F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5CB7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F9B4965">
            <w:pPr>
              <w:rPr>
                <w:rFonts w:hint="eastAsia" w:ascii="宋体" w:hAnsi="宋体" w:eastAsia="宋体" w:cs="宋体"/>
                <w:b/>
                <w:sz w:val="24"/>
                <w:szCs w:val="24"/>
                <w:highlight w:val="none"/>
              </w:rPr>
            </w:pPr>
            <w:r>
              <w:rPr>
                <w:rFonts w:hint="eastAsia" w:ascii="宋体" w:hAnsi="宋体" w:eastAsia="宋体" w:cs="宋体"/>
                <w:b/>
                <w:sz w:val="24"/>
                <w:szCs w:val="24"/>
                <w:highlight w:val="none"/>
              </w:rPr>
              <w:t>2．工作经历</w:t>
            </w:r>
          </w:p>
        </w:tc>
      </w:tr>
      <w:tr w14:paraId="1C4C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6A02535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AE436F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参与过的项目</w:t>
            </w: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20BE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该项目中任职</w:t>
            </w: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32928F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5BF8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29D9FB91">
            <w:pPr>
              <w:jc w:val="center"/>
              <w:rPr>
                <w:rFonts w:hint="eastAsia" w:ascii="宋体" w:hAnsi="宋体" w:eastAsia="宋体" w:cs="宋体"/>
                <w:sz w:val="24"/>
                <w:szCs w:val="24"/>
                <w:highlight w:val="none"/>
              </w:rPr>
            </w:pP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4C6D1B2">
            <w:pPr>
              <w:jc w:val="center"/>
              <w:rPr>
                <w:rFonts w:hint="eastAsia" w:ascii="宋体" w:hAnsi="宋体" w:eastAsia="宋体" w:cs="宋体"/>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92035B3">
            <w:pPr>
              <w:jc w:val="center"/>
              <w:rPr>
                <w:rFonts w:hint="eastAsia" w:ascii="宋体" w:hAnsi="宋体" w:eastAsia="宋体" w:cs="宋体"/>
                <w:sz w:val="24"/>
                <w:szCs w:val="24"/>
                <w:highlight w:val="none"/>
              </w:rPr>
            </w:pP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7CC28BD7">
            <w:pPr>
              <w:jc w:val="center"/>
              <w:rPr>
                <w:rFonts w:hint="eastAsia" w:ascii="宋体" w:hAnsi="宋体" w:eastAsia="宋体" w:cs="宋体"/>
                <w:sz w:val="24"/>
                <w:szCs w:val="24"/>
                <w:highlight w:val="none"/>
              </w:rPr>
            </w:pPr>
          </w:p>
        </w:tc>
      </w:tr>
      <w:tr w14:paraId="773B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86" w:type="dxa"/>
            <w:tcBorders>
              <w:top w:val="single" w:color="auto" w:sz="4" w:space="0"/>
              <w:left w:val="single" w:color="auto" w:sz="4" w:space="0"/>
              <w:bottom w:val="single" w:color="auto" w:sz="4" w:space="0"/>
              <w:right w:val="single" w:color="auto" w:sz="4" w:space="0"/>
              <w:tl2br w:val="nil"/>
              <w:tr2bl w:val="nil"/>
            </w:tcBorders>
            <w:noWrap/>
            <w:vAlign w:val="center"/>
          </w:tcPr>
          <w:p w14:paraId="0A33A961">
            <w:pPr>
              <w:jc w:val="center"/>
              <w:rPr>
                <w:rFonts w:hint="eastAsia" w:ascii="宋体" w:hAnsi="宋体" w:eastAsia="宋体" w:cs="宋体"/>
                <w:sz w:val="24"/>
                <w:szCs w:val="24"/>
                <w:highlight w:val="none"/>
              </w:rPr>
            </w:pPr>
          </w:p>
        </w:tc>
        <w:tc>
          <w:tcPr>
            <w:tcW w:w="505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22BE674">
            <w:pPr>
              <w:jc w:val="center"/>
              <w:rPr>
                <w:rFonts w:hint="eastAsia" w:ascii="宋体" w:hAnsi="宋体" w:eastAsia="宋体" w:cs="宋体"/>
                <w:sz w:val="24"/>
                <w:szCs w:val="24"/>
                <w:highlight w:val="none"/>
              </w:rPr>
            </w:pPr>
          </w:p>
        </w:tc>
        <w:tc>
          <w:tcPr>
            <w:tcW w:w="96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6558FC">
            <w:pPr>
              <w:jc w:val="center"/>
              <w:rPr>
                <w:rFonts w:hint="eastAsia" w:ascii="宋体" w:hAnsi="宋体" w:eastAsia="宋体" w:cs="宋体"/>
                <w:sz w:val="24"/>
                <w:szCs w:val="24"/>
                <w:highlight w:val="none"/>
              </w:rPr>
            </w:pPr>
          </w:p>
        </w:tc>
        <w:tc>
          <w:tcPr>
            <w:tcW w:w="1246" w:type="dxa"/>
            <w:tcBorders>
              <w:top w:val="single" w:color="auto" w:sz="4" w:space="0"/>
              <w:left w:val="single" w:color="auto" w:sz="4" w:space="0"/>
              <w:bottom w:val="single" w:color="auto" w:sz="4" w:space="0"/>
              <w:right w:val="single" w:color="auto" w:sz="4" w:space="0"/>
              <w:tl2br w:val="nil"/>
              <w:tr2bl w:val="nil"/>
            </w:tcBorders>
            <w:noWrap/>
            <w:vAlign w:val="center"/>
          </w:tcPr>
          <w:p w14:paraId="4E9C6480">
            <w:pPr>
              <w:jc w:val="center"/>
              <w:rPr>
                <w:rFonts w:hint="eastAsia" w:ascii="宋体" w:hAnsi="宋体" w:eastAsia="宋体" w:cs="宋体"/>
                <w:sz w:val="24"/>
                <w:szCs w:val="24"/>
                <w:highlight w:val="none"/>
              </w:rPr>
            </w:pPr>
          </w:p>
        </w:tc>
      </w:tr>
      <w:tr w14:paraId="0F56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838E603">
            <w:pPr>
              <w:rPr>
                <w:rFonts w:hint="eastAsia" w:ascii="宋体" w:hAnsi="宋体" w:eastAsia="宋体" w:cs="宋体"/>
                <w:b/>
                <w:sz w:val="24"/>
                <w:szCs w:val="24"/>
                <w:highlight w:val="none"/>
              </w:rPr>
            </w:pPr>
            <w:r>
              <w:rPr>
                <w:rFonts w:hint="eastAsia" w:ascii="宋体" w:hAnsi="宋体" w:eastAsia="宋体" w:cs="宋体"/>
                <w:b/>
                <w:sz w:val="24"/>
                <w:szCs w:val="24"/>
                <w:highlight w:val="none"/>
              </w:rPr>
              <w:t>3．获奖情况</w:t>
            </w:r>
          </w:p>
        </w:tc>
      </w:tr>
      <w:tr w14:paraId="1423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15663FA1">
            <w:pPr>
              <w:jc w:val="center"/>
              <w:rPr>
                <w:rFonts w:hint="eastAsia" w:ascii="宋体" w:hAnsi="宋体" w:eastAsia="宋体" w:cs="宋体"/>
                <w:sz w:val="24"/>
                <w:szCs w:val="24"/>
                <w:highlight w:val="none"/>
              </w:rPr>
            </w:pPr>
          </w:p>
        </w:tc>
      </w:tr>
      <w:tr w14:paraId="5B21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5521937">
            <w:pPr>
              <w:rPr>
                <w:rFonts w:hint="eastAsia" w:ascii="宋体" w:hAnsi="宋体" w:eastAsia="宋体" w:cs="宋体"/>
                <w:b/>
                <w:sz w:val="24"/>
                <w:szCs w:val="24"/>
                <w:highlight w:val="none"/>
              </w:rPr>
            </w:pPr>
            <w:r>
              <w:rPr>
                <w:rFonts w:hint="eastAsia" w:ascii="宋体" w:hAnsi="宋体" w:eastAsia="宋体" w:cs="宋体"/>
                <w:b/>
                <w:sz w:val="24"/>
                <w:szCs w:val="24"/>
                <w:highlight w:val="none"/>
              </w:rPr>
              <w:t>4．目前承担的任务</w:t>
            </w:r>
          </w:p>
        </w:tc>
      </w:tr>
      <w:tr w14:paraId="68C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05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02672ED9">
            <w:pPr>
              <w:jc w:val="center"/>
              <w:rPr>
                <w:rFonts w:hint="eastAsia" w:ascii="宋体" w:hAnsi="宋体" w:eastAsia="宋体" w:cs="宋体"/>
                <w:sz w:val="24"/>
                <w:szCs w:val="24"/>
                <w:highlight w:val="none"/>
              </w:rPr>
            </w:pPr>
          </w:p>
        </w:tc>
      </w:tr>
    </w:tbl>
    <w:p w14:paraId="6DA2FA6D">
      <w:pPr>
        <w:spacing w:before="156" w:after="15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身份证及学历证书或岗位证或职称证等复印件</w:t>
      </w:r>
    </w:p>
    <w:p w14:paraId="6AB3F415">
      <w:pPr>
        <w:spacing w:before="156" w:after="156"/>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s">
            <w:drawing>
              <wp:anchor distT="0" distB="0" distL="113665" distR="113665" simplePos="0" relativeHeight="251661312" behindDoc="0" locked="0" layoutInCell="1" allowOverlap="1">
                <wp:simplePos x="0" y="0"/>
                <wp:positionH relativeFrom="column">
                  <wp:posOffset>417830</wp:posOffset>
                </wp:positionH>
                <wp:positionV relativeFrom="paragraph">
                  <wp:posOffset>66040</wp:posOffset>
                </wp:positionV>
                <wp:extent cx="4391025" cy="1582420"/>
                <wp:effectExtent l="0" t="0" r="0" b="0"/>
                <wp:wrapNone/>
                <wp:docPr id="13" name="矩形 3"/>
                <wp:cNvGraphicFramePr/>
                <a:graphic xmlns:a="http://schemas.openxmlformats.org/drawingml/2006/main">
                  <a:graphicData uri="http://schemas.microsoft.com/office/word/2010/wordprocessingShape">
                    <wps:wsp>
                      <wps:cNvSpPr/>
                      <wps:spPr>
                        <a:xfrm>
                          <a:off x="0" y="0"/>
                          <a:ext cx="4391025" cy="158242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矩形 3" o:spid="_x0000_s1026" o:spt="1" style="position:absolute;left:0pt;margin-left:32.9pt;margin-top:5.2pt;height:124.6pt;width:345.75pt;z-index:251661312;mso-width-relative:page;mso-height-relative:page;" fillcolor="#FFFFFF" filled="t" stroked="t" coordsize="21600,21600" o:gfxdata="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mhHu9gA&#10;AAAJAQAADwAAAAAAAAABACAAAAAiAAAAZHJzL2Rvd25yZXYueG1sUEsBAhQAFAAAAAgAh07iQGKY&#10;xXQfAgAATQQAAA4AAAAAAAAAAQAgAAAAJwEAAGRycy9lMm9Eb2MueG1sUEsFBgAAAAAGAAYAWQEA&#10;ALgFAAAAAA==&#10;">
                <v:fill on="t" focussize="0,0"/>
                <v:stroke color="#000000" joinstyle="miter"/>
                <v:imagedata o:title=""/>
                <o:lock v:ext="edit" aspectratio="f"/>
              </v:rect>
            </w:pict>
          </mc:Fallback>
        </mc:AlternateContent>
      </w:r>
    </w:p>
    <w:p w14:paraId="1B4320C1">
      <w:pPr>
        <w:spacing w:before="156" w:after="156"/>
        <w:rPr>
          <w:rFonts w:hint="eastAsia" w:ascii="宋体" w:hAnsi="宋体" w:eastAsia="宋体" w:cs="宋体"/>
          <w:szCs w:val="21"/>
          <w:highlight w:val="none"/>
        </w:rPr>
      </w:pPr>
    </w:p>
    <w:p w14:paraId="6392F1C8">
      <w:pPr>
        <w:spacing w:before="156" w:after="156"/>
        <w:rPr>
          <w:rFonts w:hint="eastAsia" w:ascii="宋体" w:hAnsi="宋体" w:eastAsia="宋体" w:cs="宋体"/>
          <w:szCs w:val="21"/>
          <w:highlight w:val="none"/>
        </w:rPr>
      </w:pPr>
    </w:p>
    <w:p w14:paraId="6F71D5F7">
      <w:pPr>
        <w:spacing w:before="156" w:after="156"/>
        <w:rPr>
          <w:rFonts w:hint="eastAsia" w:ascii="宋体" w:hAnsi="宋体" w:eastAsia="宋体" w:cs="宋体"/>
          <w:szCs w:val="21"/>
          <w:highlight w:val="none"/>
        </w:rPr>
      </w:pPr>
    </w:p>
    <w:p w14:paraId="32515711">
      <w:pPr>
        <w:ind w:left="960" w:hanging="960" w:hangingChars="400"/>
        <w:rPr>
          <w:rFonts w:hint="eastAsia" w:ascii="宋体" w:hAnsi="宋体" w:eastAsia="宋体" w:cs="宋体"/>
          <w:sz w:val="24"/>
          <w:highlight w:val="none"/>
          <w:u w:val="single"/>
        </w:rPr>
      </w:pPr>
    </w:p>
    <w:p w14:paraId="3E1D4F62">
      <w:pPr>
        <w:ind w:left="960" w:hanging="960" w:hangingChars="400"/>
        <w:rPr>
          <w:rFonts w:hint="eastAsia" w:ascii="宋体" w:hAnsi="宋体" w:eastAsia="宋体" w:cs="宋体"/>
          <w:sz w:val="24"/>
          <w:highlight w:val="none"/>
          <w:u w:val="single"/>
        </w:rPr>
      </w:pPr>
    </w:p>
    <w:p w14:paraId="44841C52">
      <w:pPr>
        <w:jc w:val="center"/>
        <w:rPr>
          <w:rFonts w:hint="eastAsia" w:ascii="宋体" w:hAnsi="宋体" w:eastAsia="宋体" w:cs="宋体"/>
          <w:b/>
          <w:szCs w:val="21"/>
          <w:highlight w:val="none"/>
        </w:rPr>
      </w:pPr>
    </w:p>
    <w:p w14:paraId="6ABB3D7B">
      <w:pPr>
        <w:jc w:val="center"/>
        <w:rPr>
          <w:rFonts w:hint="eastAsia" w:ascii="宋体" w:hAnsi="宋体" w:eastAsia="宋体" w:cs="宋体"/>
          <w:b/>
          <w:szCs w:val="21"/>
          <w:highlight w:val="none"/>
        </w:rPr>
      </w:pPr>
    </w:p>
    <w:p w14:paraId="27D3C5D3">
      <w:pPr>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 xml:space="preserve"> (五)</w:t>
      </w:r>
      <w:r>
        <w:rPr>
          <w:rFonts w:hint="eastAsia" w:ascii="宋体" w:hAnsi="宋体" w:eastAsia="宋体" w:cs="宋体"/>
          <w:b/>
          <w:sz w:val="28"/>
          <w:szCs w:val="28"/>
          <w:highlight w:val="none"/>
        </w:rPr>
        <w:t xml:space="preserve"> </w:t>
      </w:r>
      <w:r>
        <w:rPr>
          <w:rFonts w:hint="eastAsia" w:ascii="宋体" w:hAnsi="宋体" w:eastAsia="宋体" w:cs="宋体"/>
          <w:bCs/>
          <w:sz w:val="28"/>
          <w:szCs w:val="28"/>
          <w:highlight w:val="none"/>
        </w:rPr>
        <w:t>近年财务状况表</w:t>
      </w:r>
    </w:p>
    <w:p w14:paraId="170630C7">
      <w:pPr>
        <w:spacing w:line="440" w:lineRule="exact"/>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shd w:val="clear" w:color="auto" w:fill="FFFFFF"/>
        </w:rPr>
        <w:t>提供近</w:t>
      </w:r>
      <w:r>
        <w:rPr>
          <w:rFonts w:hint="eastAsia" w:ascii="宋体" w:hAnsi="宋体" w:eastAsia="宋体" w:cs="宋体"/>
          <w:sz w:val="24"/>
          <w:szCs w:val="24"/>
          <w:highlight w:val="none"/>
          <w:shd w:val="clear" w:color="auto" w:fill="FFFFFF"/>
          <w:lang w:eastAsia="zh-CN"/>
        </w:rPr>
        <w:t>一</w:t>
      </w:r>
      <w:r>
        <w:rPr>
          <w:rFonts w:hint="eastAsia" w:ascii="宋体" w:hAnsi="宋体" w:eastAsia="宋体" w:cs="宋体"/>
          <w:sz w:val="24"/>
          <w:szCs w:val="24"/>
          <w:highlight w:val="none"/>
          <w:shd w:val="clear" w:color="auto" w:fill="FFFFFF"/>
        </w:rPr>
        <w:t>年（20</w:t>
      </w:r>
      <w:r>
        <w:rPr>
          <w:rFonts w:hint="eastAsia" w:ascii="宋体" w:hAnsi="宋体" w:eastAsia="宋体" w:cs="宋体"/>
          <w:sz w:val="24"/>
          <w:szCs w:val="24"/>
          <w:highlight w:val="none"/>
          <w:shd w:val="clear" w:color="auto" w:fill="FFFFFF"/>
          <w:lang w:val="en-US" w:eastAsia="zh-CN"/>
        </w:rPr>
        <w:t>23</w:t>
      </w:r>
      <w:r>
        <w:rPr>
          <w:rFonts w:hint="eastAsia" w:ascii="宋体" w:hAnsi="宋体" w:eastAsia="宋体" w:cs="宋体"/>
          <w:sz w:val="24"/>
          <w:szCs w:val="24"/>
          <w:highlight w:val="none"/>
          <w:shd w:val="clear" w:color="auto" w:fill="FFFFFF"/>
        </w:rPr>
        <w:t>年度）具有经会计师事务所或审计机构审计的财务审计报告。（若投标人为20</w:t>
      </w:r>
      <w:r>
        <w:rPr>
          <w:rFonts w:hint="eastAsia" w:ascii="宋体" w:hAnsi="宋体" w:eastAsia="宋体" w:cs="宋体"/>
          <w:sz w:val="24"/>
          <w:szCs w:val="24"/>
          <w:highlight w:val="none"/>
          <w:shd w:val="clear" w:color="auto" w:fill="FFFFFF"/>
          <w:lang w:val="en-US" w:eastAsia="zh-CN"/>
        </w:rPr>
        <w:t>24</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shd w:val="clear" w:color="auto" w:fill="FFFFFF"/>
          <w:lang w:val="en-US" w:eastAsia="zh-CN"/>
        </w:rPr>
        <w:t>1</w:t>
      </w:r>
      <w:r>
        <w:rPr>
          <w:rFonts w:hint="eastAsia" w:ascii="宋体" w:hAnsi="宋体" w:eastAsia="宋体" w:cs="宋体"/>
          <w:sz w:val="24"/>
          <w:szCs w:val="24"/>
          <w:highlight w:val="none"/>
          <w:shd w:val="clear" w:color="auto" w:fill="FFFFFF"/>
        </w:rPr>
        <w:t>日以后注册成立的公司，即提供一份企业出具的财务状况良好承诺书）</w:t>
      </w:r>
      <w:r>
        <w:rPr>
          <w:rFonts w:hint="eastAsia" w:ascii="宋体" w:hAnsi="宋体" w:eastAsia="宋体" w:cs="宋体"/>
          <w:sz w:val="24"/>
          <w:szCs w:val="24"/>
          <w:highlight w:val="none"/>
          <w:shd w:val="clear" w:color="auto" w:fill="FFFFFF"/>
          <w:lang w:eastAsia="zh-CN"/>
        </w:rPr>
        <w:t>。</w:t>
      </w:r>
    </w:p>
    <w:p w14:paraId="21627521">
      <w:pPr>
        <w:spacing w:line="440" w:lineRule="exact"/>
        <w:rPr>
          <w:rFonts w:hint="eastAsia" w:ascii="宋体" w:hAnsi="宋体" w:eastAsia="宋体" w:cs="宋体"/>
          <w:sz w:val="24"/>
          <w:szCs w:val="24"/>
          <w:highlight w:val="none"/>
          <w:shd w:val="clear" w:color="auto" w:fill="FFFFFF"/>
          <w:lang w:eastAsia="zh-CN"/>
        </w:rPr>
      </w:pPr>
    </w:p>
    <w:p w14:paraId="4D6DF454">
      <w:pPr>
        <w:spacing w:line="440" w:lineRule="exact"/>
        <w:rPr>
          <w:rFonts w:hint="eastAsia" w:ascii="宋体" w:hAnsi="宋体" w:eastAsia="宋体" w:cs="宋体"/>
          <w:sz w:val="24"/>
          <w:szCs w:val="24"/>
          <w:highlight w:val="none"/>
          <w:shd w:val="clear" w:color="auto" w:fill="FFFFFF"/>
          <w:lang w:eastAsia="zh-CN"/>
        </w:rPr>
      </w:pPr>
    </w:p>
    <w:p w14:paraId="511712E5">
      <w:pPr>
        <w:spacing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shd w:val="clear" w:color="auto" w:fill="FFFFFF"/>
        </w:rPr>
        <w:t>财务状况良好承诺书</w:t>
      </w:r>
      <w:r>
        <w:rPr>
          <w:rFonts w:hint="eastAsia" w:ascii="宋体" w:hAnsi="宋体" w:eastAsia="宋体" w:cs="宋体"/>
          <w:sz w:val="24"/>
          <w:szCs w:val="24"/>
          <w:highlight w:val="none"/>
        </w:rPr>
        <w:t>格式如下：</w:t>
      </w:r>
    </w:p>
    <w:p w14:paraId="16083F8B">
      <w:pPr>
        <w:spacing w:line="440" w:lineRule="exact"/>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shd w:val="clear" w:color="auto" w:fill="FFFFFF"/>
        </w:rPr>
        <w:t>财务状况良好</w:t>
      </w:r>
      <w:r>
        <w:rPr>
          <w:rFonts w:hint="eastAsia" w:ascii="宋体" w:hAnsi="宋体" w:eastAsia="宋体" w:cs="宋体"/>
          <w:sz w:val="24"/>
          <w:szCs w:val="24"/>
          <w:highlight w:val="none"/>
          <w:lang w:val="zh-CN"/>
        </w:rPr>
        <w:t>承诺书</w:t>
      </w:r>
    </w:p>
    <w:p w14:paraId="44AA8A0F">
      <w:pPr>
        <w:spacing w:line="440" w:lineRule="exact"/>
        <w:ind w:firstLine="480" w:firstLineChars="200"/>
        <w:jc w:val="center"/>
        <w:rPr>
          <w:rFonts w:hint="eastAsia" w:ascii="宋体" w:hAnsi="宋体" w:eastAsia="宋体" w:cs="宋体"/>
          <w:sz w:val="24"/>
          <w:szCs w:val="24"/>
          <w:highlight w:val="none"/>
          <w:lang w:val="zh-CN"/>
        </w:rPr>
      </w:pPr>
    </w:p>
    <w:p w14:paraId="10F8CEAD">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致： (采购人）</w:t>
      </w:r>
    </w:p>
    <w:p w14:paraId="1CCF93D5">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我公司承诺</w:t>
      </w:r>
      <w:r>
        <w:rPr>
          <w:rFonts w:hint="eastAsia" w:ascii="宋体" w:hAnsi="宋体" w:eastAsia="宋体" w:cs="宋体"/>
          <w:sz w:val="24"/>
          <w:szCs w:val="24"/>
          <w:highlight w:val="none"/>
        </w:rPr>
        <w:t>自我司成立之日（ 年  月  日）起至今财务状况良好</w:t>
      </w:r>
      <w:r>
        <w:rPr>
          <w:rFonts w:hint="eastAsia" w:ascii="宋体" w:hAnsi="宋体" w:eastAsia="宋体" w:cs="宋体"/>
          <w:sz w:val="24"/>
          <w:szCs w:val="24"/>
          <w:highlight w:val="none"/>
          <w:lang w:val="zh-CN"/>
        </w:rPr>
        <w:t>。</w:t>
      </w:r>
    </w:p>
    <w:p w14:paraId="339EC6E2">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特此承诺。</w:t>
      </w:r>
    </w:p>
    <w:p w14:paraId="4CD68703">
      <w:pPr>
        <w:spacing w:line="440" w:lineRule="exact"/>
        <w:ind w:firstLine="480" w:firstLineChars="200"/>
        <w:rPr>
          <w:rFonts w:hint="eastAsia" w:ascii="宋体" w:hAnsi="宋体" w:eastAsia="宋体" w:cs="宋体"/>
          <w:sz w:val="24"/>
          <w:szCs w:val="24"/>
          <w:highlight w:val="none"/>
          <w:lang w:val="zh-CN"/>
        </w:rPr>
      </w:pPr>
    </w:p>
    <w:p w14:paraId="2BDC3855">
      <w:pPr>
        <w:spacing w:line="440" w:lineRule="exact"/>
        <w:ind w:firstLine="480" w:firstLineChars="200"/>
        <w:rPr>
          <w:rFonts w:hint="eastAsia" w:ascii="宋体" w:hAnsi="宋体" w:eastAsia="宋体" w:cs="宋体"/>
          <w:sz w:val="24"/>
          <w:szCs w:val="24"/>
          <w:highlight w:val="none"/>
          <w:lang w:val="zh-CN"/>
        </w:rPr>
      </w:pPr>
    </w:p>
    <w:p w14:paraId="0660CB72">
      <w:pPr>
        <w:spacing w:line="440" w:lineRule="exact"/>
        <w:ind w:firstLine="480" w:firstLineChars="200"/>
        <w:rPr>
          <w:rFonts w:hint="eastAsia" w:ascii="宋体" w:hAnsi="宋体" w:eastAsia="宋体" w:cs="宋体"/>
          <w:sz w:val="24"/>
          <w:szCs w:val="24"/>
          <w:highlight w:val="none"/>
          <w:lang w:val="zh-CN"/>
        </w:rPr>
      </w:pPr>
    </w:p>
    <w:p w14:paraId="53767674">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投标人：                             （盖单位章）</w:t>
      </w:r>
    </w:p>
    <w:p w14:paraId="1E150403">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               （签字或盖章）</w:t>
      </w:r>
    </w:p>
    <w:p w14:paraId="4DDA0533">
      <w:pPr>
        <w:spacing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年        月        日</w:t>
      </w:r>
    </w:p>
    <w:p w14:paraId="177E7320">
      <w:pPr>
        <w:spacing w:line="440" w:lineRule="exact"/>
        <w:ind w:firstLine="480" w:firstLineChars="200"/>
        <w:rPr>
          <w:rFonts w:hint="eastAsia" w:ascii="宋体" w:hAnsi="宋体" w:eastAsia="宋体" w:cs="宋体"/>
          <w:sz w:val="24"/>
          <w:szCs w:val="24"/>
          <w:highlight w:val="none"/>
        </w:rPr>
      </w:pPr>
    </w:p>
    <w:p w14:paraId="28ED0501">
      <w:pPr>
        <w:spacing w:line="440" w:lineRule="exact"/>
        <w:ind w:firstLine="480" w:firstLineChars="200"/>
        <w:rPr>
          <w:rFonts w:hint="eastAsia" w:ascii="宋体" w:hAnsi="宋体" w:eastAsia="宋体" w:cs="宋体"/>
          <w:sz w:val="24"/>
          <w:szCs w:val="24"/>
          <w:highlight w:val="none"/>
        </w:rPr>
      </w:pPr>
    </w:p>
    <w:p w14:paraId="119EB8BB">
      <w:pPr>
        <w:spacing w:line="440" w:lineRule="exact"/>
        <w:ind w:firstLine="480" w:firstLineChars="200"/>
        <w:rPr>
          <w:rFonts w:hint="eastAsia" w:ascii="宋体" w:hAnsi="宋体" w:eastAsia="宋体" w:cs="宋体"/>
          <w:sz w:val="24"/>
          <w:szCs w:val="24"/>
          <w:highlight w:val="none"/>
        </w:rPr>
      </w:pPr>
    </w:p>
    <w:p w14:paraId="66F0788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注：本承诺书仅适用</w:t>
      </w:r>
      <w:r>
        <w:rPr>
          <w:rFonts w:hint="eastAsia" w:ascii="宋体" w:hAnsi="宋体" w:eastAsia="宋体" w:cs="宋体"/>
          <w:b/>
          <w:sz w:val="24"/>
          <w:szCs w:val="24"/>
          <w:highlight w:val="none"/>
          <w:u w:val="single"/>
          <w:lang w:val="en-US" w:eastAsia="zh-CN"/>
        </w:rPr>
        <w:t>2024</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u w:val="singl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u w:val="single"/>
          <w:lang w:val="en-US" w:eastAsia="zh-CN"/>
        </w:rPr>
        <w:t>1</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以后成立的企业。</w:t>
      </w:r>
    </w:p>
    <w:p w14:paraId="33F8F1E2">
      <w:pPr>
        <w:widowControl w:val="0"/>
        <w:spacing w:after="120" w:line="440" w:lineRule="exact"/>
        <w:ind w:firstLine="480"/>
        <w:jc w:val="center"/>
        <w:rPr>
          <w:rFonts w:hint="eastAsia" w:ascii="宋体" w:hAnsi="宋体" w:eastAsia="宋体" w:cs="宋体"/>
          <w:kern w:val="2"/>
          <w:sz w:val="24"/>
          <w:szCs w:val="24"/>
          <w:highlight w:val="none"/>
        </w:rPr>
      </w:pPr>
      <w:r>
        <w:rPr>
          <w:rFonts w:hint="eastAsia" w:ascii="宋体" w:hAnsi="宋体" w:eastAsia="宋体" w:cs="宋体"/>
          <w:kern w:val="2"/>
          <w:sz w:val="21"/>
          <w:szCs w:val="21"/>
          <w:highlight w:val="none"/>
        </w:rPr>
        <w:br w:type="page"/>
      </w:r>
      <w:r>
        <w:rPr>
          <w:rFonts w:hint="eastAsia" w:ascii="宋体" w:hAnsi="宋体" w:eastAsia="宋体" w:cs="宋体"/>
          <w:bCs/>
          <w:kern w:val="2"/>
          <w:sz w:val="28"/>
          <w:szCs w:val="28"/>
          <w:highlight w:val="none"/>
        </w:rPr>
        <w:t>（六）依法缴纳税收和社会保障资金的良好记录</w:t>
      </w:r>
    </w:p>
    <w:p w14:paraId="7A0B02DE">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r>
        <w:rPr>
          <w:rFonts w:hint="eastAsia" w:ascii="宋体" w:hAnsi="宋体" w:eastAsia="宋体" w:cs="宋体"/>
          <w:bCs/>
          <w:kern w:val="2"/>
          <w:sz w:val="24"/>
          <w:szCs w:val="24"/>
          <w:highlight w:val="none"/>
        </w:rPr>
        <w:t>依法缴纳税收</w:t>
      </w:r>
      <w:r>
        <w:rPr>
          <w:rFonts w:hint="eastAsia" w:ascii="宋体" w:hAnsi="宋体" w:eastAsia="宋体" w:cs="宋体"/>
          <w:bCs/>
          <w:kern w:val="2"/>
          <w:sz w:val="24"/>
          <w:szCs w:val="24"/>
          <w:highlight w:val="none"/>
          <w:lang w:eastAsia="zh-CN"/>
        </w:rPr>
        <w:t>的</w:t>
      </w:r>
      <w:r>
        <w:rPr>
          <w:rFonts w:hint="eastAsia" w:ascii="宋体" w:hAnsi="宋体" w:eastAsia="宋体" w:cs="宋体"/>
          <w:bCs/>
          <w:kern w:val="2"/>
          <w:sz w:val="24"/>
          <w:szCs w:val="24"/>
          <w:highlight w:val="none"/>
        </w:rPr>
        <w:t>记录</w:t>
      </w:r>
    </w:p>
    <w:p w14:paraId="7EC91AA8">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应提供近</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年任意一个月依法纳税</w:t>
      </w:r>
      <w:r>
        <w:rPr>
          <w:rFonts w:hint="eastAsia" w:ascii="宋体" w:hAnsi="宋体" w:eastAsia="宋体" w:cs="宋体"/>
          <w:sz w:val="24"/>
          <w:szCs w:val="24"/>
          <w:highlight w:val="none"/>
          <w:shd w:val="clear" w:color="auto" w:fill="FFFFFF"/>
        </w:rPr>
        <w:t>的相关材料</w:t>
      </w:r>
      <w:r>
        <w:rPr>
          <w:rFonts w:hint="eastAsia" w:ascii="宋体" w:hAnsi="宋体" w:eastAsia="宋体" w:cs="宋体"/>
          <w:sz w:val="24"/>
          <w:szCs w:val="24"/>
          <w:highlight w:val="none"/>
        </w:rPr>
        <w:t>（银行出具的缴税凭证或税务机关出具的证明的复印件，并加盖本单位公章）。</w:t>
      </w:r>
    </w:p>
    <w:p w14:paraId="54C945D2">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2、依法免税的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，应提供相应文件证明其依法免税。</w:t>
      </w:r>
      <w:bookmarkStart w:id="104" w:name="_Toc16271"/>
      <w:bookmarkStart w:id="105" w:name="_Toc2794"/>
      <w:bookmarkStart w:id="106" w:name="_Toc532560555"/>
    </w:p>
    <w:p w14:paraId="32660F46">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bookmarkStart w:id="107" w:name="_Toc7021491"/>
      <w:bookmarkStart w:id="108" w:name="_Toc8555"/>
    </w:p>
    <w:p w14:paraId="53297EF5">
      <w:pPr>
        <w:pStyle w:val="26"/>
        <w:rPr>
          <w:rFonts w:hint="eastAsia" w:ascii="宋体" w:hAnsi="宋体" w:eastAsia="宋体" w:cs="宋体"/>
          <w:sz w:val="24"/>
          <w:szCs w:val="24"/>
          <w:highlight w:val="none"/>
        </w:rPr>
      </w:pPr>
    </w:p>
    <w:p w14:paraId="5403FCC9">
      <w:pPr>
        <w:pStyle w:val="26"/>
        <w:rPr>
          <w:rFonts w:hint="eastAsia" w:ascii="宋体" w:hAnsi="宋体" w:eastAsia="宋体" w:cs="宋体"/>
          <w:sz w:val="24"/>
          <w:szCs w:val="24"/>
          <w:highlight w:val="none"/>
        </w:rPr>
      </w:pPr>
    </w:p>
    <w:p w14:paraId="5D624F28">
      <w:pPr>
        <w:pStyle w:val="26"/>
        <w:rPr>
          <w:rFonts w:hint="eastAsia" w:ascii="宋体" w:hAnsi="宋体" w:eastAsia="宋体" w:cs="宋体"/>
          <w:sz w:val="24"/>
          <w:szCs w:val="24"/>
          <w:highlight w:val="none"/>
        </w:rPr>
      </w:pPr>
    </w:p>
    <w:bookmarkEnd w:id="104"/>
    <w:bookmarkEnd w:id="105"/>
    <w:bookmarkEnd w:id="106"/>
    <w:bookmarkEnd w:id="107"/>
    <w:bookmarkEnd w:id="108"/>
    <w:p w14:paraId="49653007">
      <w:pPr>
        <w:tabs>
          <w:tab w:val="left" w:pos="993"/>
          <w:tab w:val="left" w:pos="1030"/>
          <w:tab w:val="left" w:pos="8364"/>
        </w:tabs>
        <w:snapToGrid w:val="0"/>
        <w:spacing w:after="156"/>
        <w:ind w:right="-54" w:rightChars="-27"/>
        <w:jc w:val="center"/>
        <w:rPr>
          <w:rFonts w:hint="eastAsia" w:ascii="宋体" w:hAnsi="宋体" w:eastAsia="宋体" w:cs="宋体"/>
          <w:sz w:val="24"/>
          <w:szCs w:val="24"/>
          <w:highlight w:val="none"/>
        </w:rPr>
      </w:pPr>
      <w:r>
        <w:rPr>
          <w:rFonts w:hint="eastAsia" w:ascii="宋体" w:hAnsi="宋体" w:eastAsia="宋体" w:cs="宋体"/>
          <w:bCs/>
          <w:kern w:val="2"/>
          <w:sz w:val="24"/>
          <w:szCs w:val="24"/>
          <w:highlight w:val="none"/>
        </w:rPr>
        <w:t>依法缴纳</w:t>
      </w:r>
      <w:r>
        <w:rPr>
          <w:rFonts w:hint="eastAsia" w:ascii="宋体" w:hAnsi="宋体" w:eastAsia="宋体" w:cs="宋体"/>
          <w:bCs/>
          <w:kern w:val="2"/>
          <w:sz w:val="24"/>
          <w:szCs w:val="24"/>
          <w:highlight w:val="none"/>
          <w:lang w:eastAsia="zh-CN"/>
        </w:rPr>
        <w:t>社保的</w:t>
      </w:r>
      <w:r>
        <w:rPr>
          <w:rFonts w:hint="eastAsia" w:ascii="宋体" w:hAnsi="宋体" w:eastAsia="宋体" w:cs="宋体"/>
          <w:bCs/>
          <w:kern w:val="2"/>
          <w:sz w:val="24"/>
          <w:szCs w:val="24"/>
          <w:highlight w:val="none"/>
        </w:rPr>
        <w:t>记录</w:t>
      </w:r>
    </w:p>
    <w:p w14:paraId="0DC41545">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应提供近</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年任意一个月的</w:t>
      </w:r>
      <w:r>
        <w:rPr>
          <w:rFonts w:hint="eastAsia" w:ascii="宋体" w:hAnsi="宋体" w:eastAsia="宋体" w:cs="宋体"/>
          <w:sz w:val="24"/>
          <w:szCs w:val="24"/>
          <w:highlight w:val="none"/>
          <w:lang w:eastAsia="zh-CN"/>
        </w:rPr>
        <w:t>依法缴纳</w:t>
      </w:r>
      <w:r>
        <w:rPr>
          <w:rFonts w:hint="eastAsia" w:ascii="宋体" w:hAnsi="宋体" w:eastAsia="宋体" w:cs="宋体"/>
          <w:sz w:val="24"/>
          <w:szCs w:val="24"/>
          <w:highlight w:val="none"/>
          <w:shd w:val="clear" w:color="auto" w:fill="FFFFFF"/>
        </w:rPr>
        <w:t>社保的相关材料</w:t>
      </w:r>
      <w:r>
        <w:rPr>
          <w:rFonts w:hint="eastAsia" w:ascii="宋体" w:hAnsi="宋体" w:eastAsia="宋体" w:cs="宋体"/>
          <w:sz w:val="24"/>
          <w:szCs w:val="24"/>
          <w:highlight w:val="none"/>
        </w:rPr>
        <w:t>（专用收据或社会保险缴纳清单），并加盖本单位公章。</w:t>
      </w:r>
    </w:p>
    <w:p w14:paraId="0DBCF3D2">
      <w:pPr>
        <w:tabs>
          <w:tab w:val="left" w:pos="993"/>
          <w:tab w:val="left" w:pos="1030"/>
          <w:tab w:val="left" w:pos="8364"/>
        </w:tabs>
        <w:snapToGrid w:val="0"/>
        <w:spacing w:after="156"/>
        <w:ind w:right="-54"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2、不需要缴纳社会保障资金的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，应提供相应文件证明其不需要缴纳社会保障资金。</w:t>
      </w:r>
    </w:p>
    <w:p w14:paraId="570C245F">
      <w:pPr>
        <w:spacing w:line="480" w:lineRule="auto"/>
        <w:rPr>
          <w:rFonts w:hint="eastAsia" w:ascii="宋体" w:hAnsi="宋体" w:eastAsia="宋体" w:cs="宋体"/>
          <w:sz w:val="24"/>
          <w:szCs w:val="24"/>
          <w:highlight w:val="none"/>
        </w:rPr>
      </w:pPr>
    </w:p>
    <w:p w14:paraId="7885092F">
      <w:pPr>
        <w:spacing w:before="312" w:line="440" w:lineRule="exact"/>
        <w:jc w:val="center"/>
        <w:rPr>
          <w:rFonts w:hint="eastAsia" w:ascii="宋体" w:hAnsi="宋体" w:eastAsia="宋体" w:cs="宋体"/>
          <w:sz w:val="24"/>
          <w:szCs w:val="24"/>
          <w:highlight w:val="none"/>
        </w:rPr>
      </w:pPr>
    </w:p>
    <w:p w14:paraId="39EA87B2">
      <w:pPr>
        <w:spacing w:before="312" w:line="440" w:lineRule="exact"/>
        <w:jc w:val="center"/>
        <w:rPr>
          <w:rFonts w:hint="eastAsia" w:ascii="宋体" w:hAnsi="宋体" w:eastAsia="宋体" w:cs="宋体"/>
          <w:sz w:val="24"/>
          <w:highlight w:val="none"/>
        </w:rPr>
      </w:pPr>
    </w:p>
    <w:p w14:paraId="059DC049">
      <w:pPr>
        <w:spacing w:before="312" w:line="440" w:lineRule="exact"/>
        <w:jc w:val="center"/>
        <w:rPr>
          <w:rFonts w:hint="eastAsia" w:ascii="宋体" w:hAnsi="宋体" w:eastAsia="宋体" w:cs="宋体"/>
          <w:sz w:val="24"/>
          <w:highlight w:val="none"/>
        </w:rPr>
      </w:pPr>
    </w:p>
    <w:p w14:paraId="3594B537">
      <w:pPr>
        <w:spacing w:before="312" w:line="440" w:lineRule="exact"/>
        <w:jc w:val="center"/>
        <w:rPr>
          <w:rFonts w:hint="eastAsia" w:ascii="宋体" w:hAnsi="宋体" w:eastAsia="宋体" w:cs="宋体"/>
          <w:sz w:val="24"/>
          <w:highlight w:val="none"/>
        </w:rPr>
      </w:pPr>
    </w:p>
    <w:p w14:paraId="7FB6123A">
      <w:pPr>
        <w:spacing w:before="312" w:line="440" w:lineRule="exact"/>
        <w:jc w:val="center"/>
        <w:rPr>
          <w:rFonts w:hint="eastAsia" w:ascii="宋体" w:hAnsi="宋体" w:eastAsia="宋体" w:cs="宋体"/>
          <w:sz w:val="24"/>
          <w:highlight w:val="none"/>
        </w:rPr>
      </w:pPr>
    </w:p>
    <w:p w14:paraId="11A6A99F">
      <w:pPr>
        <w:spacing w:before="312" w:line="440" w:lineRule="exact"/>
        <w:jc w:val="center"/>
        <w:rPr>
          <w:rFonts w:hint="eastAsia" w:ascii="宋体" w:hAnsi="宋体" w:eastAsia="宋体" w:cs="宋体"/>
          <w:sz w:val="24"/>
          <w:highlight w:val="none"/>
        </w:rPr>
      </w:pPr>
    </w:p>
    <w:p w14:paraId="0B1D6BB5">
      <w:pPr>
        <w:spacing w:before="312" w:line="440" w:lineRule="exact"/>
        <w:jc w:val="center"/>
        <w:rPr>
          <w:rFonts w:hint="eastAsia" w:ascii="宋体" w:hAnsi="宋体" w:eastAsia="宋体" w:cs="宋体"/>
          <w:sz w:val="24"/>
          <w:highlight w:val="none"/>
        </w:rPr>
      </w:pPr>
    </w:p>
    <w:p w14:paraId="1FBCF289">
      <w:pPr>
        <w:spacing w:before="312" w:line="440" w:lineRule="exact"/>
        <w:jc w:val="center"/>
        <w:rPr>
          <w:rFonts w:hint="eastAsia" w:ascii="宋体" w:hAnsi="宋体" w:eastAsia="宋体" w:cs="宋体"/>
          <w:sz w:val="24"/>
          <w:highlight w:val="none"/>
        </w:rPr>
      </w:pPr>
    </w:p>
    <w:p w14:paraId="7D4016E0">
      <w:pPr>
        <w:spacing w:before="312" w:line="440" w:lineRule="exact"/>
        <w:jc w:val="center"/>
        <w:rPr>
          <w:rFonts w:hint="eastAsia" w:ascii="宋体" w:hAnsi="宋体" w:eastAsia="宋体" w:cs="宋体"/>
          <w:sz w:val="24"/>
          <w:highlight w:val="none"/>
        </w:rPr>
      </w:pPr>
      <w:r>
        <w:rPr>
          <w:rFonts w:hint="eastAsia" w:ascii="宋体" w:hAnsi="宋体" w:eastAsia="宋体" w:cs="宋体"/>
          <w:sz w:val="24"/>
          <w:highlight w:val="none"/>
        </w:rPr>
        <w:br w:type="page"/>
      </w:r>
    </w:p>
    <w:p w14:paraId="41E6D105">
      <w:pPr>
        <w:spacing w:before="312"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（七）信誉要求</w:t>
      </w:r>
    </w:p>
    <w:p w14:paraId="7EE6AC94">
      <w:pPr>
        <w:rPr>
          <w:rFonts w:hint="eastAsia" w:ascii="宋体" w:hAnsi="宋体" w:eastAsia="宋体" w:cs="宋体"/>
          <w:sz w:val="24"/>
          <w:highlight w:val="none"/>
        </w:rPr>
      </w:pPr>
    </w:p>
    <w:p w14:paraId="3221E56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shd w:val="clear" w:color="auto" w:fill="FFFFFF"/>
        </w:rPr>
        <w:t>格式自拟</w:t>
      </w:r>
      <w:r>
        <w:rPr>
          <w:rFonts w:hint="eastAsia" w:ascii="宋体" w:hAnsi="宋体" w:eastAsia="宋体" w:cs="宋体"/>
          <w:sz w:val="24"/>
          <w:szCs w:val="24"/>
          <w:highlight w:val="none"/>
          <w:shd w:val="clear" w:color="auto" w:fill="FFFFFF"/>
          <w:lang w:eastAsia="zh-CN"/>
        </w:rPr>
        <w:t>）</w:t>
      </w:r>
    </w:p>
    <w:p w14:paraId="6D8C07F5">
      <w:pPr>
        <w:jc w:val="center"/>
        <w:rPr>
          <w:rFonts w:hint="eastAsia" w:ascii="宋体" w:hAnsi="宋体" w:eastAsia="宋体" w:cs="宋体"/>
          <w:sz w:val="24"/>
          <w:szCs w:val="24"/>
          <w:highlight w:val="none"/>
        </w:rPr>
      </w:pPr>
    </w:p>
    <w:p w14:paraId="03159B96">
      <w:pPr>
        <w:jc w:val="center"/>
        <w:rPr>
          <w:rFonts w:hint="eastAsia" w:ascii="宋体" w:hAnsi="宋体" w:eastAsia="宋体" w:cs="宋体"/>
          <w:b/>
          <w:sz w:val="24"/>
          <w:szCs w:val="24"/>
          <w:highlight w:val="none"/>
        </w:rPr>
      </w:pPr>
    </w:p>
    <w:p w14:paraId="672722B0">
      <w:pPr>
        <w:spacing w:line="360" w:lineRule="auto"/>
        <w:ind w:firstLine="480" w:firstLineChars="200"/>
        <w:rPr>
          <w:rFonts w:hint="eastAsia" w:ascii="宋体" w:hAnsi="宋体" w:eastAsia="宋体" w:cs="宋体"/>
          <w:bCs/>
          <w:sz w:val="24"/>
          <w:szCs w:val="24"/>
          <w:highlight w:val="none"/>
        </w:rPr>
      </w:pPr>
    </w:p>
    <w:p w14:paraId="09B4CB85">
      <w:pPr>
        <w:spacing w:line="360" w:lineRule="auto"/>
        <w:ind w:firstLine="480" w:firstLineChars="200"/>
        <w:rPr>
          <w:rFonts w:hint="eastAsia" w:ascii="宋体" w:hAnsi="宋体" w:eastAsia="宋体" w:cs="宋体"/>
          <w:bCs/>
          <w:sz w:val="24"/>
          <w:szCs w:val="24"/>
          <w:highlight w:val="none"/>
        </w:rPr>
      </w:pPr>
    </w:p>
    <w:p w14:paraId="47EC6B19">
      <w:pPr>
        <w:spacing w:line="480" w:lineRule="auto"/>
        <w:rPr>
          <w:rFonts w:hint="eastAsia" w:ascii="宋体" w:hAnsi="宋体" w:eastAsia="宋体" w:cs="宋体"/>
          <w:sz w:val="24"/>
          <w:szCs w:val="24"/>
          <w:highlight w:val="none"/>
        </w:rPr>
        <w:sectPr>
          <w:footerReference r:id="rId3" w:type="default"/>
          <w:pgSz w:w="11906" w:h="16838"/>
          <w:pgMar w:top="1440" w:right="1800" w:bottom="1440" w:left="1800" w:header="850" w:footer="850" w:gutter="0"/>
          <w:cols w:space="720" w:num="1"/>
          <w:titlePg/>
          <w:docGrid w:linePitch="312" w:charSpace="0"/>
        </w:sectPr>
      </w:pPr>
    </w:p>
    <w:p w14:paraId="269179E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信誉承诺书</w:t>
      </w:r>
    </w:p>
    <w:p w14:paraId="7EB6372C">
      <w:pPr>
        <w:jc w:val="center"/>
        <w:rPr>
          <w:rFonts w:hint="eastAsia" w:ascii="宋体" w:hAnsi="宋体" w:eastAsia="宋体" w:cs="宋体"/>
          <w:b/>
          <w:sz w:val="24"/>
          <w:szCs w:val="24"/>
          <w:highlight w:val="none"/>
        </w:rPr>
      </w:pPr>
    </w:p>
    <w:p w14:paraId="3CD81816">
      <w:pPr>
        <w:jc w:val="center"/>
        <w:rPr>
          <w:rFonts w:hint="eastAsia" w:ascii="宋体" w:hAnsi="宋体" w:eastAsia="宋体" w:cs="宋体"/>
          <w:b/>
          <w:sz w:val="24"/>
          <w:szCs w:val="24"/>
          <w:highlight w:val="none"/>
        </w:rPr>
      </w:pPr>
    </w:p>
    <w:p w14:paraId="796630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表我司对本项目的诚意，我司承诺如我单位中标，我单位将配合采购人要求提供投标文件中提及的所有资料（如：业绩等）及资格审查文件中要求的资料（如营业执照等）等原件供采购人核实审查，如发现提供的资料虚假资料的，采购人有权取消我司中标资格，由此对采购人造成的一切损失由我司承担。</w:t>
      </w:r>
    </w:p>
    <w:p w14:paraId="72A717C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4D0B938E">
      <w:pPr>
        <w:wordWrap w:val="0"/>
        <w:spacing w:line="360" w:lineRule="auto"/>
        <w:ind w:right="480"/>
        <w:rPr>
          <w:rFonts w:hint="eastAsia" w:ascii="宋体" w:hAnsi="宋体" w:eastAsia="宋体" w:cs="宋体"/>
          <w:sz w:val="24"/>
          <w:szCs w:val="24"/>
          <w:highlight w:val="none"/>
        </w:rPr>
      </w:pPr>
    </w:p>
    <w:p w14:paraId="5FEE0ECA">
      <w:pPr>
        <w:wordWrap w:val="0"/>
        <w:spacing w:line="360" w:lineRule="auto"/>
        <w:ind w:right="480"/>
        <w:rPr>
          <w:rFonts w:hint="eastAsia" w:ascii="宋体" w:hAnsi="宋体" w:eastAsia="宋体" w:cs="宋体"/>
          <w:sz w:val="24"/>
          <w:szCs w:val="24"/>
          <w:highlight w:val="none"/>
        </w:rPr>
      </w:pPr>
    </w:p>
    <w:p w14:paraId="747FDC2E">
      <w:pPr>
        <w:wordWrap w:val="0"/>
        <w:spacing w:line="360" w:lineRule="auto"/>
        <w:ind w:right="480"/>
        <w:rPr>
          <w:rFonts w:hint="eastAsia" w:ascii="宋体" w:hAnsi="宋体" w:eastAsia="宋体" w:cs="宋体"/>
          <w:sz w:val="24"/>
          <w:szCs w:val="24"/>
          <w:highlight w:val="none"/>
        </w:rPr>
      </w:pPr>
    </w:p>
    <w:p w14:paraId="35E88670">
      <w:pPr>
        <w:wordWrap w:val="0"/>
        <w:spacing w:line="360" w:lineRule="auto"/>
        <w:ind w:right="480"/>
        <w:rPr>
          <w:rFonts w:hint="eastAsia" w:ascii="宋体" w:hAnsi="宋体" w:eastAsia="宋体" w:cs="宋体"/>
          <w:sz w:val="24"/>
          <w:szCs w:val="24"/>
          <w:highlight w:val="none"/>
        </w:rPr>
      </w:pPr>
    </w:p>
    <w:p w14:paraId="6669C770">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（盖单位公章）：</w:t>
      </w:r>
    </w:p>
    <w:p w14:paraId="75794322">
      <w:pPr>
        <w:spacing w:line="480" w:lineRule="auto"/>
        <w:ind w:left="1050" w:hanging="1200" w:hangingChars="500"/>
        <w:jc w:val="center"/>
        <w:rPr>
          <w:rFonts w:hint="eastAsia" w:ascii="宋体" w:hAnsi="宋体" w:eastAsia="宋体" w:cs="宋体"/>
          <w:sz w:val="24"/>
          <w:szCs w:val="24"/>
          <w:highlight w:val="none"/>
        </w:rPr>
      </w:pPr>
    </w:p>
    <w:p w14:paraId="20C2955F">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法定代表人（签字或盖章）：</w:t>
      </w:r>
    </w:p>
    <w:p w14:paraId="7EAD84DC">
      <w:pPr>
        <w:spacing w:line="480" w:lineRule="auto"/>
        <w:ind w:left="1050" w:hanging="1200" w:hangingChars="500"/>
        <w:jc w:val="center"/>
        <w:rPr>
          <w:rFonts w:hint="eastAsia" w:ascii="宋体" w:hAnsi="宋体" w:eastAsia="宋体" w:cs="宋体"/>
          <w:sz w:val="24"/>
          <w:szCs w:val="24"/>
          <w:highlight w:val="none"/>
        </w:rPr>
      </w:pPr>
    </w:p>
    <w:p w14:paraId="14A60C31">
      <w:pPr>
        <w:spacing w:line="480" w:lineRule="auto"/>
        <w:ind w:left="1050" w:hanging="1200" w:hangingChars="5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36DE9843">
      <w:pPr>
        <w:spacing w:line="440" w:lineRule="exact"/>
        <w:rPr>
          <w:rFonts w:hint="eastAsia" w:ascii="宋体" w:hAnsi="宋体" w:eastAsia="宋体" w:cs="宋体"/>
          <w:sz w:val="24"/>
          <w:szCs w:val="24"/>
          <w:highlight w:val="none"/>
        </w:rPr>
      </w:pPr>
    </w:p>
    <w:p w14:paraId="5219788F">
      <w:pPr>
        <w:spacing w:before="120" w:after="120"/>
        <w:rPr>
          <w:rFonts w:hint="eastAsia" w:ascii="宋体" w:hAnsi="宋体" w:eastAsia="宋体" w:cs="宋体"/>
          <w:sz w:val="44"/>
          <w:szCs w:val="44"/>
          <w:highlight w:val="none"/>
        </w:rPr>
      </w:pPr>
    </w:p>
    <w:p w14:paraId="267D4C7B">
      <w:pPr>
        <w:ind w:left="1120" w:hanging="1120" w:hangingChars="400"/>
        <w:jc w:val="center"/>
        <w:rPr>
          <w:rFonts w:hint="eastAsia" w:ascii="宋体" w:hAnsi="宋体" w:eastAsia="宋体" w:cs="宋体"/>
          <w:sz w:val="28"/>
          <w:szCs w:val="28"/>
          <w:highlight w:val="none"/>
        </w:rPr>
      </w:pPr>
    </w:p>
    <w:p w14:paraId="4046CB18">
      <w:pPr>
        <w:rPr>
          <w:rFonts w:hint="eastAsia" w:ascii="宋体" w:hAnsi="宋体" w:eastAsia="宋体" w:cs="宋体"/>
          <w:highlight w:val="none"/>
        </w:rPr>
      </w:pPr>
    </w:p>
    <w:p w14:paraId="0C20F7F2">
      <w:pPr>
        <w:pStyle w:val="26"/>
        <w:rPr>
          <w:rFonts w:hint="eastAsia" w:ascii="宋体" w:hAnsi="宋体" w:eastAsia="宋体" w:cs="宋体"/>
          <w:highlight w:val="none"/>
        </w:rPr>
      </w:pPr>
    </w:p>
    <w:p w14:paraId="46F5F39C">
      <w:pPr>
        <w:pStyle w:val="26"/>
        <w:rPr>
          <w:rFonts w:hint="eastAsia" w:ascii="宋体" w:hAnsi="宋体" w:eastAsia="宋体" w:cs="宋体"/>
          <w:highlight w:val="none"/>
        </w:rPr>
      </w:pPr>
    </w:p>
    <w:p w14:paraId="11DEEEF0">
      <w:pPr>
        <w:pStyle w:val="26"/>
        <w:ind w:firstLine="0"/>
        <w:rPr>
          <w:rFonts w:hint="eastAsia" w:ascii="宋体" w:hAnsi="宋体" w:eastAsia="宋体" w:cs="宋体"/>
          <w:highlight w:val="none"/>
        </w:rPr>
      </w:pPr>
    </w:p>
    <w:p w14:paraId="3FCD3A84">
      <w:pPr>
        <w:pStyle w:val="26"/>
        <w:rPr>
          <w:rFonts w:hint="eastAsia" w:ascii="宋体" w:hAnsi="宋体" w:eastAsia="宋体" w:cs="宋体"/>
          <w:highlight w:val="none"/>
        </w:rPr>
      </w:pPr>
    </w:p>
    <w:p w14:paraId="1CB94DCF">
      <w:pPr>
        <w:pStyle w:val="26"/>
        <w:rPr>
          <w:rFonts w:hint="eastAsia" w:ascii="宋体" w:hAnsi="宋体" w:eastAsia="宋体" w:cs="宋体"/>
          <w:highlight w:val="none"/>
        </w:rPr>
      </w:pPr>
    </w:p>
    <w:p w14:paraId="78CB7407">
      <w:pPr>
        <w:pStyle w:val="26"/>
        <w:ind w:firstLine="0"/>
        <w:rPr>
          <w:rFonts w:hint="eastAsia" w:ascii="宋体" w:hAnsi="宋体" w:eastAsia="宋体" w:cs="宋体"/>
          <w:highlight w:val="none"/>
        </w:rPr>
      </w:pPr>
      <w:r>
        <w:rPr>
          <w:rFonts w:hint="eastAsia" w:ascii="宋体" w:hAnsi="宋体" w:eastAsia="宋体" w:cs="宋体"/>
          <w:highlight w:val="none"/>
        </w:rPr>
        <w:br w:type="page"/>
      </w:r>
    </w:p>
    <w:bookmarkEnd w:id="102"/>
    <w:bookmarkEnd w:id="103"/>
    <w:p w14:paraId="0DDFD3DE">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中小企业声明函</w:t>
      </w:r>
    </w:p>
    <w:p w14:paraId="66138E11">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中小企业声明函（工程、服务）</w:t>
      </w:r>
    </w:p>
    <w:p w14:paraId="46966B5A">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14:paraId="5B551840">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（单位名称）</w:t>
      </w:r>
      <w:r>
        <w:rPr>
          <w:rFonts w:hint="eastAsia" w:ascii="宋体" w:hAnsi="宋体" w:eastAsia="宋体" w:cs="宋体"/>
          <w:i w:val="0"/>
          <w:iCs w:val="0"/>
          <w:color w:val="000000"/>
          <w:kern w:val="0"/>
          <w:sz w:val="24"/>
          <w:szCs w:val="24"/>
          <w:lang w:val="en-US" w:eastAsia="zh-CN" w:bidi="ar"/>
        </w:rPr>
        <w:t>的</w:t>
      </w:r>
      <w:r>
        <w:rPr>
          <w:rFonts w:hint="eastAsia" w:ascii="宋体" w:hAnsi="宋体" w:cs="宋体"/>
          <w:i w:val="0"/>
          <w:iCs w:val="0"/>
          <w:color w:val="000000"/>
          <w:kern w:val="0"/>
          <w:sz w:val="24"/>
          <w:szCs w:val="24"/>
          <w:lang w:val="en-US" w:eastAsia="zh-CN" w:bidi="ar"/>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（项目名称）</w:t>
      </w:r>
      <w:r>
        <w:rPr>
          <w:rFonts w:hint="eastAsia" w:ascii="宋体" w:hAnsi="宋体" w:eastAsia="宋体" w:cs="宋体"/>
          <w:i w:val="0"/>
          <w:iCs w:val="0"/>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033C798">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single"/>
          <w:lang w:val="en-US" w:eastAsia="zh-CN" w:bidi="ar"/>
        </w:rPr>
        <w:t xml:space="preserve">           （标的名称）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  （企业名称）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，资产总额为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367E01B8">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single"/>
          <w:lang w:val="en-US" w:eastAsia="zh-CN" w:bidi="ar"/>
        </w:rPr>
        <w:t xml:space="preserve">           （标的名称）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  （企业名称）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人</w:t>
      </w:r>
      <w:r>
        <w:rPr>
          <w:rFonts w:hint="eastAsia" w:ascii="宋体" w:hAnsi="宋体" w:eastAsia="宋体" w:cs="宋体"/>
          <w:i w:val="0"/>
          <w:iCs w:val="0"/>
          <w:color w:val="000000"/>
          <w:kern w:val="0"/>
          <w:sz w:val="24"/>
          <w:szCs w:val="24"/>
          <w:lang w:val="en-US" w:eastAsia="zh-CN" w:bidi="ar"/>
        </w:rPr>
        <w:t>，营业收入为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，资产总额为</w:t>
      </w:r>
      <w:r>
        <w:rPr>
          <w:rFonts w:hint="eastAsia" w:ascii="宋体" w:hAnsi="宋体" w:eastAsia="宋体" w:cs="宋体"/>
          <w:i w:val="0"/>
          <w:iCs w:val="0"/>
          <w:color w:val="000000"/>
          <w:kern w:val="0"/>
          <w:sz w:val="24"/>
          <w:szCs w:val="24"/>
          <w:u w:val="single"/>
          <w:lang w:val="en-US" w:eastAsia="zh-CN" w:bidi="ar"/>
        </w:rPr>
        <w:t xml:space="preserve">     万元</w:t>
      </w: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 xml:space="preserve">   （中型企业、小型企业、微型企业）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046160DC">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412ED0DD">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 </w:t>
      </w:r>
    </w:p>
    <w:p w14:paraId="11B5455D">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132D65F4">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本企业对上述声明内容的真实性负责。如有虚假，将依法承担相应责任。 </w:t>
      </w:r>
    </w:p>
    <w:p w14:paraId="4E6F763F">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7798A765">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7723093B">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企业名称（盖章）： </w:t>
      </w:r>
    </w:p>
    <w:p w14:paraId="2E6FFB67">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kern w:val="0"/>
          <w:sz w:val="24"/>
          <w:szCs w:val="24"/>
          <w:lang w:val="en-US" w:eastAsia="zh-CN" w:bidi="ar"/>
        </w:rPr>
      </w:pPr>
    </w:p>
    <w:p w14:paraId="57F04C45">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日 期： </w:t>
      </w:r>
    </w:p>
    <w:p w14:paraId="779560D1">
      <w:pPr>
        <w:keepNext w:val="0"/>
        <w:keepLines w:val="0"/>
        <w:widowControl/>
        <w:suppressLineNumbers w:val="0"/>
        <w:spacing w:line="360" w:lineRule="auto"/>
        <w:jc w:val="left"/>
        <w:rPr>
          <w:rFonts w:hint="eastAsia" w:ascii="宋体" w:hAnsi="宋体" w:eastAsia="宋体" w:cs="宋体"/>
          <w:i w:val="0"/>
          <w:iCs w:val="0"/>
          <w:color w:val="000000"/>
          <w:kern w:val="0"/>
          <w:sz w:val="24"/>
          <w:szCs w:val="24"/>
          <w:vertAlign w:val="baseline"/>
          <w:lang w:val="en-US" w:eastAsia="zh-CN" w:bidi="ar"/>
        </w:rPr>
      </w:pPr>
    </w:p>
    <w:p w14:paraId="67DB4F1A">
      <w:pPr>
        <w:keepNext w:val="0"/>
        <w:keepLines w:val="0"/>
        <w:widowControl/>
        <w:suppressLineNumbers w:val="0"/>
        <w:spacing w:line="360" w:lineRule="auto"/>
        <w:jc w:val="left"/>
        <w:rPr>
          <w:rFonts w:hint="eastAsia" w:ascii="宋体" w:hAnsi="宋体" w:eastAsia="宋体" w:cs="宋体"/>
          <w:i w:val="0"/>
          <w:iCs w:val="0"/>
          <w:color w:val="000000"/>
          <w:kern w:val="0"/>
          <w:sz w:val="24"/>
          <w:szCs w:val="24"/>
          <w:vertAlign w:val="baseline"/>
          <w:lang w:val="en-US" w:eastAsia="zh-CN" w:bidi="ar"/>
        </w:rPr>
      </w:pPr>
    </w:p>
    <w:p w14:paraId="2E3CA604">
      <w:pPr>
        <w:keepNext w:val="0"/>
        <w:keepLines w:val="0"/>
        <w:widowControl/>
        <w:suppressLineNumbers w:val="0"/>
        <w:spacing w:line="360" w:lineRule="auto"/>
        <w:ind w:firstLine="480" w:firstLineChars="200"/>
        <w:jc w:val="left"/>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vertAlign w:val="baseline"/>
          <w:lang w:val="en-US" w:eastAsia="zh-CN" w:bidi="ar"/>
        </w:rPr>
        <w:t>注：</w:t>
      </w:r>
      <w:r>
        <w:rPr>
          <w:rFonts w:hint="eastAsia" w:ascii="宋体" w:hAnsi="宋体" w:eastAsia="宋体" w:cs="宋体"/>
          <w:i w:val="0"/>
          <w:iCs w:val="0"/>
          <w:color w:val="000000"/>
          <w:kern w:val="0"/>
          <w:sz w:val="24"/>
          <w:szCs w:val="24"/>
          <w:vertAlign w:val="superscript"/>
          <w:lang w:val="en-US" w:eastAsia="zh-CN" w:bidi="ar"/>
        </w:rPr>
        <w:t>1</w:t>
      </w:r>
      <w:r>
        <w:rPr>
          <w:rFonts w:hint="eastAsia" w:ascii="宋体" w:hAnsi="宋体" w:eastAsia="宋体" w:cs="宋体"/>
          <w:i w:val="0"/>
          <w:iCs w:val="0"/>
          <w:color w:val="000000"/>
          <w:kern w:val="0"/>
          <w:sz w:val="24"/>
          <w:szCs w:val="24"/>
          <w:lang w:val="en-US" w:eastAsia="zh-CN" w:bidi="ar"/>
        </w:rPr>
        <w:t>从业人员、营业收入、资产总额填报上一年度数据，无上一年度数据的新成立企业可不填报。</w:t>
      </w:r>
    </w:p>
    <w:bookmarkEnd w:id="0"/>
    <w:p w14:paraId="4DE0B60C">
      <w:pPr>
        <w:spacing w:line="360" w:lineRule="auto"/>
        <w:ind w:firstLine="390"/>
        <w:rPr>
          <w:rFonts w:hint="eastAsia" w:ascii="宋体" w:hAnsi="宋体" w:eastAsia="宋体" w:cs="宋体"/>
          <w:b/>
          <w:sz w:val="24"/>
          <w:szCs w:val="24"/>
          <w:highlight w:val="none"/>
        </w:rPr>
      </w:pPr>
    </w:p>
    <w:p w14:paraId="6105599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98F01E0">
      <w:pPr>
        <w:autoSpaceDN w:val="0"/>
        <w:jc w:val="center"/>
        <w:outlineLvl w:val="2"/>
        <w:rPr>
          <w:rFonts w:hint="eastAsia" w:ascii="宋体" w:hAnsi="宋体" w:eastAsia="宋体" w:cs="宋体"/>
          <w:kern w:val="0"/>
          <w:sz w:val="24"/>
          <w:szCs w:val="24"/>
          <w:highlight w:val="none"/>
          <w:lang w:val="zh-CN"/>
        </w:rPr>
      </w:pPr>
      <w:r>
        <w:rPr>
          <w:rFonts w:hint="eastAsia" w:ascii="宋体" w:hAnsi="宋体" w:eastAsia="宋体" w:cs="宋体"/>
          <w:b/>
          <w:bCs/>
          <w:sz w:val="24"/>
          <w:szCs w:val="24"/>
          <w:highlight w:val="none"/>
          <w:lang w:val="zh-CN"/>
        </w:rPr>
        <w:t>监狱企业证明材料</w:t>
      </w:r>
    </w:p>
    <w:p w14:paraId="35FCDBED">
      <w:pPr>
        <w:autoSpaceDN w:val="0"/>
        <w:jc w:val="center"/>
        <w:rPr>
          <w:rFonts w:hint="eastAsia" w:ascii="宋体" w:hAnsi="宋体" w:eastAsia="宋体" w:cs="宋体"/>
          <w:kern w:val="0"/>
          <w:sz w:val="24"/>
          <w:szCs w:val="24"/>
          <w:highlight w:val="none"/>
          <w:lang w:val="zh-CN"/>
        </w:rPr>
      </w:pPr>
    </w:p>
    <w:p w14:paraId="49BE866B">
      <w:pPr>
        <w:autoSpaceDN w:val="0"/>
        <w:jc w:val="center"/>
        <w:rPr>
          <w:rFonts w:hint="eastAsia" w:ascii="宋体" w:hAnsi="宋体" w:eastAsia="宋体" w:cs="宋体"/>
          <w:kern w:val="0"/>
          <w:sz w:val="24"/>
          <w:szCs w:val="24"/>
          <w:highlight w:val="none"/>
          <w:lang w:val="zh-CN"/>
        </w:rPr>
      </w:pPr>
    </w:p>
    <w:p w14:paraId="6A394876">
      <w:pPr>
        <w:pStyle w:val="5"/>
        <w:rPr>
          <w:rFonts w:hint="eastAsia" w:ascii="宋体" w:hAnsi="宋体" w:eastAsia="宋体" w:cs="宋体"/>
          <w:kern w:val="0"/>
          <w:sz w:val="24"/>
          <w:szCs w:val="24"/>
          <w:highlight w:val="none"/>
          <w:lang w:val="zh-CN"/>
        </w:rPr>
      </w:pPr>
    </w:p>
    <w:p w14:paraId="007573FF">
      <w:pPr>
        <w:rPr>
          <w:rFonts w:hint="eastAsia" w:ascii="宋体" w:hAnsi="宋体" w:eastAsia="宋体" w:cs="宋体"/>
          <w:sz w:val="24"/>
          <w:szCs w:val="24"/>
          <w:highlight w:val="none"/>
          <w:lang w:val="zh-CN"/>
        </w:rPr>
      </w:pPr>
    </w:p>
    <w:p w14:paraId="6DB0425F">
      <w:pPr>
        <w:spacing w:line="360" w:lineRule="auto"/>
        <w:ind w:left="903" w:leftChars="208" w:hanging="487" w:hangingChars="203"/>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7C5EC261">
      <w:pPr>
        <w:spacing w:line="360" w:lineRule="auto"/>
        <w:ind w:firstLine="390"/>
        <w:rPr>
          <w:rFonts w:hint="eastAsia" w:ascii="宋体" w:hAnsi="宋体" w:eastAsia="宋体" w:cs="宋体"/>
          <w:sz w:val="24"/>
          <w:szCs w:val="24"/>
          <w:highlight w:val="none"/>
        </w:rPr>
      </w:pPr>
    </w:p>
    <w:p w14:paraId="0A89B0B5">
      <w:pPr>
        <w:autoSpaceDE w:val="0"/>
        <w:autoSpaceDN w:val="0"/>
        <w:adjustRightInd w:val="0"/>
        <w:spacing w:line="40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DE8EFBE">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p>
    <w:p w14:paraId="708D5C36">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val="zh-CN"/>
        </w:rPr>
        <w:t>若有，后附行政主管部门出具的证明材料原件扫描件。</w:t>
      </w:r>
    </w:p>
    <w:p w14:paraId="6EEAA0F7">
      <w:pPr>
        <w:autoSpaceDE w:val="0"/>
        <w:autoSpaceDN w:val="0"/>
        <w:adjustRightInd w:val="0"/>
        <w:spacing w:line="400" w:lineRule="exact"/>
        <w:ind w:firstLine="981" w:firstLineChars="409"/>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val="zh-CN"/>
        </w:rPr>
        <w:t>服务商为</w:t>
      </w:r>
      <w:r>
        <w:rPr>
          <w:rFonts w:hint="eastAsia" w:ascii="宋体" w:hAnsi="宋体" w:eastAsia="宋体" w:cs="宋体"/>
          <w:bCs/>
          <w:kern w:val="0"/>
          <w:sz w:val="24"/>
          <w:szCs w:val="24"/>
          <w:highlight w:val="none"/>
          <w:lang w:val="en-US" w:eastAsia="zh-CN"/>
        </w:rPr>
        <w:t>非</w:t>
      </w:r>
      <w:r>
        <w:rPr>
          <w:rFonts w:hint="eastAsia" w:ascii="宋体" w:hAnsi="宋体" w:eastAsia="宋体" w:cs="宋体"/>
          <w:bCs/>
          <w:kern w:val="0"/>
          <w:sz w:val="24"/>
          <w:szCs w:val="24"/>
          <w:highlight w:val="none"/>
          <w:lang w:val="zh-CN"/>
        </w:rPr>
        <w:t>监狱企业的，无需</w:t>
      </w:r>
      <w:r>
        <w:rPr>
          <w:rFonts w:hint="eastAsia" w:ascii="宋体" w:hAnsi="宋体" w:eastAsia="宋体" w:cs="宋体"/>
          <w:bCs/>
          <w:kern w:val="0"/>
          <w:sz w:val="24"/>
          <w:szCs w:val="24"/>
          <w:highlight w:val="none"/>
          <w:lang w:val="en-US" w:eastAsia="zh-CN"/>
        </w:rPr>
        <w:t>附</w:t>
      </w:r>
      <w:r>
        <w:rPr>
          <w:rFonts w:hint="eastAsia" w:ascii="宋体" w:hAnsi="宋体" w:eastAsia="宋体" w:cs="宋体"/>
          <w:bCs/>
          <w:kern w:val="0"/>
          <w:sz w:val="24"/>
          <w:szCs w:val="24"/>
          <w:highlight w:val="none"/>
          <w:lang w:val="zh-CN"/>
        </w:rPr>
        <w:t>证明材料。</w:t>
      </w:r>
    </w:p>
    <w:p w14:paraId="1FACDA9C">
      <w:pPr>
        <w:pStyle w:val="5"/>
        <w:rPr>
          <w:rFonts w:hint="eastAsia" w:ascii="宋体" w:hAnsi="宋体" w:eastAsia="宋体" w:cs="宋体"/>
          <w:sz w:val="24"/>
          <w:szCs w:val="24"/>
          <w:highlight w:val="none"/>
          <w:lang w:val="zh-CN"/>
        </w:rPr>
      </w:pPr>
    </w:p>
    <w:p w14:paraId="0A9CDA3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4F1E0D4">
      <w:pPr>
        <w:spacing w:line="360" w:lineRule="auto"/>
        <w:ind w:firstLine="241" w:firstLineChars="100"/>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残疾人福利性单位声明函</w:t>
      </w:r>
    </w:p>
    <w:p w14:paraId="13F2A5EE">
      <w:pPr>
        <w:pStyle w:val="52"/>
        <w:rPr>
          <w:rFonts w:hint="eastAsia" w:ascii="宋体" w:hAnsi="宋体" w:eastAsia="宋体" w:cs="宋体"/>
          <w:sz w:val="24"/>
          <w:szCs w:val="24"/>
          <w:highlight w:val="none"/>
          <w:lang w:val="zh-CN"/>
        </w:rPr>
      </w:pPr>
    </w:p>
    <w:p w14:paraId="5DE3B856">
      <w:pPr>
        <w:autoSpaceDE w:val="0"/>
        <w:autoSpaceDN w:val="0"/>
        <w:adjustRightInd w:val="0"/>
        <w:spacing w:line="400" w:lineRule="exact"/>
        <w:ind w:firstLine="720" w:firstLineChars="3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本单位郑重声明，根据《财政部 民政部 中国残疾人联合会关于促进残疾人就业政府采购政策的通知》（财库〔2017〕141 号）的规定，本单位为符合条件的残疾人福利性单位，且本单位参加      单位的      项目采购活动，提供本单位制造的货物（由本单位承担工程/提供服务），或者提供其他残疾人福利性单位制造的货物（不包括使用非残疾人福利性单位注册商标的货物）。</w:t>
      </w:r>
    </w:p>
    <w:p w14:paraId="0EE53870">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本单位对上述声明的真实性负责。如有虚假，将依法承担相应责任。</w:t>
      </w:r>
    </w:p>
    <w:p w14:paraId="0DA93882">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4B586322">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573E5EEB">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2534AB81">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455875DF">
      <w:pPr>
        <w:spacing w:line="360" w:lineRule="auto"/>
        <w:ind w:left="903" w:leftChars="208" w:hanging="487" w:hangingChars="203"/>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45D1D1B9">
      <w:pPr>
        <w:spacing w:line="360" w:lineRule="auto"/>
        <w:ind w:firstLine="390"/>
        <w:rPr>
          <w:rFonts w:hint="eastAsia" w:ascii="宋体" w:hAnsi="宋体" w:eastAsia="宋体" w:cs="宋体"/>
          <w:sz w:val="24"/>
          <w:szCs w:val="24"/>
          <w:highlight w:val="none"/>
        </w:rPr>
      </w:pPr>
    </w:p>
    <w:p w14:paraId="503D0153">
      <w:pPr>
        <w:autoSpaceDE w:val="0"/>
        <w:autoSpaceDN w:val="0"/>
        <w:adjustRightInd w:val="0"/>
        <w:spacing w:line="40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124FB765">
      <w:pPr>
        <w:autoSpaceDE w:val="0"/>
        <w:autoSpaceDN w:val="0"/>
        <w:adjustRightInd w:val="0"/>
        <w:spacing w:line="400" w:lineRule="exact"/>
        <w:ind w:firstLine="960" w:firstLineChars="400"/>
        <w:rPr>
          <w:rFonts w:hint="eastAsia" w:ascii="宋体" w:hAnsi="宋体" w:eastAsia="宋体" w:cs="宋体"/>
          <w:bCs/>
          <w:kern w:val="0"/>
          <w:sz w:val="24"/>
          <w:szCs w:val="24"/>
          <w:highlight w:val="none"/>
          <w:lang w:val="zh-CN"/>
        </w:rPr>
      </w:pPr>
    </w:p>
    <w:p w14:paraId="1CC7FE8B">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备注：</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lang w:val="zh-CN"/>
        </w:rPr>
        <w:t>若有，后附行政主管部门出具的证明材料原件扫描件。</w:t>
      </w:r>
    </w:p>
    <w:p w14:paraId="2BB7F335">
      <w:pPr>
        <w:autoSpaceDE w:val="0"/>
        <w:autoSpaceDN w:val="0"/>
        <w:adjustRightInd w:val="0"/>
        <w:spacing w:line="400" w:lineRule="exact"/>
        <w:ind w:firstLine="981" w:firstLineChars="409"/>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lang w:val="zh-CN"/>
        </w:rPr>
        <w:t>服务商为非残疾人福利性单位的，无需填写此声明函。</w:t>
      </w:r>
    </w:p>
    <w:p w14:paraId="4B819CBA">
      <w:pPr>
        <w:autoSpaceDE w:val="0"/>
        <w:autoSpaceDN w:val="0"/>
        <w:adjustRightInd w:val="0"/>
        <w:spacing w:line="400" w:lineRule="exact"/>
        <w:ind w:firstLine="420"/>
        <w:jc w:val="left"/>
        <w:rPr>
          <w:rFonts w:hint="eastAsia" w:ascii="宋体" w:hAnsi="宋体" w:eastAsia="宋体" w:cs="宋体"/>
          <w:bCs/>
          <w:kern w:val="0"/>
          <w:sz w:val="24"/>
          <w:szCs w:val="24"/>
          <w:highlight w:val="none"/>
          <w:lang w:val="zh-CN"/>
        </w:rPr>
      </w:pPr>
    </w:p>
    <w:p w14:paraId="405DF3F8">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2D69704">
      <w:pPr>
        <w:widowControl w:val="0"/>
        <w:numPr>
          <w:ilvl w:val="0"/>
          <w:numId w:val="7"/>
        </w:numPr>
        <w:spacing w:after="100" w:afterAutospacing="1" w:line="36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其他</w:t>
      </w:r>
    </w:p>
    <w:p w14:paraId="750F7A5A">
      <w:pPr>
        <w:widowControl w:val="0"/>
        <w:tabs>
          <w:tab w:val="left" w:pos="0"/>
        </w:tabs>
        <w:spacing w:after="100" w:afterAutospacing="1" w:line="360" w:lineRule="auto"/>
        <w:jc w:val="center"/>
        <w:outlineLvl w:val="1"/>
        <w:rPr>
          <w:rFonts w:hint="eastAsia" w:ascii="宋体" w:hAnsi="宋体" w:eastAsia="宋体" w:cs="宋体"/>
          <w:b/>
          <w:sz w:val="28"/>
          <w:szCs w:val="28"/>
          <w:highlight w:val="none"/>
        </w:rPr>
      </w:pPr>
    </w:p>
    <w:p w14:paraId="71272B11">
      <w:pPr>
        <w:autoSpaceDE w:val="0"/>
        <w:autoSpaceDN w:val="0"/>
        <w:adjustRightInd w:val="0"/>
        <w:spacing w:line="400" w:lineRule="exact"/>
        <w:ind w:firstLine="720" w:firstLineChars="300"/>
        <w:rPr>
          <w:rFonts w:hint="eastAsia" w:ascii="宋体" w:hAnsi="宋体" w:eastAsia="宋体" w:cs="宋体"/>
          <w:bCs/>
          <w:kern w:val="0"/>
          <w:sz w:val="24"/>
          <w:szCs w:val="21"/>
          <w:highlight w:val="none"/>
          <w:lang w:val="zh-CN"/>
        </w:rPr>
      </w:pPr>
      <w:r>
        <w:rPr>
          <w:rFonts w:hint="eastAsia" w:ascii="宋体" w:hAnsi="宋体" w:eastAsia="宋体" w:cs="宋体"/>
          <w:bCs/>
          <w:kern w:val="0"/>
          <w:sz w:val="24"/>
          <w:szCs w:val="21"/>
          <w:highlight w:val="none"/>
          <w:lang w:val="zh-CN"/>
        </w:rPr>
        <w:t>资格审查及详细评审需要的其他资料。</w:t>
      </w:r>
    </w:p>
    <w:p w14:paraId="3A94D927">
      <w:pPr>
        <w:widowControl w:val="0"/>
        <w:tabs>
          <w:tab w:val="left" w:pos="0"/>
        </w:tabs>
        <w:spacing w:after="100" w:afterAutospacing="1" w:line="360" w:lineRule="auto"/>
        <w:jc w:val="center"/>
        <w:outlineLvl w:val="1"/>
        <w:rPr>
          <w:rFonts w:hint="eastAsia" w:ascii="宋体" w:hAnsi="宋体" w:eastAsia="宋体" w:cs="宋体"/>
          <w:b/>
          <w:sz w:val="28"/>
          <w:szCs w:val="28"/>
          <w:highlight w:val="none"/>
        </w:rPr>
      </w:pPr>
    </w:p>
    <w:sectPr>
      <w:headerReference r:id="rId5" w:type="first"/>
      <w:headerReference r:id="rId4" w:type="default"/>
      <w:footerReference r:id="rId6" w:type="default"/>
      <w:footerReference r:id="rId7" w:type="even"/>
      <w:pgSz w:w="11906" w:h="16838"/>
      <w:pgMar w:top="1418" w:right="1247" w:bottom="1418"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BB28">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1D1DA">
                          <w:pPr>
                            <w:pStyle w:val="17"/>
                            <w:rPr>
                              <w:rFonts w:hint="eastAsia" w:ascii="宋体" w:hAnsi="宋体" w:eastAsia="宋体" w:cs="宋体"/>
                              <w:sz w:val="28"/>
                              <w:szCs w:val="52"/>
                            </w:rPr>
                          </w:pPr>
                          <w:r>
                            <w:rPr>
                              <w:rFonts w:hint="eastAsia" w:ascii="宋体" w:hAnsi="宋体" w:eastAsia="宋体" w:cs="宋体"/>
                              <w:sz w:val="28"/>
                              <w:szCs w:val="52"/>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B1D1DA">
                    <w:pPr>
                      <w:pStyle w:val="17"/>
                      <w:rPr>
                        <w:rFonts w:hint="eastAsia" w:ascii="宋体" w:hAnsi="宋体" w:eastAsia="宋体" w:cs="宋体"/>
                        <w:sz w:val="28"/>
                        <w:szCs w:val="52"/>
                      </w:rPr>
                    </w:pPr>
                    <w:r>
                      <w:rPr>
                        <w:rFonts w:hint="eastAsia" w:ascii="宋体" w:hAnsi="宋体" w:eastAsia="宋体" w:cs="宋体"/>
                        <w:sz w:val="28"/>
                        <w:szCs w:val="52"/>
                      </w:rPr>
                      <w:t xml:space="preserve">— </w:t>
                    </w: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1</w:t>
                    </w:r>
                    <w:r>
                      <w:rPr>
                        <w:rFonts w:hint="eastAsia" w:ascii="宋体" w:hAnsi="宋体" w:eastAsia="宋体" w:cs="宋体"/>
                        <w:sz w:val="28"/>
                        <w:szCs w:val="52"/>
                      </w:rPr>
                      <w:fldChar w:fldCharType="end"/>
                    </w:r>
                    <w:r>
                      <w:rPr>
                        <w:rFonts w:hint="eastAsia" w:ascii="宋体" w:hAnsi="宋体" w:eastAsia="宋体" w:cs="宋体"/>
                        <w:sz w:val="28"/>
                        <w:szCs w:val="5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2632">
    <w:pPr>
      <w:pStyle w:val="17"/>
      <w:framePr w:wrap="around" w:vAnchor="text" w:hAnchor="margin" w:xAlign="center" w:y="1"/>
      <w:rPr>
        <w:rStyle w:val="33"/>
      </w:rPr>
    </w:pPr>
    <w:r>
      <w:rPr>
        <w:rStyle w:val="33"/>
      </w:rPr>
      <w:fldChar w:fldCharType="begin"/>
    </w:r>
    <w:r>
      <w:rPr>
        <w:rStyle w:val="33"/>
      </w:rPr>
      <w:instrText xml:space="preserve">PAGE  </w:instrText>
    </w:r>
    <w:r>
      <w:fldChar w:fldCharType="separate"/>
    </w:r>
    <w:r>
      <w:rPr>
        <w:rStyle w:val="33"/>
      </w:rPr>
      <w:t>54</w:t>
    </w:r>
    <w:r>
      <w:fldChar w:fldCharType="end"/>
    </w:r>
  </w:p>
  <w:p w14:paraId="0C08542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8D9">
    <w:pPr>
      <w:pStyle w:val="17"/>
      <w:framePr w:wrap="around" w:vAnchor="text" w:hAnchor="margin" w:xAlign="center" w:y="1"/>
      <w:rPr>
        <w:rStyle w:val="33"/>
      </w:rPr>
    </w:pPr>
    <w:r>
      <w:rPr>
        <w:rStyle w:val="33"/>
      </w:rPr>
      <w:fldChar w:fldCharType="begin"/>
    </w:r>
    <w:r>
      <w:rPr>
        <w:rStyle w:val="33"/>
      </w:rPr>
      <w:instrText xml:space="preserve">PAGE  </w:instrText>
    </w:r>
    <w:r>
      <w:fldChar w:fldCharType="separate"/>
    </w:r>
    <w:r>
      <w:t xml:space="preserve"> </w:t>
    </w:r>
    <w:r>
      <w:fldChar w:fldCharType="end"/>
    </w:r>
  </w:p>
  <w:p w14:paraId="16B6E0E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294F">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D701">
    <w:pPr>
      <w:pStyle w:val="1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ED87"/>
    <w:multiLevelType w:val="multilevel"/>
    <w:tmpl w:val="8886ED87"/>
    <w:lvl w:ilvl="0" w:tentative="0">
      <w:start w:val="1"/>
      <w:numFmt w:val="decimal"/>
      <w:lvlText w:val="（%1）"/>
      <w:legacy w:legacy="1" w:legacySpace="0" w:legacyIndent="525"/>
      <w:lvlJc w:val="left"/>
      <w:pPr>
        <w:ind w:left="945" w:hanging="525"/>
      </w:pPr>
    </w:lvl>
    <w:lvl w:ilvl="1" w:tentative="0">
      <w:start w:val="1"/>
      <w:numFmt w:val="lowerLetter"/>
      <w:lvlText w:val="%2)"/>
      <w:legacy w:legacy="1" w:legacySpace="0" w:legacyIndent="420"/>
      <w:lvlJc w:val="left"/>
      <w:pPr>
        <w:ind w:left="1260" w:hanging="420"/>
      </w:pPr>
    </w:lvl>
    <w:lvl w:ilvl="2" w:tentative="0">
      <w:start w:val="1"/>
      <w:numFmt w:val="lowerRoman"/>
      <w:lvlText w:val="%3."/>
      <w:legacy w:legacy="1" w:legacySpace="0" w:legacyIndent="420"/>
      <w:lvlJc w:val="right"/>
      <w:pPr>
        <w:ind w:left="1680" w:hanging="420"/>
      </w:pPr>
    </w:lvl>
    <w:lvl w:ilvl="3" w:tentative="0">
      <w:start w:val="1"/>
      <w:numFmt w:val="decimal"/>
      <w:lvlText w:val="%4."/>
      <w:legacy w:legacy="1" w:legacySpace="0" w:legacyIndent="420"/>
      <w:lvlJc w:val="left"/>
      <w:pPr>
        <w:ind w:left="2100" w:hanging="420"/>
      </w:pPr>
    </w:lvl>
    <w:lvl w:ilvl="4" w:tentative="0">
      <w:start w:val="1"/>
      <w:numFmt w:val="lowerLetter"/>
      <w:lvlText w:val="%5)"/>
      <w:legacy w:legacy="1" w:legacySpace="0" w:legacyIndent="420"/>
      <w:lvlJc w:val="left"/>
      <w:pPr>
        <w:ind w:left="2520" w:hanging="420"/>
      </w:pPr>
    </w:lvl>
    <w:lvl w:ilvl="5" w:tentative="0">
      <w:start w:val="1"/>
      <w:numFmt w:val="lowerRoman"/>
      <w:lvlText w:val="%6."/>
      <w:legacy w:legacy="1" w:legacySpace="0" w:legacyIndent="420"/>
      <w:lvlJc w:val="right"/>
      <w:pPr>
        <w:ind w:left="2940" w:hanging="420"/>
      </w:pPr>
    </w:lvl>
    <w:lvl w:ilvl="6" w:tentative="0">
      <w:start w:val="1"/>
      <w:numFmt w:val="decimal"/>
      <w:lvlText w:val="%7."/>
      <w:legacy w:legacy="1" w:legacySpace="0" w:legacyIndent="420"/>
      <w:lvlJc w:val="left"/>
      <w:pPr>
        <w:ind w:left="3360" w:hanging="420"/>
      </w:pPr>
    </w:lvl>
    <w:lvl w:ilvl="7" w:tentative="0">
      <w:start w:val="1"/>
      <w:numFmt w:val="lowerLetter"/>
      <w:lvlText w:val="%8)"/>
      <w:legacy w:legacy="1" w:legacySpace="0" w:legacyIndent="420"/>
      <w:lvlJc w:val="left"/>
      <w:pPr>
        <w:ind w:left="3780" w:hanging="420"/>
      </w:pPr>
    </w:lvl>
    <w:lvl w:ilvl="8" w:tentative="0">
      <w:start w:val="1"/>
      <w:numFmt w:val="lowerRoman"/>
      <w:lvlText w:val="%9."/>
      <w:legacy w:legacy="1" w:legacySpace="0" w:legacyIndent="420"/>
      <w:lvlJc w:val="right"/>
      <w:pPr>
        <w:ind w:left="4200" w:hanging="420"/>
      </w:pPr>
    </w:lvl>
  </w:abstractNum>
  <w:abstractNum w:abstractNumId="1">
    <w:nsid w:val="A8D79E89"/>
    <w:multiLevelType w:val="singleLevel"/>
    <w:tmpl w:val="A8D79E89"/>
    <w:lvl w:ilvl="0" w:tentative="0">
      <w:start w:val="2"/>
      <w:numFmt w:val="chineseCounting"/>
      <w:suff w:val="nothing"/>
      <w:lvlText w:val="%1、"/>
      <w:lvlJc w:val="left"/>
      <w:pPr>
        <w:ind w:left="0" w:firstLine="0"/>
      </w:pPr>
      <w:rPr>
        <w:rFonts w:hint="eastAsia"/>
      </w:rPr>
    </w:lvl>
  </w:abstractNum>
  <w:abstractNum w:abstractNumId="2">
    <w:nsid w:val="BC562FB7"/>
    <w:multiLevelType w:val="multilevel"/>
    <w:tmpl w:val="BC562FB7"/>
    <w:lvl w:ilvl="0" w:tentative="0">
      <w:start w:val="1"/>
      <w:numFmt w:val="bullet"/>
      <w:pStyle w:val="40"/>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3">
    <w:nsid w:val="E2225E4B"/>
    <w:multiLevelType w:val="singleLevel"/>
    <w:tmpl w:val="E2225E4B"/>
    <w:lvl w:ilvl="0" w:tentative="0">
      <w:start w:val="19"/>
      <w:numFmt w:val="decimal"/>
      <w:lvlText w:val="%1."/>
      <w:lvlJc w:val="left"/>
      <w:pPr>
        <w:ind w:left="0" w:firstLine="0"/>
      </w:pPr>
    </w:lvl>
  </w:abstractNum>
  <w:abstractNum w:abstractNumId="4">
    <w:nsid w:val="099A1B7E"/>
    <w:multiLevelType w:val="multilevel"/>
    <w:tmpl w:val="099A1B7E"/>
    <w:lvl w:ilvl="0" w:tentative="0">
      <w:start w:val="1"/>
      <w:numFmt w:val="decimal"/>
      <w:lvlText w:val="%1、"/>
      <w:lvlJc w:val="left"/>
      <w:pPr>
        <w:ind w:left="558" w:hanging="1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E298DB"/>
    <w:multiLevelType w:val="singleLevel"/>
    <w:tmpl w:val="12E298DB"/>
    <w:lvl w:ilvl="0" w:tentative="0">
      <w:start w:val="2"/>
      <w:numFmt w:val="decimal"/>
      <w:lvlText w:val="%1."/>
      <w:lvlJc w:val="left"/>
      <w:pPr>
        <w:tabs>
          <w:tab w:val="left" w:pos="312"/>
        </w:tabs>
      </w:pPr>
    </w:lvl>
  </w:abstractNum>
  <w:abstractNum w:abstractNumId="6">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OGU1ZmI3MTYzYmU1ODhlODU4NDYwNTYyMDA2Y2MifQ=="/>
  </w:docVars>
  <w:rsids>
    <w:rsidRoot w:val="00172A27"/>
    <w:rsid w:val="001A64C4"/>
    <w:rsid w:val="0021611F"/>
    <w:rsid w:val="002D269B"/>
    <w:rsid w:val="0052768E"/>
    <w:rsid w:val="00641FAE"/>
    <w:rsid w:val="00824B4C"/>
    <w:rsid w:val="00AB1DD6"/>
    <w:rsid w:val="00B00C80"/>
    <w:rsid w:val="00C575A6"/>
    <w:rsid w:val="00D20B4D"/>
    <w:rsid w:val="00FC7691"/>
    <w:rsid w:val="01505F15"/>
    <w:rsid w:val="0161163F"/>
    <w:rsid w:val="0194674A"/>
    <w:rsid w:val="023D46EC"/>
    <w:rsid w:val="02456325"/>
    <w:rsid w:val="02641C78"/>
    <w:rsid w:val="02B250DA"/>
    <w:rsid w:val="02BD75DA"/>
    <w:rsid w:val="031C69F7"/>
    <w:rsid w:val="03363C91"/>
    <w:rsid w:val="03563CB7"/>
    <w:rsid w:val="03675EC4"/>
    <w:rsid w:val="037B196F"/>
    <w:rsid w:val="03B70C87"/>
    <w:rsid w:val="03C30C20"/>
    <w:rsid w:val="03D5358D"/>
    <w:rsid w:val="03E07A24"/>
    <w:rsid w:val="04271886"/>
    <w:rsid w:val="04785EAF"/>
    <w:rsid w:val="0490144A"/>
    <w:rsid w:val="0523406D"/>
    <w:rsid w:val="05241B93"/>
    <w:rsid w:val="053242B0"/>
    <w:rsid w:val="056401E1"/>
    <w:rsid w:val="056A1C9B"/>
    <w:rsid w:val="05760640"/>
    <w:rsid w:val="05BD2E92"/>
    <w:rsid w:val="05E11832"/>
    <w:rsid w:val="063A78C0"/>
    <w:rsid w:val="064029FC"/>
    <w:rsid w:val="06456265"/>
    <w:rsid w:val="066E17CD"/>
    <w:rsid w:val="06982838"/>
    <w:rsid w:val="069C40D7"/>
    <w:rsid w:val="06D02AE7"/>
    <w:rsid w:val="06D80E87"/>
    <w:rsid w:val="06E17D3B"/>
    <w:rsid w:val="06E8731C"/>
    <w:rsid w:val="071C5217"/>
    <w:rsid w:val="071F0864"/>
    <w:rsid w:val="075524D7"/>
    <w:rsid w:val="07720DE8"/>
    <w:rsid w:val="07A86AAB"/>
    <w:rsid w:val="07B05960"/>
    <w:rsid w:val="07B2792A"/>
    <w:rsid w:val="07E61381"/>
    <w:rsid w:val="07F41CF0"/>
    <w:rsid w:val="080A1514"/>
    <w:rsid w:val="084F6F27"/>
    <w:rsid w:val="0869448C"/>
    <w:rsid w:val="09075A53"/>
    <w:rsid w:val="099866AB"/>
    <w:rsid w:val="09A908B8"/>
    <w:rsid w:val="09A92667"/>
    <w:rsid w:val="09C3197A"/>
    <w:rsid w:val="0A0D5FF8"/>
    <w:rsid w:val="0A116B8A"/>
    <w:rsid w:val="0A165F4E"/>
    <w:rsid w:val="0A2763AD"/>
    <w:rsid w:val="0A642D8D"/>
    <w:rsid w:val="0AA90B70"/>
    <w:rsid w:val="0AD329BB"/>
    <w:rsid w:val="0AD55E09"/>
    <w:rsid w:val="0B115E15"/>
    <w:rsid w:val="0B154457"/>
    <w:rsid w:val="0B470389"/>
    <w:rsid w:val="0B610A5B"/>
    <w:rsid w:val="0B8E56F9"/>
    <w:rsid w:val="0B9A44B2"/>
    <w:rsid w:val="0BBC2B25"/>
    <w:rsid w:val="0BC1013B"/>
    <w:rsid w:val="0BDD1909"/>
    <w:rsid w:val="0BE45BD8"/>
    <w:rsid w:val="0C01641B"/>
    <w:rsid w:val="0C232BA4"/>
    <w:rsid w:val="0C3628D7"/>
    <w:rsid w:val="0C61547A"/>
    <w:rsid w:val="0C7156BE"/>
    <w:rsid w:val="0C801DA5"/>
    <w:rsid w:val="0CD30126"/>
    <w:rsid w:val="0CD41FCF"/>
    <w:rsid w:val="0D4E1EA3"/>
    <w:rsid w:val="0D4E59FF"/>
    <w:rsid w:val="0D554FDF"/>
    <w:rsid w:val="0D71793F"/>
    <w:rsid w:val="0D841421"/>
    <w:rsid w:val="0D913B3D"/>
    <w:rsid w:val="0DE4298E"/>
    <w:rsid w:val="0DEE2D3E"/>
    <w:rsid w:val="0E0E518E"/>
    <w:rsid w:val="0E5C239D"/>
    <w:rsid w:val="0E770F85"/>
    <w:rsid w:val="0E8A6943"/>
    <w:rsid w:val="0EBF099D"/>
    <w:rsid w:val="0ED41E57"/>
    <w:rsid w:val="0EDF7256"/>
    <w:rsid w:val="0EF67752"/>
    <w:rsid w:val="0F114F36"/>
    <w:rsid w:val="0F1467D4"/>
    <w:rsid w:val="0F427746"/>
    <w:rsid w:val="0F557518"/>
    <w:rsid w:val="0F5F2145"/>
    <w:rsid w:val="102F7D69"/>
    <w:rsid w:val="105570A4"/>
    <w:rsid w:val="10923E54"/>
    <w:rsid w:val="10BB6A24"/>
    <w:rsid w:val="10C1473A"/>
    <w:rsid w:val="10C77FA2"/>
    <w:rsid w:val="1134315E"/>
    <w:rsid w:val="113B273E"/>
    <w:rsid w:val="117417AC"/>
    <w:rsid w:val="11877731"/>
    <w:rsid w:val="11A43391"/>
    <w:rsid w:val="121511E1"/>
    <w:rsid w:val="122E4051"/>
    <w:rsid w:val="12353631"/>
    <w:rsid w:val="124A70DD"/>
    <w:rsid w:val="12851EC3"/>
    <w:rsid w:val="129C545E"/>
    <w:rsid w:val="12A06CFD"/>
    <w:rsid w:val="12A6008B"/>
    <w:rsid w:val="12B24C82"/>
    <w:rsid w:val="12B91B6C"/>
    <w:rsid w:val="12DB5F87"/>
    <w:rsid w:val="13510A26"/>
    <w:rsid w:val="137155C7"/>
    <w:rsid w:val="137837D5"/>
    <w:rsid w:val="138F406E"/>
    <w:rsid w:val="13B30CB1"/>
    <w:rsid w:val="13D33102"/>
    <w:rsid w:val="13E1581F"/>
    <w:rsid w:val="14246D62"/>
    <w:rsid w:val="14302302"/>
    <w:rsid w:val="146868E8"/>
    <w:rsid w:val="14975EDD"/>
    <w:rsid w:val="14F41582"/>
    <w:rsid w:val="152F6116"/>
    <w:rsid w:val="154C6CC8"/>
    <w:rsid w:val="15AC7766"/>
    <w:rsid w:val="15BD1974"/>
    <w:rsid w:val="15C54CCC"/>
    <w:rsid w:val="15D96BE2"/>
    <w:rsid w:val="15EE7D7F"/>
    <w:rsid w:val="16094BB9"/>
    <w:rsid w:val="16247C45"/>
    <w:rsid w:val="16300397"/>
    <w:rsid w:val="16351E52"/>
    <w:rsid w:val="169052DA"/>
    <w:rsid w:val="16A14DF1"/>
    <w:rsid w:val="16D01B7A"/>
    <w:rsid w:val="16F77107"/>
    <w:rsid w:val="17233A58"/>
    <w:rsid w:val="175B7696"/>
    <w:rsid w:val="175D340E"/>
    <w:rsid w:val="176F21FF"/>
    <w:rsid w:val="179130B8"/>
    <w:rsid w:val="17DB4333"/>
    <w:rsid w:val="17E62C77"/>
    <w:rsid w:val="17EA0A1A"/>
    <w:rsid w:val="1807337A"/>
    <w:rsid w:val="180B1EC8"/>
    <w:rsid w:val="18245CDA"/>
    <w:rsid w:val="184E71FB"/>
    <w:rsid w:val="18770500"/>
    <w:rsid w:val="194128BC"/>
    <w:rsid w:val="19B17A41"/>
    <w:rsid w:val="19C239FC"/>
    <w:rsid w:val="19C86B39"/>
    <w:rsid w:val="19F17E3E"/>
    <w:rsid w:val="1A497BF5"/>
    <w:rsid w:val="1A952EBF"/>
    <w:rsid w:val="1AB53561"/>
    <w:rsid w:val="1ABA2925"/>
    <w:rsid w:val="1ABC044C"/>
    <w:rsid w:val="1AC63078"/>
    <w:rsid w:val="1ADA6B24"/>
    <w:rsid w:val="1AE45BF4"/>
    <w:rsid w:val="1AF8344E"/>
    <w:rsid w:val="1AFA5418"/>
    <w:rsid w:val="1B410951"/>
    <w:rsid w:val="1B46065D"/>
    <w:rsid w:val="1B59213E"/>
    <w:rsid w:val="1B746F78"/>
    <w:rsid w:val="1B8F790E"/>
    <w:rsid w:val="1BB03B86"/>
    <w:rsid w:val="1C36422E"/>
    <w:rsid w:val="1C60574F"/>
    <w:rsid w:val="1CA53161"/>
    <w:rsid w:val="1CCC06EE"/>
    <w:rsid w:val="1CE27F12"/>
    <w:rsid w:val="1D187DD7"/>
    <w:rsid w:val="1D2B18B9"/>
    <w:rsid w:val="1D525097"/>
    <w:rsid w:val="1D632E00"/>
    <w:rsid w:val="1D990835"/>
    <w:rsid w:val="1DA63635"/>
    <w:rsid w:val="1DB20ED5"/>
    <w:rsid w:val="1DE562A5"/>
    <w:rsid w:val="1E5D1F46"/>
    <w:rsid w:val="1E5E001E"/>
    <w:rsid w:val="1EA91990"/>
    <w:rsid w:val="1F1310F7"/>
    <w:rsid w:val="1F30765A"/>
    <w:rsid w:val="1F351B94"/>
    <w:rsid w:val="1F657920"/>
    <w:rsid w:val="1F6B0692"/>
    <w:rsid w:val="1F721A21"/>
    <w:rsid w:val="1F850946"/>
    <w:rsid w:val="1F923E71"/>
    <w:rsid w:val="1FB4005B"/>
    <w:rsid w:val="1FF42436"/>
    <w:rsid w:val="1FF468DA"/>
    <w:rsid w:val="1FF70178"/>
    <w:rsid w:val="20140D2A"/>
    <w:rsid w:val="204C2272"/>
    <w:rsid w:val="207215AC"/>
    <w:rsid w:val="20757CD1"/>
    <w:rsid w:val="20886D51"/>
    <w:rsid w:val="20E73D48"/>
    <w:rsid w:val="21156B08"/>
    <w:rsid w:val="21375502"/>
    <w:rsid w:val="214B2529"/>
    <w:rsid w:val="217D46AD"/>
    <w:rsid w:val="218912A4"/>
    <w:rsid w:val="21D40771"/>
    <w:rsid w:val="220D3C83"/>
    <w:rsid w:val="225B04A7"/>
    <w:rsid w:val="22662391"/>
    <w:rsid w:val="228C2DF9"/>
    <w:rsid w:val="22A5210D"/>
    <w:rsid w:val="22AC524A"/>
    <w:rsid w:val="22CD6F6E"/>
    <w:rsid w:val="238E494F"/>
    <w:rsid w:val="23922691"/>
    <w:rsid w:val="239576F1"/>
    <w:rsid w:val="23A70F27"/>
    <w:rsid w:val="23B26890"/>
    <w:rsid w:val="23E40A13"/>
    <w:rsid w:val="24172B97"/>
    <w:rsid w:val="249C557D"/>
    <w:rsid w:val="24DE1906"/>
    <w:rsid w:val="253E623E"/>
    <w:rsid w:val="254216CC"/>
    <w:rsid w:val="255E0351"/>
    <w:rsid w:val="259049AF"/>
    <w:rsid w:val="25B6018D"/>
    <w:rsid w:val="25C24D84"/>
    <w:rsid w:val="25EB6089"/>
    <w:rsid w:val="261455E0"/>
    <w:rsid w:val="261652ED"/>
    <w:rsid w:val="26176E7E"/>
    <w:rsid w:val="26211AAB"/>
    <w:rsid w:val="266876DA"/>
    <w:rsid w:val="26712A32"/>
    <w:rsid w:val="269A2D28"/>
    <w:rsid w:val="26A5092E"/>
    <w:rsid w:val="26A66422"/>
    <w:rsid w:val="270513CC"/>
    <w:rsid w:val="272C0707"/>
    <w:rsid w:val="277A5916"/>
    <w:rsid w:val="27873B8F"/>
    <w:rsid w:val="27B07DD7"/>
    <w:rsid w:val="27B54BA0"/>
    <w:rsid w:val="27B8643F"/>
    <w:rsid w:val="27EC0FB1"/>
    <w:rsid w:val="2838132E"/>
    <w:rsid w:val="285E6FE6"/>
    <w:rsid w:val="28610884"/>
    <w:rsid w:val="28757E8C"/>
    <w:rsid w:val="28793E20"/>
    <w:rsid w:val="288307FB"/>
    <w:rsid w:val="28AD5878"/>
    <w:rsid w:val="28D92B11"/>
    <w:rsid w:val="28DE0127"/>
    <w:rsid w:val="28EA4786"/>
    <w:rsid w:val="292C49EE"/>
    <w:rsid w:val="292F2731"/>
    <w:rsid w:val="299B1B74"/>
    <w:rsid w:val="29E754BD"/>
    <w:rsid w:val="2A8B1BE9"/>
    <w:rsid w:val="2A9940CC"/>
    <w:rsid w:val="2AF05EF0"/>
    <w:rsid w:val="2AFC4894"/>
    <w:rsid w:val="2B1C4F36"/>
    <w:rsid w:val="2B2B6F28"/>
    <w:rsid w:val="2B7257CC"/>
    <w:rsid w:val="2B766450"/>
    <w:rsid w:val="2BCC4C2D"/>
    <w:rsid w:val="2BEE5E5F"/>
    <w:rsid w:val="2C416A03"/>
    <w:rsid w:val="2C532BDA"/>
    <w:rsid w:val="2C631F36"/>
    <w:rsid w:val="2C646B95"/>
    <w:rsid w:val="2C7F577D"/>
    <w:rsid w:val="2C88209B"/>
    <w:rsid w:val="2C8903AA"/>
    <w:rsid w:val="2C9F3729"/>
    <w:rsid w:val="2CB74F17"/>
    <w:rsid w:val="2CBC077F"/>
    <w:rsid w:val="2D371BB4"/>
    <w:rsid w:val="2D5B1D46"/>
    <w:rsid w:val="2DB87198"/>
    <w:rsid w:val="2DE0224B"/>
    <w:rsid w:val="2E0221C2"/>
    <w:rsid w:val="2E132621"/>
    <w:rsid w:val="2E382087"/>
    <w:rsid w:val="2E4A0ED6"/>
    <w:rsid w:val="2EBA1B99"/>
    <w:rsid w:val="2ECB4CA9"/>
    <w:rsid w:val="2EFD278C"/>
    <w:rsid w:val="2F5E2E56"/>
    <w:rsid w:val="2F8F3F29"/>
    <w:rsid w:val="2F902209"/>
    <w:rsid w:val="2FBA3998"/>
    <w:rsid w:val="2FC242FE"/>
    <w:rsid w:val="2FCD60C5"/>
    <w:rsid w:val="30536D05"/>
    <w:rsid w:val="306C431F"/>
    <w:rsid w:val="309335A5"/>
    <w:rsid w:val="309F63EE"/>
    <w:rsid w:val="30AB6B41"/>
    <w:rsid w:val="30B023A9"/>
    <w:rsid w:val="30D36097"/>
    <w:rsid w:val="30D36FFD"/>
    <w:rsid w:val="30EB33E1"/>
    <w:rsid w:val="30FC4DFB"/>
    <w:rsid w:val="31A50B58"/>
    <w:rsid w:val="31B41A25"/>
    <w:rsid w:val="31CF4AB1"/>
    <w:rsid w:val="31E67543"/>
    <w:rsid w:val="320A3D3B"/>
    <w:rsid w:val="323A6E2B"/>
    <w:rsid w:val="323D5EBE"/>
    <w:rsid w:val="3291620A"/>
    <w:rsid w:val="32DC56D7"/>
    <w:rsid w:val="32F50547"/>
    <w:rsid w:val="33A37FA3"/>
    <w:rsid w:val="33B95A18"/>
    <w:rsid w:val="33D86965"/>
    <w:rsid w:val="33DB56BC"/>
    <w:rsid w:val="33E44DA2"/>
    <w:rsid w:val="33E660E2"/>
    <w:rsid w:val="342A2472"/>
    <w:rsid w:val="34711A8A"/>
    <w:rsid w:val="3474193F"/>
    <w:rsid w:val="349D0E96"/>
    <w:rsid w:val="34D523DE"/>
    <w:rsid w:val="34F52A80"/>
    <w:rsid w:val="34F6771C"/>
    <w:rsid w:val="35040F15"/>
    <w:rsid w:val="350902DA"/>
    <w:rsid w:val="35323808"/>
    <w:rsid w:val="354C01C6"/>
    <w:rsid w:val="35571045"/>
    <w:rsid w:val="357C0AAC"/>
    <w:rsid w:val="358931C8"/>
    <w:rsid w:val="35AD335B"/>
    <w:rsid w:val="36462E68"/>
    <w:rsid w:val="368D6CE8"/>
    <w:rsid w:val="36A302BA"/>
    <w:rsid w:val="36C344B8"/>
    <w:rsid w:val="36DE3708"/>
    <w:rsid w:val="36E56B24"/>
    <w:rsid w:val="36F154C9"/>
    <w:rsid w:val="36F32FEF"/>
    <w:rsid w:val="37277974"/>
    <w:rsid w:val="3784633D"/>
    <w:rsid w:val="37C91FA2"/>
    <w:rsid w:val="37D22C05"/>
    <w:rsid w:val="37F21C42"/>
    <w:rsid w:val="383438BF"/>
    <w:rsid w:val="383A69FC"/>
    <w:rsid w:val="383C2774"/>
    <w:rsid w:val="384851D8"/>
    <w:rsid w:val="388760E5"/>
    <w:rsid w:val="388A7983"/>
    <w:rsid w:val="38983E4E"/>
    <w:rsid w:val="389E51DD"/>
    <w:rsid w:val="38B35A1A"/>
    <w:rsid w:val="38C84008"/>
    <w:rsid w:val="38D155B2"/>
    <w:rsid w:val="38D62BC9"/>
    <w:rsid w:val="391D4354"/>
    <w:rsid w:val="391E0587"/>
    <w:rsid w:val="394418E0"/>
    <w:rsid w:val="39557F91"/>
    <w:rsid w:val="396B3311"/>
    <w:rsid w:val="3986639D"/>
    <w:rsid w:val="39E15381"/>
    <w:rsid w:val="39E44E71"/>
    <w:rsid w:val="39EC3D26"/>
    <w:rsid w:val="3A0F076B"/>
    <w:rsid w:val="3A663AD8"/>
    <w:rsid w:val="3A775207"/>
    <w:rsid w:val="3A856654"/>
    <w:rsid w:val="3AC86541"/>
    <w:rsid w:val="3AD62A0C"/>
    <w:rsid w:val="3B2D45F6"/>
    <w:rsid w:val="3B331C0C"/>
    <w:rsid w:val="3BC1546A"/>
    <w:rsid w:val="3BE455FD"/>
    <w:rsid w:val="3C151DB5"/>
    <w:rsid w:val="3C221C81"/>
    <w:rsid w:val="3C3025F0"/>
    <w:rsid w:val="3C44609B"/>
    <w:rsid w:val="3C4542ED"/>
    <w:rsid w:val="3C504A40"/>
    <w:rsid w:val="3C5A141B"/>
    <w:rsid w:val="3C7A1ABD"/>
    <w:rsid w:val="3C964B49"/>
    <w:rsid w:val="3D073351"/>
    <w:rsid w:val="3D0F04C0"/>
    <w:rsid w:val="3D430101"/>
    <w:rsid w:val="3D580050"/>
    <w:rsid w:val="3DA2751D"/>
    <w:rsid w:val="3DB1150E"/>
    <w:rsid w:val="3DB64D77"/>
    <w:rsid w:val="3DBF1A26"/>
    <w:rsid w:val="3DEB0EC4"/>
    <w:rsid w:val="3DFF671E"/>
    <w:rsid w:val="3E021D6A"/>
    <w:rsid w:val="3E18158D"/>
    <w:rsid w:val="3E35213F"/>
    <w:rsid w:val="3E5F71BC"/>
    <w:rsid w:val="3E7C38CA"/>
    <w:rsid w:val="3E952BDE"/>
    <w:rsid w:val="3EA90437"/>
    <w:rsid w:val="3EE14075"/>
    <w:rsid w:val="3F06588A"/>
    <w:rsid w:val="3F1104B7"/>
    <w:rsid w:val="3F395C5F"/>
    <w:rsid w:val="3F3B19D7"/>
    <w:rsid w:val="3F4C5993"/>
    <w:rsid w:val="3F775B93"/>
    <w:rsid w:val="3F827BA9"/>
    <w:rsid w:val="3F9335C1"/>
    <w:rsid w:val="3F9C396C"/>
    <w:rsid w:val="3FA94B93"/>
    <w:rsid w:val="3FF676AC"/>
    <w:rsid w:val="400D781B"/>
    <w:rsid w:val="402204A1"/>
    <w:rsid w:val="402A3CA8"/>
    <w:rsid w:val="40721429"/>
    <w:rsid w:val="40860A30"/>
    <w:rsid w:val="409C0254"/>
    <w:rsid w:val="409C64A6"/>
    <w:rsid w:val="40AD06B3"/>
    <w:rsid w:val="40B557B9"/>
    <w:rsid w:val="40E90FBF"/>
    <w:rsid w:val="41195D48"/>
    <w:rsid w:val="414A7CB0"/>
    <w:rsid w:val="415F7A57"/>
    <w:rsid w:val="41630D72"/>
    <w:rsid w:val="4177481D"/>
    <w:rsid w:val="417967E7"/>
    <w:rsid w:val="41C71300"/>
    <w:rsid w:val="42001BBA"/>
    <w:rsid w:val="421D3616"/>
    <w:rsid w:val="424E1A22"/>
    <w:rsid w:val="4255690C"/>
    <w:rsid w:val="429E4757"/>
    <w:rsid w:val="42B9333F"/>
    <w:rsid w:val="42BC2E2F"/>
    <w:rsid w:val="42CC0391"/>
    <w:rsid w:val="42D737C5"/>
    <w:rsid w:val="431B5DA8"/>
    <w:rsid w:val="43370708"/>
    <w:rsid w:val="433848E7"/>
    <w:rsid w:val="433E465F"/>
    <w:rsid w:val="43EF4B3E"/>
    <w:rsid w:val="44150A49"/>
    <w:rsid w:val="44496945"/>
    <w:rsid w:val="449838F9"/>
    <w:rsid w:val="454B049A"/>
    <w:rsid w:val="45581CE4"/>
    <w:rsid w:val="459E4A6E"/>
    <w:rsid w:val="45C81AEB"/>
    <w:rsid w:val="462A4554"/>
    <w:rsid w:val="463158E2"/>
    <w:rsid w:val="463B050F"/>
    <w:rsid w:val="464473C4"/>
    <w:rsid w:val="469C1DF3"/>
    <w:rsid w:val="46AC6D17"/>
    <w:rsid w:val="46C027C2"/>
    <w:rsid w:val="46D63D94"/>
    <w:rsid w:val="46E6047B"/>
    <w:rsid w:val="4707219F"/>
    <w:rsid w:val="472114B3"/>
    <w:rsid w:val="472745EF"/>
    <w:rsid w:val="473F5DDD"/>
    <w:rsid w:val="47543636"/>
    <w:rsid w:val="47784D4A"/>
    <w:rsid w:val="478101A3"/>
    <w:rsid w:val="47B02837"/>
    <w:rsid w:val="47C562E2"/>
    <w:rsid w:val="47CD5197"/>
    <w:rsid w:val="48313978"/>
    <w:rsid w:val="4832149E"/>
    <w:rsid w:val="48384D06"/>
    <w:rsid w:val="484216E1"/>
    <w:rsid w:val="484418FD"/>
    <w:rsid w:val="488C6E00"/>
    <w:rsid w:val="48B85E47"/>
    <w:rsid w:val="49804BB7"/>
    <w:rsid w:val="49F42EAF"/>
    <w:rsid w:val="4A1672C9"/>
    <w:rsid w:val="4A972463"/>
    <w:rsid w:val="4AA91EEB"/>
    <w:rsid w:val="4ABD5996"/>
    <w:rsid w:val="4AD93E52"/>
    <w:rsid w:val="4AE41175"/>
    <w:rsid w:val="4B0E7FA0"/>
    <w:rsid w:val="4B1530DD"/>
    <w:rsid w:val="4B2D52E4"/>
    <w:rsid w:val="4B7C315C"/>
    <w:rsid w:val="4BC05F04"/>
    <w:rsid w:val="4BC36FDC"/>
    <w:rsid w:val="4C5B5467"/>
    <w:rsid w:val="4C6A56AA"/>
    <w:rsid w:val="4D126348"/>
    <w:rsid w:val="4D1D44CA"/>
    <w:rsid w:val="4D5E2A20"/>
    <w:rsid w:val="4DA92202"/>
    <w:rsid w:val="4DCF7EBB"/>
    <w:rsid w:val="4E1753BE"/>
    <w:rsid w:val="4E4168DE"/>
    <w:rsid w:val="4E656129"/>
    <w:rsid w:val="4E720846"/>
    <w:rsid w:val="4E8567CB"/>
    <w:rsid w:val="4EBB3F9B"/>
    <w:rsid w:val="4EE334F2"/>
    <w:rsid w:val="4EE71234"/>
    <w:rsid w:val="4F0516BA"/>
    <w:rsid w:val="4F133DD7"/>
    <w:rsid w:val="4F313889"/>
    <w:rsid w:val="4F32643E"/>
    <w:rsid w:val="4F593915"/>
    <w:rsid w:val="4F894099"/>
    <w:rsid w:val="4F9667B6"/>
    <w:rsid w:val="4FA7451F"/>
    <w:rsid w:val="4FB4796A"/>
    <w:rsid w:val="4FB8672C"/>
    <w:rsid w:val="4FCE5F50"/>
    <w:rsid w:val="4FDE2637"/>
    <w:rsid w:val="5023295B"/>
    <w:rsid w:val="504B2837"/>
    <w:rsid w:val="509251CF"/>
    <w:rsid w:val="51051E45"/>
    <w:rsid w:val="51053BF3"/>
    <w:rsid w:val="510D4856"/>
    <w:rsid w:val="514D7E86"/>
    <w:rsid w:val="514E559A"/>
    <w:rsid w:val="517D7C2E"/>
    <w:rsid w:val="51823496"/>
    <w:rsid w:val="518E1E3B"/>
    <w:rsid w:val="519136D9"/>
    <w:rsid w:val="51A451BA"/>
    <w:rsid w:val="51B03B5F"/>
    <w:rsid w:val="51BB2504"/>
    <w:rsid w:val="51C969CF"/>
    <w:rsid w:val="51E47CAD"/>
    <w:rsid w:val="52224331"/>
    <w:rsid w:val="522B58DB"/>
    <w:rsid w:val="526346F3"/>
    <w:rsid w:val="526749B6"/>
    <w:rsid w:val="52B633F7"/>
    <w:rsid w:val="52B85C27"/>
    <w:rsid w:val="52CA29FF"/>
    <w:rsid w:val="52EC506B"/>
    <w:rsid w:val="53071EA5"/>
    <w:rsid w:val="532025A5"/>
    <w:rsid w:val="532A5B93"/>
    <w:rsid w:val="53430929"/>
    <w:rsid w:val="53634C01"/>
    <w:rsid w:val="538C4158"/>
    <w:rsid w:val="53BD6A07"/>
    <w:rsid w:val="53F36CBA"/>
    <w:rsid w:val="54041F40"/>
    <w:rsid w:val="541505F1"/>
    <w:rsid w:val="54732BA3"/>
    <w:rsid w:val="54931516"/>
    <w:rsid w:val="54942937"/>
    <w:rsid w:val="54EC75A4"/>
    <w:rsid w:val="551507E3"/>
    <w:rsid w:val="551C1752"/>
    <w:rsid w:val="552A3C28"/>
    <w:rsid w:val="55376345"/>
    <w:rsid w:val="553D7E00"/>
    <w:rsid w:val="55620BB0"/>
    <w:rsid w:val="559B0682"/>
    <w:rsid w:val="55A559A5"/>
    <w:rsid w:val="55BC0647"/>
    <w:rsid w:val="55E22755"/>
    <w:rsid w:val="561F3061"/>
    <w:rsid w:val="56375053"/>
    <w:rsid w:val="56633896"/>
    <w:rsid w:val="56C37E91"/>
    <w:rsid w:val="56E85B49"/>
    <w:rsid w:val="574A6804"/>
    <w:rsid w:val="575E70BA"/>
    <w:rsid w:val="577675F9"/>
    <w:rsid w:val="57A51C8C"/>
    <w:rsid w:val="57F8000E"/>
    <w:rsid w:val="58262DCD"/>
    <w:rsid w:val="588B2C30"/>
    <w:rsid w:val="58E81E30"/>
    <w:rsid w:val="58FA6008"/>
    <w:rsid w:val="59282B75"/>
    <w:rsid w:val="593E0654"/>
    <w:rsid w:val="593E5EF4"/>
    <w:rsid w:val="59A10231"/>
    <w:rsid w:val="59B61F2F"/>
    <w:rsid w:val="59BB5797"/>
    <w:rsid w:val="59C363FA"/>
    <w:rsid w:val="59CF2FF0"/>
    <w:rsid w:val="59FE7432"/>
    <w:rsid w:val="5A405C9C"/>
    <w:rsid w:val="5A755946"/>
    <w:rsid w:val="5A951B44"/>
    <w:rsid w:val="5A971D60"/>
    <w:rsid w:val="5A9F29C3"/>
    <w:rsid w:val="5AB50438"/>
    <w:rsid w:val="5ABA77FD"/>
    <w:rsid w:val="5B156354"/>
    <w:rsid w:val="5B296730"/>
    <w:rsid w:val="5B31553A"/>
    <w:rsid w:val="5B37709F"/>
    <w:rsid w:val="5B5E462C"/>
    <w:rsid w:val="5BB406F0"/>
    <w:rsid w:val="5BB73D3C"/>
    <w:rsid w:val="5BD60666"/>
    <w:rsid w:val="5BFA3A04"/>
    <w:rsid w:val="5C090A3C"/>
    <w:rsid w:val="5C1D44E7"/>
    <w:rsid w:val="5C537F09"/>
    <w:rsid w:val="5C602626"/>
    <w:rsid w:val="5C82610F"/>
    <w:rsid w:val="5CC44962"/>
    <w:rsid w:val="5CC826A5"/>
    <w:rsid w:val="5CDF179C"/>
    <w:rsid w:val="5CE172C2"/>
    <w:rsid w:val="5CFF3025"/>
    <w:rsid w:val="5D035153"/>
    <w:rsid w:val="5D094A6B"/>
    <w:rsid w:val="5D504448"/>
    <w:rsid w:val="5D58065F"/>
    <w:rsid w:val="5D5A0E23"/>
    <w:rsid w:val="5D700646"/>
    <w:rsid w:val="5DAD189A"/>
    <w:rsid w:val="5E2C27BF"/>
    <w:rsid w:val="5E2F405E"/>
    <w:rsid w:val="5E4D2736"/>
    <w:rsid w:val="5E655CD1"/>
    <w:rsid w:val="5EA7453C"/>
    <w:rsid w:val="5EDA6F6D"/>
    <w:rsid w:val="5F355652"/>
    <w:rsid w:val="5FBE7D8F"/>
    <w:rsid w:val="5FF90DC7"/>
    <w:rsid w:val="5FFA5E7D"/>
    <w:rsid w:val="600A6B30"/>
    <w:rsid w:val="601654D5"/>
    <w:rsid w:val="60275934"/>
    <w:rsid w:val="602A2D2E"/>
    <w:rsid w:val="60636240"/>
    <w:rsid w:val="608D4BCA"/>
    <w:rsid w:val="611A4CB7"/>
    <w:rsid w:val="6131633F"/>
    <w:rsid w:val="61355E2F"/>
    <w:rsid w:val="61497B2C"/>
    <w:rsid w:val="61532759"/>
    <w:rsid w:val="6166248C"/>
    <w:rsid w:val="61AE798F"/>
    <w:rsid w:val="61BB78FB"/>
    <w:rsid w:val="61F77588"/>
    <w:rsid w:val="622A5268"/>
    <w:rsid w:val="622B0FE0"/>
    <w:rsid w:val="623600B0"/>
    <w:rsid w:val="62397BA1"/>
    <w:rsid w:val="6260512D"/>
    <w:rsid w:val="629923ED"/>
    <w:rsid w:val="62DA4EE0"/>
    <w:rsid w:val="62DB2A06"/>
    <w:rsid w:val="62DD677E"/>
    <w:rsid w:val="633F2F95"/>
    <w:rsid w:val="635A392B"/>
    <w:rsid w:val="63807109"/>
    <w:rsid w:val="638B7F88"/>
    <w:rsid w:val="638C5AAE"/>
    <w:rsid w:val="639257BA"/>
    <w:rsid w:val="63B15515"/>
    <w:rsid w:val="63E63410"/>
    <w:rsid w:val="640B731B"/>
    <w:rsid w:val="64603BCC"/>
    <w:rsid w:val="64616F3B"/>
    <w:rsid w:val="6472557E"/>
    <w:rsid w:val="648F5856"/>
    <w:rsid w:val="650C334B"/>
    <w:rsid w:val="651641C9"/>
    <w:rsid w:val="65210745"/>
    <w:rsid w:val="6535464F"/>
    <w:rsid w:val="653F727C"/>
    <w:rsid w:val="65510D5D"/>
    <w:rsid w:val="65674A25"/>
    <w:rsid w:val="657F1D6E"/>
    <w:rsid w:val="6586306F"/>
    <w:rsid w:val="65C16355"/>
    <w:rsid w:val="65C63409"/>
    <w:rsid w:val="65D273AD"/>
    <w:rsid w:val="65ED0D46"/>
    <w:rsid w:val="660D737A"/>
    <w:rsid w:val="66130F12"/>
    <w:rsid w:val="66192EA7"/>
    <w:rsid w:val="664A182E"/>
    <w:rsid w:val="6664583D"/>
    <w:rsid w:val="666A0329"/>
    <w:rsid w:val="667473F9"/>
    <w:rsid w:val="668548FF"/>
    <w:rsid w:val="6693009A"/>
    <w:rsid w:val="66B45A48"/>
    <w:rsid w:val="66F916AD"/>
    <w:rsid w:val="66FD08B3"/>
    <w:rsid w:val="67256946"/>
    <w:rsid w:val="6740552D"/>
    <w:rsid w:val="674E7C4A"/>
    <w:rsid w:val="6773145F"/>
    <w:rsid w:val="6796514D"/>
    <w:rsid w:val="67F00D02"/>
    <w:rsid w:val="681F5143"/>
    <w:rsid w:val="68352BB8"/>
    <w:rsid w:val="68525518"/>
    <w:rsid w:val="688D02FE"/>
    <w:rsid w:val="68BD03EF"/>
    <w:rsid w:val="68DB3760"/>
    <w:rsid w:val="69034A64"/>
    <w:rsid w:val="69126A56"/>
    <w:rsid w:val="69140A20"/>
    <w:rsid w:val="692C7B17"/>
    <w:rsid w:val="69390486"/>
    <w:rsid w:val="69431305"/>
    <w:rsid w:val="69766FE4"/>
    <w:rsid w:val="69823BDB"/>
    <w:rsid w:val="69886D18"/>
    <w:rsid w:val="69937B96"/>
    <w:rsid w:val="69A71894"/>
    <w:rsid w:val="69B7696D"/>
    <w:rsid w:val="69E91EAC"/>
    <w:rsid w:val="69FA5E67"/>
    <w:rsid w:val="6A3D167C"/>
    <w:rsid w:val="6A5A06B4"/>
    <w:rsid w:val="6A876FCF"/>
    <w:rsid w:val="6A8D05F8"/>
    <w:rsid w:val="6AF40B09"/>
    <w:rsid w:val="6AF53BF4"/>
    <w:rsid w:val="6B59096C"/>
    <w:rsid w:val="6B6D2669"/>
    <w:rsid w:val="6B87197D"/>
    <w:rsid w:val="6BCB52D4"/>
    <w:rsid w:val="6BCB7ABB"/>
    <w:rsid w:val="6BDB3A77"/>
    <w:rsid w:val="6C0234D9"/>
    <w:rsid w:val="6C0C59DE"/>
    <w:rsid w:val="6C1D7146"/>
    <w:rsid w:val="6C215B5D"/>
    <w:rsid w:val="6C660E22"/>
    <w:rsid w:val="6C7812C6"/>
    <w:rsid w:val="6C7D4B2E"/>
    <w:rsid w:val="6CA976D1"/>
    <w:rsid w:val="6CB25212"/>
    <w:rsid w:val="6CEB7CE9"/>
    <w:rsid w:val="6D5910F7"/>
    <w:rsid w:val="6D6535F8"/>
    <w:rsid w:val="6D9C0FE4"/>
    <w:rsid w:val="6DB602F7"/>
    <w:rsid w:val="6DBD3434"/>
    <w:rsid w:val="6DDF51EA"/>
    <w:rsid w:val="6DE85FD7"/>
    <w:rsid w:val="6E2F3C06"/>
    <w:rsid w:val="6E761835"/>
    <w:rsid w:val="6E8403F6"/>
    <w:rsid w:val="6E963C85"/>
    <w:rsid w:val="6EE82732"/>
    <w:rsid w:val="6F2D283B"/>
    <w:rsid w:val="6F5554F4"/>
    <w:rsid w:val="6FC62348"/>
    <w:rsid w:val="6FC767EC"/>
    <w:rsid w:val="6FE0340A"/>
    <w:rsid w:val="6FE23626"/>
    <w:rsid w:val="6FE56C72"/>
    <w:rsid w:val="6FE64A52"/>
    <w:rsid w:val="702D38BB"/>
    <w:rsid w:val="70512559"/>
    <w:rsid w:val="7064228D"/>
    <w:rsid w:val="70710506"/>
    <w:rsid w:val="709E275F"/>
    <w:rsid w:val="70AE52B6"/>
    <w:rsid w:val="70BF21B9"/>
    <w:rsid w:val="70EC47EA"/>
    <w:rsid w:val="70F1710D"/>
    <w:rsid w:val="70F73101"/>
    <w:rsid w:val="70FA499F"/>
    <w:rsid w:val="713752AB"/>
    <w:rsid w:val="71BC1C54"/>
    <w:rsid w:val="71D23226"/>
    <w:rsid w:val="71F66F14"/>
    <w:rsid w:val="720C498A"/>
    <w:rsid w:val="72897D89"/>
    <w:rsid w:val="72B56DCF"/>
    <w:rsid w:val="72E74AAF"/>
    <w:rsid w:val="73165394"/>
    <w:rsid w:val="73A330CC"/>
    <w:rsid w:val="744D3038"/>
    <w:rsid w:val="74E27C24"/>
    <w:rsid w:val="751122B7"/>
    <w:rsid w:val="75587EE6"/>
    <w:rsid w:val="759107A7"/>
    <w:rsid w:val="759233F8"/>
    <w:rsid w:val="75AE7B06"/>
    <w:rsid w:val="75B07D22"/>
    <w:rsid w:val="75DC0B17"/>
    <w:rsid w:val="75E43528"/>
    <w:rsid w:val="766B2E15"/>
    <w:rsid w:val="769B62DC"/>
    <w:rsid w:val="76D25548"/>
    <w:rsid w:val="77420E4E"/>
    <w:rsid w:val="775766A7"/>
    <w:rsid w:val="776B3F01"/>
    <w:rsid w:val="777F6037"/>
    <w:rsid w:val="779C230C"/>
    <w:rsid w:val="77ED2B68"/>
    <w:rsid w:val="7831514A"/>
    <w:rsid w:val="784E1828"/>
    <w:rsid w:val="78A84CE1"/>
    <w:rsid w:val="78CF4963"/>
    <w:rsid w:val="78FD6DDA"/>
    <w:rsid w:val="79062AD2"/>
    <w:rsid w:val="79077C59"/>
    <w:rsid w:val="79254583"/>
    <w:rsid w:val="796C5D0E"/>
    <w:rsid w:val="79975481"/>
    <w:rsid w:val="79B3393D"/>
    <w:rsid w:val="79C67B14"/>
    <w:rsid w:val="7A4078C7"/>
    <w:rsid w:val="7A5E5F9F"/>
    <w:rsid w:val="7A990D85"/>
    <w:rsid w:val="7AB23BF5"/>
    <w:rsid w:val="7AE63625"/>
    <w:rsid w:val="7B29035B"/>
    <w:rsid w:val="7B310FBD"/>
    <w:rsid w:val="7B566C76"/>
    <w:rsid w:val="7B6313EA"/>
    <w:rsid w:val="7C52568F"/>
    <w:rsid w:val="7CA37C99"/>
    <w:rsid w:val="7CBC51FE"/>
    <w:rsid w:val="7D006E99"/>
    <w:rsid w:val="7D0179D1"/>
    <w:rsid w:val="7D24527D"/>
    <w:rsid w:val="7D3134F6"/>
    <w:rsid w:val="7D3D633F"/>
    <w:rsid w:val="7D6507AA"/>
    <w:rsid w:val="7D782ED3"/>
    <w:rsid w:val="7D9C65E8"/>
    <w:rsid w:val="7D9F2B56"/>
    <w:rsid w:val="7DDA593C"/>
    <w:rsid w:val="7DE40569"/>
    <w:rsid w:val="7E0B01EB"/>
    <w:rsid w:val="7E152E18"/>
    <w:rsid w:val="7E2608D0"/>
    <w:rsid w:val="7E5E01A2"/>
    <w:rsid w:val="7E963EEE"/>
    <w:rsid w:val="7EF96296"/>
    <w:rsid w:val="7F673200"/>
    <w:rsid w:val="7F7B314F"/>
    <w:rsid w:val="7FF8CAAB"/>
    <w:rsid w:val="D9CFC628"/>
    <w:rsid w:val="F7DF6841"/>
    <w:rsid w:val="F7FFA04A"/>
    <w:rsid w:val="F97F71FE"/>
    <w:rsid w:val="FF5D6686"/>
    <w:rsid w:val="FFFF090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spacing w:line="460" w:lineRule="exact"/>
      <w:jc w:val="both"/>
      <w:outlineLvl w:val="3"/>
    </w:pPr>
    <w:rPr>
      <w:rFonts w:ascii="宋体"/>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楷体_GB2312" w:cs="Times New Roman"/>
      <w:snapToGrid/>
      <w:color w:val="auto"/>
      <w:spacing w:val="0"/>
      <w:w w:val="100"/>
      <w:kern w:val="2"/>
      <w:position w:val="0"/>
      <w:sz w:val="30"/>
      <w:szCs w:val="30"/>
      <w:u w:val="none" w:color="auto"/>
      <w:vertAlign w:val="baseline"/>
      <w:lang w:val="en-US" w:eastAsia="zh-CN" w:bidi="ar-SA"/>
    </w:rPr>
  </w:style>
  <w:style w:type="paragraph" w:styleId="7">
    <w:name w:val="Normal Indent"/>
    <w:basedOn w:val="1"/>
    <w:qFormat/>
    <w:uiPriority w:val="0"/>
    <w:pPr>
      <w:ind w:firstLine="420"/>
    </w:pPr>
  </w:style>
  <w:style w:type="paragraph" w:styleId="8">
    <w:name w:val="toa heading"/>
    <w:basedOn w:val="1"/>
    <w:next w:val="1"/>
    <w:qFormat/>
    <w:uiPriority w:val="0"/>
    <w:pPr>
      <w:spacing w:before="120"/>
    </w:pPr>
    <w:rPr>
      <w:rFonts w:ascii="Arial" w:hAnsi="Arial"/>
      <w:b/>
      <w:bCs/>
    </w:rPr>
  </w:style>
  <w:style w:type="paragraph" w:styleId="9">
    <w:name w:val="annotation text"/>
    <w:basedOn w:val="1"/>
    <w:link w:val="48"/>
    <w:qFormat/>
    <w:uiPriority w:val="0"/>
  </w:style>
  <w:style w:type="paragraph" w:styleId="10">
    <w:name w:val="Body Text 3"/>
    <w:basedOn w:val="1"/>
    <w:qFormat/>
    <w:uiPriority w:val="0"/>
    <w:pPr>
      <w:spacing w:after="120"/>
    </w:pPr>
    <w:rPr>
      <w:sz w:val="16"/>
      <w:szCs w:val="16"/>
    </w:rPr>
  </w:style>
  <w:style w:type="paragraph" w:styleId="11">
    <w:name w:val="Body Text Indent"/>
    <w:basedOn w:val="1"/>
    <w:next w:val="12"/>
    <w:qFormat/>
    <w:uiPriority w:val="0"/>
    <w:pPr>
      <w:spacing w:after="120"/>
      <w:ind w:left="420"/>
    </w:pPr>
  </w:style>
  <w:style w:type="paragraph" w:styleId="12">
    <w:name w:val="envelope return"/>
    <w:basedOn w:val="1"/>
    <w:qFormat/>
    <w:uiPriority w:val="99"/>
    <w:pPr>
      <w:snapToGrid w:val="0"/>
    </w:pPr>
    <w:rPr>
      <w:rFonts w:ascii="Arial" w:hAnsi="Arial" w:cs="Arial"/>
    </w:rPr>
  </w:style>
  <w:style w:type="paragraph" w:styleId="13">
    <w:name w:val="Plain Text"/>
    <w:basedOn w:val="1"/>
    <w:next w:val="1"/>
    <w:qFormat/>
    <w:uiPriority w:val="0"/>
    <w:rPr>
      <w:rFonts w:ascii="宋体" w:cs="Century"/>
      <w:sz w:val="21"/>
      <w:szCs w:val="21"/>
    </w:rPr>
  </w:style>
  <w:style w:type="paragraph" w:styleId="14">
    <w:name w:val="Date"/>
    <w:basedOn w:val="1"/>
    <w:next w:val="1"/>
    <w:qFormat/>
    <w:uiPriority w:val="0"/>
    <w:pPr>
      <w:ind w:left="100" w:leftChars="2500"/>
    </w:pPr>
    <w:rPr>
      <w:b/>
      <w:sz w:val="36"/>
    </w:rPr>
  </w:style>
  <w:style w:type="paragraph" w:styleId="15">
    <w:name w:val="List Continue 5"/>
    <w:basedOn w:val="1"/>
    <w:qFormat/>
    <w:uiPriority w:val="0"/>
    <w:pPr>
      <w:spacing w:after="120"/>
      <w:ind w:left="2100"/>
    </w:pPr>
  </w:style>
  <w:style w:type="paragraph" w:styleId="16">
    <w:name w:val="Balloon Text"/>
    <w:basedOn w:val="1"/>
    <w:link w:val="50"/>
    <w:qFormat/>
    <w:uiPriority w:val="0"/>
    <w:rPr>
      <w:rFonts w:ascii="宋体"/>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next w:val="17"/>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before="120" w:after="120"/>
    </w:pPr>
    <w:rPr>
      <w:rFonts w:ascii="Calibri" w:hAnsi="Calibri" w:cs="Calibri"/>
      <w:b/>
      <w:bCs/>
      <w:caps/>
    </w:rPr>
  </w:style>
  <w:style w:type="paragraph" w:styleId="20">
    <w:name w:val="footnote text"/>
    <w:basedOn w:val="1"/>
    <w:qFormat/>
    <w:uiPriority w:val="0"/>
    <w:pPr>
      <w:snapToGrid w:val="0"/>
    </w:pPr>
    <w:rPr>
      <w:sz w:val="18"/>
      <w:szCs w:val="18"/>
    </w:rPr>
  </w:style>
  <w:style w:type="paragraph" w:styleId="21">
    <w:name w:val="toc 2"/>
    <w:basedOn w:val="1"/>
    <w:next w:val="1"/>
    <w:unhideWhenUsed/>
    <w:qFormat/>
    <w:uiPriority w:val="39"/>
    <w:pPr>
      <w:ind w:left="420" w:leftChars="200"/>
    </w:pPr>
  </w:style>
  <w:style w:type="paragraph" w:styleId="22">
    <w:name w:val="Message Header"/>
    <w:basedOn w:val="1"/>
    <w:qFormat/>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sz w:val="24"/>
      <w:szCs w:val="24"/>
    </w:rPr>
  </w:style>
  <w:style w:type="paragraph" w:styleId="23">
    <w:name w:val="Normal (Web)"/>
    <w:basedOn w:val="1"/>
    <w:qFormat/>
    <w:uiPriority w:val="0"/>
    <w:rPr>
      <w:sz w:val="24"/>
      <w:szCs w:val="24"/>
    </w:rPr>
  </w:style>
  <w:style w:type="paragraph" w:styleId="24">
    <w:name w:val="Title"/>
    <w:basedOn w:val="1"/>
    <w:next w:val="1"/>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25">
    <w:name w:val="annotation subject"/>
    <w:basedOn w:val="9"/>
    <w:next w:val="9"/>
    <w:link w:val="49"/>
    <w:qFormat/>
    <w:uiPriority w:val="0"/>
    <w:rPr>
      <w:b/>
      <w:bCs/>
    </w:rPr>
  </w:style>
  <w:style w:type="paragraph" w:styleId="26">
    <w:name w:val="Body Text First Indent"/>
    <w:basedOn w:val="2"/>
    <w:qFormat/>
    <w:uiPriority w:val="0"/>
    <w:pPr>
      <w:widowControl w:val="0"/>
      <w:adjustRightInd w:val="0"/>
      <w:spacing w:line="312" w:lineRule="auto"/>
      <w:ind w:firstLine="567"/>
      <w:jc w:val="both"/>
      <w:textAlignment w:val="baseline"/>
    </w:pPr>
    <w:rPr>
      <w:sz w:val="28"/>
    </w:rPr>
  </w:style>
  <w:style w:type="paragraph" w:styleId="27">
    <w:name w:val="Body Text First Indent 2"/>
    <w:basedOn w:val="11"/>
    <w:qFormat/>
    <w:uiPriority w:val="0"/>
    <w:pPr>
      <w:ind w:firstLine="42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cs="Times New Roman"/>
      <w:b/>
      <w:bCs/>
      <w:lang w:bidi="ar-SA"/>
    </w:rPr>
  </w:style>
  <w:style w:type="character" w:styleId="32">
    <w:name w:val="endnote reference"/>
    <w:basedOn w:val="30"/>
    <w:qFormat/>
    <w:uiPriority w:val="0"/>
    <w:rPr>
      <w:vertAlign w:val="superscript"/>
    </w:rPr>
  </w:style>
  <w:style w:type="character" w:styleId="33">
    <w:name w:val="page number"/>
    <w:qFormat/>
    <w:uiPriority w:val="0"/>
  </w:style>
  <w:style w:type="character" w:styleId="34">
    <w:name w:val="FollowedHyperlink"/>
    <w:basedOn w:val="30"/>
    <w:qFormat/>
    <w:uiPriority w:val="0"/>
    <w:rPr>
      <w:color w:val="800080"/>
      <w:u w:val="single"/>
    </w:rPr>
  </w:style>
  <w:style w:type="character" w:styleId="35">
    <w:name w:val="Hyperlink"/>
    <w:basedOn w:val="30"/>
    <w:qFormat/>
    <w:uiPriority w:val="0"/>
    <w:rPr>
      <w:color w:val="0000FF"/>
      <w:u w:val="single"/>
    </w:rPr>
  </w:style>
  <w:style w:type="character" w:styleId="36">
    <w:name w:val="annotation reference"/>
    <w:basedOn w:val="30"/>
    <w:qFormat/>
    <w:uiPriority w:val="0"/>
    <w:rPr>
      <w:sz w:val="21"/>
      <w:szCs w:val="21"/>
    </w:rPr>
  </w:style>
  <w:style w:type="paragraph" w:customStyle="1" w:styleId="3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38">
    <w:name w:val="_Style 17"/>
    <w:basedOn w:val="1"/>
    <w:qFormat/>
    <w:uiPriority w:val="0"/>
    <w:pPr>
      <w:spacing w:before="100" w:beforeAutospacing="1" w:after="100" w:afterAutospacing="1"/>
    </w:pPr>
    <w:rPr>
      <w:rFonts w:ascii="宋体" w:cs="黑体"/>
      <w:sz w:val="24"/>
      <w:szCs w:val="24"/>
    </w:rPr>
  </w:style>
  <w:style w:type="paragraph" w:customStyle="1" w:styleId="39">
    <w:name w:val="样式2"/>
    <w:basedOn w:val="1"/>
    <w:qFormat/>
    <w:uiPriority w:val="0"/>
    <w:pPr>
      <w:widowControl w:val="0"/>
      <w:jc w:val="both"/>
    </w:pPr>
    <w:rPr>
      <w:rFonts w:ascii="仿宋_GB2312" w:eastAsia="仿宋_GB2312"/>
      <w:kern w:val="2"/>
      <w:sz w:val="32"/>
    </w:rPr>
  </w:style>
  <w:style w:type="paragraph" w:customStyle="1" w:styleId="40">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character" w:customStyle="1" w:styleId="41">
    <w:name w:val="普通文字 Char Char"/>
    <w:basedOn w:val="30"/>
    <w:qFormat/>
    <w:uiPriority w:val="0"/>
    <w:rPr>
      <w:rFonts w:ascii="宋体" w:eastAsia="宋体" w:cs="Century"/>
      <w:sz w:val="21"/>
      <w:szCs w:val="21"/>
      <w:lang w:val="en-US" w:eastAsia="zh-CN"/>
    </w:rPr>
  </w:style>
  <w:style w:type="character" w:customStyle="1" w:styleId="42">
    <w:name w:val="Char Char Char"/>
    <w:basedOn w:val="30"/>
    <w:qFormat/>
    <w:uiPriority w:val="0"/>
    <w:rPr>
      <w:rFonts w:ascii="宋体" w:eastAsia="宋体"/>
      <w:kern w:val="2"/>
      <w:sz w:val="24"/>
      <w:lang w:val="en-US" w:eastAsia="zh-CN"/>
    </w:rPr>
  </w:style>
  <w:style w:type="character" w:customStyle="1" w:styleId="43">
    <w:name w:val="font11"/>
    <w:basedOn w:val="30"/>
    <w:qFormat/>
    <w:uiPriority w:val="0"/>
    <w:rPr>
      <w:rFonts w:ascii="宋体" w:eastAsia="宋体" w:cs="宋体"/>
      <w:color w:val="000000"/>
      <w:sz w:val="22"/>
      <w:szCs w:val="22"/>
      <w:u w:val="none"/>
    </w:rPr>
  </w:style>
  <w:style w:type="character" w:customStyle="1" w:styleId="44">
    <w:name w:val="apple-tab-span"/>
    <w:basedOn w:val="30"/>
    <w:qFormat/>
    <w:uiPriority w:val="0"/>
  </w:style>
  <w:style w:type="character" w:customStyle="1" w:styleId="45">
    <w:name w:val="正文文本 Char"/>
    <w:basedOn w:val="30"/>
    <w:qFormat/>
    <w:uiPriority w:val="0"/>
    <w:rPr>
      <w:rFonts w:eastAsia="宋体"/>
      <w:lang w:val="en-US" w:eastAsia="zh-CN"/>
    </w:rPr>
  </w:style>
  <w:style w:type="character" w:customStyle="1" w:styleId="46">
    <w:name w:val="text"/>
    <w:basedOn w:val="30"/>
    <w:qFormat/>
    <w:uiPriority w:val="0"/>
  </w:style>
  <w:style w:type="character" w:customStyle="1" w:styleId="47">
    <w:name w:val="titlestyle10831"/>
    <w:basedOn w:val="30"/>
    <w:qFormat/>
    <w:uiPriority w:val="0"/>
    <w:rPr>
      <w:rFonts w:ascii="黑体" w:eastAsia="黑体"/>
      <w:b/>
      <w:bCs/>
      <w:sz w:val="36"/>
      <w:szCs w:val="36"/>
    </w:rPr>
  </w:style>
  <w:style w:type="character" w:customStyle="1" w:styleId="48">
    <w:name w:val="批注文字 字符"/>
    <w:basedOn w:val="30"/>
    <w:link w:val="9"/>
    <w:qFormat/>
    <w:uiPriority w:val="0"/>
    <w:rPr>
      <w:rFonts w:cs="Times New Roman"/>
    </w:rPr>
  </w:style>
  <w:style w:type="character" w:customStyle="1" w:styleId="49">
    <w:name w:val="批注主题 字符"/>
    <w:basedOn w:val="48"/>
    <w:link w:val="25"/>
    <w:qFormat/>
    <w:uiPriority w:val="0"/>
    <w:rPr>
      <w:rFonts w:cs="Times New Roman"/>
      <w:b/>
      <w:bCs/>
    </w:rPr>
  </w:style>
  <w:style w:type="character" w:customStyle="1" w:styleId="50">
    <w:name w:val="批注框文本 字符"/>
    <w:basedOn w:val="30"/>
    <w:link w:val="16"/>
    <w:qFormat/>
    <w:uiPriority w:val="0"/>
    <w:rPr>
      <w:rFonts w:ascii="宋体" w:cs="Times New Roman"/>
      <w:sz w:val="18"/>
      <w:szCs w:val="18"/>
    </w:rPr>
  </w:style>
  <w:style w:type="paragraph" w:customStyle="1" w:styleId="51">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GP正文(首行缩进)"/>
    <w:basedOn w:val="1"/>
    <w:qFormat/>
    <w:uiPriority w:val="0"/>
    <w:pPr>
      <w:spacing w:line="360" w:lineRule="auto"/>
      <w:ind w:firstLine="480"/>
      <w:jc w:val="left"/>
    </w:pPr>
    <w:rPr>
      <w:rFonts w:hAnsi="宋体"/>
      <w:sz w:val="24"/>
    </w:rPr>
  </w:style>
  <w:style w:type="character" w:customStyle="1" w:styleId="54">
    <w:name w:val="15"/>
    <w:qFormat/>
    <w:uiPriority w:val="0"/>
    <w:rPr>
      <w:rFonts w:ascii="仿宋" w:eastAsia="仿宋"/>
      <w:color w:val="auto"/>
      <w:sz w:val="32"/>
      <w:szCs w:val="32"/>
    </w:rPr>
  </w:style>
  <w:style w:type="character" w:customStyle="1" w:styleId="55">
    <w:name w:val="font71"/>
    <w:basedOn w:val="30"/>
    <w:qFormat/>
    <w:uiPriority w:val="0"/>
    <w:rPr>
      <w:rFonts w:hint="default" w:ascii="仿宋" w:hAnsi="仿宋" w:eastAsia="仿宋" w:cs="仿宋"/>
      <w:b/>
      <w:bCs/>
      <w:color w:val="000000"/>
      <w:sz w:val="24"/>
      <w:szCs w:val="24"/>
      <w:u w:val="none"/>
    </w:rPr>
  </w:style>
  <w:style w:type="character" w:customStyle="1" w:styleId="56">
    <w:name w:val="font61"/>
    <w:basedOn w:val="30"/>
    <w:qFormat/>
    <w:uiPriority w:val="0"/>
    <w:rPr>
      <w:rFonts w:hint="default" w:ascii="仿宋" w:hAnsi="仿宋" w:eastAsia="仿宋" w:cs="仿宋"/>
      <w:color w:val="000000"/>
      <w:sz w:val="20"/>
      <w:szCs w:val="20"/>
      <w:u w:val="none"/>
    </w:rPr>
  </w:style>
  <w:style w:type="character" w:customStyle="1" w:styleId="57">
    <w:name w:val="font31"/>
    <w:basedOn w:val="30"/>
    <w:qFormat/>
    <w:uiPriority w:val="0"/>
    <w:rPr>
      <w:rFonts w:hint="default"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13570</Words>
  <Characters>14756</Characters>
  <Lines>209</Lines>
  <Paragraphs>58</Paragraphs>
  <TotalTime>5</TotalTime>
  <ScaleCrop>false</ScaleCrop>
  <LinksUpToDate>false</LinksUpToDate>
  <CharactersWithSpaces>14915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2022-12-08T04:06:00Z</dcterms:created>
  <dc:creator>Administrator</dc:creator>
  <cp:lastModifiedBy>Administrator</cp:lastModifiedBy>
  <cp:lastPrinted>2022-12-09T07:47:00Z</cp:lastPrinted>
  <dcterms:modified xsi:type="dcterms:W3CDTF">2024-12-24T02:54:03Z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A5475D5AB65D4BC0BCBE3AFB3E67B690_13</vt:lpwstr>
  </property>
</Properties>
</file>