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5FFBD62">
      <w:pPr>
        <w:jc w:val="left"/>
        <w:rPr>
          <w:rFonts w:ascii="宋体" w:hAnsi="宋体"/>
          <w:b/>
          <w:bCs/>
          <w:color w:val="000000" w:themeColor="text1"/>
          <w:sz w:val="52"/>
          <w:u w:val="single"/>
          <w14:textFill>
            <w14:solidFill>
              <w14:schemeClr w14:val="tx1"/>
            </w14:solidFill>
          </w14:textFill>
        </w:rPr>
      </w:pPr>
      <w:r>
        <w:rPr>
          <w:rFonts w:hint="eastAsia" w:ascii="宋体" w:hAnsi="宋体"/>
          <w:b/>
          <w:bCs/>
          <w:color w:val="000000" w:themeColor="text1"/>
          <w:sz w:val="52"/>
          <w:u w:val="single"/>
          <w14:textFill>
            <w14:solidFill>
              <w14:schemeClr w14:val="tx1"/>
            </w14:solidFill>
          </w14:textFill>
        </w:rPr>
        <w:drawing>
          <wp:anchor distT="0" distB="0" distL="114300" distR="114300" simplePos="0" relativeHeight="251660288" behindDoc="0" locked="0" layoutInCell="1" allowOverlap="1">
            <wp:simplePos x="0" y="0"/>
            <wp:positionH relativeFrom="column">
              <wp:posOffset>-58420</wp:posOffset>
            </wp:positionH>
            <wp:positionV relativeFrom="paragraph">
              <wp:posOffset>50165</wp:posOffset>
            </wp:positionV>
            <wp:extent cx="5960745" cy="914400"/>
            <wp:effectExtent l="0" t="0" r="1905" b="0"/>
            <wp:wrapNone/>
            <wp:docPr id="1" name="图片 1" descr="9a65c16b1adb8612c0599324e99f80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9a65c16b1adb8612c0599324e99f80f"/>
                    <pic:cNvPicPr>
                      <a:picLocks noChangeAspect="1"/>
                    </pic:cNvPicPr>
                  </pic:nvPicPr>
                  <pic:blipFill>
                    <a:blip r:embed="rId10"/>
                    <a:stretch>
                      <a:fillRect/>
                    </a:stretch>
                  </pic:blipFill>
                  <pic:spPr>
                    <a:xfrm>
                      <a:off x="0" y="0"/>
                      <a:ext cx="5960745" cy="914400"/>
                    </a:xfrm>
                    <a:prstGeom prst="rect">
                      <a:avLst/>
                    </a:prstGeom>
                  </pic:spPr>
                </pic:pic>
              </a:graphicData>
            </a:graphic>
          </wp:anchor>
        </w:drawing>
      </w:r>
    </w:p>
    <w:p w14:paraId="7D210719">
      <w:pPr>
        <w:jc w:val="center"/>
        <w:rPr>
          <w:rFonts w:ascii="宋体" w:hAnsi="宋体"/>
          <w:b/>
          <w:bCs/>
          <w:color w:val="000000" w:themeColor="text1"/>
          <w:sz w:val="44"/>
          <w:szCs w:val="44"/>
          <w14:textFill>
            <w14:solidFill>
              <w14:schemeClr w14:val="tx1"/>
            </w14:solidFill>
          </w14:textFill>
        </w:rPr>
      </w:pPr>
    </w:p>
    <w:p w14:paraId="1D65474E">
      <w:pPr>
        <w:jc w:val="center"/>
        <w:rPr>
          <w:rFonts w:ascii="宋体" w:hAnsi="宋体"/>
          <w:b/>
          <w:bCs/>
          <w:color w:val="000000" w:themeColor="text1"/>
          <w:sz w:val="36"/>
          <w14:textFill>
            <w14:solidFill>
              <w14:schemeClr w14:val="tx1"/>
            </w14:solidFill>
          </w14:textFill>
        </w:rPr>
      </w:pPr>
    </w:p>
    <w:p w14:paraId="06B9CF1A">
      <w:pPr>
        <w:jc w:val="center"/>
        <w:rPr>
          <w:rFonts w:ascii="宋体" w:hAnsi="宋体"/>
          <w:b/>
          <w:bCs/>
          <w:color w:val="000000" w:themeColor="text1"/>
          <w:sz w:val="36"/>
          <w14:textFill>
            <w14:solidFill>
              <w14:schemeClr w14:val="tx1"/>
            </w14:solidFill>
          </w14:textFill>
        </w:rPr>
      </w:pPr>
    </w:p>
    <w:p w14:paraId="206BD10D">
      <w:pPr>
        <w:ind w:right="420" w:rightChars="200"/>
        <w:jc w:val="center"/>
        <w:rPr>
          <w:rFonts w:ascii="宋体" w:hAnsi="宋体" w:cs="宋体"/>
          <w:b/>
          <w:bCs/>
          <w:color w:val="333333"/>
          <w:sz w:val="48"/>
          <w:szCs w:val="48"/>
          <w:shd w:val="clear" w:color="auto" w:fill="FFFFFF"/>
        </w:rPr>
      </w:pPr>
    </w:p>
    <w:p w14:paraId="3F0D6B89">
      <w:pPr>
        <w:ind w:right="420" w:rightChars="200"/>
        <w:jc w:val="center"/>
        <w:rPr>
          <w:rFonts w:hint="eastAsia" w:ascii="宋体" w:hAnsi="宋体" w:eastAsia="宋体" w:cs="宋体"/>
          <w:b/>
          <w:bCs/>
          <w:color w:val="auto"/>
          <w:sz w:val="48"/>
          <w:szCs w:val="48"/>
          <w:shd w:val="clear" w:color="auto" w:fill="FFFFFF"/>
          <w:lang w:eastAsia="zh-CN"/>
        </w:rPr>
      </w:pPr>
      <w:r>
        <w:rPr>
          <w:rFonts w:hint="eastAsia" w:ascii="宋体" w:hAnsi="宋体" w:eastAsia="宋体" w:cs="宋体"/>
          <w:b/>
          <w:bCs/>
          <w:color w:val="auto"/>
          <w:sz w:val="48"/>
          <w:szCs w:val="48"/>
          <w:shd w:val="clear" w:color="auto" w:fill="FFFFFF"/>
          <w:lang w:eastAsia="zh-CN"/>
        </w:rPr>
        <w:t>2025年敦化市中央水库移民扶持基金项目资金</w:t>
      </w:r>
      <w:r>
        <w:rPr>
          <w:rFonts w:hint="eastAsia" w:ascii="宋体" w:hAnsi="宋体" w:eastAsia="宋体" w:cs="宋体"/>
          <w:b/>
          <w:bCs/>
          <w:color w:val="auto"/>
          <w:sz w:val="48"/>
          <w:szCs w:val="48"/>
          <w:shd w:val="clear" w:color="auto" w:fill="FFFFFF"/>
          <w:lang w:val="en-US" w:eastAsia="zh-CN"/>
        </w:rPr>
        <w:t>十二标段双河口村农业基础设施建设工程</w:t>
      </w:r>
    </w:p>
    <w:p w14:paraId="5D6421F2">
      <w:pPr>
        <w:jc w:val="center"/>
        <w:rPr>
          <w:rFonts w:ascii="宋体" w:hAnsi="宋体"/>
          <w:b/>
          <w:bCs/>
          <w:color w:val="auto"/>
          <w:sz w:val="72"/>
          <w:szCs w:val="72"/>
        </w:rPr>
      </w:pPr>
    </w:p>
    <w:p w14:paraId="15AF50A6">
      <w:pPr>
        <w:jc w:val="center"/>
        <w:rPr>
          <w:rFonts w:ascii="宋体" w:hAnsi="宋体"/>
          <w:b/>
          <w:bCs/>
          <w:color w:val="000000" w:themeColor="text1"/>
          <w:sz w:val="20"/>
          <w:szCs w:val="20"/>
          <w14:textFill>
            <w14:solidFill>
              <w14:schemeClr w14:val="tx1"/>
            </w14:solidFill>
          </w14:textFill>
        </w:rPr>
      </w:pPr>
      <w:r>
        <w:rPr>
          <w:rFonts w:hint="eastAsia" w:ascii="宋体" w:hAnsi="宋体"/>
          <w:b/>
          <w:bCs/>
          <w:color w:val="000000" w:themeColor="text1"/>
          <w:sz w:val="72"/>
          <w:szCs w:val="72"/>
          <w14:textFill>
            <w14:solidFill>
              <w14:schemeClr w14:val="tx1"/>
            </w14:solidFill>
          </w14:textFill>
        </w:rPr>
        <w:t>竞争性磋商文件</w:t>
      </w:r>
    </w:p>
    <w:p w14:paraId="538431AB">
      <w:pPr>
        <w:rPr>
          <w:rFonts w:ascii="宋体" w:hAnsi="宋体"/>
          <w:b/>
          <w:bCs/>
          <w:color w:val="000000" w:themeColor="text1"/>
          <w:sz w:val="32"/>
          <w14:textFill>
            <w14:solidFill>
              <w14:schemeClr w14:val="tx1"/>
            </w14:solidFill>
          </w14:textFill>
        </w:rPr>
      </w:pPr>
    </w:p>
    <w:p w14:paraId="1444E068">
      <w:pPr>
        <w:ind w:firstLine="1108" w:firstLineChars="345"/>
        <w:rPr>
          <w:rFonts w:ascii="宋体" w:hAnsi="宋体"/>
          <w:b/>
          <w:bCs/>
          <w:color w:val="000000" w:themeColor="text1"/>
          <w:sz w:val="32"/>
          <w14:textFill>
            <w14:solidFill>
              <w14:schemeClr w14:val="tx1"/>
            </w14:solidFill>
          </w14:textFill>
        </w:rPr>
      </w:pPr>
    </w:p>
    <w:p w14:paraId="455ACB35">
      <w:pPr>
        <w:ind w:firstLine="1108" w:firstLineChars="345"/>
        <w:rPr>
          <w:rFonts w:ascii="宋体" w:hAnsi="宋体"/>
          <w:b/>
          <w:bCs/>
          <w:color w:val="000000" w:themeColor="text1"/>
          <w:sz w:val="32"/>
          <w14:textFill>
            <w14:solidFill>
              <w14:schemeClr w14:val="tx1"/>
            </w14:solidFill>
          </w14:textFill>
        </w:rPr>
      </w:pPr>
    </w:p>
    <w:p w14:paraId="6418EBCE">
      <w:pPr>
        <w:ind w:firstLine="1108" w:firstLineChars="345"/>
        <w:rPr>
          <w:rFonts w:ascii="宋体" w:hAnsi="宋体"/>
          <w:b/>
          <w:bCs/>
          <w:color w:val="000000" w:themeColor="text1"/>
          <w:sz w:val="32"/>
          <w14:textFill>
            <w14:solidFill>
              <w14:schemeClr w14:val="tx1"/>
            </w14:solidFill>
          </w14:textFill>
        </w:rPr>
      </w:pPr>
    </w:p>
    <w:p w14:paraId="53BFCCAB">
      <w:pPr>
        <w:jc w:val="center"/>
        <w:rPr>
          <w:rFonts w:ascii="宋体" w:hAnsi="宋体"/>
          <w:b/>
          <w:bCs/>
          <w:color w:val="000000" w:themeColor="text1"/>
          <w:sz w:val="32"/>
          <w14:textFill>
            <w14:solidFill>
              <w14:schemeClr w14:val="tx1"/>
            </w14:solidFill>
          </w14:textFill>
        </w:rPr>
      </w:pPr>
    </w:p>
    <w:p w14:paraId="5BB1EEF2">
      <w:pPr>
        <w:jc w:val="center"/>
        <w:rPr>
          <w:rFonts w:ascii="宋体" w:hAnsi="宋体"/>
          <w:b/>
          <w:bCs/>
          <w:color w:val="000000" w:themeColor="text1"/>
          <w:sz w:val="32"/>
          <w14:textFill>
            <w14:solidFill>
              <w14:schemeClr w14:val="tx1"/>
            </w14:solidFill>
          </w14:textFill>
        </w:rPr>
      </w:pPr>
    </w:p>
    <w:p w14:paraId="155F26AF">
      <w:pPr>
        <w:ind w:firstLine="321" w:firstLineChars="100"/>
        <w:jc w:val="left"/>
        <w:rPr>
          <w:rFonts w:hint="default" w:ascii="宋体" w:hAnsi="宋体" w:eastAsia="宋体"/>
          <w:b/>
          <w:bCs/>
          <w:color w:val="000000" w:themeColor="text1"/>
          <w:sz w:val="32"/>
          <w:lang w:val="en-US" w:eastAsia="zh-CN"/>
          <w14:textFill>
            <w14:solidFill>
              <w14:schemeClr w14:val="tx1"/>
            </w14:solidFill>
          </w14:textFill>
        </w:rPr>
      </w:pPr>
      <w:r>
        <w:rPr>
          <w:rFonts w:hint="eastAsia" w:ascii="宋体" w:hAnsi="宋体"/>
          <w:b/>
          <w:bCs/>
          <w:color w:val="000000" w:themeColor="text1"/>
          <w:sz w:val="32"/>
          <w:lang w:eastAsia="zh-CN"/>
          <w14:textFill>
            <w14:solidFill>
              <w14:schemeClr w14:val="tx1"/>
            </w14:solidFill>
          </w14:textFill>
        </w:rPr>
        <w:t>磋商</w:t>
      </w:r>
      <w:r>
        <w:rPr>
          <w:rFonts w:hint="eastAsia" w:ascii="宋体" w:hAnsi="宋体"/>
          <w:b/>
          <w:bCs/>
          <w:color w:val="000000" w:themeColor="text1"/>
          <w:sz w:val="32"/>
          <w14:textFill>
            <w14:solidFill>
              <w14:schemeClr w14:val="tx1"/>
            </w14:solidFill>
          </w14:textFill>
        </w:rPr>
        <w:t>项目编号：</w:t>
      </w:r>
      <w:r>
        <w:rPr>
          <w:rFonts w:hint="eastAsia" w:ascii="宋体" w:hAnsi="宋体"/>
          <w:b/>
          <w:bCs/>
          <w:color w:val="000000" w:themeColor="text1"/>
          <w:sz w:val="32"/>
          <w:lang w:eastAsia="zh-CN"/>
          <w14:textFill>
            <w14:solidFill>
              <w14:schemeClr w14:val="tx1"/>
            </w14:solidFill>
          </w14:textFill>
        </w:rPr>
        <w:t>SL-ZC2025-002</w:t>
      </w:r>
      <w:r>
        <w:rPr>
          <w:rFonts w:hint="eastAsia" w:ascii="宋体" w:hAnsi="宋体"/>
          <w:b/>
          <w:bCs/>
          <w:color w:val="000000" w:themeColor="text1"/>
          <w:sz w:val="32"/>
          <w:lang w:val="en-US" w:eastAsia="zh-CN"/>
          <w14:textFill>
            <w14:solidFill>
              <w14:schemeClr w14:val="tx1"/>
            </w14:solidFill>
          </w14:textFill>
        </w:rPr>
        <w:t>6</w:t>
      </w:r>
      <w:r>
        <w:rPr>
          <w:rFonts w:hint="eastAsia" w:ascii="宋体" w:hAnsi="宋体"/>
          <w:b/>
          <w:bCs/>
          <w:color w:val="000000" w:themeColor="text1"/>
          <w:sz w:val="32"/>
          <w14:textFill>
            <w14:solidFill>
              <w14:schemeClr w14:val="tx1"/>
            </w14:solidFill>
          </w14:textFill>
        </w:rPr>
        <w:t>-</w:t>
      </w:r>
      <w:r>
        <w:rPr>
          <w:rFonts w:hint="eastAsia" w:ascii="宋体" w:hAnsi="宋体"/>
          <w:b/>
          <w:bCs/>
          <w:color w:val="000000" w:themeColor="text1"/>
          <w:sz w:val="32"/>
          <w:lang w:val="en-US" w:eastAsia="zh-CN"/>
          <w14:textFill>
            <w14:solidFill>
              <w14:schemeClr w14:val="tx1"/>
            </w14:solidFill>
          </w14:textFill>
        </w:rPr>
        <w:t>12</w:t>
      </w:r>
    </w:p>
    <w:p w14:paraId="6CA17589">
      <w:pPr>
        <w:jc w:val="left"/>
        <w:rPr>
          <w:rFonts w:ascii="宋体" w:hAnsi="宋体"/>
          <w:b/>
          <w:bCs/>
          <w:color w:val="000000" w:themeColor="text1"/>
          <w:sz w:val="32"/>
          <w14:textFill>
            <w14:solidFill>
              <w14:schemeClr w14:val="tx1"/>
            </w14:solidFill>
          </w14:textFill>
        </w:rPr>
      </w:pPr>
    </w:p>
    <w:p w14:paraId="7DB1902B">
      <w:pPr>
        <w:ind w:left="1608" w:leftChars="154" w:hanging="1285" w:hangingChars="400"/>
        <w:jc w:val="left"/>
        <w:rPr>
          <w:rFonts w:ascii="宋体" w:hAnsi="宋体"/>
          <w:b/>
          <w:bCs/>
          <w:color w:val="000000" w:themeColor="text1"/>
          <w:sz w:val="32"/>
          <w:highlight w:val="none"/>
          <w14:textFill>
            <w14:solidFill>
              <w14:schemeClr w14:val="tx1"/>
            </w14:solidFill>
          </w14:textFill>
        </w:rPr>
      </w:pPr>
      <w:r>
        <w:rPr>
          <w:rFonts w:hint="eastAsia" w:ascii="宋体" w:hAnsi="宋体"/>
          <w:b/>
          <w:bCs/>
          <w:color w:val="000000" w:themeColor="text1"/>
          <w:sz w:val="32"/>
          <w:highlight w:val="none"/>
          <w:lang w:eastAsia="zh-CN"/>
          <w14:textFill>
            <w14:solidFill>
              <w14:schemeClr w14:val="tx1"/>
            </w14:solidFill>
          </w14:textFill>
        </w:rPr>
        <w:t>采购人</w:t>
      </w:r>
      <w:r>
        <w:rPr>
          <w:rFonts w:hint="eastAsia" w:ascii="宋体" w:hAnsi="宋体"/>
          <w:b/>
          <w:bCs/>
          <w:color w:val="000000" w:themeColor="text1"/>
          <w:sz w:val="32"/>
          <w:highlight w:val="none"/>
          <w14:textFill>
            <w14:solidFill>
              <w14:schemeClr w14:val="tx1"/>
            </w14:solidFill>
          </w14:textFill>
        </w:rPr>
        <w:t>：敦化市水库移民管理局</w:t>
      </w:r>
    </w:p>
    <w:p w14:paraId="58166EE8">
      <w:pPr>
        <w:jc w:val="left"/>
        <w:rPr>
          <w:rFonts w:ascii="宋体" w:hAnsi="宋体"/>
          <w:b/>
          <w:bCs/>
          <w:color w:val="000000" w:themeColor="text1"/>
          <w:sz w:val="32"/>
          <w:highlight w:val="none"/>
          <w14:textFill>
            <w14:solidFill>
              <w14:schemeClr w14:val="tx1"/>
            </w14:solidFill>
          </w14:textFill>
        </w:rPr>
      </w:pPr>
    </w:p>
    <w:p w14:paraId="7B97C74D">
      <w:pPr>
        <w:ind w:firstLine="321" w:firstLineChars="100"/>
        <w:jc w:val="left"/>
        <w:rPr>
          <w:rFonts w:ascii="宋体" w:hAnsi="宋体"/>
          <w:b/>
          <w:bCs/>
          <w:color w:val="000000" w:themeColor="text1"/>
          <w:sz w:val="32"/>
          <w:highlight w:val="none"/>
          <w14:textFill>
            <w14:solidFill>
              <w14:schemeClr w14:val="tx1"/>
            </w14:solidFill>
          </w14:textFill>
        </w:rPr>
      </w:pPr>
      <w:r>
        <w:rPr>
          <w:rFonts w:hint="eastAsia" w:ascii="宋体" w:hAnsi="宋体"/>
          <w:b/>
          <w:bCs/>
          <w:color w:val="000000" w:themeColor="text1"/>
          <w:sz w:val="32"/>
          <w:highlight w:val="none"/>
          <w:lang w:eastAsia="zh-CN"/>
          <w14:textFill>
            <w14:solidFill>
              <w14:schemeClr w14:val="tx1"/>
            </w14:solidFill>
          </w14:textFill>
        </w:rPr>
        <w:t>采购代理机构</w:t>
      </w:r>
      <w:r>
        <w:rPr>
          <w:rFonts w:hint="eastAsia" w:ascii="宋体" w:hAnsi="宋体"/>
          <w:b/>
          <w:bCs/>
          <w:color w:val="000000" w:themeColor="text1"/>
          <w:sz w:val="32"/>
          <w:highlight w:val="none"/>
          <w14:textFill>
            <w14:solidFill>
              <w14:schemeClr w14:val="tx1"/>
            </w14:solidFill>
          </w14:textFill>
        </w:rPr>
        <w:t>：上励建设工程有限公司</w:t>
      </w:r>
    </w:p>
    <w:p w14:paraId="63852273">
      <w:pPr>
        <w:rPr>
          <w:rFonts w:ascii="宋体" w:hAnsi="宋体"/>
          <w:b/>
          <w:bCs/>
          <w:color w:val="000000" w:themeColor="text1"/>
          <w:sz w:val="32"/>
          <w14:textFill>
            <w14:solidFill>
              <w14:schemeClr w14:val="tx1"/>
            </w14:solidFill>
          </w14:textFill>
        </w:rPr>
      </w:pPr>
    </w:p>
    <w:p w14:paraId="704A44B0">
      <w:pPr>
        <w:rPr>
          <w:rFonts w:ascii="宋体" w:hAnsi="宋体"/>
          <w:b/>
          <w:bCs/>
          <w:color w:val="000000" w:themeColor="text1"/>
          <w:sz w:val="32"/>
          <w14:textFill>
            <w14:solidFill>
              <w14:schemeClr w14:val="tx1"/>
            </w14:solidFill>
          </w14:textFill>
        </w:rPr>
      </w:pPr>
    </w:p>
    <w:p w14:paraId="15A151DD">
      <w:pPr>
        <w:jc w:val="center"/>
        <w:rPr>
          <w:rFonts w:ascii="宋体" w:hAnsi="宋体"/>
          <w:b/>
          <w:bCs/>
          <w:color w:val="000000" w:themeColor="text1"/>
          <w:sz w:val="32"/>
          <w14:textFill>
            <w14:solidFill>
              <w14:schemeClr w14:val="tx1"/>
            </w14:solidFill>
          </w14:textFill>
        </w:rPr>
      </w:pPr>
      <w:r>
        <w:rPr>
          <w:rFonts w:hint="eastAsia" w:ascii="宋体" w:hAnsi="宋体"/>
          <w:b/>
          <w:bCs/>
          <w:color w:val="000000" w:themeColor="text1"/>
          <w:sz w:val="32"/>
          <w14:textFill>
            <w14:solidFill>
              <w14:schemeClr w14:val="tx1"/>
            </w14:solidFill>
          </w14:textFill>
        </w:rPr>
        <w:t>二〇二</w:t>
      </w:r>
      <w:r>
        <w:rPr>
          <w:rFonts w:hint="eastAsia" w:ascii="宋体" w:hAnsi="宋体"/>
          <w:b/>
          <w:bCs/>
          <w:color w:val="000000" w:themeColor="text1"/>
          <w:sz w:val="32"/>
          <w:lang w:val="en-US" w:eastAsia="zh-CN"/>
          <w14:textFill>
            <w14:solidFill>
              <w14:schemeClr w14:val="tx1"/>
            </w14:solidFill>
          </w14:textFill>
        </w:rPr>
        <w:t>五</w:t>
      </w:r>
      <w:r>
        <w:rPr>
          <w:rFonts w:hint="eastAsia" w:ascii="宋体" w:hAnsi="宋体"/>
          <w:b/>
          <w:bCs/>
          <w:color w:val="000000" w:themeColor="text1"/>
          <w:sz w:val="32"/>
          <w14:textFill>
            <w14:solidFill>
              <w14:schemeClr w14:val="tx1"/>
            </w14:solidFill>
          </w14:textFill>
        </w:rPr>
        <w:t>年四月</w:t>
      </w:r>
    </w:p>
    <w:p w14:paraId="73AB9CBC">
      <w:pPr>
        <w:spacing w:line="480" w:lineRule="auto"/>
        <w:rPr>
          <w:rFonts w:ascii="宋体" w:hAnsi="宋体"/>
          <w:sz w:val="48"/>
        </w:rPr>
        <w:sectPr>
          <w:footerReference r:id="rId3" w:type="default"/>
          <w:pgSz w:w="11906" w:h="16838"/>
          <w:pgMar w:top="1134" w:right="1134" w:bottom="1134" w:left="1417" w:header="0" w:footer="567" w:gutter="0"/>
          <w:pgNumType w:start="1"/>
          <w:cols w:space="720" w:num="1"/>
          <w:docGrid w:linePitch="312" w:charSpace="0"/>
        </w:sectPr>
      </w:pPr>
    </w:p>
    <w:sdt>
      <w:sdtPr>
        <w:rPr>
          <w:rFonts w:ascii="宋体" w:hAnsi="宋体"/>
          <w:color w:val="000000"/>
          <w:sz w:val="48"/>
        </w:rPr>
        <w:id w:val="147482062"/>
        <w:docPartObj>
          <w:docPartGallery w:val="Table of Contents"/>
          <w:docPartUnique/>
        </w:docPartObj>
      </w:sdtPr>
      <w:sdtEndPr>
        <w:rPr>
          <w:rFonts w:ascii="宋体" w:hAnsi="宋体" w:cs="宋体"/>
          <w:bCs/>
          <w:color w:val="000000" w:themeColor="text1"/>
          <w:sz w:val="28"/>
          <w14:textFill>
            <w14:solidFill>
              <w14:schemeClr w14:val="tx1"/>
            </w14:solidFill>
          </w14:textFill>
        </w:rPr>
      </w:sdtEndPr>
      <w:sdtContent>
        <w:p w14:paraId="00348060">
          <w:pPr>
            <w:spacing w:line="480" w:lineRule="auto"/>
            <w:jc w:val="center"/>
            <w:rPr>
              <w:sz w:val="48"/>
            </w:rPr>
          </w:pPr>
          <w:r>
            <w:rPr>
              <w:rFonts w:ascii="宋体" w:hAnsi="宋体"/>
              <w:sz w:val="48"/>
            </w:rPr>
            <w:t>目录</w:t>
          </w:r>
        </w:p>
        <w:p w14:paraId="07F6B31E">
          <w:pPr>
            <w:pStyle w:val="59"/>
            <w:tabs>
              <w:tab w:val="right" w:leader="dot" w:pos="9355"/>
            </w:tabs>
          </w:pPr>
          <w:r>
            <w:rPr>
              <w:rFonts w:ascii="宋体" w:hAnsi="宋体"/>
              <w:color w:val="000000" w:themeColor="text1"/>
              <w:sz w:val="28"/>
              <w14:textFill>
                <w14:solidFill>
                  <w14:schemeClr w14:val="tx1"/>
                </w14:solidFill>
              </w14:textFill>
            </w:rPr>
            <w:fldChar w:fldCharType="begin"/>
          </w:r>
          <w:r>
            <w:rPr>
              <w:rFonts w:ascii="宋体" w:hAnsi="宋体"/>
              <w:color w:val="000000" w:themeColor="text1"/>
              <w:sz w:val="28"/>
              <w14:textFill>
                <w14:solidFill>
                  <w14:schemeClr w14:val="tx1"/>
                </w14:solidFill>
              </w14:textFill>
            </w:rPr>
            <w:instrText xml:space="preserve">TOC \o "1-1" \h \u </w:instrText>
          </w:r>
          <w:r>
            <w:rPr>
              <w:rFonts w:ascii="宋体" w:hAnsi="宋体"/>
              <w:color w:val="000000" w:themeColor="text1"/>
              <w:sz w:val="28"/>
              <w14:textFill>
                <w14:solidFill>
                  <w14:schemeClr w14:val="tx1"/>
                </w14:solidFill>
              </w14:textFill>
            </w:rPr>
            <w:fldChar w:fldCharType="separate"/>
          </w:r>
          <w:r>
            <w:fldChar w:fldCharType="begin"/>
          </w:r>
          <w:r>
            <w:instrText xml:space="preserve"> HYPERLINK \l "_Toc1193" </w:instrText>
          </w:r>
          <w:r>
            <w:fldChar w:fldCharType="separate"/>
          </w:r>
          <w:r>
            <w:rPr>
              <w:rFonts w:hint="eastAsia"/>
            </w:rPr>
            <w:t>第一章</w:t>
          </w:r>
          <w:r>
            <w:rPr>
              <w:rFonts w:hint="eastAsia"/>
              <w:lang w:val="en-US" w:eastAsia="zh-CN"/>
            </w:rPr>
            <w:t xml:space="preserve"> </w:t>
          </w:r>
          <w:r>
            <w:rPr>
              <w:rFonts w:hint="eastAsia"/>
            </w:rPr>
            <w:t xml:space="preserve"> </w:t>
          </w:r>
          <w:r>
            <w:rPr>
              <w:rFonts w:hint="eastAsia" w:ascii="华文中宋" w:hAnsi="华文中宋" w:eastAsia="华文中宋"/>
            </w:rPr>
            <w:t>竞争性磋商公告</w:t>
          </w:r>
          <w:r>
            <w:tab/>
          </w:r>
          <w:r>
            <w:fldChar w:fldCharType="begin"/>
          </w:r>
          <w:r>
            <w:instrText xml:space="preserve"> PAGEREF _Toc1193 \h </w:instrText>
          </w:r>
          <w:r>
            <w:fldChar w:fldCharType="separate"/>
          </w:r>
          <w:r>
            <w:t>1</w:t>
          </w:r>
          <w:r>
            <w:fldChar w:fldCharType="end"/>
          </w:r>
          <w:r>
            <w:fldChar w:fldCharType="end"/>
          </w:r>
        </w:p>
        <w:p w14:paraId="78FBADEC">
          <w:pPr>
            <w:pStyle w:val="59"/>
            <w:tabs>
              <w:tab w:val="right" w:leader="dot" w:pos="9355"/>
            </w:tabs>
          </w:pPr>
          <w:r>
            <w:fldChar w:fldCharType="begin"/>
          </w:r>
          <w:r>
            <w:instrText xml:space="preserve"> HYPERLINK \l "_Toc11544" </w:instrText>
          </w:r>
          <w:r>
            <w:fldChar w:fldCharType="separate"/>
          </w:r>
          <w:r>
            <w:rPr>
              <w:rFonts w:hint="eastAsia"/>
              <w:szCs w:val="36"/>
            </w:rPr>
            <w:t xml:space="preserve">第二章  </w:t>
          </w:r>
          <w:r>
            <w:rPr>
              <w:rFonts w:hint="eastAsia"/>
              <w:szCs w:val="36"/>
              <w:lang w:eastAsia="zh-CN"/>
            </w:rPr>
            <w:t>供应商</w:t>
          </w:r>
          <w:r>
            <w:rPr>
              <w:rFonts w:hint="eastAsia"/>
              <w:szCs w:val="36"/>
            </w:rPr>
            <w:t>须知</w:t>
          </w:r>
          <w:r>
            <w:tab/>
          </w:r>
          <w:r>
            <w:fldChar w:fldCharType="begin"/>
          </w:r>
          <w:r>
            <w:instrText xml:space="preserve"> PAGEREF _Toc11544 \h </w:instrText>
          </w:r>
          <w:r>
            <w:fldChar w:fldCharType="separate"/>
          </w:r>
          <w:r>
            <w:t>5</w:t>
          </w:r>
          <w:r>
            <w:fldChar w:fldCharType="end"/>
          </w:r>
          <w:r>
            <w:fldChar w:fldCharType="end"/>
          </w:r>
        </w:p>
        <w:p w14:paraId="4B19D0D7">
          <w:pPr>
            <w:pStyle w:val="59"/>
            <w:tabs>
              <w:tab w:val="right" w:leader="dot" w:pos="9355"/>
            </w:tabs>
          </w:pPr>
          <w:r>
            <w:fldChar w:fldCharType="begin"/>
          </w:r>
          <w:r>
            <w:instrText xml:space="preserve"> HYPERLINK \l "_Toc29881" </w:instrText>
          </w:r>
          <w:r>
            <w:fldChar w:fldCharType="separate"/>
          </w:r>
          <w:r>
            <w:rPr>
              <w:rFonts w:hint="eastAsia" w:ascii="Times New Roman" w:hAnsi="Times New Roman"/>
              <w:kern w:val="44"/>
              <w:szCs w:val="36"/>
            </w:rPr>
            <w:t>第三章</w:t>
          </w:r>
          <w:r>
            <w:rPr>
              <w:rFonts w:hint="eastAsia" w:ascii="Times New Roman" w:hAnsi="Times New Roman"/>
              <w:kern w:val="44"/>
              <w:szCs w:val="36"/>
              <w:lang w:val="en-US" w:eastAsia="zh-CN"/>
            </w:rPr>
            <w:t xml:space="preserve"> </w:t>
          </w:r>
          <w:r>
            <w:rPr>
              <w:rFonts w:hint="eastAsia" w:ascii="Times New Roman" w:hAnsi="Times New Roman"/>
              <w:kern w:val="44"/>
              <w:szCs w:val="36"/>
            </w:rPr>
            <w:t xml:space="preserve"> 评标办法（综合评分法）</w:t>
          </w:r>
          <w:r>
            <w:tab/>
          </w:r>
          <w:r>
            <w:fldChar w:fldCharType="begin"/>
          </w:r>
          <w:r>
            <w:instrText xml:space="preserve"> PAGEREF _Toc29881 \h </w:instrText>
          </w:r>
          <w:r>
            <w:fldChar w:fldCharType="separate"/>
          </w:r>
          <w:r>
            <w:t>28</w:t>
          </w:r>
          <w:r>
            <w:fldChar w:fldCharType="end"/>
          </w:r>
          <w:r>
            <w:fldChar w:fldCharType="end"/>
          </w:r>
        </w:p>
        <w:p w14:paraId="50B5B4A0">
          <w:pPr>
            <w:pStyle w:val="59"/>
            <w:tabs>
              <w:tab w:val="right" w:leader="dot" w:pos="9355"/>
            </w:tabs>
          </w:pPr>
          <w:r>
            <w:fldChar w:fldCharType="begin"/>
          </w:r>
          <w:r>
            <w:instrText xml:space="preserve"> HYPERLINK \l "_Toc19580" </w:instrText>
          </w:r>
          <w:r>
            <w:fldChar w:fldCharType="separate"/>
          </w:r>
          <w:r>
            <w:rPr>
              <w:rFonts w:hint="eastAsia"/>
              <w:szCs w:val="36"/>
            </w:rPr>
            <w:t>第四章</w:t>
          </w:r>
          <w:r>
            <w:rPr>
              <w:rFonts w:hint="eastAsia"/>
              <w:szCs w:val="36"/>
              <w:lang w:val="en-US" w:eastAsia="zh-CN"/>
            </w:rPr>
            <w:t xml:space="preserve">  </w:t>
          </w:r>
          <w:r>
            <w:rPr>
              <w:rFonts w:hint="eastAsia" w:ascii="Times New Roman" w:hAnsi="Times New Roman"/>
              <w:szCs w:val="36"/>
            </w:rPr>
            <w:t>合同条款及格式</w:t>
          </w:r>
          <w:r>
            <w:tab/>
          </w:r>
          <w:r>
            <w:fldChar w:fldCharType="begin"/>
          </w:r>
          <w:r>
            <w:instrText xml:space="preserve"> PAGEREF _Toc19580 \h </w:instrText>
          </w:r>
          <w:r>
            <w:fldChar w:fldCharType="separate"/>
          </w:r>
          <w:r>
            <w:t>36</w:t>
          </w:r>
          <w:r>
            <w:fldChar w:fldCharType="end"/>
          </w:r>
          <w:r>
            <w:fldChar w:fldCharType="end"/>
          </w:r>
        </w:p>
        <w:p w14:paraId="07F493D8">
          <w:pPr>
            <w:pStyle w:val="59"/>
            <w:tabs>
              <w:tab w:val="right" w:leader="dot" w:pos="9355"/>
            </w:tabs>
          </w:pPr>
          <w:r>
            <w:fldChar w:fldCharType="begin"/>
          </w:r>
          <w:r>
            <w:instrText xml:space="preserve"> HYPERLINK \l "_Toc9453" </w:instrText>
          </w:r>
          <w:r>
            <w:fldChar w:fldCharType="separate"/>
          </w:r>
          <w:r>
            <w:rPr>
              <w:rFonts w:hint="eastAsia"/>
              <w:szCs w:val="36"/>
            </w:rPr>
            <w:t>第五章  工程量清单</w:t>
          </w:r>
          <w:r>
            <w:tab/>
          </w:r>
          <w:r>
            <w:fldChar w:fldCharType="begin"/>
          </w:r>
          <w:r>
            <w:instrText xml:space="preserve"> PAGEREF _Toc9453 \h </w:instrText>
          </w:r>
          <w:r>
            <w:fldChar w:fldCharType="separate"/>
          </w:r>
          <w:r>
            <w:t>104</w:t>
          </w:r>
          <w:r>
            <w:fldChar w:fldCharType="end"/>
          </w:r>
          <w:r>
            <w:fldChar w:fldCharType="end"/>
          </w:r>
        </w:p>
        <w:p w14:paraId="407DC682">
          <w:pPr>
            <w:pStyle w:val="59"/>
            <w:tabs>
              <w:tab w:val="right" w:leader="dot" w:pos="9355"/>
            </w:tabs>
          </w:pPr>
          <w:r>
            <w:fldChar w:fldCharType="begin"/>
          </w:r>
          <w:r>
            <w:instrText xml:space="preserve"> HYPERLINK \l "_Toc31068" </w:instrText>
          </w:r>
          <w:r>
            <w:fldChar w:fldCharType="separate"/>
          </w:r>
          <w:r>
            <w:rPr>
              <w:rFonts w:hint="eastAsia"/>
              <w:szCs w:val="36"/>
            </w:rPr>
            <w:t>第六章</w:t>
          </w:r>
          <w:r>
            <w:rPr>
              <w:rFonts w:hint="eastAsia"/>
              <w:szCs w:val="36"/>
              <w:lang w:val="en-US" w:eastAsia="zh-CN"/>
            </w:rPr>
            <w:t xml:space="preserve"> </w:t>
          </w:r>
          <w:r>
            <w:rPr>
              <w:rFonts w:hint="eastAsia"/>
              <w:szCs w:val="36"/>
            </w:rPr>
            <w:t xml:space="preserve"> 图  纸</w:t>
          </w:r>
          <w:r>
            <w:tab/>
          </w:r>
          <w:r>
            <w:fldChar w:fldCharType="begin"/>
          </w:r>
          <w:r>
            <w:instrText xml:space="preserve"> PAGEREF _Toc31068 \h </w:instrText>
          </w:r>
          <w:r>
            <w:fldChar w:fldCharType="separate"/>
          </w:r>
          <w:r>
            <w:t>105</w:t>
          </w:r>
          <w:r>
            <w:fldChar w:fldCharType="end"/>
          </w:r>
          <w:r>
            <w:fldChar w:fldCharType="end"/>
          </w:r>
        </w:p>
        <w:p w14:paraId="3D304E44">
          <w:pPr>
            <w:pStyle w:val="59"/>
            <w:tabs>
              <w:tab w:val="right" w:leader="dot" w:pos="9355"/>
            </w:tabs>
          </w:pPr>
          <w:r>
            <w:fldChar w:fldCharType="begin"/>
          </w:r>
          <w:r>
            <w:instrText xml:space="preserve"> HYPERLINK \l "_Toc11261" </w:instrText>
          </w:r>
          <w:r>
            <w:fldChar w:fldCharType="separate"/>
          </w:r>
          <w:r>
            <w:rPr>
              <w:rFonts w:hint="eastAsia"/>
              <w:szCs w:val="36"/>
            </w:rPr>
            <w:t>第七章  技术标准和要求</w:t>
          </w:r>
          <w:r>
            <w:tab/>
          </w:r>
          <w:r>
            <w:fldChar w:fldCharType="begin"/>
          </w:r>
          <w:r>
            <w:instrText xml:space="preserve"> PAGEREF _Toc11261 \h </w:instrText>
          </w:r>
          <w:r>
            <w:fldChar w:fldCharType="separate"/>
          </w:r>
          <w:r>
            <w:t>106</w:t>
          </w:r>
          <w:r>
            <w:fldChar w:fldCharType="end"/>
          </w:r>
          <w:r>
            <w:fldChar w:fldCharType="end"/>
          </w:r>
        </w:p>
        <w:p w14:paraId="5D897C10">
          <w:pPr>
            <w:pStyle w:val="59"/>
            <w:tabs>
              <w:tab w:val="right" w:leader="dot" w:pos="9355"/>
            </w:tabs>
          </w:pPr>
          <w:r>
            <w:fldChar w:fldCharType="begin"/>
          </w:r>
          <w:r>
            <w:instrText xml:space="preserve"> HYPERLINK \l "_Toc26814" </w:instrText>
          </w:r>
          <w:r>
            <w:fldChar w:fldCharType="separate"/>
          </w:r>
          <w:r>
            <w:rPr>
              <w:rFonts w:hint="eastAsia"/>
              <w:szCs w:val="36"/>
            </w:rPr>
            <w:t>第八章  响应文件格式</w:t>
          </w:r>
          <w:r>
            <w:tab/>
          </w:r>
          <w:r>
            <w:fldChar w:fldCharType="begin"/>
          </w:r>
          <w:r>
            <w:instrText xml:space="preserve"> PAGEREF _Toc26814 \h </w:instrText>
          </w:r>
          <w:r>
            <w:fldChar w:fldCharType="separate"/>
          </w:r>
          <w:r>
            <w:t>107</w:t>
          </w:r>
          <w:r>
            <w:fldChar w:fldCharType="end"/>
          </w:r>
          <w:r>
            <w:fldChar w:fldCharType="end"/>
          </w:r>
        </w:p>
        <w:p w14:paraId="32167DF4">
          <w:pPr>
            <w:pStyle w:val="146"/>
            <w:spacing w:line="480" w:lineRule="auto"/>
            <w:rPr>
              <w:rFonts w:hAnsi="宋体"/>
              <w:bCs/>
              <w:color w:val="000000" w:themeColor="text1"/>
              <w14:textFill>
                <w14:solidFill>
                  <w14:schemeClr w14:val="tx1"/>
                </w14:solidFill>
              </w14:textFill>
            </w:rPr>
            <w:sectPr>
              <w:footerReference r:id="rId4" w:type="default"/>
              <w:pgSz w:w="11906" w:h="16838"/>
              <w:pgMar w:top="1134" w:right="1134" w:bottom="1134" w:left="1417" w:header="0" w:footer="567" w:gutter="0"/>
              <w:pgNumType w:start="1"/>
              <w:cols w:space="720" w:num="1"/>
              <w:docGrid w:linePitch="312" w:charSpace="0"/>
            </w:sectPr>
          </w:pPr>
          <w:r>
            <w:rPr>
              <w:rFonts w:hAnsi="宋体"/>
              <w:bCs/>
              <w:color w:val="000000" w:themeColor="text1"/>
              <w14:textFill>
                <w14:solidFill>
                  <w14:schemeClr w14:val="tx1"/>
                </w14:solidFill>
              </w14:textFill>
            </w:rPr>
            <w:fldChar w:fldCharType="end"/>
          </w:r>
        </w:p>
      </w:sdtContent>
    </w:sdt>
    <w:p w14:paraId="4D0A9472">
      <w:pPr>
        <w:pStyle w:val="3"/>
        <w:tabs>
          <w:tab w:val="left" w:pos="0"/>
          <w:tab w:val="left" w:pos="3165"/>
          <w:tab w:val="center" w:pos="4153"/>
        </w:tabs>
        <w:autoSpaceDE w:val="0"/>
        <w:autoSpaceDN w:val="0"/>
        <w:adjustRightInd w:val="0"/>
        <w:spacing w:before="0" w:after="0" w:line="360" w:lineRule="auto"/>
        <w:jc w:val="center"/>
        <w:rPr>
          <w:rFonts w:ascii="华文中宋" w:hAnsi="华文中宋"/>
        </w:rPr>
      </w:pPr>
      <w:bookmarkStart w:id="0" w:name="_Toc54258213"/>
      <w:bookmarkStart w:id="1" w:name="_Toc1193"/>
      <w:r>
        <w:rPr>
          <w:rFonts w:hint="eastAsia"/>
          <w:color w:val="000000" w:themeColor="text1"/>
          <w14:textFill>
            <w14:solidFill>
              <w14:schemeClr w14:val="tx1"/>
            </w14:solidFill>
          </w14:textFill>
        </w:rPr>
        <w:t xml:space="preserve">第一章 </w:t>
      </w:r>
      <w:bookmarkEnd w:id="0"/>
      <w:r>
        <w:rPr>
          <w:rFonts w:hint="eastAsia" w:ascii="华文中宋" w:hAnsi="华文中宋" w:eastAsia="华文中宋"/>
        </w:rPr>
        <w:t>竞争性磋商公告</w:t>
      </w:r>
      <w:bookmarkEnd w:id="1"/>
    </w:p>
    <w:p w14:paraId="550344D3">
      <w:pPr>
        <w:pBdr>
          <w:top w:val="single" w:color="auto" w:sz="4" w:space="1"/>
          <w:left w:val="single" w:color="auto" w:sz="4" w:space="4"/>
          <w:bottom w:val="single" w:color="auto" w:sz="4" w:space="1"/>
          <w:right w:val="single" w:color="auto" w:sz="4" w:space="4"/>
        </w:pBdr>
        <w:rPr>
          <w:rFonts w:ascii="仿宋" w:hAnsi="仿宋" w:eastAsia="仿宋"/>
          <w:sz w:val="28"/>
          <w:szCs w:val="28"/>
        </w:rPr>
      </w:pPr>
      <w:r>
        <w:rPr>
          <w:rFonts w:hint="eastAsia" w:ascii="仿宋" w:hAnsi="仿宋" w:eastAsia="仿宋"/>
          <w:sz w:val="28"/>
          <w:szCs w:val="28"/>
        </w:rPr>
        <w:t>项目概况</w:t>
      </w:r>
    </w:p>
    <w:p w14:paraId="74B6CB80">
      <w:pPr>
        <w:pBdr>
          <w:top w:val="single" w:color="auto" w:sz="4" w:space="1"/>
          <w:left w:val="single" w:color="auto" w:sz="4" w:space="4"/>
          <w:bottom w:val="single" w:color="auto" w:sz="4" w:space="1"/>
          <w:right w:val="single" w:color="auto" w:sz="4" w:space="4"/>
        </w:pBdr>
        <w:ind w:firstLine="560" w:firstLineChars="200"/>
        <w:rPr>
          <w:sz w:val="28"/>
          <w:szCs w:val="28"/>
        </w:rPr>
      </w:pPr>
      <w:r>
        <w:rPr>
          <w:rFonts w:hint="eastAsia" w:ascii="仿宋" w:hAnsi="仿宋" w:eastAsia="仿宋"/>
          <w:sz w:val="28"/>
          <w:szCs w:val="28"/>
          <w:u w:val="single"/>
          <w:lang w:eastAsia="zh-CN"/>
        </w:rPr>
        <w:t>2025年敦化市中央水库移民扶持基金项目资金</w:t>
      </w:r>
      <w:r>
        <w:rPr>
          <w:rFonts w:hint="eastAsia" w:ascii="仿宋" w:hAnsi="仿宋" w:eastAsia="仿宋"/>
          <w:sz w:val="28"/>
          <w:szCs w:val="28"/>
          <w:lang w:eastAsia="zh-CN"/>
        </w:rPr>
        <w:t>磋商</w:t>
      </w:r>
      <w:r>
        <w:rPr>
          <w:rFonts w:hint="eastAsia" w:ascii="仿宋" w:hAnsi="仿宋" w:eastAsia="仿宋"/>
          <w:sz w:val="28"/>
          <w:szCs w:val="28"/>
        </w:rPr>
        <w:t>项目的潜在</w:t>
      </w:r>
      <w:r>
        <w:rPr>
          <w:rFonts w:hint="eastAsia" w:ascii="仿宋" w:hAnsi="仿宋" w:eastAsia="仿宋"/>
          <w:sz w:val="28"/>
          <w:szCs w:val="28"/>
          <w:lang w:eastAsia="zh-CN"/>
        </w:rPr>
        <w:t>供应商</w:t>
      </w:r>
      <w:r>
        <w:rPr>
          <w:rFonts w:hint="eastAsia" w:ascii="仿宋" w:hAnsi="仿宋" w:eastAsia="仿宋"/>
          <w:sz w:val="28"/>
          <w:szCs w:val="28"/>
        </w:rPr>
        <w:t>应在</w:t>
      </w:r>
      <w:r>
        <w:rPr>
          <w:rFonts w:hint="eastAsia" w:ascii="仿宋" w:hAnsi="仿宋" w:eastAsia="仿宋"/>
          <w:sz w:val="28"/>
          <w:szCs w:val="28"/>
          <w:u w:val="single"/>
          <w:lang w:val="zh-CN"/>
        </w:rPr>
        <w:t>上励建设工程有限公司</w:t>
      </w:r>
      <w:r>
        <w:rPr>
          <w:rFonts w:hint="eastAsia" w:ascii="仿宋" w:hAnsi="仿宋" w:eastAsia="仿宋"/>
          <w:sz w:val="28"/>
          <w:szCs w:val="28"/>
        </w:rPr>
        <w:t>获取竞争性磋商文件，并于</w:t>
      </w:r>
      <w:r>
        <w:rPr>
          <w:rFonts w:hint="eastAsia" w:ascii="仿宋" w:hAnsi="仿宋" w:eastAsia="仿宋"/>
          <w:sz w:val="28"/>
          <w:szCs w:val="28"/>
          <w:u w:val="single"/>
          <w:lang w:val="en-US" w:eastAsia="zh-CN"/>
        </w:rPr>
        <w:t>一至四标段2025年04月24日08时30分（北京时间）,五至八标段2025年04月25日08时30分（北京时间）,九至十二标段2025年05月6日08时30分（北京时间）</w:t>
      </w:r>
      <w:r>
        <w:rPr>
          <w:rFonts w:hint="eastAsia" w:ascii="仿宋" w:hAnsi="仿宋" w:eastAsia="仿宋"/>
          <w:bCs/>
          <w:sz w:val="28"/>
          <w:szCs w:val="28"/>
          <w:u w:val="single"/>
        </w:rPr>
        <w:t>（</w:t>
      </w:r>
      <w:r>
        <w:rPr>
          <w:rFonts w:hint="eastAsia" w:ascii="仿宋" w:hAnsi="仿宋" w:eastAsia="仿宋"/>
          <w:bCs/>
          <w:sz w:val="28"/>
          <w:szCs w:val="28"/>
        </w:rPr>
        <w:t>北京时间）前递交响应文件</w:t>
      </w:r>
      <w:r>
        <w:rPr>
          <w:rFonts w:hint="eastAsia" w:ascii="仿宋" w:hAnsi="仿宋" w:eastAsia="仿宋"/>
          <w:sz w:val="28"/>
          <w:szCs w:val="28"/>
        </w:rPr>
        <w:t>。</w:t>
      </w:r>
    </w:p>
    <w:p w14:paraId="5BD6E1BF">
      <w:pPr>
        <w:keepNext/>
        <w:keepLines/>
        <w:spacing w:line="360" w:lineRule="auto"/>
        <w:outlineLvl w:val="1"/>
        <w:rPr>
          <w:rFonts w:ascii="黑体" w:hAnsi="黑体" w:eastAsia="黑体" w:cs="宋体"/>
          <w:bCs/>
          <w:sz w:val="28"/>
          <w:szCs w:val="28"/>
        </w:rPr>
      </w:pPr>
      <w:bookmarkStart w:id="2" w:name="_Toc35393621"/>
      <w:bookmarkStart w:id="3" w:name="_Toc28359079"/>
      <w:bookmarkStart w:id="4" w:name="_Toc28359002"/>
      <w:bookmarkStart w:id="5" w:name="_Toc35393790"/>
      <w:bookmarkStart w:id="6" w:name="_Hlk24379207"/>
      <w:r>
        <w:rPr>
          <w:rFonts w:hint="eastAsia" w:ascii="黑体" w:hAnsi="黑体" w:eastAsia="黑体" w:cs="宋体"/>
          <w:bCs/>
          <w:sz w:val="28"/>
          <w:szCs w:val="28"/>
        </w:rPr>
        <w:t>一、项目基本情况</w:t>
      </w:r>
      <w:bookmarkEnd w:id="2"/>
      <w:bookmarkEnd w:id="3"/>
      <w:bookmarkEnd w:id="4"/>
      <w:bookmarkEnd w:id="5"/>
    </w:p>
    <w:p w14:paraId="3F8B0081">
      <w:pPr>
        <w:rPr>
          <w:rFonts w:hint="eastAsia" w:ascii="仿宋" w:hAnsi="仿宋" w:eastAsia="仿宋"/>
          <w:sz w:val="28"/>
          <w:szCs w:val="28"/>
          <w:lang w:eastAsia="zh-CN"/>
        </w:rPr>
      </w:pPr>
      <w:r>
        <w:rPr>
          <w:rFonts w:hint="eastAsia" w:ascii="仿宋" w:hAnsi="仿宋" w:eastAsia="仿宋"/>
          <w:b/>
          <w:bCs/>
          <w:sz w:val="28"/>
          <w:szCs w:val="28"/>
        </w:rPr>
        <w:t>1.项目编号</w:t>
      </w:r>
      <w:r>
        <w:rPr>
          <w:rFonts w:hint="eastAsia" w:ascii="仿宋" w:hAnsi="仿宋" w:eastAsia="仿宋"/>
          <w:sz w:val="28"/>
          <w:szCs w:val="28"/>
        </w:rPr>
        <w:t>：</w:t>
      </w:r>
      <w:r>
        <w:rPr>
          <w:rFonts w:hint="eastAsia" w:ascii="仿宋" w:hAnsi="仿宋" w:eastAsia="仿宋"/>
          <w:sz w:val="28"/>
          <w:szCs w:val="28"/>
          <w:highlight w:val="none"/>
          <w:lang w:eastAsia="zh-CN"/>
        </w:rPr>
        <w:t>SL-ZC2025-002</w:t>
      </w:r>
      <w:r>
        <w:rPr>
          <w:rFonts w:hint="eastAsia" w:ascii="仿宋" w:hAnsi="仿宋" w:eastAsia="仿宋"/>
          <w:sz w:val="28"/>
          <w:szCs w:val="28"/>
          <w:highlight w:val="none"/>
          <w:lang w:val="en-US" w:eastAsia="zh-CN"/>
        </w:rPr>
        <w:t>6</w:t>
      </w:r>
    </w:p>
    <w:p w14:paraId="311C534B">
      <w:pPr>
        <w:pStyle w:val="146"/>
        <w:rPr>
          <w:rFonts w:hint="default" w:ascii="仿宋" w:hAnsi="仿宋" w:eastAsia="仿宋" w:cs="Times New Roman"/>
          <w:b/>
          <w:bCs/>
          <w:color w:val="auto"/>
          <w:kern w:val="2"/>
          <w:sz w:val="28"/>
          <w:szCs w:val="28"/>
          <w:lang w:val="en-US" w:eastAsia="zh-CN" w:bidi="ar-SA"/>
        </w:rPr>
      </w:pPr>
      <w:r>
        <w:rPr>
          <w:rFonts w:hint="eastAsia" w:ascii="仿宋" w:hAnsi="仿宋" w:eastAsia="仿宋" w:cs="Times New Roman"/>
          <w:b/>
          <w:bCs/>
          <w:color w:val="auto"/>
          <w:kern w:val="2"/>
          <w:sz w:val="28"/>
          <w:szCs w:val="28"/>
          <w:lang w:val="en-US" w:eastAsia="zh-CN" w:bidi="ar-SA"/>
        </w:rPr>
        <w:t>2.采购计划编号：</w:t>
      </w:r>
      <w:r>
        <w:rPr>
          <w:rFonts w:hint="eastAsia" w:ascii="仿宋" w:hAnsi="仿宋" w:eastAsia="仿宋" w:cs="Times New Roman"/>
          <w:color w:val="auto"/>
          <w:kern w:val="2"/>
          <w:sz w:val="28"/>
          <w:szCs w:val="28"/>
          <w:highlight w:val="none"/>
          <w:lang w:val="en-US" w:eastAsia="zh-CN" w:bidi="ar-SA"/>
        </w:rPr>
        <w:t>采购计划-[2025]-00063号</w:t>
      </w:r>
    </w:p>
    <w:p w14:paraId="2F11455D">
      <w:pPr>
        <w:rPr>
          <w:rFonts w:hint="eastAsia" w:ascii="仿宋" w:hAnsi="仿宋" w:eastAsia="仿宋"/>
          <w:sz w:val="28"/>
          <w:szCs w:val="28"/>
          <w:highlight w:val="none"/>
          <w:lang w:eastAsia="zh-CN"/>
        </w:rPr>
      </w:pPr>
      <w:r>
        <w:rPr>
          <w:rFonts w:hint="eastAsia" w:ascii="仿宋" w:hAnsi="仿宋" w:eastAsia="仿宋" w:cs="Times New Roman"/>
          <w:b/>
          <w:bCs/>
          <w:color w:val="auto"/>
          <w:kern w:val="2"/>
          <w:sz w:val="28"/>
          <w:szCs w:val="28"/>
          <w:lang w:val="en-US" w:eastAsia="zh-CN" w:bidi="ar-SA"/>
        </w:rPr>
        <w:t>3</w:t>
      </w:r>
      <w:r>
        <w:rPr>
          <w:rFonts w:hint="eastAsia" w:ascii="仿宋" w:hAnsi="仿宋" w:eastAsia="仿宋"/>
          <w:b/>
          <w:bCs/>
          <w:sz w:val="28"/>
          <w:szCs w:val="28"/>
          <w:highlight w:val="none"/>
        </w:rPr>
        <w:t>.项目名称</w:t>
      </w:r>
      <w:r>
        <w:rPr>
          <w:rFonts w:hint="eastAsia" w:ascii="仿宋" w:hAnsi="仿宋" w:eastAsia="仿宋"/>
          <w:sz w:val="28"/>
          <w:szCs w:val="28"/>
          <w:highlight w:val="none"/>
        </w:rPr>
        <w:t>：</w:t>
      </w:r>
      <w:bookmarkEnd w:id="6"/>
      <w:r>
        <w:rPr>
          <w:rFonts w:hint="eastAsia" w:ascii="仿宋" w:hAnsi="仿宋" w:eastAsia="仿宋"/>
          <w:sz w:val="28"/>
          <w:szCs w:val="28"/>
          <w:highlight w:val="none"/>
          <w:lang w:eastAsia="zh-CN"/>
        </w:rPr>
        <w:t>2025年敦化市中央水库移民扶持基金项目资金</w:t>
      </w:r>
    </w:p>
    <w:p w14:paraId="54C6C5F2">
      <w:pPr>
        <w:rPr>
          <w:rFonts w:ascii="仿宋" w:hAnsi="仿宋" w:eastAsia="仿宋"/>
          <w:b/>
          <w:bCs/>
          <w:sz w:val="28"/>
          <w:szCs w:val="28"/>
        </w:rPr>
      </w:pPr>
      <w:r>
        <w:rPr>
          <w:rFonts w:hint="eastAsia" w:ascii="仿宋" w:hAnsi="仿宋" w:eastAsia="仿宋"/>
          <w:b/>
          <w:bCs/>
          <w:sz w:val="28"/>
          <w:szCs w:val="28"/>
          <w:lang w:val="en-US" w:eastAsia="zh-CN"/>
        </w:rPr>
        <w:t>4</w:t>
      </w:r>
      <w:r>
        <w:rPr>
          <w:rFonts w:hint="eastAsia" w:ascii="仿宋" w:hAnsi="仿宋" w:eastAsia="仿宋"/>
          <w:b/>
          <w:bCs/>
          <w:sz w:val="28"/>
          <w:szCs w:val="28"/>
        </w:rPr>
        <w:t>.标段划分：</w:t>
      </w:r>
    </w:p>
    <w:p w14:paraId="5E768062">
      <w:pPr>
        <w:ind w:firstLine="560" w:firstLineChars="200"/>
        <w:rPr>
          <w:rFonts w:ascii="仿宋" w:hAnsi="仿宋" w:eastAsia="仿宋"/>
          <w:sz w:val="28"/>
          <w:szCs w:val="28"/>
        </w:rPr>
      </w:pPr>
      <w:r>
        <w:rPr>
          <w:rFonts w:hint="eastAsia" w:ascii="仿宋" w:hAnsi="仿宋" w:eastAsia="仿宋"/>
          <w:sz w:val="28"/>
          <w:szCs w:val="28"/>
        </w:rPr>
        <w:t>一标段项目名称：</w:t>
      </w:r>
      <w:r>
        <w:rPr>
          <w:rFonts w:hint="eastAsia" w:ascii="仿宋" w:hAnsi="仿宋" w:eastAsia="仿宋"/>
          <w:sz w:val="28"/>
          <w:szCs w:val="28"/>
          <w:lang w:eastAsia="zh-CN"/>
        </w:rPr>
        <w:t>2025年敦化市中央水库移民扶持基金项目资金一标段敦化市秋梨沟镇横道河村道路、边沟、路灯工程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-01</w:t>
      </w:r>
      <w:r>
        <w:rPr>
          <w:rFonts w:hint="eastAsia" w:ascii="仿宋" w:hAnsi="仿宋" w:eastAsia="仿宋"/>
          <w:sz w:val="28"/>
          <w:szCs w:val="28"/>
          <w:lang w:val="zh-CN"/>
        </w:rPr>
        <w:t>；</w:t>
      </w:r>
    </w:p>
    <w:p w14:paraId="39AAFA08">
      <w:pPr>
        <w:ind w:firstLine="560" w:firstLineChars="200"/>
        <w:rPr>
          <w:rFonts w:ascii="仿宋" w:hAnsi="仿宋" w:eastAsia="仿宋"/>
          <w:sz w:val="28"/>
          <w:szCs w:val="28"/>
        </w:rPr>
      </w:pPr>
      <w:r>
        <w:rPr>
          <w:rFonts w:hint="eastAsia" w:ascii="仿宋" w:hAnsi="仿宋" w:eastAsia="仿宋"/>
          <w:sz w:val="28"/>
          <w:szCs w:val="28"/>
        </w:rPr>
        <w:t>二标段项目名称:</w:t>
      </w:r>
      <w:r>
        <w:rPr>
          <w:rFonts w:hint="eastAsia" w:ascii="仿宋" w:hAnsi="仿宋" w:eastAsia="仿宋"/>
          <w:sz w:val="28"/>
          <w:szCs w:val="28"/>
          <w:lang w:eastAsia="zh-CN"/>
        </w:rPr>
        <w:t>2025年敦化市中央水库移民扶持基金项目资金二标段后红石村农业基础设施建设工程(至西崴子水库段)，项目编号：SL-ZC2025-0026</w:t>
      </w:r>
      <w:r>
        <w:rPr>
          <w:rFonts w:hint="eastAsia" w:ascii="仿宋" w:hAnsi="仿宋" w:eastAsia="仿宋"/>
          <w:sz w:val="28"/>
          <w:szCs w:val="28"/>
        </w:rPr>
        <w:t>-02</w:t>
      </w:r>
      <w:r>
        <w:rPr>
          <w:rFonts w:hint="eastAsia" w:ascii="仿宋" w:hAnsi="仿宋" w:eastAsia="仿宋"/>
          <w:sz w:val="28"/>
          <w:szCs w:val="28"/>
          <w:lang w:val="zh-CN"/>
        </w:rPr>
        <w:t>；</w:t>
      </w:r>
    </w:p>
    <w:p w14:paraId="2A666475">
      <w:pPr>
        <w:ind w:firstLine="560" w:firstLineChars="200"/>
        <w:rPr>
          <w:rFonts w:hint="eastAsia" w:ascii="仿宋" w:hAnsi="仿宋" w:eastAsia="仿宋"/>
          <w:sz w:val="28"/>
          <w:szCs w:val="28"/>
          <w:lang w:val="zh-CN"/>
        </w:rPr>
      </w:pPr>
      <w:r>
        <w:rPr>
          <w:rFonts w:hint="eastAsia" w:ascii="仿宋" w:hAnsi="仿宋" w:eastAsia="仿宋"/>
          <w:sz w:val="28"/>
          <w:szCs w:val="28"/>
        </w:rPr>
        <w:t>三标段项目名称:2025年敦化市中央水库移民扶持基金项目资三标</w:t>
      </w:r>
      <w:r>
        <w:rPr>
          <w:rFonts w:hint="eastAsia" w:ascii="仿宋" w:hAnsi="仿宋" w:eastAsia="仿宋"/>
          <w:sz w:val="28"/>
          <w:szCs w:val="28"/>
          <w:lang w:val="en-US" w:eastAsia="zh-CN"/>
        </w:rPr>
        <w:t>段</w:t>
      </w:r>
      <w:r>
        <w:rPr>
          <w:rFonts w:hint="eastAsia" w:ascii="仿宋" w:hAnsi="仿宋" w:eastAsia="仿宋"/>
          <w:sz w:val="28"/>
          <w:szCs w:val="28"/>
        </w:rPr>
        <w:t>金</w:t>
      </w:r>
      <w:r>
        <w:rPr>
          <w:rFonts w:hint="eastAsia" w:ascii="仿宋" w:hAnsi="仿宋" w:eastAsia="仿宋"/>
          <w:sz w:val="28"/>
          <w:szCs w:val="28"/>
          <w:lang w:val="en-US" w:eastAsia="zh-CN"/>
        </w:rPr>
        <w:t>岗</w:t>
      </w:r>
      <w:r>
        <w:rPr>
          <w:rFonts w:hint="eastAsia" w:ascii="仿宋" w:hAnsi="仿宋" w:eastAsia="仿宋"/>
          <w:sz w:val="28"/>
          <w:szCs w:val="28"/>
        </w:rPr>
        <w:t>村农业基础设施建设工程，项目编号：</w:t>
      </w:r>
      <w:r>
        <w:rPr>
          <w:rFonts w:hint="eastAsia" w:ascii="仿宋" w:hAnsi="仿宋" w:eastAsia="仿宋"/>
          <w:sz w:val="28"/>
          <w:szCs w:val="28"/>
          <w:lang w:eastAsia="zh-CN"/>
        </w:rPr>
        <w:t>SL-ZC2025-0026</w:t>
      </w:r>
      <w:r>
        <w:rPr>
          <w:rFonts w:hint="eastAsia" w:ascii="仿宋" w:hAnsi="仿宋" w:eastAsia="仿宋"/>
          <w:sz w:val="28"/>
          <w:szCs w:val="28"/>
        </w:rPr>
        <w:t>-03</w:t>
      </w:r>
      <w:r>
        <w:rPr>
          <w:rFonts w:hint="eastAsia" w:ascii="仿宋" w:hAnsi="仿宋" w:eastAsia="仿宋"/>
          <w:sz w:val="28"/>
          <w:szCs w:val="28"/>
          <w:lang w:val="zh-CN"/>
        </w:rPr>
        <w:t>；</w:t>
      </w:r>
    </w:p>
    <w:p w14:paraId="3CC8C5AF">
      <w:pPr>
        <w:pStyle w:val="87"/>
        <w:rPr>
          <w:rFonts w:hint="eastAsia" w:ascii="仿宋" w:hAnsi="仿宋" w:eastAsia="仿宋"/>
          <w:sz w:val="28"/>
          <w:szCs w:val="28"/>
          <w:lang w:val="zh-CN"/>
        </w:rPr>
      </w:pPr>
      <w:r>
        <w:rPr>
          <w:rFonts w:hint="eastAsia" w:ascii="仿宋" w:hAnsi="仿宋" w:eastAsia="仿宋"/>
          <w:sz w:val="28"/>
          <w:szCs w:val="28"/>
          <w:lang w:val="en-US" w:eastAsia="zh-CN"/>
        </w:rPr>
        <w:t>四标段</w:t>
      </w:r>
      <w:r>
        <w:rPr>
          <w:rFonts w:hint="eastAsia" w:ascii="仿宋" w:hAnsi="仿宋" w:eastAsia="仿宋"/>
          <w:sz w:val="28"/>
          <w:szCs w:val="28"/>
        </w:rPr>
        <w:t>项目名称:2025年敦化市中央水库移民扶持基金项目资金四标段大山嘴子村排水工程</w:t>
      </w:r>
      <w:r>
        <w:rPr>
          <w:rFonts w:hint="eastAsia" w:ascii="仿宋" w:hAnsi="仿宋" w:eastAsia="仿宋"/>
          <w:sz w:val="28"/>
          <w:szCs w:val="28"/>
          <w:lang w:eastAsia="zh-CN"/>
        </w:rPr>
        <w:t>，</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4</w:t>
      </w:r>
      <w:r>
        <w:rPr>
          <w:rFonts w:hint="eastAsia" w:ascii="仿宋" w:hAnsi="仿宋" w:eastAsia="仿宋"/>
          <w:sz w:val="28"/>
          <w:szCs w:val="28"/>
          <w:lang w:val="zh-CN"/>
        </w:rPr>
        <w:t>；</w:t>
      </w:r>
    </w:p>
    <w:p w14:paraId="1C0B288E">
      <w:pPr>
        <w:pStyle w:val="87"/>
        <w:rPr>
          <w:rFonts w:hint="eastAsia" w:ascii="仿宋" w:hAnsi="仿宋" w:eastAsia="仿宋"/>
          <w:sz w:val="28"/>
          <w:szCs w:val="28"/>
          <w:lang w:val="zh-CN"/>
        </w:rPr>
      </w:pPr>
      <w:r>
        <w:rPr>
          <w:rFonts w:hint="eastAsia" w:ascii="仿宋" w:hAnsi="仿宋" w:eastAsia="仿宋"/>
          <w:sz w:val="28"/>
          <w:szCs w:val="28"/>
          <w:lang w:val="en-US" w:eastAsia="zh-CN"/>
        </w:rPr>
        <w:t>五标段项目名称：2025年敦化市中央水库移民扶持基金项目资金五标段黄泥河村村路工程</w:t>
      </w:r>
      <w:r>
        <w:rPr>
          <w:rFonts w:hint="eastAsia" w:ascii="仿宋" w:hAnsi="仿宋" w:eastAsia="仿宋"/>
          <w:sz w:val="28"/>
          <w:szCs w:val="28"/>
          <w:lang w:eastAsia="zh-CN"/>
        </w:rPr>
        <w:t>，</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5</w:t>
      </w:r>
      <w:r>
        <w:rPr>
          <w:rFonts w:hint="eastAsia" w:ascii="仿宋" w:hAnsi="仿宋" w:eastAsia="仿宋"/>
          <w:sz w:val="28"/>
          <w:szCs w:val="28"/>
          <w:lang w:val="zh-CN"/>
        </w:rPr>
        <w:t>；</w:t>
      </w:r>
    </w:p>
    <w:p w14:paraId="6ABD96E0">
      <w:pPr>
        <w:pStyle w:val="87"/>
        <w:rPr>
          <w:rFonts w:hint="eastAsia" w:ascii="仿宋" w:hAnsi="仿宋" w:eastAsia="仿宋"/>
          <w:sz w:val="28"/>
          <w:szCs w:val="28"/>
          <w:lang w:val="zh-CN"/>
        </w:rPr>
      </w:pPr>
      <w:r>
        <w:rPr>
          <w:rFonts w:hint="eastAsia" w:ascii="仿宋" w:hAnsi="仿宋" w:eastAsia="仿宋"/>
          <w:sz w:val="28"/>
          <w:szCs w:val="28"/>
          <w:lang w:val="en-US" w:eastAsia="zh-CN"/>
        </w:rPr>
        <w:t>六标段项目名称：2025年敦化市中央水库移民扶持基金项目资金六标段永安村村路工程，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6</w:t>
      </w:r>
      <w:r>
        <w:rPr>
          <w:rFonts w:hint="eastAsia" w:ascii="仿宋" w:hAnsi="仿宋" w:eastAsia="仿宋"/>
          <w:sz w:val="28"/>
          <w:szCs w:val="28"/>
          <w:lang w:val="zh-CN"/>
        </w:rPr>
        <w:t>；</w:t>
      </w:r>
    </w:p>
    <w:p w14:paraId="5F07B5A0">
      <w:pPr>
        <w:pStyle w:val="87"/>
        <w:rPr>
          <w:rFonts w:hint="eastAsia" w:ascii="仿宋" w:hAnsi="仿宋" w:eastAsia="仿宋"/>
          <w:sz w:val="28"/>
          <w:szCs w:val="28"/>
          <w:lang w:val="zh-CN"/>
        </w:rPr>
      </w:pPr>
      <w:r>
        <w:rPr>
          <w:rFonts w:hint="eastAsia" w:ascii="仿宋" w:hAnsi="仿宋" w:eastAsia="仿宋"/>
          <w:sz w:val="28"/>
          <w:szCs w:val="28"/>
          <w:lang w:val="en-US" w:eastAsia="zh-CN"/>
        </w:rPr>
        <w:t>七标段项目名称：2025年敦化市中央水库移民扶持基金项目资金七标段福生村农田路工程，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7</w:t>
      </w:r>
      <w:r>
        <w:rPr>
          <w:rFonts w:hint="eastAsia" w:ascii="仿宋" w:hAnsi="仿宋" w:eastAsia="仿宋"/>
          <w:sz w:val="28"/>
          <w:szCs w:val="28"/>
          <w:lang w:val="zh-CN"/>
        </w:rPr>
        <w:t>；</w:t>
      </w:r>
    </w:p>
    <w:p w14:paraId="2663022C">
      <w:pPr>
        <w:pStyle w:val="87"/>
        <w:rPr>
          <w:rFonts w:hint="eastAsia" w:ascii="仿宋" w:hAnsi="仿宋" w:eastAsia="仿宋"/>
          <w:sz w:val="28"/>
          <w:szCs w:val="28"/>
          <w:lang w:val="zh-CN"/>
        </w:rPr>
      </w:pPr>
      <w:r>
        <w:rPr>
          <w:rFonts w:hint="eastAsia" w:ascii="仿宋" w:hAnsi="仿宋" w:eastAsia="仿宋"/>
          <w:sz w:val="28"/>
          <w:szCs w:val="28"/>
          <w:lang w:val="en-US" w:eastAsia="zh-CN"/>
        </w:rPr>
        <w:t>八标段项目名称：2025年敦化市中央水库移民扶持基金项目资金八标段西大桥村农业基础设施建设工程，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8</w:t>
      </w:r>
      <w:r>
        <w:rPr>
          <w:rFonts w:hint="eastAsia" w:ascii="仿宋" w:hAnsi="仿宋" w:eastAsia="仿宋"/>
          <w:sz w:val="28"/>
          <w:szCs w:val="28"/>
          <w:lang w:val="zh-CN"/>
        </w:rPr>
        <w:t>；</w:t>
      </w:r>
    </w:p>
    <w:p w14:paraId="245E244C">
      <w:pPr>
        <w:pStyle w:val="87"/>
        <w:rPr>
          <w:rFonts w:hint="eastAsia" w:ascii="仿宋" w:hAnsi="仿宋" w:eastAsia="仿宋"/>
          <w:sz w:val="28"/>
          <w:szCs w:val="28"/>
          <w:lang w:val="zh-CN"/>
        </w:rPr>
      </w:pPr>
      <w:r>
        <w:rPr>
          <w:rFonts w:hint="eastAsia" w:ascii="仿宋" w:hAnsi="仿宋" w:eastAsia="仿宋"/>
          <w:sz w:val="28"/>
          <w:szCs w:val="28"/>
          <w:lang w:val="en-US" w:eastAsia="zh-CN"/>
        </w:rPr>
        <w:t>九标段项目名称：2025年敦化市中央水库移民扶持基金项目资金九标段腰屯村农业基础设施建设工程，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9</w:t>
      </w:r>
      <w:r>
        <w:rPr>
          <w:rFonts w:hint="eastAsia" w:ascii="仿宋" w:hAnsi="仿宋" w:eastAsia="仿宋"/>
          <w:sz w:val="28"/>
          <w:szCs w:val="28"/>
          <w:lang w:val="zh-CN"/>
        </w:rPr>
        <w:t>；</w:t>
      </w:r>
    </w:p>
    <w:p w14:paraId="2A364C4A">
      <w:pPr>
        <w:pStyle w:val="87"/>
        <w:rPr>
          <w:rFonts w:hint="eastAsia" w:ascii="仿宋" w:hAnsi="仿宋" w:eastAsia="仿宋"/>
          <w:sz w:val="28"/>
          <w:szCs w:val="28"/>
          <w:lang w:val="zh-CN"/>
        </w:rPr>
      </w:pPr>
      <w:r>
        <w:rPr>
          <w:rFonts w:hint="eastAsia" w:ascii="仿宋" w:hAnsi="仿宋" w:eastAsia="仿宋"/>
          <w:sz w:val="28"/>
          <w:szCs w:val="28"/>
          <w:lang w:val="en-US" w:eastAsia="zh-CN"/>
        </w:rPr>
        <w:t>十标段项目名称：2025年敦化市中央水库移民扶持基金项目资金十标段珠尔多河村农业基础设施建设工程，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w:t>
      </w:r>
      <w:r>
        <w:rPr>
          <w:rFonts w:hint="eastAsia" w:ascii="仿宋" w:hAnsi="仿宋" w:eastAsia="仿宋"/>
          <w:sz w:val="28"/>
          <w:szCs w:val="28"/>
          <w:lang w:val="en-US" w:eastAsia="zh-CN"/>
        </w:rPr>
        <w:t>010</w:t>
      </w:r>
      <w:r>
        <w:rPr>
          <w:rFonts w:hint="eastAsia" w:ascii="仿宋" w:hAnsi="仿宋" w:eastAsia="仿宋"/>
          <w:sz w:val="28"/>
          <w:szCs w:val="28"/>
          <w:lang w:val="zh-CN"/>
        </w:rPr>
        <w:t>；</w:t>
      </w:r>
    </w:p>
    <w:p w14:paraId="20E43C41">
      <w:pPr>
        <w:pStyle w:val="87"/>
        <w:rPr>
          <w:rFonts w:hint="eastAsia" w:ascii="仿宋" w:hAnsi="仿宋" w:eastAsia="仿宋"/>
          <w:sz w:val="28"/>
          <w:szCs w:val="28"/>
          <w:lang w:val="zh-CN"/>
        </w:rPr>
      </w:pPr>
      <w:r>
        <w:rPr>
          <w:rFonts w:hint="eastAsia" w:ascii="仿宋" w:hAnsi="仿宋" w:eastAsia="仿宋"/>
          <w:sz w:val="28"/>
          <w:szCs w:val="28"/>
          <w:lang w:val="en-US" w:eastAsia="zh-CN"/>
        </w:rPr>
        <w:t>十一标段项目名称：2025年敦化市中央水库移民扶持基金项目资金十一标段马号东村农业基础设施建设工程，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w:t>
      </w:r>
      <w:r>
        <w:rPr>
          <w:rFonts w:hint="eastAsia" w:ascii="仿宋" w:hAnsi="仿宋" w:eastAsia="仿宋"/>
          <w:sz w:val="28"/>
          <w:szCs w:val="28"/>
          <w:lang w:val="en-US" w:eastAsia="zh-CN"/>
        </w:rPr>
        <w:t>011</w:t>
      </w:r>
      <w:r>
        <w:rPr>
          <w:rFonts w:hint="eastAsia" w:ascii="仿宋" w:hAnsi="仿宋" w:eastAsia="仿宋"/>
          <w:sz w:val="28"/>
          <w:szCs w:val="28"/>
          <w:lang w:val="zh-CN"/>
        </w:rPr>
        <w:t>；</w:t>
      </w:r>
    </w:p>
    <w:p w14:paraId="448D5A0B">
      <w:pPr>
        <w:pStyle w:val="87"/>
        <w:rPr>
          <w:rFonts w:hint="default" w:eastAsia="仿宋"/>
          <w:lang w:val="en-US" w:eastAsia="zh-CN"/>
        </w:rPr>
      </w:pPr>
      <w:r>
        <w:rPr>
          <w:rFonts w:hint="eastAsia" w:ascii="仿宋" w:hAnsi="仿宋" w:eastAsia="仿宋"/>
          <w:sz w:val="28"/>
          <w:szCs w:val="28"/>
          <w:lang w:val="en-US" w:eastAsia="zh-CN"/>
        </w:rPr>
        <w:t>十二标段项目名称：2025年敦化市中央水库移民扶持基金项目资金十二标段双河口村农业基础设施建设工程，项目编号：SL-ZC2025-0026-012；</w:t>
      </w:r>
    </w:p>
    <w:p w14:paraId="321FA8AA">
      <w:pPr>
        <w:rPr>
          <w:rFonts w:ascii="仿宋" w:hAnsi="仿宋" w:eastAsia="仿宋"/>
          <w:sz w:val="28"/>
          <w:szCs w:val="28"/>
        </w:rPr>
      </w:pPr>
      <w:r>
        <w:rPr>
          <w:rFonts w:hint="eastAsia" w:ascii="仿宋" w:hAnsi="仿宋" w:eastAsia="仿宋"/>
          <w:b/>
          <w:bCs/>
          <w:sz w:val="28"/>
          <w:szCs w:val="28"/>
          <w:lang w:val="en-US" w:eastAsia="zh-CN"/>
        </w:rPr>
        <w:t>5</w:t>
      </w:r>
      <w:r>
        <w:rPr>
          <w:rFonts w:hint="eastAsia" w:ascii="仿宋" w:hAnsi="仿宋" w:eastAsia="仿宋"/>
          <w:b/>
          <w:bCs/>
          <w:sz w:val="28"/>
          <w:szCs w:val="28"/>
        </w:rPr>
        <w:t>.最高限价</w:t>
      </w:r>
      <w:r>
        <w:rPr>
          <w:rFonts w:hint="eastAsia" w:ascii="仿宋" w:hAnsi="仿宋" w:eastAsia="仿宋"/>
          <w:sz w:val="28"/>
          <w:szCs w:val="28"/>
        </w:rPr>
        <w:t>：</w:t>
      </w:r>
    </w:p>
    <w:p w14:paraId="5526DFB7">
      <w:pPr>
        <w:ind w:firstLine="560" w:firstLineChars="200"/>
        <w:rPr>
          <w:rFonts w:hint="eastAsia" w:ascii="仿宋" w:hAnsi="仿宋" w:eastAsia="仿宋"/>
          <w:color w:val="auto"/>
          <w:sz w:val="28"/>
          <w:szCs w:val="28"/>
          <w:lang w:val="zh-CN"/>
        </w:rPr>
      </w:pPr>
      <w:r>
        <w:rPr>
          <w:rFonts w:hint="eastAsia" w:ascii="仿宋" w:hAnsi="仿宋" w:eastAsia="仿宋"/>
          <w:color w:val="auto"/>
          <w:sz w:val="28"/>
          <w:szCs w:val="28"/>
        </w:rPr>
        <w:t>一标段:1975827</w:t>
      </w:r>
      <w:r>
        <w:rPr>
          <w:rFonts w:hint="eastAsia" w:ascii="仿宋" w:hAnsi="仿宋" w:eastAsia="仿宋"/>
          <w:color w:val="auto"/>
          <w:sz w:val="28"/>
          <w:szCs w:val="28"/>
          <w:lang w:val="zh-CN"/>
        </w:rPr>
        <w:t>元；</w:t>
      </w:r>
      <w:r>
        <w:rPr>
          <w:rFonts w:hint="eastAsia" w:ascii="仿宋" w:hAnsi="仿宋" w:eastAsia="仿宋"/>
          <w:color w:val="auto"/>
          <w:sz w:val="28"/>
          <w:szCs w:val="28"/>
        </w:rPr>
        <w:t>二标段:825047</w:t>
      </w:r>
      <w:r>
        <w:rPr>
          <w:rFonts w:hint="eastAsia" w:ascii="仿宋" w:hAnsi="仿宋" w:eastAsia="仿宋"/>
          <w:color w:val="auto"/>
          <w:sz w:val="28"/>
          <w:szCs w:val="28"/>
          <w:lang w:val="zh-CN"/>
        </w:rPr>
        <w:t>元；</w:t>
      </w:r>
      <w:r>
        <w:rPr>
          <w:rFonts w:hint="eastAsia" w:ascii="仿宋" w:hAnsi="仿宋" w:eastAsia="仿宋"/>
          <w:color w:val="auto"/>
          <w:sz w:val="28"/>
          <w:szCs w:val="28"/>
        </w:rPr>
        <w:t>三标段:658826</w:t>
      </w:r>
      <w:r>
        <w:rPr>
          <w:rFonts w:hint="eastAsia" w:ascii="仿宋" w:hAnsi="仿宋" w:eastAsia="仿宋"/>
          <w:color w:val="auto"/>
          <w:sz w:val="28"/>
          <w:szCs w:val="28"/>
          <w:lang w:val="zh-CN"/>
        </w:rPr>
        <w:t>元；</w:t>
      </w:r>
    </w:p>
    <w:p w14:paraId="7C19549E">
      <w:pPr>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四标段：816276元；五标段：917704元；六标段：825531元；</w:t>
      </w:r>
    </w:p>
    <w:p w14:paraId="4EB6A615">
      <w:pPr>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七标段：464080元；八标段：519132元；九标段：390009元；</w:t>
      </w:r>
    </w:p>
    <w:p w14:paraId="237A2034">
      <w:pPr>
        <w:ind w:firstLine="560" w:firstLineChars="200"/>
        <w:rPr>
          <w:rFonts w:hint="default"/>
          <w:lang w:val="en-US" w:eastAsia="zh-CN"/>
        </w:rPr>
      </w:pPr>
      <w:r>
        <w:rPr>
          <w:rFonts w:hint="eastAsia" w:ascii="仿宋" w:hAnsi="仿宋" w:eastAsia="仿宋"/>
          <w:color w:val="auto"/>
          <w:sz w:val="28"/>
          <w:szCs w:val="28"/>
          <w:lang w:val="en-US" w:eastAsia="zh-CN"/>
        </w:rPr>
        <w:t>十标段：519980元；十一标段：417511元；十二标段：473191元;</w:t>
      </w:r>
    </w:p>
    <w:p w14:paraId="2667627B">
      <w:pPr>
        <w:ind w:firstLine="562" w:firstLineChars="200"/>
        <w:rPr>
          <w:rFonts w:ascii="仿宋" w:hAnsi="仿宋" w:eastAsia="仿宋"/>
          <w:sz w:val="28"/>
          <w:szCs w:val="28"/>
        </w:rPr>
      </w:pPr>
      <w:r>
        <w:rPr>
          <w:rFonts w:hint="eastAsia" w:ascii="仿宋" w:hAnsi="仿宋" w:eastAsia="仿宋"/>
          <w:b/>
          <w:bCs/>
          <w:sz w:val="28"/>
          <w:szCs w:val="28"/>
        </w:rPr>
        <w:t>各标段投标报价不得超过各标段工程控制价</w:t>
      </w:r>
      <w:r>
        <w:rPr>
          <w:rFonts w:hint="eastAsia" w:ascii="仿宋" w:hAnsi="仿宋" w:eastAsia="仿宋"/>
          <w:sz w:val="28"/>
          <w:szCs w:val="28"/>
        </w:rPr>
        <w:t>。</w:t>
      </w:r>
    </w:p>
    <w:p w14:paraId="51334E3B">
      <w:pPr>
        <w:numPr>
          <w:ilvl w:val="0"/>
          <w:numId w:val="33"/>
        </w:numPr>
        <w:autoSpaceDE w:val="0"/>
        <w:autoSpaceDN w:val="0"/>
        <w:adjustRightInd w:val="0"/>
        <w:snapToGrid w:val="0"/>
        <w:spacing w:line="380" w:lineRule="exact"/>
        <w:jc w:val="left"/>
        <w:rPr>
          <w:rFonts w:ascii="仿宋" w:hAnsi="仿宋" w:eastAsia="仿宋"/>
          <w:b/>
          <w:bCs/>
          <w:sz w:val="28"/>
          <w:szCs w:val="28"/>
        </w:rPr>
      </w:pPr>
      <w:r>
        <w:rPr>
          <w:rFonts w:hint="eastAsia" w:ascii="仿宋" w:hAnsi="仿宋" w:eastAsia="仿宋"/>
          <w:b/>
          <w:bCs/>
          <w:sz w:val="28"/>
          <w:szCs w:val="28"/>
        </w:rPr>
        <w:t>工程概况</w:t>
      </w:r>
    </w:p>
    <w:p w14:paraId="16ACF604">
      <w:pPr>
        <w:autoSpaceDE w:val="0"/>
        <w:autoSpaceDN w:val="0"/>
        <w:adjustRightInd w:val="0"/>
        <w:snapToGrid w:val="0"/>
        <w:spacing w:line="380" w:lineRule="exact"/>
        <w:jc w:val="left"/>
        <w:rPr>
          <w:rFonts w:ascii="仿宋" w:hAnsi="仿宋" w:eastAsia="仿宋"/>
          <w:sz w:val="28"/>
          <w:szCs w:val="28"/>
        </w:rPr>
      </w:pPr>
      <w:r>
        <w:rPr>
          <w:rFonts w:hint="eastAsia" w:ascii="仿宋" w:hAnsi="仿宋" w:eastAsia="仿宋"/>
          <w:b/>
          <w:bCs/>
          <w:sz w:val="28"/>
          <w:szCs w:val="28"/>
        </w:rPr>
        <w:t>各标段工程概况如下</w:t>
      </w:r>
      <w:r>
        <w:rPr>
          <w:rFonts w:hint="eastAsia" w:ascii="仿宋" w:hAnsi="仿宋" w:eastAsia="仿宋"/>
          <w:sz w:val="28"/>
          <w:szCs w:val="28"/>
        </w:rPr>
        <w:t>：</w:t>
      </w:r>
    </w:p>
    <w:p w14:paraId="1E87CAD5">
      <w:pPr>
        <w:pStyle w:val="34"/>
        <w:spacing w:before="235" w:line="240" w:lineRule="auto"/>
        <w:ind w:left="63" w:right="63" w:firstLine="420"/>
        <w:jc w:val="both"/>
        <w:rPr>
          <w:rFonts w:ascii="仿宋" w:hAnsi="仿宋" w:eastAsia="仿宋"/>
          <w:kern w:val="2"/>
          <w:sz w:val="28"/>
          <w:szCs w:val="28"/>
        </w:rPr>
      </w:pPr>
      <w:r>
        <w:rPr>
          <w:rFonts w:hint="eastAsia" w:ascii="仿宋" w:hAnsi="仿宋" w:eastAsia="仿宋"/>
          <w:sz w:val="28"/>
          <w:szCs w:val="28"/>
        </w:rPr>
        <w:t>一标段</w:t>
      </w:r>
      <w:r>
        <w:rPr>
          <w:rFonts w:hint="eastAsia" w:ascii="仿宋" w:hAnsi="仿宋" w:eastAsia="仿宋"/>
          <w:kern w:val="2"/>
          <w:sz w:val="28"/>
          <w:szCs w:val="28"/>
        </w:rPr>
        <w:t>：路面扩宽7718.8平方米；水泥混凝土路面2864.5平方米；5cm沥青路面5825.7平方米；路灯100盏；破损边沟修复610米；60cm简易涵1道。</w:t>
      </w:r>
    </w:p>
    <w:p w14:paraId="33112267">
      <w:pPr>
        <w:pStyle w:val="34"/>
        <w:spacing w:before="235" w:line="240" w:lineRule="auto"/>
        <w:ind w:right="63"/>
        <w:jc w:val="left"/>
        <w:rPr>
          <w:rFonts w:ascii="仿宋" w:hAnsi="仿宋" w:eastAsia="仿宋"/>
          <w:sz w:val="28"/>
          <w:szCs w:val="28"/>
          <w:lang w:val="zh-CN"/>
        </w:rPr>
      </w:pPr>
      <w:r>
        <w:rPr>
          <w:rFonts w:hint="eastAsia" w:ascii="仿宋" w:hAnsi="仿宋" w:eastAsia="仿宋"/>
          <w:sz w:val="28"/>
          <w:szCs w:val="28"/>
        </w:rPr>
        <w:t>二标段</w:t>
      </w:r>
      <w:r>
        <w:rPr>
          <w:rFonts w:hint="eastAsia" w:ascii="仿宋" w:hAnsi="仿宋" w:eastAsia="仿宋"/>
          <w:kern w:val="2"/>
          <w:sz w:val="28"/>
          <w:szCs w:val="28"/>
        </w:rPr>
        <w:t>：水泥路1.674千米及涵管9节。</w:t>
      </w:r>
    </w:p>
    <w:p w14:paraId="610661FF">
      <w:pPr>
        <w:pStyle w:val="34"/>
        <w:spacing w:before="235" w:line="240" w:lineRule="auto"/>
        <w:ind w:right="63"/>
        <w:jc w:val="both"/>
        <w:rPr>
          <w:rFonts w:hint="eastAsia" w:ascii="仿宋" w:hAnsi="仿宋" w:eastAsia="仿宋"/>
          <w:kern w:val="2"/>
          <w:sz w:val="28"/>
          <w:szCs w:val="28"/>
        </w:rPr>
      </w:pPr>
      <w:r>
        <w:rPr>
          <w:rFonts w:hint="eastAsia" w:ascii="仿宋" w:hAnsi="仿宋" w:eastAsia="仿宋"/>
          <w:sz w:val="28"/>
          <w:szCs w:val="28"/>
        </w:rPr>
        <w:t>三标段：水泥路1.381千米及涵管18节</w:t>
      </w:r>
      <w:r>
        <w:rPr>
          <w:rFonts w:hint="eastAsia" w:ascii="仿宋" w:hAnsi="仿宋" w:eastAsia="仿宋"/>
          <w:kern w:val="2"/>
          <w:sz w:val="28"/>
          <w:szCs w:val="28"/>
        </w:rPr>
        <w:t>。</w:t>
      </w:r>
    </w:p>
    <w:p w14:paraId="483B8A4F">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四标段：边沟4.766千米。</w:t>
      </w:r>
    </w:p>
    <w:p w14:paraId="28D8A348">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五标段：水泥路2.322千米及涵管15节。</w:t>
      </w:r>
    </w:p>
    <w:p w14:paraId="309A7E0B">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六标段：水泥路2.082千米及涵管7节。</w:t>
      </w:r>
    </w:p>
    <w:p w14:paraId="534B0BF7">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七标段：水泥路1.056千米及涵管9节。</w:t>
      </w:r>
    </w:p>
    <w:p w14:paraId="103B0230">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八标段：水泥路1.118千米及涵管7节。</w:t>
      </w:r>
    </w:p>
    <w:p w14:paraId="646ABD2B">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九表段：水泥路0.95千米。</w:t>
      </w:r>
    </w:p>
    <w:p w14:paraId="504C6EFB">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十标段：水泥路1千米及涵管23节。</w:t>
      </w:r>
    </w:p>
    <w:p w14:paraId="0CC22D1D">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十一标段：水泥路1.056千米及涵管9节。</w:t>
      </w:r>
    </w:p>
    <w:p w14:paraId="6CD2DF1D">
      <w:pPr>
        <w:pStyle w:val="34"/>
        <w:spacing w:before="235" w:line="240" w:lineRule="auto"/>
        <w:ind w:right="63"/>
        <w:jc w:val="both"/>
        <w:rPr>
          <w:rFonts w:hint="default" w:ascii="仿宋" w:hAnsi="仿宋" w:eastAsia="仿宋"/>
          <w:kern w:val="2"/>
          <w:sz w:val="28"/>
          <w:szCs w:val="28"/>
          <w:lang w:val="en-US" w:eastAsia="zh-CN"/>
        </w:rPr>
      </w:pPr>
      <w:r>
        <w:rPr>
          <w:rFonts w:hint="eastAsia" w:ascii="仿宋" w:hAnsi="仿宋" w:eastAsia="仿宋"/>
          <w:kern w:val="2"/>
          <w:sz w:val="28"/>
          <w:szCs w:val="28"/>
          <w:lang w:val="en-US" w:eastAsia="zh-CN"/>
        </w:rPr>
        <w:t>十二标段：</w:t>
      </w:r>
      <w:r>
        <w:rPr>
          <w:rFonts w:hint="default" w:ascii="仿宋" w:hAnsi="仿宋" w:eastAsia="仿宋"/>
          <w:kern w:val="2"/>
          <w:sz w:val="28"/>
          <w:szCs w:val="28"/>
          <w:lang w:val="en-US" w:eastAsia="zh-CN"/>
        </w:rPr>
        <w:t>水泥路1千米及涵管10节</w:t>
      </w:r>
    </w:p>
    <w:p w14:paraId="764F42C4">
      <w:pPr>
        <w:pStyle w:val="34"/>
        <w:spacing w:before="235" w:line="240" w:lineRule="auto"/>
        <w:ind w:right="63"/>
        <w:jc w:val="both"/>
        <w:rPr>
          <w:rFonts w:hint="eastAsia" w:ascii="仿宋" w:hAnsi="仿宋" w:eastAsia="仿宋"/>
          <w:sz w:val="28"/>
          <w:szCs w:val="28"/>
          <w:lang w:eastAsia="zh-CN"/>
        </w:rPr>
      </w:pPr>
      <w:r>
        <w:rPr>
          <w:rFonts w:hint="eastAsia" w:ascii="仿宋" w:hAnsi="仿宋" w:eastAsia="仿宋"/>
          <w:b/>
          <w:bCs/>
          <w:sz w:val="28"/>
          <w:szCs w:val="28"/>
        </w:rPr>
        <w:t>计划工期</w:t>
      </w:r>
      <w:r>
        <w:rPr>
          <w:rFonts w:hint="eastAsia" w:ascii="仿宋" w:hAnsi="仿宋" w:eastAsia="仿宋"/>
          <w:sz w:val="28"/>
          <w:szCs w:val="28"/>
        </w:rPr>
        <w:t>：计划开工</w:t>
      </w:r>
      <w:r>
        <w:rPr>
          <w:rFonts w:hint="eastAsia" w:ascii="仿宋" w:hAnsi="仿宋" w:eastAsia="仿宋"/>
          <w:color w:val="000000" w:themeColor="text1"/>
          <w:sz w:val="28"/>
          <w:szCs w:val="28"/>
          <w14:textFill>
            <w14:solidFill>
              <w14:schemeClr w14:val="tx1"/>
            </w14:solidFill>
          </w14:textFill>
        </w:rPr>
        <w:t>时</w:t>
      </w:r>
      <w:r>
        <w:rPr>
          <w:rFonts w:hint="eastAsia" w:ascii="仿宋" w:hAnsi="仿宋" w:eastAsia="仿宋"/>
          <w:color w:val="auto"/>
          <w:sz w:val="28"/>
          <w:szCs w:val="28"/>
        </w:rPr>
        <w:t>间为202</w:t>
      </w:r>
      <w:r>
        <w:rPr>
          <w:rFonts w:hint="eastAsia" w:ascii="仿宋" w:hAnsi="仿宋" w:eastAsia="仿宋"/>
          <w:color w:val="auto"/>
          <w:sz w:val="28"/>
          <w:szCs w:val="28"/>
          <w:lang w:val="en-US" w:eastAsia="zh-CN"/>
        </w:rPr>
        <w:t>5</w:t>
      </w:r>
      <w:r>
        <w:rPr>
          <w:rFonts w:hint="eastAsia" w:ascii="仿宋" w:hAnsi="仿宋" w:eastAsia="仿宋"/>
          <w:color w:val="auto"/>
          <w:sz w:val="28"/>
          <w:szCs w:val="28"/>
        </w:rPr>
        <w:t>年05月</w:t>
      </w:r>
      <w:r>
        <w:rPr>
          <w:rFonts w:hint="eastAsia" w:ascii="仿宋" w:hAnsi="仿宋" w:eastAsia="仿宋"/>
          <w:color w:val="auto"/>
          <w:sz w:val="28"/>
          <w:szCs w:val="28"/>
          <w:lang w:val="en-US" w:eastAsia="zh-CN"/>
        </w:rPr>
        <w:t>10</w:t>
      </w:r>
      <w:r>
        <w:rPr>
          <w:rFonts w:hint="eastAsia" w:ascii="仿宋" w:hAnsi="仿宋" w:eastAsia="仿宋"/>
          <w:color w:val="auto"/>
          <w:sz w:val="28"/>
          <w:szCs w:val="28"/>
        </w:rPr>
        <w:t>日，计划竣工日期为</w:t>
      </w:r>
      <w:r>
        <w:rPr>
          <w:rFonts w:hint="eastAsia" w:ascii="仿宋" w:hAnsi="仿宋" w:eastAsia="仿宋"/>
          <w:color w:val="auto"/>
          <w:sz w:val="28"/>
          <w:szCs w:val="28"/>
          <w:lang w:eastAsia="zh-CN"/>
        </w:rPr>
        <w:t>202</w:t>
      </w:r>
      <w:r>
        <w:rPr>
          <w:rFonts w:hint="eastAsia" w:ascii="仿宋" w:hAnsi="仿宋" w:eastAsia="仿宋"/>
          <w:color w:val="auto"/>
          <w:sz w:val="28"/>
          <w:szCs w:val="28"/>
          <w:lang w:val="en-US" w:eastAsia="zh-CN"/>
        </w:rPr>
        <w:t>5</w:t>
      </w:r>
      <w:r>
        <w:rPr>
          <w:rFonts w:hint="eastAsia" w:ascii="仿宋" w:hAnsi="仿宋" w:eastAsia="仿宋"/>
          <w:color w:val="auto"/>
          <w:sz w:val="28"/>
          <w:szCs w:val="28"/>
          <w:lang w:eastAsia="zh-CN"/>
        </w:rPr>
        <w:t>年0</w:t>
      </w:r>
      <w:r>
        <w:rPr>
          <w:rFonts w:hint="eastAsia" w:ascii="仿宋" w:hAnsi="仿宋" w:eastAsia="仿宋"/>
          <w:color w:val="auto"/>
          <w:sz w:val="28"/>
          <w:szCs w:val="28"/>
          <w:lang w:val="en-US" w:eastAsia="zh-CN"/>
        </w:rPr>
        <w:t>7</w:t>
      </w:r>
      <w:r>
        <w:rPr>
          <w:rFonts w:hint="eastAsia" w:ascii="仿宋" w:hAnsi="仿宋" w:eastAsia="仿宋"/>
          <w:color w:val="auto"/>
          <w:sz w:val="28"/>
          <w:szCs w:val="28"/>
          <w:lang w:eastAsia="zh-CN"/>
        </w:rPr>
        <w:t>月</w:t>
      </w:r>
      <w:r>
        <w:rPr>
          <w:rFonts w:hint="eastAsia" w:ascii="仿宋" w:hAnsi="仿宋" w:eastAsia="仿宋"/>
          <w:color w:val="auto"/>
          <w:sz w:val="28"/>
          <w:szCs w:val="28"/>
          <w:lang w:val="en-US" w:eastAsia="zh-CN"/>
        </w:rPr>
        <w:t>20</w:t>
      </w:r>
      <w:r>
        <w:rPr>
          <w:rFonts w:hint="eastAsia" w:ascii="仿宋" w:hAnsi="仿宋" w:eastAsia="仿宋"/>
          <w:color w:val="auto"/>
          <w:sz w:val="28"/>
          <w:szCs w:val="28"/>
          <w:lang w:eastAsia="zh-CN"/>
        </w:rPr>
        <w:t>日</w:t>
      </w:r>
      <w:r>
        <w:rPr>
          <w:rFonts w:hint="eastAsia" w:ascii="仿宋" w:hAnsi="仿宋" w:eastAsia="仿宋"/>
          <w:color w:val="auto"/>
          <w:sz w:val="28"/>
          <w:szCs w:val="28"/>
        </w:rPr>
        <w:t>，工</w:t>
      </w:r>
      <w:r>
        <w:rPr>
          <w:rFonts w:hint="eastAsia" w:ascii="仿宋" w:hAnsi="仿宋" w:eastAsia="仿宋"/>
          <w:color w:val="000000" w:themeColor="text1"/>
          <w:sz w:val="28"/>
          <w:szCs w:val="28"/>
          <w14:textFill>
            <w14:solidFill>
              <w14:schemeClr w14:val="tx1"/>
            </w14:solidFill>
          </w14:textFill>
        </w:rPr>
        <w:t>期</w:t>
      </w:r>
      <w:r>
        <w:rPr>
          <w:rFonts w:hint="eastAsia" w:ascii="仿宋" w:hAnsi="仿宋" w:eastAsia="仿宋"/>
          <w:color w:val="000000" w:themeColor="text1"/>
          <w:sz w:val="28"/>
          <w:szCs w:val="28"/>
          <w:lang w:val="en-US" w:eastAsia="zh-CN"/>
          <w14:textFill>
            <w14:solidFill>
              <w14:schemeClr w14:val="tx1"/>
            </w14:solidFill>
          </w14:textFill>
        </w:rPr>
        <w:t>71</w:t>
      </w:r>
      <w:r>
        <w:rPr>
          <w:rFonts w:hint="eastAsia" w:ascii="仿宋" w:hAnsi="仿宋" w:eastAsia="仿宋"/>
          <w:color w:val="000000" w:themeColor="text1"/>
          <w:sz w:val="28"/>
          <w:szCs w:val="28"/>
          <w14:textFill>
            <w14:solidFill>
              <w14:schemeClr w14:val="tx1"/>
            </w14:solidFill>
          </w14:textFill>
        </w:rPr>
        <w:t>日历天(</w:t>
      </w:r>
      <w:r>
        <w:rPr>
          <w:rFonts w:hint="eastAsia" w:ascii="仿宋" w:hAnsi="仿宋" w:eastAsia="仿宋"/>
          <w:sz w:val="28"/>
          <w:szCs w:val="28"/>
        </w:rPr>
        <w:t>实际工期以双方签订合同为准)</w:t>
      </w:r>
      <w:r>
        <w:rPr>
          <w:rFonts w:hint="eastAsia" w:ascii="仿宋" w:hAnsi="仿宋" w:eastAsia="仿宋"/>
          <w:sz w:val="28"/>
          <w:szCs w:val="28"/>
          <w:lang w:eastAsia="zh-CN"/>
        </w:rPr>
        <w:t>；</w:t>
      </w:r>
    </w:p>
    <w:p w14:paraId="3555A316">
      <w:pPr>
        <w:spacing w:line="360" w:lineRule="auto"/>
        <w:ind w:left="1405" w:hanging="1405" w:hangingChars="500"/>
        <w:rPr>
          <w:rFonts w:ascii="仿宋" w:hAnsi="仿宋" w:eastAsia="仿宋"/>
          <w:sz w:val="28"/>
          <w:szCs w:val="28"/>
        </w:rPr>
      </w:pPr>
      <w:r>
        <w:rPr>
          <w:rFonts w:hint="eastAsia" w:ascii="仿宋" w:hAnsi="仿宋" w:eastAsia="仿宋"/>
          <w:b/>
          <w:bCs/>
          <w:sz w:val="28"/>
          <w:szCs w:val="28"/>
          <w:lang w:val="zh-CN"/>
        </w:rPr>
        <w:t>质量要求</w:t>
      </w:r>
      <w:r>
        <w:rPr>
          <w:rFonts w:hint="eastAsia" w:ascii="仿宋" w:hAnsi="仿宋" w:eastAsia="仿宋"/>
          <w:sz w:val="28"/>
          <w:szCs w:val="28"/>
          <w:lang w:val="zh-CN"/>
        </w:rPr>
        <w:t>：工程质量必须达到国家及吉林省地方规定的工程质量验收合格标准。</w:t>
      </w:r>
    </w:p>
    <w:p w14:paraId="1A3F26A6">
      <w:pPr>
        <w:keepNext/>
        <w:keepLines/>
        <w:spacing w:line="360" w:lineRule="auto"/>
        <w:outlineLvl w:val="1"/>
        <w:rPr>
          <w:rFonts w:ascii="黑体" w:hAnsi="黑体" w:eastAsia="黑体" w:cs="宋体"/>
          <w:bCs/>
          <w:sz w:val="28"/>
          <w:szCs w:val="28"/>
        </w:rPr>
      </w:pPr>
      <w:bookmarkStart w:id="7" w:name="_Toc28359080"/>
      <w:bookmarkStart w:id="8" w:name="_Toc35393622"/>
      <w:bookmarkStart w:id="9" w:name="_Toc35393791"/>
      <w:bookmarkStart w:id="10" w:name="_Toc28359003"/>
      <w:r>
        <w:rPr>
          <w:rFonts w:hint="eastAsia" w:ascii="黑体" w:hAnsi="黑体" w:eastAsia="黑体" w:cs="宋体"/>
          <w:bCs/>
          <w:sz w:val="28"/>
          <w:szCs w:val="28"/>
        </w:rPr>
        <w:t>三、申请人的资格要求：</w:t>
      </w:r>
      <w:bookmarkEnd w:id="7"/>
      <w:bookmarkEnd w:id="8"/>
      <w:bookmarkEnd w:id="9"/>
      <w:bookmarkEnd w:id="10"/>
    </w:p>
    <w:p w14:paraId="375009CD">
      <w:pPr>
        <w:rPr>
          <w:rFonts w:ascii="仿宋" w:hAnsi="仿宋" w:eastAsia="仿宋"/>
          <w:sz w:val="28"/>
          <w:szCs w:val="28"/>
        </w:rPr>
      </w:pPr>
      <w:r>
        <w:rPr>
          <w:rFonts w:hint="eastAsia" w:ascii="仿宋" w:hAnsi="仿宋" w:eastAsia="仿宋"/>
          <w:sz w:val="28"/>
          <w:szCs w:val="28"/>
        </w:rPr>
        <w:t>1.满足《中华人民共和国政府采购法》第二十二条规定；</w:t>
      </w:r>
    </w:p>
    <w:p w14:paraId="14C31C2D">
      <w:pPr>
        <w:rPr>
          <w:rFonts w:ascii="仿宋" w:hAnsi="仿宋" w:eastAsia="仿宋"/>
          <w:sz w:val="28"/>
          <w:szCs w:val="28"/>
          <w:u w:val="single"/>
        </w:rPr>
      </w:pPr>
      <w:bookmarkStart w:id="11" w:name="_Toc28359004"/>
      <w:bookmarkStart w:id="12" w:name="_Toc28359081"/>
      <w:r>
        <w:rPr>
          <w:rFonts w:ascii="仿宋" w:hAnsi="仿宋" w:eastAsia="仿宋"/>
          <w:sz w:val="28"/>
          <w:szCs w:val="28"/>
        </w:rPr>
        <w:t>2</w:t>
      </w:r>
      <w:r>
        <w:rPr>
          <w:rFonts w:hint="eastAsia" w:ascii="仿宋" w:hAnsi="仿宋" w:eastAsia="仿宋"/>
          <w:sz w:val="28"/>
          <w:szCs w:val="28"/>
        </w:rPr>
        <w:t>.落实政府采购政策需满足的资格要求：</w:t>
      </w:r>
      <w:r>
        <w:rPr>
          <w:rFonts w:hint="eastAsia" w:ascii="仿宋" w:hAnsi="仿宋" w:eastAsia="仿宋"/>
          <w:sz w:val="28"/>
          <w:szCs w:val="28"/>
          <w:u w:val="single"/>
        </w:rPr>
        <w:t>详见竞争性磋商文件；</w:t>
      </w:r>
    </w:p>
    <w:p w14:paraId="79CA9E55">
      <w:pPr>
        <w:rPr>
          <w:rFonts w:ascii="仿宋" w:hAnsi="仿宋" w:eastAsia="仿宋"/>
          <w:sz w:val="28"/>
          <w:szCs w:val="28"/>
        </w:rPr>
      </w:pPr>
      <w:r>
        <w:rPr>
          <w:rFonts w:hint="eastAsia" w:ascii="仿宋" w:hAnsi="仿宋" w:eastAsia="仿宋"/>
          <w:sz w:val="28"/>
          <w:szCs w:val="28"/>
        </w:rPr>
        <w:t>3.本项目的特定资格要求：</w:t>
      </w:r>
    </w:p>
    <w:p w14:paraId="17F42D10">
      <w:pPr>
        <w:ind w:firstLine="560" w:firstLineChars="200"/>
        <w:rPr>
          <w:rFonts w:ascii="仿宋" w:hAnsi="仿宋" w:eastAsia="仿宋"/>
          <w:sz w:val="28"/>
          <w:szCs w:val="28"/>
          <w:lang w:val="zh-CN"/>
        </w:rPr>
      </w:pPr>
      <w:r>
        <w:rPr>
          <w:rFonts w:hint="eastAsia" w:ascii="仿宋" w:hAnsi="仿宋" w:eastAsia="仿宋"/>
          <w:sz w:val="28"/>
          <w:szCs w:val="28"/>
          <w:lang w:val="zh-CN"/>
        </w:rPr>
        <w:t>3.1 资质条件：投标申请人须具备建设行政主管部门核发的</w:t>
      </w:r>
      <w:r>
        <w:rPr>
          <w:rFonts w:hint="eastAsia" w:ascii="仿宋" w:hAnsi="仿宋" w:eastAsia="仿宋"/>
          <w:sz w:val="28"/>
          <w:szCs w:val="28"/>
        </w:rPr>
        <w:t>市政公用工程施工总承</w:t>
      </w:r>
      <w:r>
        <w:rPr>
          <w:rFonts w:hint="eastAsia" w:ascii="仿宋" w:hAnsi="仿宋" w:eastAsia="仿宋"/>
          <w:sz w:val="28"/>
          <w:szCs w:val="28"/>
          <w:highlight w:val="none"/>
        </w:rPr>
        <w:t>包</w:t>
      </w:r>
      <w:r>
        <w:rPr>
          <w:rFonts w:hint="eastAsia" w:ascii="仿宋" w:hAnsi="仿宋" w:eastAsia="仿宋"/>
          <w:sz w:val="28"/>
          <w:szCs w:val="28"/>
          <w:highlight w:val="none"/>
          <w:lang w:val="en-US" w:eastAsia="zh-CN"/>
        </w:rPr>
        <w:t>贰</w:t>
      </w:r>
      <w:r>
        <w:rPr>
          <w:rFonts w:hint="eastAsia" w:ascii="仿宋" w:hAnsi="仿宋" w:eastAsia="仿宋"/>
          <w:sz w:val="28"/>
          <w:szCs w:val="28"/>
          <w:highlight w:val="none"/>
        </w:rPr>
        <w:t>级或公路工程施工总承包</w:t>
      </w:r>
      <w:r>
        <w:rPr>
          <w:rFonts w:hint="eastAsia" w:ascii="仿宋" w:hAnsi="仿宋" w:eastAsia="仿宋"/>
          <w:sz w:val="28"/>
          <w:szCs w:val="28"/>
          <w:highlight w:val="none"/>
          <w:lang w:val="en-US" w:eastAsia="zh-CN"/>
        </w:rPr>
        <w:t>贰</w:t>
      </w:r>
      <w:r>
        <w:rPr>
          <w:rFonts w:hint="eastAsia" w:ascii="仿宋" w:hAnsi="仿宋" w:eastAsia="仿宋"/>
          <w:sz w:val="28"/>
          <w:szCs w:val="28"/>
          <w:highlight w:val="none"/>
        </w:rPr>
        <w:t>级</w:t>
      </w:r>
      <w:r>
        <w:rPr>
          <w:rFonts w:hint="eastAsia" w:ascii="仿宋" w:hAnsi="仿宋" w:eastAsia="仿宋"/>
          <w:sz w:val="28"/>
          <w:szCs w:val="28"/>
          <w:highlight w:val="none"/>
          <w:lang w:val="zh-CN"/>
        </w:rPr>
        <w:t>及</w:t>
      </w:r>
      <w:r>
        <w:rPr>
          <w:rFonts w:hint="eastAsia" w:ascii="仿宋" w:hAnsi="仿宋" w:eastAsia="仿宋"/>
          <w:sz w:val="28"/>
          <w:szCs w:val="28"/>
          <w:lang w:val="zh-CN"/>
        </w:rPr>
        <w:t>以上资质，并具备有效的安全生产许可证</w:t>
      </w:r>
      <w:r>
        <w:rPr>
          <w:rFonts w:hint="eastAsia" w:ascii="仿宋" w:hAnsi="仿宋" w:eastAsia="仿宋"/>
          <w:sz w:val="28"/>
          <w:szCs w:val="28"/>
        </w:rPr>
        <w:t>的法人或其他组织</w:t>
      </w:r>
      <w:r>
        <w:rPr>
          <w:rFonts w:hint="eastAsia" w:ascii="仿宋" w:hAnsi="仿宋" w:eastAsia="仿宋"/>
          <w:sz w:val="28"/>
          <w:szCs w:val="28"/>
          <w:lang w:val="zh-CN"/>
        </w:rPr>
        <w:t>，在人员、设备、资金等方面具有相应的施工能力；</w:t>
      </w:r>
    </w:p>
    <w:p w14:paraId="480B13E1">
      <w:pPr>
        <w:ind w:firstLine="560" w:firstLineChars="200"/>
        <w:rPr>
          <w:color w:val="000000" w:themeColor="text1"/>
          <w14:textFill>
            <w14:solidFill>
              <w14:schemeClr w14:val="tx1"/>
            </w14:solidFill>
          </w14:textFill>
        </w:rPr>
      </w:pPr>
      <w:r>
        <w:rPr>
          <w:rFonts w:hint="eastAsia" w:ascii="仿宋" w:hAnsi="仿宋" w:eastAsia="仿宋"/>
          <w:sz w:val="28"/>
          <w:szCs w:val="28"/>
          <w:lang w:val="zh-CN"/>
        </w:rPr>
        <w:t>3.2</w:t>
      </w:r>
      <w:r>
        <w:rPr>
          <w:rFonts w:hint="eastAsia" w:ascii="仿宋" w:hAnsi="仿宋" w:eastAsia="仿宋"/>
          <w:sz w:val="28"/>
          <w:szCs w:val="28"/>
        </w:rPr>
        <w:t xml:space="preserve"> 项目负责人：</w:t>
      </w:r>
      <w:r>
        <w:rPr>
          <w:rFonts w:hint="eastAsia" w:ascii="仿宋" w:hAnsi="仿宋" w:eastAsia="仿宋"/>
          <w:sz w:val="28"/>
          <w:szCs w:val="28"/>
          <w:lang w:eastAsia="zh-CN"/>
        </w:rPr>
        <w:t>供应商</w:t>
      </w:r>
      <w:r>
        <w:rPr>
          <w:rFonts w:hint="eastAsia" w:ascii="仿宋" w:hAnsi="仿宋" w:eastAsia="仿宋"/>
          <w:sz w:val="28"/>
          <w:szCs w:val="28"/>
        </w:rPr>
        <w:t>拟派出的项目经理须具备市政公用工程专业二级或公路工程专业二级及以上注册建造师资格，具备有效的安全生产考核合格证书，且无在建工程；</w:t>
      </w:r>
    </w:p>
    <w:p w14:paraId="23FECB76">
      <w:pPr>
        <w:ind w:firstLine="560" w:firstLineChars="200"/>
        <w:rPr>
          <w:rFonts w:ascii="仿宋" w:hAnsi="仿宋" w:eastAsia="仿宋"/>
          <w:sz w:val="28"/>
          <w:szCs w:val="28"/>
          <w:highlight w:val="yellow"/>
          <w:lang w:val="zh-CN"/>
        </w:rPr>
      </w:pPr>
      <w:r>
        <w:rPr>
          <w:rFonts w:hint="eastAsia" w:ascii="仿宋" w:hAnsi="仿宋" w:eastAsia="仿宋"/>
          <w:sz w:val="28"/>
          <w:szCs w:val="28"/>
          <w:lang w:val="zh-CN"/>
        </w:rPr>
        <w:t>3.</w:t>
      </w:r>
      <w:r>
        <w:rPr>
          <w:rFonts w:hint="eastAsia" w:ascii="仿宋" w:hAnsi="仿宋" w:eastAsia="仿宋"/>
          <w:sz w:val="28"/>
          <w:szCs w:val="28"/>
        </w:rPr>
        <w:t xml:space="preserve">3 </w:t>
      </w:r>
      <w:r>
        <w:rPr>
          <w:rFonts w:hint="eastAsia" w:ascii="仿宋" w:hAnsi="仿宋" w:eastAsia="仿宋"/>
          <w:sz w:val="28"/>
          <w:szCs w:val="28"/>
          <w:lang w:val="zh-CN"/>
        </w:rPr>
        <w:t>业绩要求：近三年（20</w:t>
      </w:r>
      <w:r>
        <w:rPr>
          <w:rFonts w:hint="eastAsia" w:ascii="仿宋" w:hAnsi="仿宋" w:eastAsia="仿宋"/>
          <w:sz w:val="28"/>
          <w:szCs w:val="28"/>
        </w:rPr>
        <w:t>2</w:t>
      </w:r>
      <w:r>
        <w:rPr>
          <w:rFonts w:hint="eastAsia" w:ascii="仿宋" w:hAnsi="仿宋" w:eastAsia="仿宋"/>
          <w:sz w:val="28"/>
          <w:szCs w:val="28"/>
          <w:lang w:val="en-US" w:eastAsia="zh-CN"/>
        </w:rPr>
        <w:t>2</w:t>
      </w:r>
      <w:r>
        <w:rPr>
          <w:rFonts w:hint="eastAsia" w:ascii="仿宋" w:hAnsi="仿宋" w:eastAsia="仿宋"/>
          <w:sz w:val="28"/>
          <w:szCs w:val="28"/>
          <w:lang w:val="zh-CN"/>
        </w:rPr>
        <w:t>至今）完成过至少1项同类或类似业绩；提供成交通知书或合同（原件或加盖公章的复印件），标书内附成交通知书或合同复印件并加盖公章。</w:t>
      </w:r>
    </w:p>
    <w:p w14:paraId="0E0FB197">
      <w:pPr>
        <w:autoSpaceDE w:val="0"/>
        <w:autoSpaceDN w:val="0"/>
        <w:adjustRightInd w:val="0"/>
        <w:snapToGrid w:val="0"/>
        <w:spacing w:line="380" w:lineRule="exact"/>
        <w:ind w:firstLine="560" w:firstLineChars="200"/>
        <w:jc w:val="left"/>
        <w:rPr>
          <w:rFonts w:ascii="仿宋" w:hAnsi="仿宋" w:eastAsia="仿宋"/>
          <w:sz w:val="28"/>
          <w:szCs w:val="28"/>
          <w:lang w:val="zh-CN"/>
        </w:rPr>
      </w:pPr>
      <w:r>
        <w:rPr>
          <w:rFonts w:hint="eastAsia" w:ascii="仿宋" w:hAnsi="仿宋" w:eastAsia="仿宋"/>
          <w:sz w:val="28"/>
          <w:szCs w:val="28"/>
          <w:highlight w:val="none"/>
          <w:lang w:val="zh-CN"/>
        </w:rPr>
        <w:t>3.</w:t>
      </w:r>
      <w:r>
        <w:rPr>
          <w:rFonts w:hint="eastAsia" w:ascii="仿宋" w:hAnsi="仿宋" w:eastAsia="仿宋"/>
          <w:sz w:val="28"/>
          <w:szCs w:val="28"/>
          <w:highlight w:val="none"/>
        </w:rPr>
        <w:t xml:space="preserve">4 </w:t>
      </w:r>
      <w:r>
        <w:rPr>
          <w:rFonts w:hint="eastAsia" w:ascii="仿宋" w:hAnsi="仿宋" w:eastAsia="仿宋"/>
          <w:sz w:val="28"/>
          <w:szCs w:val="28"/>
          <w:highlight w:val="none"/>
          <w:lang w:val="zh-CN"/>
        </w:rPr>
        <w:t>财务要求：提供近三年（</w:t>
      </w:r>
      <w:r>
        <w:rPr>
          <w:rFonts w:hint="eastAsia" w:ascii="仿宋" w:hAnsi="仿宋" w:eastAsia="仿宋"/>
          <w:color w:val="000000" w:themeColor="text1"/>
          <w:sz w:val="28"/>
          <w:szCs w:val="28"/>
          <w:highlight w:val="none"/>
          <w14:textFill>
            <w14:solidFill>
              <w14:schemeClr w14:val="tx1"/>
            </w14:solidFill>
          </w14:textFill>
        </w:rPr>
        <w:t>202</w:t>
      </w:r>
      <w:r>
        <w:rPr>
          <w:rFonts w:hint="eastAsia" w:ascii="仿宋" w:hAnsi="仿宋" w:eastAsia="仿宋"/>
          <w:color w:val="000000" w:themeColor="text1"/>
          <w:sz w:val="28"/>
          <w:szCs w:val="28"/>
          <w:highlight w:val="none"/>
          <w:lang w:val="en-US" w:eastAsia="zh-CN"/>
          <w14:textFill>
            <w14:solidFill>
              <w14:schemeClr w14:val="tx1"/>
            </w14:solidFill>
          </w14:textFill>
        </w:rPr>
        <w:t>1</w:t>
      </w:r>
      <w:r>
        <w:rPr>
          <w:rFonts w:hint="eastAsia" w:ascii="仿宋" w:hAnsi="仿宋" w:eastAsia="仿宋"/>
          <w:color w:val="000000" w:themeColor="text1"/>
          <w:sz w:val="28"/>
          <w:szCs w:val="28"/>
          <w:highlight w:val="none"/>
          <w14:textFill>
            <w14:solidFill>
              <w14:schemeClr w14:val="tx1"/>
            </w14:solidFill>
          </w14:textFill>
        </w:rPr>
        <w:t>-202</w:t>
      </w:r>
      <w:r>
        <w:rPr>
          <w:rFonts w:hint="eastAsia" w:ascii="仿宋" w:hAnsi="仿宋" w:eastAsia="仿宋"/>
          <w:color w:val="000000" w:themeColor="text1"/>
          <w:sz w:val="28"/>
          <w:szCs w:val="28"/>
          <w:highlight w:val="none"/>
          <w:lang w:val="en-US" w:eastAsia="zh-CN"/>
          <w14:textFill>
            <w14:solidFill>
              <w14:schemeClr w14:val="tx1"/>
            </w14:solidFill>
          </w14:textFill>
        </w:rPr>
        <w:t>3</w:t>
      </w:r>
      <w:r>
        <w:rPr>
          <w:rFonts w:hint="eastAsia" w:ascii="仿宋" w:hAnsi="仿宋" w:eastAsia="仿宋"/>
          <w:color w:val="000000" w:themeColor="text1"/>
          <w:sz w:val="28"/>
          <w:szCs w:val="28"/>
          <w:highlight w:val="none"/>
          <w:lang w:val="zh-CN"/>
          <w14:textFill>
            <w14:solidFill>
              <w14:schemeClr w14:val="tx1"/>
            </w14:solidFill>
          </w14:textFill>
        </w:rPr>
        <w:t>年</w:t>
      </w:r>
      <w:r>
        <w:rPr>
          <w:rFonts w:hint="eastAsia" w:ascii="仿宋" w:hAnsi="仿宋" w:eastAsia="仿宋"/>
          <w:sz w:val="28"/>
          <w:szCs w:val="28"/>
          <w:highlight w:val="none"/>
          <w:lang w:val="zh-CN"/>
        </w:rPr>
        <w:t>）经会计师事务所或审计机构</w:t>
      </w:r>
      <w:r>
        <w:rPr>
          <w:rFonts w:hint="eastAsia" w:ascii="仿宋" w:hAnsi="仿宋" w:eastAsia="仿宋"/>
          <w:sz w:val="28"/>
          <w:szCs w:val="28"/>
          <w:lang w:val="zh-CN"/>
        </w:rPr>
        <w:t>审计的财务会计报表，包括资产负债表、现金流量表、利润表和财务情况说明书的复印件；供应商成立不足三年的，提供自成立年份-20</w:t>
      </w:r>
      <w:r>
        <w:rPr>
          <w:rFonts w:hint="eastAsia" w:ascii="仿宋" w:hAnsi="仿宋" w:eastAsia="仿宋"/>
          <w:sz w:val="28"/>
          <w:szCs w:val="28"/>
        </w:rPr>
        <w:t>2</w:t>
      </w:r>
      <w:r>
        <w:rPr>
          <w:rFonts w:hint="eastAsia" w:ascii="仿宋" w:hAnsi="仿宋" w:eastAsia="仿宋"/>
          <w:sz w:val="28"/>
          <w:szCs w:val="28"/>
          <w:lang w:val="en-US" w:eastAsia="zh-CN"/>
        </w:rPr>
        <w:t>3</w:t>
      </w:r>
      <w:r>
        <w:rPr>
          <w:rFonts w:hint="eastAsia" w:ascii="仿宋" w:hAnsi="仿宋" w:eastAsia="仿宋"/>
          <w:sz w:val="28"/>
          <w:szCs w:val="28"/>
          <w:lang w:val="zh-CN"/>
        </w:rPr>
        <w:t>年的财务报告或财务报表，供应商在20</w:t>
      </w:r>
      <w:r>
        <w:rPr>
          <w:rFonts w:hint="eastAsia" w:ascii="仿宋" w:hAnsi="仿宋" w:eastAsia="仿宋"/>
          <w:sz w:val="28"/>
          <w:szCs w:val="28"/>
        </w:rPr>
        <w:t>2</w:t>
      </w:r>
      <w:r>
        <w:rPr>
          <w:rFonts w:hint="eastAsia" w:ascii="仿宋" w:hAnsi="仿宋" w:eastAsia="仿宋"/>
          <w:sz w:val="28"/>
          <w:szCs w:val="28"/>
          <w:lang w:val="en-US" w:eastAsia="zh-CN"/>
        </w:rPr>
        <w:t>4</w:t>
      </w:r>
      <w:r>
        <w:rPr>
          <w:rFonts w:hint="eastAsia" w:ascii="仿宋" w:hAnsi="仿宋" w:eastAsia="仿宋"/>
          <w:sz w:val="28"/>
          <w:szCs w:val="28"/>
          <w:lang w:val="zh-CN"/>
        </w:rPr>
        <w:t>年之后成立的，无财务状况报告的，提供基本账户开户银行的资信证明；</w:t>
      </w:r>
    </w:p>
    <w:p w14:paraId="5EF95291">
      <w:pPr>
        <w:rPr>
          <w:rFonts w:ascii="仿宋" w:hAnsi="仿宋" w:eastAsia="仿宋"/>
          <w:sz w:val="28"/>
          <w:szCs w:val="28"/>
          <w:lang w:val="zh-CN"/>
        </w:rPr>
      </w:pPr>
      <w:r>
        <w:rPr>
          <w:rFonts w:hint="eastAsia" w:ascii="仿宋" w:hAnsi="仿宋" w:eastAsia="仿宋"/>
          <w:sz w:val="28"/>
          <w:szCs w:val="28"/>
        </w:rPr>
        <w:t>4.</w:t>
      </w:r>
      <w:r>
        <w:rPr>
          <w:rFonts w:hint="eastAsia" w:ascii="仿宋" w:hAnsi="仿宋" w:eastAsia="仿宋"/>
          <w:sz w:val="28"/>
          <w:szCs w:val="28"/>
          <w:lang w:val="zh-CN"/>
        </w:rPr>
        <w:t>信誉要求：拒绝列入政府取消投标资格记录期间的企业或个人投标；未被</w:t>
      </w:r>
      <w:r>
        <w:rPr>
          <w:rFonts w:hint="eastAsia" w:ascii="仿宋" w:hAnsi="仿宋" w:eastAsia="仿宋"/>
          <w:sz w:val="28"/>
          <w:szCs w:val="28"/>
          <w:lang w:val="zh-CN" w:eastAsia="zh-CN"/>
        </w:rPr>
        <w:t>市场监督管理部门</w:t>
      </w:r>
      <w:r>
        <w:rPr>
          <w:rFonts w:hint="eastAsia" w:ascii="仿宋" w:hAnsi="仿宋" w:eastAsia="仿宋"/>
          <w:sz w:val="28"/>
          <w:szCs w:val="28"/>
          <w:lang w:val="zh-CN"/>
        </w:rPr>
        <w:t>在全国企业信用信息公示系统（www.gsxt.gov.cn）中列入严重违法失信企业名单；未被最高人民法院在“信用中国”网站（www.creditchina.gov.cn）或各级信用信息共享平台中列入失信被执行人名单；在近三年（</w:t>
      </w:r>
      <w:r>
        <w:rPr>
          <w:rFonts w:hint="eastAsia" w:ascii="仿宋" w:hAnsi="仿宋" w:eastAsia="仿宋"/>
          <w:sz w:val="28"/>
          <w:szCs w:val="28"/>
        </w:rPr>
        <w:t>202</w:t>
      </w:r>
      <w:r>
        <w:rPr>
          <w:rFonts w:hint="eastAsia" w:ascii="仿宋" w:hAnsi="仿宋" w:eastAsia="仿宋"/>
          <w:sz w:val="28"/>
          <w:szCs w:val="28"/>
          <w:lang w:val="en-US" w:eastAsia="zh-CN"/>
        </w:rPr>
        <w:t>2</w:t>
      </w:r>
      <w:r>
        <w:rPr>
          <w:rFonts w:hint="eastAsia" w:ascii="仿宋" w:hAnsi="仿宋" w:eastAsia="仿宋"/>
          <w:sz w:val="28"/>
          <w:szCs w:val="28"/>
          <w:lang w:val="zh-CN"/>
        </w:rPr>
        <w:t>年1月1日-投标截止时间前）内供应商或其法定代表人、拟委任的项目负责人未在“中国裁判文书网 ”（wenshu.court.gov.cn）上有行贿犯罪行为；</w:t>
      </w:r>
    </w:p>
    <w:p w14:paraId="376CB757">
      <w:pPr>
        <w:rPr>
          <w:rFonts w:ascii="仿宋" w:hAnsi="仿宋" w:eastAsia="仿宋"/>
          <w:sz w:val="28"/>
          <w:szCs w:val="28"/>
          <w:lang w:val="zh-CN"/>
        </w:rPr>
      </w:pPr>
      <w:r>
        <w:rPr>
          <w:rFonts w:hint="eastAsia" w:ascii="仿宋" w:hAnsi="仿宋" w:eastAsia="仿宋"/>
          <w:sz w:val="28"/>
          <w:szCs w:val="28"/>
        </w:rPr>
        <w:t>5.</w:t>
      </w:r>
      <w:r>
        <w:rPr>
          <w:rFonts w:hint="eastAsia" w:ascii="仿宋" w:hAnsi="仿宋" w:eastAsia="仿宋"/>
          <w:sz w:val="28"/>
          <w:szCs w:val="28"/>
          <w:lang w:val="zh-CN"/>
        </w:rPr>
        <w:t>其他要求：与采购人存在利害关系可能影响磋商公正性的法人、其他组织或者个人，不得参加投标。单位负责人为同一人或者存在控股、管理关系的不同单位，不得参加同一标段投标或者未划分标段的同一磋商项目投标。违反上述规定的，相关投标均无效；</w:t>
      </w:r>
    </w:p>
    <w:p w14:paraId="6AB19748">
      <w:pPr>
        <w:rPr>
          <w:rFonts w:hint="eastAsia" w:ascii="仿宋" w:hAnsi="仿宋" w:eastAsia="仿宋" w:cs="Times New Roman"/>
          <w:sz w:val="28"/>
          <w:szCs w:val="28"/>
          <w:lang w:val="zh-CN"/>
        </w:rPr>
      </w:pPr>
      <w:r>
        <w:rPr>
          <w:rFonts w:hint="eastAsia" w:ascii="仿宋" w:hAnsi="仿宋" w:eastAsia="仿宋" w:cs="Times New Roman"/>
          <w:sz w:val="28"/>
          <w:szCs w:val="28"/>
        </w:rPr>
        <w:t>6.</w:t>
      </w:r>
      <w:r>
        <w:rPr>
          <w:rFonts w:hint="eastAsia" w:ascii="仿宋" w:hAnsi="仿宋" w:eastAsia="仿宋" w:cs="Times New Roman"/>
          <w:sz w:val="28"/>
          <w:szCs w:val="28"/>
          <w:lang w:val="zh-CN"/>
        </w:rPr>
        <w:t>本项目不接受联合体投标。</w:t>
      </w:r>
    </w:p>
    <w:p w14:paraId="44AFBE00">
      <w:pPr>
        <w:keepNext/>
        <w:keepLines/>
        <w:spacing w:line="360" w:lineRule="auto"/>
        <w:outlineLvl w:val="1"/>
        <w:rPr>
          <w:rFonts w:hint="eastAsia" w:ascii="黑体" w:hAnsi="黑体" w:eastAsia="黑体" w:cs="宋体"/>
          <w:bCs/>
          <w:sz w:val="28"/>
          <w:szCs w:val="28"/>
        </w:rPr>
      </w:pPr>
      <w:bookmarkStart w:id="13" w:name="_Toc35393792"/>
      <w:bookmarkStart w:id="14" w:name="_Toc35393623"/>
      <w:r>
        <w:rPr>
          <w:rFonts w:hint="eastAsia" w:ascii="黑体" w:hAnsi="黑体" w:eastAsia="黑体" w:cs="宋体"/>
          <w:bCs/>
          <w:sz w:val="28"/>
          <w:szCs w:val="28"/>
        </w:rPr>
        <w:t>四、</w:t>
      </w:r>
      <w:bookmarkEnd w:id="11"/>
      <w:bookmarkEnd w:id="12"/>
      <w:bookmarkEnd w:id="13"/>
      <w:bookmarkEnd w:id="14"/>
      <w:r>
        <w:rPr>
          <w:rFonts w:hint="eastAsia" w:ascii="黑体" w:hAnsi="黑体" w:eastAsia="黑体" w:cs="宋体"/>
          <w:bCs/>
          <w:sz w:val="28"/>
          <w:szCs w:val="28"/>
        </w:rPr>
        <w:t>获取采购文件</w:t>
      </w:r>
    </w:p>
    <w:p w14:paraId="240B2A1C">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4.1时间：2025年4月10日至2025年4月17日，每天8时30分至16时00分（北京时间，法定节假日除外）；</w:t>
      </w:r>
    </w:p>
    <w:p w14:paraId="734E9462">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4.2地点：</w:t>
      </w:r>
      <w:r>
        <w:rPr>
          <w:rFonts w:hint="eastAsia" w:ascii="仿宋" w:hAnsi="仿宋" w:eastAsia="仿宋" w:cs="Times New Roman"/>
          <w:sz w:val="28"/>
          <w:szCs w:val="28"/>
          <w:lang w:val="zh-CN"/>
        </w:rPr>
        <w:t>政府采购云平台</w:t>
      </w:r>
      <w:r>
        <w:rPr>
          <w:rFonts w:hint="eastAsia" w:ascii="仿宋" w:hAnsi="仿宋" w:eastAsia="仿宋" w:cs="Times New Roman"/>
          <w:sz w:val="28"/>
          <w:szCs w:val="28"/>
          <w:lang w:val="en-US" w:eastAsia="zh-CN"/>
        </w:rPr>
        <w:t>（http：//www.zcygov.cn）；</w:t>
      </w:r>
    </w:p>
    <w:p w14:paraId="51F6A8F2">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4.3方式：</w:t>
      </w:r>
      <w:r>
        <w:rPr>
          <w:rFonts w:hint="eastAsia" w:ascii="仿宋" w:hAnsi="仿宋" w:eastAsia="仿宋" w:cs="Times New Roman"/>
          <w:sz w:val="28"/>
          <w:szCs w:val="28"/>
          <w:lang w:val="zh-CN"/>
        </w:rPr>
        <w:t>网上免费获取，供应商注册为正式</w:t>
      </w:r>
      <w:r>
        <w:rPr>
          <w:rFonts w:hint="eastAsia" w:ascii="仿宋" w:hAnsi="仿宋" w:eastAsia="仿宋" w:cs="Times New Roman"/>
          <w:sz w:val="28"/>
          <w:szCs w:val="28"/>
          <w:lang w:val="en-US" w:eastAsia="zh-CN"/>
        </w:rPr>
        <w:t>“政采云”平台</w:t>
      </w:r>
      <w:r>
        <w:rPr>
          <w:rFonts w:hint="eastAsia" w:ascii="仿宋" w:hAnsi="仿宋" w:eastAsia="仿宋" w:cs="Times New Roman"/>
          <w:sz w:val="28"/>
          <w:szCs w:val="28"/>
          <w:lang w:val="zh-CN"/>
        </w:rPr>
        <w:t>供应商后</w:t>
      </w:r>
      <w:r>
        <w:rPr>
          <w:rFonts w:hint="eastAsia" w:ascii="仿宋" w:hAnsi="仿宋" w:eastAsia="仿宋" w:cs="Times New Roman"/>
          <w:sz w:val="28"/>
          <w:szCs w:val="28"/>
          <w:lang w:val="en-US" w:eastAsia="zh-CN"/>
        </w:rPr>
        <w:t>，登录政采云平台进入“项目采购 ”应用，在“获取采购文件”菜单中选择项目，点击“申请获取采购文件”填写信息并下载源文件。</w:t>
      </w:r>
    </w:p>
    <w:p w14:paraId="0C54C11E">
      <w:pPr>
        <w:ind w:firstLine="560" w:firstLineChars="200"/>
        <w:rPr>
          <w:rFonts w:hint="eastAsia" w:ascii="仿宋" w:hAnsi="仿宋" w:eastAsia="仿宋" w:cs="Times New Roman"/>
          <w:sz w:val="28"/>
          <w:szCs w:val="28"/>
          <w:lang w:val="zh-CN"/>
        </w:rPr>
      </w:pPr>
      <w:r>
        <w:rPr>
          <w:rFonts w:hint="eastAsia" w:ascii="仿宋" w:hAnsi="仿宋" w:eastAsia="仿宋" w:cs="Times New Roman"/>
          <w:sz w:val="28"/>
          <w:szCs w:val="28"/>
          <w:lang w:val="en-US" w:eastAsia="zh-CN"/>
        </w:rPr>
        <w:t>4.4售价：0.00元。</w:t>
      </w:r>
    </w:p>
    <w:p w14:paraId="26B5CB9C">
      <w:pPr>
        <w:keepNext/>
        <w:keepLines/>
        <w:spacing w:line="360" w:lineRule="auto"/>
        <w:outlineLvl w:val="1"/>
        <w:rPr>
          <w:rFonts w:hint="eastAsia" w:ascii="黑体" w:hAnsi="黑体" w:eastAsia="黑体" w:cs="宋体"/>
          <w:bCs/>
          <w:sz w:val="28"/>
          <w:szCs w:val="28"/>
        </w:rPr>
      </w:pPr>
      <w:bookmarkStart w:id="15" w:name="_Toc28359082"/>
      <w:bookmarkStart w:id="16" w:name="_Toc35393793"/>
      <w:bookmarkStart w:id="17" w:name="_Toc35393624"/>
      <w:bookmarkStart w:id="18" w:name="_Toc28359005"/>
      <w:r>
        <w:rPr>
          <w:rFonts w:hint="eastAsia" w:ascii="黑体" w:hAnsi="黑体" w:eastAsia="黑体" w:cs="宋体"/>
          <w:bCs/>
          <w:sz w:val="28"/>
          <w:szCs w:val="28"/>
        </w:rPr>
        <w:t>五、</w:t>
      </w:r>
      <w:bookmarkEnd w:id="15"/>
      <w:bookmarkEnd w:id="16"/>
      <w:bookmarkEnd w:id="17"/>
      <w:bookmarkEnd w:id="18"/>
      <w:r>
        <w:rPr>
          <w:rFonts w:hint="eastAsia" w:ascii="黑体" w:hAnsi="黑体" w:eastAsia="黑体" w:cs="宋体"/>
          <w:bCs/>
          <w:sz w:val="28"/>
          <w:szCs w:val="28"/>
          <w:lang w:eastAsia="zh-CN"/>
        </w:rPr>
        <w:t>响应文件提交</w:t>
      </w:r>
    </w:p>
    <w:p w14:paraId="3D9B7A62">
      <w:pPr>
        <w:ind w:firstLine="560" w:firstLineChars="200"/>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lang w:val="en-US" w:eastAsia="zh-CN"/>
        </w:rPr>
        <w:t>4.1截止时间</w:t>
      </w:r>
      <w:r>
        <w:rPr>
          <w:rFonts w:hint="eastAsia" w:ascii="仿宋" w:hAnsi="仿宋" w:eastAsia="仿宋" w:cs="Times New Roman"/>
          <w:sz w:val="28"/>
          <w:szCs w:val="28"/>
          <w:highlight w:val="none"/>
          <w:lang w:val="en-US" w:eastAsia="zh-CN"/>
        </w:rPr>
        <w:t>：一至四标段2025年04月24日08时30分（北京时间）,</w:t>
      </w:r>
    </w:p>
    <w:p w14:paraId="1D9A6EE5">
      <w:pPr>
        <w:ind w:firstLine="2240" w:firstLineChars="800"/>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五至八标段2025年04月25日08时30分（北京时间）,</w:t>
      </w:r>
    </w:p>
    <w:p w14:paraId="595A37BE">
      <w:pPr>
        <w:ind w:firstLine="2240" w:firstLineChars="800"/>
        <w:rPr>
          <w:rFonts w:hint="default"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九至十二标段2025年05月6日08时30分（北京时间）;</w:t>
      </w:r>
    </w:p>
    <w:p w14:paraId="036EC825">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4.2响应文件提交方式：本项目为全流程电子化项目，通过“政采云”平台（http：//www.zcygov.cn）实行在线电子投标，供应商应先安装“政采云投标客户端”（请自行前往“政采云”平台进行下载），并按照本项目磋商文件和“政采云”平台的要求编制、加密后在提交响应文件截止时间前通过网络上传至“政采云”平台，供应商在“政采云”平台提交电子版投标响应文件时，请填写参加采购活动经办人联系方式。（本项目远程开标，不需要到现场开标）</w:t>
      </w:r>
    </w:p>
    <w:p w14:paraId="50A905B2">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4.3电子投标响应文件解密期限及方式：开启时间后30分钟内，由供应商持制作该电子投标响应文件的同一数字证书（CA锁）及电脑进行远程解密（各供应商不要提前进行远程解密，具体解密时间在政采云开标时采购代理机构工作人员会进行通知）。投标响应文件解密截止时间后，“政采云”平台公布投标响应报价信息，供应商持企业数字证书登录“政采云”平台在线查询投标响应报价信息。</w:t>
      </w:r>
    </w:p>
    <w:p w14:paraId="42E68375">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4.4若对项目采购电子交易系统操作有疑问，可登录“政采云”平台（</w:t>
      </w:r>
      <w:r>
        <w:rPr>
          <w:rFonts w:hint="eastAsia" w:ascii="仿宋" w:hAnsi="仿宋" w:eastAsia="仿宋" w:cs="Times New Roman"/>
          <w:sz w:val="28"/>
          <w:szCs w:val="28"/>
          <w:lang w:val="en-US" w:eastAsia="zh-CN"/>
        </w:rPr>
        <w:fldChar w:fldCharType="begin"/>
      </w:r>
      <w:r>
        <w:rPr>
          <w:rFonts w:hint="eastAsia" w:ascii="仿宋" w:hAnsi="仿宋" w:eastAsia="仿宋" w:cs="Times New Roman"/>
          <w:sz w:val="28"/>
          <w:szCs w:val="28"/>
          <w:lang w:val="en-US" w:eastAsia="zh-CN"/>
        </w:rPr>
        <w:instrText xml:space="preserve"> HYPERLINK "https://www.zcygov.cn/" </w:instrText>
      </w:r>
      <w:r>
        <w:rPr>
          <w:rFonts w:hint="eastAsia" w:ascii="仿宋" w:hAnsi="仿宋" w:eastAsia="仿宋" w:cs="Times New Roman"/>
          <w:sz w:val="28"/>
          <w:szCs w:val="28"/>
          <w:lang w:val="en-US" w:eastAsia="zh-CN"/>
        </w:rPr>
        <w:fldChar w:fldCharType="separate"/>
      </w:r>
      <w:r>
        <w:rPr>
          <w:rFonts w:hint="eastAsia" w:ascii="仿宋" w:hAnsi="仿宋" w:eastAsia="仿宋" w:cs="Times New Roman"/>
          <w:sz w:val="28"/>
          <w:szCs w:val="28"/>
          <w:lang w:val="en-US" w:eastAsia="zh-CN"/>
        </w:rPr>
        <w:t>https://www.zcygov.cn/</w:t>
      </w:r>
      <w:r>
        <w:rPr>
          <w:rFonts w:hint="eastAsia" w:ascii="仿宋" w:hAnsi="仿宋" w:eastAsia="仿宋" w:cs="Times New Roman"/>
          <w:sz w:val="28"/>
          <w:szCs w:val="28"/>
          <w:lang w:val="en-US" w:eastAsia="zh-CN"/>
        </w:rPr>
        <w:fldChar w:fldCharType="end"/>
      </w:r>
      <w:r>
        <w:rPr>
          <w:rFonts w:hint="eastAsia" w:ascii="仿宋" w:hAnsi="仿宋" w:eastAsia="仿宋" w:cs="Times New Roman"/>
          <w:sz w:val="28"/>
          <w:szCs w:val="28"/>
          <w:lang w:val="en-US" w:eastAsia="zh-CN"/>
        </w:rPr>
        <w:t>），点击右侧咨询小采，获取采小蜜智能服务管家帮助，或拨打政采云服务热线95763获取帮助。</w:t>
      </w:r>
    </w:p>
    <w:p w14:paraId="51873478">
      <w:pPr>
        <w:keepNext/>
        <w:keepLines/>
        <w:spacing w:line="360" w:lineRule="auto"/>
        <w:outlineLvl w:val="1"/>
        <w:rPr>
          <w:rFonts w:hint="eastAsia" w:ascii="黑体" w:hAnsi="黑体" w:eastAsia="黑体" w:cs="宋体"/>
          <w:bCs/>
          <w:sz w:val="28"/>
          <w:szCs w:val="28"/>
        </w:rPr>
      </w:pPr>
      <w:bookmarkStart w:id="19" w:name="_Toc28359084"/>
      <w:bookmarkStart w:id="20" w:name="_Toc28359007"/>
      <w:bookmarkStart w:id="21" w:name="_Toc35393625"/>
      <w:bookmarkStart w:id="22" w:name="_Toc35393794"/>
    </w:p>
    <w:p w14:paraId="73E37C6C">
      <w:pPr>
        <w:keepNext/>
        <w:keepLines/>
        <w:spacing w:line="360" w:lineRule="auto"/>
        <w:outlineLvl w:val="1"/>
        <w:rPr>
          <w:rFonts w:ascii="黑体" w:hAnsi="黑体" w:eastAsia="黑体" w:cs="宋体"/>
          <w:bCs/>
          <w:sz w:val="28"/>
          <w:szCs w:val="28"/>
        </w:rPr>
      </w:pPr>
      <w:r>
        <w:rPr>
          <w:rFonts w:hint="eastAsia" w:ascii="黑体" w:hAnsi="黑体" w:eastAsia="黑体" w:cs="宋体"/>
          <w:bCs/>
          <w:sz w:val="28"/>
          <w:szCs w:val="28"/>
        </w:rPr>
        <w:t>六、公告期限</w:t>
      </w:r>
      <w:bookmarkEnd w:id="19"/>
      <w:bookmarkEnd w:id="20"/>
      <w:bookmarkEnd w:id="21"/>
      <w:bookmarkEnd w:id="22"/>
    </w:p>
    <w:p w14:paraId="32154FF7">
      <w:pPr>
        <w:rPr>
          <w:rFonts w:ascii="仿宋" w:hAnsi="仿宋" w:eastAsia="仿宋" w:cs="宋体"/>
          <w:kern w:val="0"/>
          <w:sz w:val="28"/>
          <w:szCs w:val="28"/>
        </w:rPr>
      </w:pPr>
      <w:r>
        <w:rPr>
          <w:rFonts w:hint="eastAsia" w:ascii="仿宋" w:hAnsi="仿宋" w:eastAsia="仿宋" w:cs="宋体"/>
          <w:kern w:val="0"/>
          <w:sz w:val="28"/>
          <w:szCs w:val="28"/>
        </w:rPr>
        <w:t>自本公告发布之日起5个工作日。</w:t>
      </w:r>
    </w:p>
    <w:p w14:paraId="197CA18E">
      <w:pPr>
        <w:keepNext/>
        <w:keepLines/>
        <w:spacing w:line="360" w:lineRule="auto"/>
        <w:outlineLvl w:val="1"/>
        <w:rPr>
          <w:rFonts w:hint="eastAsia" w:ascii="黑体" w:hAnsi="黑体" w:eastAsia="黑体" w:cs="宋体"/>
          <w:bCs/>
          <w:sz w:val="28"/>
          <w:szCs w:val="28"/>
        </w:rPr>
      </w:pPr>
      <w:bookmarkStart w:id="23" w:name="_Toc35393626"/>
      <w:bookmarkStart w:id="24" w:name="_Toc35393795"/>
    </w:p>
    <w:p w14:paraId="750F0CF6">
      <w:pPr>
        <w:keepNext/>
        <w:keepLines/>
        <w:spacing w:line="360" w:lineRule="auto"/>
        <w:outlineLvl w:val="1"/>
        <w:rPr>
          <w:rFonts w:ascii="黑体" w:hAnsi="黑体" w:eastAsia="黑体" w:cs="宋体"/>
          <w:bCs/>
          <w:sz w:val="28"/>
          <w:szCs w:val="28"/>
        </w:rPr>
      </w:pPr>
      <w:r>
        <w:rPr>
          <w:rFonts w:hint="eastAsia" w:ascii="黑体" w:hAnsi="黑体" w:eastAsia="黑体" w:cs="宋体"/>
          <w:bCs/>
          <w:sz w:val="28"/>
          <w:szCs w:val="28"/>
        </w:rPr>
        <w:t>七、其他补充事宜</w:t>
      </w:r>
      <w:bookmarkEnd w:id="23"/>
      <w:bookmarkEnd w:id="24"/>
    </w:p>
    <w:p w14:paraId="33D70B56">
      <w:pPr>
        <w:ind w:firstLine="560" w:firstLineChars="200"/>
        <w:rPr>
          <w:rFonts w:hint="eastAsia" w:ascii="仿宋" w:hAnsi="仿宋" w:eastAsia="仿宋" w:cs="Times New Roman"/>
          <w:sz w:val="28"/>
          <w:szCs w:val="28"/>
          <w:highlight w:val="yellow"/>
          <w:lang w:val="en-US" w:eastAsia="zh-CN"/>
        </w:rPr>
      </w:pPr>
      <w:r>
        <w:rPr>
          <w:rFonts w:hint="eastAsia" w:ascii="仿宋" w:hAnsi="仿宋" w:eastAsia="仿宋" w:cs="Times New Roman"/>
          <w:sz w:val="28"/>
          <w:szCs w:val="28"/>
          <w:lang w:val="en-US" w:eastAsia="zh-CN"/>
        </w:rPr>
        <w:t>本次竞争性磋商公告在“政采云”平台（http:// www.zcygov.cn）、《中国政府采购网》上发布，同步推送到《吉林省政府采购网》；</w:t>
      </w:r>
    </w:p>
    <w:p w14:paraId="280A8BE4">
      <w:pPr>
        <w:keepNext/>
        <w:keepLines/>
        <w:spacing w:line="360" w:lineRule="auto"/>
        <w:outlineLvl w:val="1"/>
        <w:rPr>
          <w:rFonts w:hint="eastAsia" w:ascii="黑体" w:hAnsi="黑体" w:eastAsia="黑体" w:cs="宋体"/>
          <w:bCs/>
          <w:sz w:val="28"/>
          <w:szCs w:val="28"/>
        </w:rPr>
      </w:pPr>
      <w:bookmarkStart w:id="25" w:name="_Toc35393627"/>
      <w:bookmarkStart w:id="26" w:name="_Toc28359008"/>
      <w:bookmarkStart w:id="27" w:name="_Toc35393796"/>
      <w:bookmarkStart w:id="28" w:name="_Toc28359085"/>
    </w:p>
    <w:p w14:paraId="7AD1B3D3">
      <w:pPr>
        <w:keepNext/>
        <w:keepLines/>
        <w:spacing w:line="360" w:lineRule="auto"/>
        <w:outlineLvl w:val="1"/>
        <w:rPr>
          <w:rFonts w:ascii="黑体" w:hAnsi="黑体" w:eastAsia="黑体" w:cs="宋体"/>
          <w:bCs/>
          <w:sz w:val="28"/>
          <w:szCs w:val="28"/>
        </w:rPr>
      </w:pPr>
      <w:r>
        <w:rPr>
          <w:rFonts w:hint="eastAsia" w:ascii="黑体" w:hAnsi="黑体" w:eastAsia="黑体" w:cs="宋体"/>
          <w:bCs/>
          <w:sz w:val="28"/>
          <w:szCs w:val="28"/>
        </w:rPr>
        <w:t>八、对本次</w:t>
      </w:r>
      <w:r>
        <w:rPr>
          <w:rFonts w:hint="eastAsia" w:ascii="黑体" w:hAnsi="黑体" w:eastAsia="黑体" w:cs="宋体"/>
          <w:bCs/>
          <w:sz w:val="28"/>
          <w:szCs w:val="28"/>
          <w:lang w:eastAsia="zh-CN"/>
        </w:rPr>
        <w:t>磋商</w:t>
      </w:r>
      <w:r>
        <w:rPr>
          <w:rFonts w:hint="eastAsia" w:ascii="黑体" w:hAnsi="黑体" w:eastAsia="黑体" w:cs="宋体"/>
          <w:bCs/>
          <w:sz w:val="28"/>
          <w:szCs w:val="28"/>
        </w:rPr>
        <w:t>提出询问，请按</w:t>
      </w:r>
      <w:r>
        <w:rPr>
          <w:rFonts w:ascii="黑体" w:hAnsi="黑体" w:eastAsia="黑体" w:cs="宋体"/>
          <w:bCs/>
          <w:sz w:val="28"/>
          <w:szCs w:val="28"/>
        </w:rPr>
        <w:t>以下方式</w:t>
      </w:r>
      <w:r>
        <w:rPr>
          <w:rFonts w:hint="eastAsia" w:ascii="黑体" w:hAnsi="黑体" w:eastAsia="黑体" w:cs="宋体"/>
          <w:bCs/>
          <w:sz w:val="28"/>
          <w:szCs w:val="28"/>
        </w:rPr>
        <w:t>联系。</w:t>
      </w:r>
      <w:bookmarkEnd w:id="25"/>
      <w:bookmarkEnd w:id="26"/>
      <w:bookmarkEnd w:id="27"/>
      <w:bookmarkEnd w:id="28"/>
    </w:p>
    <w:p w14:paraId="0BD221EE">
      <w:pPr>
        <w:spacing w:line="360" w:lineRule="auto"/>
        <w:jc w:val="left"/>
        <w:rPr>
          <w:rFonts w:ascii="仿宋" w:hAnsi="仿宋" w:eastAsia="仿宋" w:cs="宋体"/>
          <w:sz w:val="28"/>
          <w:szCs w:val="28"/>
        </w:rPr>
      </w:pPr>
      <w:r>
        <w:rPr>
          <w:rFonts w:hint="eastAsia" w:ascii="仿宋" w:hAnsi="仿宋" w:eastAsia="仿宋" w:cs="宋体"/>
          <w:sz w:val="28"/>
          <w:szCs w:val="28"/>
        </w:rPr>
        <w:t>1.</w:t>
      </w:r>
      <w:r>
        <w:rPr>
          <w:rFonts w:hint="eastAsia" w:ascii="仿宋" w:hAnsi="仿宋" w:eastAsia="仿宋" w:cs="宋体"/>
          <w:sz w:val="28"/>
          <w:szCs w:val="28"/>
          <w:lang w:eastAsia="zh-CN"/>
        </w:rPr>
        <w:t>采购人</w:t>
      </w:r>
      <w:r>
        <w:rPr>
          <w:rFonts w:hint="eastAsia" w:ascii="仿宋" w:hAnsi="仿宋" w:eastAsia="仿宋" w:cs="宋体"/>
          <w:sz w:val="28"/>
          <w:szCs w:val="28"/>
        </w:rPr>
        <w:t>信息</w:t>
      </w:r>
    </w:p>
    <w:p w14:paraId="213F1F0C">
      <w:pPr>
        <w:spacing w:line="360" w:lineRule="auto"/>
        <w:jc w:val="left"/>
        <w:rPr>
          <w:rFonts w:ascii="仿宋" w:hAnsi="仿宋" w:eastAsia="仿宋" w:cs="宋体"/>
          <w:sz w:val="28"/>
          <w:szCs w:val="28"/>
        </w:rPr>
      </w:pPr>
      <w:r>
        <w:rPr>
          <w:rFonts w:hint="eastAsia" w:ascii="仿宋" w:hAnsi="仿宋" w:eastAsia="仿宋" w:cs="宋体"/>
          <w:sz w:val="28"/>
          <w:szCs w:val="28"/>
        </w:rPr>
        <w:t>名 称：敦化市水库移民管理局</w:t>
      </w:r>
    </w:p>
    <w:p w14:paraId="1C6A3DB8">
      <w:pPr>
        <w:spacing w:line="360" w:lineRule="auto"/>
        <w:jc w:val="left"/>
        <w:rPr>
          <w:rFonts w:ascii="仿宋" w:hAnsi="仿宋" w:eastAsia="仿宋" w:cs="宋体"/>
          <w:sz w:val="28"/>
          <w:szCs w:val="28"/>
        </w:rPr>
      </w:pPr>
      <w:r>
        <w:rPr>
          <w:rFonts w:hint="eastAsia" w:ascii="仿宋" w:hAnsi="仿宋" w:eastAsia="仿宋" w:cs="宋体"/>
          <w:sz w:val="28"/>
          <w:szCs w:val="28"/>
        </w:rPr>
        <w:t>地址：敦化市渤海街办事处六楼</w:t>
      </w:r>
    </w:p>
    <w:p w14:paraId="34722C86">
      <w:pPr>
        <w:spacing w:line="360" w:lineRule="auto"/>
        <w:jc w:val="left"/>
        <w:rPr>
          <w:rFonts w:ascii="仿宋" w:hAnsi="仿宋" w:eastAsia="仿宋" w:cs="宋体"/>
          <w:color w:val="auto"/>
          <w:sz w:val="28"/>
          <w:szCs w:val="28"/>
        </w:rPr>
      </w:pPr>
      <w:r>
        <w:rPr>
          <w:rFonts w:hint="eastAsia" w:ascii="仿宋" w:hAnsi="仿宋" w:eastAsia="仿宋" w:cs="宋体"/>
          <w:sz w:val="28"/>
          <w:szCs w:val="28"/>
        </w:rPr>
        <w:t>联系方式：</w:t>
      </w:r>
      <w:bookmarkStart w:id="29" w:name="_Toc28359086"/>
      <w:bookmarkStart w:id="30" w:name="_Toc28359009"/>
      <w:r>
        <w:rPr>
          <w:rFonts w:hint="eastAsia" w:ascii="仿宋" w:hAnsi="仿宋" w:eastAsia="仿宋" w:cs="宋体"/>
          <w:sz w:val="28"/>
          <w:szCs w:val="28"/>
          <w:lang w:val="zh-CN"/>
        </w:rPr>
        <w:t>高</w:t>
      </w:r>
      <w:r>
        <w:rPr>
          <w:rFonts w:hint="eastAsia" w:ascii="仿宋" w:hAnsi="仿宋" w:eastAsia="仿宋" w:cs="宋体"/>
          <w:color w:val="auto"/>
          <w:sz w:val="28"/>
          <w:szCs w:val="28"/>
          <w:lang w:val="zh-CN"/>
        </w:rPr>
        <w:t>伟华</w:t>
      </w:r>
      <w:r>
        <w:rPr>
          <w:rFonts w:hint="eastAsia" w:ascii="仿宋" w:hAnsi="仿宋" w:eastAsia="仿宋" w:cs="宋体"/>
          <w:color w:val="auto"/>
          <w:sz w:val="28"/>
          <w:szCs w:val="28"/>
        </w:rPr>
        <w:t>0433-6519177</w:t>
      </w:r>
    </w:p>
    <w:p w14:paraId="7249EB23">
      <w:pPr>
        <w:spacing w:line="360" w:lineRule="auto"/>
        <w:jc w:val="left"/>
        <w:rPr>
          <w:rFonts w:ascii="仿宋" w:hAnsi="仿宋" w:eastAsia="仿宋" w:cs="宋体"/>
          <w:sz w:val="28"/>
          <w:szCs w:val="28"/>
        </w:rPr>
      </w:pPr>
    </w:p>
    <w:p w14:paraId="72A98CD4">
      <w:pPr>
        <w:spacing w:line="360" w:lineRule="auto"/>
        <w:jc w:val="left"/>
        <w:rPr>
          <w:rFonts w:ascii="仿宋" w:hAnsi="仿宋" w:eastAsia="仿宋"/>
          <w:sz w:val="28"/>
          <w:szCs w:val="28"/>
        </w:rPr>
      </w:pPr>
      <w:r>
        <w:rPr>
          <w:rFonts w:hint="eastAsia" w:ascii="仿宋" w:hAnsi="仿宋" w:eastAsia="仿宋" w:cs="宋体"/>
          <w:sz w:val="28"/>
          <w:szCs w:val="28"/>
        </w:rPr>
        <w:t>2.采购代理机构信息</w:t>
      </w:r>
      <w:bookmarkEnd w:id="29"/>
      <w:bookmarkEnd w:id="30"/>
    </w:p>
    <w:p w14:paraId="3D696D45">
      <w:pPr>
        <w:spacing w:line="360" w:lineRule="auto"/>
        <w:rPr>
          <w:rFonts w:ascii="仿宋" w:hAnsi="仿宋" w:eastAsia="仿宋"/>
          <w:sz w:val="28"/>
          <w:szCs w:val="28"/>
          <w:lang w:val="zh-CN"/>
        </w:rPr>
      </w:pPr>
      <w:r>
        <w:rPr>
          <w:rFonts w:hint="eastAsia" w:ascii="仿宋" w:hAnsi="仿宋" w:eastAsia="仿宋"/>
          <w:sz w:val="28"/>
          <w:szCs w:val="28"/>
        </w:rPr>
        <w:t>名 称：</w:t>
      </w:r>
      <w:r>
        <w:rPr>
          <w:rFonts w:hint="eastAsia" w:ascii="仿宋" w:hAnsi="仿宋" w:eastAsia="仿宋"/>
          <w:sz w:val="28"/>
          <w:szCs w:val="28"/>
          <w:lang w:val="zh-CN"/>
        </w:rPr>
        <w:t>上励建设工程有限公司</w:t>
      </w:r>
    </w:p>
    <w:p w14:paraId="575F6212">
      <w:pPr>
        <w:spacing w:line="360" w:lineRule="auto"/>
        <w:rPr>
          <w:rFonts w:ascii="仿宋" w:hAnsi="仿宋" w:eastAsia="仿宋"/>
          <w:sz w:val="28"/>
          <w:szCs w:val="28"/>
          <w:u w:val="single"/>
          <w:lang w:val="zh-CN"/>
        </w:rPr>
      </w:pPr>
      <w:r>
        <w:rPr>
          <w:rFonts w:hint="eastAsia" w:ascii="仿宋" w:hAnsi="仿宋" w:eastAsia="仿宋"/>
          <w:sz w:val="28"/>
          <w:szCs w:val="28"/>
        </w:rPr>
        <w:t>地　址：</w:t>
      </w:r>
      <w:r>
        <w:rPr>
          <w:rFonts w:hint="eastAsia" w:ascii="仿宋" w:hAnsi="仿宋" w:eastAsia="仿宋"/>
          <w:sz w:val="28"/>
          <w:szCs w:val="28"/>
          <w:lang w:val="zh-CN"/>
        </w:rPr>
        <w:t>吉林省敦化市怡品蓝庭14栋底商0001002号，邮编133700</w:t>
      </w:r>
    </w:p>
    <w:p w14:paraId="796777B1">
      <w:pPr>
        <w:spacing w:line="360" w:lineRule="auto"/>
        <w:rPr>
          <w:rFonts w:ascii="仿宋" w:hAnsi="仿宋" w:eastAsia="仿宋"/>
          <w:sz w:val="28"/>
          <w:szCs w:val="28"/>
        </w:rPr>
      </w:pPr>
      <w:r>
        <w:rPr>
          <w:rFonts w:hint="eastAsia" w:ascii="仿宋" w:hAnsi="仿宋" w:eastAsia="仿宋"/>
          <w:sz w:val="28"/>
          <w:szCs w:val="28"/>
        </w:rPr>
        <w:t>联系方式：</w:t>
      </w:r>
      <w:bookmarkStart w:id="31" w:name="_Toc28359087"/>
      <w:bookmarkStart w:id="32" w:name="_Toc28359010"/>
      <w:r>
        <w:rPr>
          <w:rFonts w:hint="eastAsia" w:ascii="仿宋" w:hAnsi="仿宋" w:eastAsia="仿宋"/>
          <w:sz w:val="28"/>
          <w:szCs w:val="28"/>
          <w:lang w:val="zh-CN"/>
        </w:rPr>
        <w:t>曲侠 18844311971</w:t>
      </w:r>
    </w:p>
    <w:bookmarkEnd w:id="31"/>
    <w:bookmarkEnd w:id="32"/>
    <w:p w14:paraId="6F5C62A6">
      <w:pPr>
        <w:pStyle w:val="146"/>
        <w:rPr>
          <w:rFonts w:ascii="仿宋" w:hAnsi="仿宋" w:eastAsia="仿宋" w:cs="Times New Roman"/>
          <w:color w:val="auto"/>
          <w:kern w:val="2"/>
          <w:sz w:val="28"/>
          <w:szCs w:val="28"/>
        </w:rPr>
      </w:pPr>
    </w:p>
    <w:p w14:paraId="4EC64E03">
      <w:pPr>
        <w:pStyle w:val="146"/>
        <w:rPr>
          <w:rFonts w:ascii="仿宋" w:hAnsi="仿宋" w:eastAsia="仿宋" w:cs="Times New Roman"/>
          <w:color w:val="auto"/>
          <w:kern w:val="2"/>
          <w:sz w:val="28"/>
          <w:szCs w:val="28"/>
        </w:rPr>
      </w:pPr>
      <w:r>
        <w:rPr>
          <w:rFonts w:hint="eastAsia" w:ascii="仿宋" w:hAnsi="仿宋" w:eastAsia="仿宋" w:cs="Times New Roman"/>
          <w:color w:val="auto"/>
          <w:kern w:val="2"/>
          <w:sz w:val="28"/>
          <w:szCs w:val="28"/>
        </w:rPr>
        <w:t>3.</w:t>
      </w:r>
      <w:r>
        <w:rPr>
          <w:rFonts w:hint="eastAsia" w:ascii="仿宋" w:hAnsi="仿宋" w:eastAsia="仿宋" w:cs="Times New Roman"/>
          <w:color w:val="auto"/>
          <w:kern w:val="2"/>
          <w:sz w:val="28"/>
          <w:szCs w:val="28"/>
          <w:lang w:eastAsia="zh-CN"/>
        </w:rPr>
        <w:t>磋商</w:t>
      </w:r>
      <w:r>
        <w:rPr>
          <w:rFonts w:ascii="仿宋" w:hAnsi="仿宋" w:eastAsia="仿宋" w:cs="Times New Roman"/>
          <w:color w:val="auto"/>
          <w:kern w:val="2"/>
          <w:sz w:val="28"/>
          <w:szCs w:val="28"/>
        </w:rPr>
        <w:t>监督管理部门：</w:t>
      </w:r>
      <w:r>
        <w:rPr>
          <w:rFonts w:hint="eastAsia" w:ascii="仿宋" w:hAnsi="仿宋" w:eastAsia="仿宋" w:cs="Times New Roman"/>
          <w:color w:val="auto"/>
          <w:kern w:val="2"/>
          <w:sz w:val="28"/>
          <w:szCs w:val="28"/>
        </w:rPr>
        <w:t>敦化市财政局政府采购管理工作办公室</w:t>
      </w:r>
    </w:p>
    <w:p w14:paraId="7F3564D7">
      <w:pPr>
        <w:pStyle w:val="146"/>
        <w:sectPr>
          <w:footerReference r:id="rId5" w:type="default"/>
          <w:pgSz w:w="11906" w:h="16838"/>
          <w:pgMar w:top="1134" w:right="1134" w:bottom="1134" w:left="1417" w:header="0" w:footer="567" w:gutter="0"/>
          <w:pgNumType w:start="1"/>
          <w:cols w:space="720" w:num="1"/>
          <w:docGrid w:linePitch="312" w:charSpace="0"/>
        </w:sectPr>
      </w:pPr>
    </w:p>
    <w:p w14:paraId="4DA8F35B">
      <w:pPr>
        <w:pStyle w:val="3"/>
        <w:spacing w:line="240" w:lineRule="atLeast"/>
        <w:jc w:val="center"/>
        <w:rPr>
          <w:color w:val="000000" w:themeColor="text1"/>
          <w:sz w:val="36"/>
          <w:szCs w:val="36"/>
          <w14:textFill>
            <w14:solidFill>
              <w14:schemeClr w14:val="tx1"/>
            </w14:solidFill>
          </w14:textFill>
        </w:rPr>
      </w:pPr>
      <w:bookmarkStart w:id="33" w:name="_Toc54258214"/>
      <w:bookmarkStart w:id="34" w:name="_Toc11544"/>
      <w:r>
        <w:rPr>
          <w:rFonts w:hint="eastAsia"/>
          <w:color w:val="000000" w:themeColor="text1"/>
          <w:sz w:val="36"/>
          <w:szCs w:val="36"/>
          <w14:textFill>
            <w14:solidFill>
              <w14:schemeClr w14:val="tx1"/>
            </w14:solidFill>
          </w14:textFill>
        </w:rPr>
        <w:t xml:space="preserve">第二章  </w:t>
      </w:r>
      <w:r>
        <w:rPr>
          <w:rFonts w:hint="eastAsia"/>
          <w:color w:val="000000" w:themeColor="text1"/>
          <w:sz w:val="36"/>
          <w:szCs w:val="36"/>
          <w:lang w:eastAsia="zh-CN"/>
          <w14:textFill>
            <w14:solidFill>
              <w14:schemeClr w14:val="tx1"/>
            </w14:solidFill>
          </w14:textFill>
        </w:rPr>
        <w:t>供应商</w:t>
      </w:r>
      <w:r>
        <w:rPr>
          <w:rFonts w:hint="eastAsia"/>
          <w:color w:val="000000" w:themeColor="text1"/>
          <w:sz w:val="36"/>
          <w:szCs w:val="36"/>
          <w14:textFill>
            <w14:solidFill>
              <w14:schemeClr w14:val="tx1"/>
            </w14:solidFill>
          </w14:textFill>
        </w:rPr>
        <w:t>须知</w:t>
      </w:r>
      <w:bookmarkEnd w:id="33"/>
      <w:bookmarkEnd w:id="34"/>
    </w:p>
    <w:p w14:paraId="47FCBB73">
      <w:pPr>
        <w:autoSpaceDE w:val="0"/>
        <w:autoSpaceDN w:val="0"/>
        <w:adjustRightInd w:val="0"/>
        <w:spacing w:line="240" w:lineRule="atLeast"/>
        <w:jc w:val="center"/>
        <w:outlineLvl w:val="1"/>
        <w:rPr>
          <w:rFonts w:ascii="宋体" w:hAnsi="宋体"/>
          <w:b/>
          <w:bCs/>
          <w:color w:val="000000" w:themeColor="text1"/>
          <w:kern w:val="44"/>
          <w:sz w:val="28"/>
          <w:szCs w:val="44"/>
          <w14:textFill>
            <w14:solidFill>
              <w14:schemeClr w14:val="tx1"/>
            </w14:solidFill>
          </w14:textFill>
        </w:rPr>
      </w:pPr>
      <w:bookmarkStart w:id="35" w:name="_Toc54097191"/>
      <w:bookmarkStart w:id="36" w:name="_Toc53569394"/>
      <w:bookmarkStart w:id="37" w:name="_Toc54258215"/>
      <w:bookmarkStart w:id="38" w:name="_Toc469921592"/>
      <w:r>
        <w:rPr>
          <w:rFonts w:hint="eastAsia" w:ascii="宋体" w:hAnsi="宋体"/>
          <w:b/>
          <w:bCs/>
          <w:color w:val="000000" w:themeColor="text1"/>
          <w:kern w:val="44"/>
          <w:sz w:val="28"/>
          <w:szCs w:val="44"/>
          <w:lang w:eastAsia="zh-CN"/>
          <w14:textFill>
            <w14:solidFill>
              <w14:schemeClr w14:val="tx1"/>
            </w14:solidFill>
          </w14:textFill>
        </w:rPr>
        <w:t>供应商</w:t>
      </w:r>
      <w:r>
        <w:rPr>
          <w:rFonts w:hint="eastAsia" w:ascii="宋体" w:hAnsi="宋体"/>
          <w:b/>
          <w:bCs/>
          <w:color w:val="000000" w:themeColor="text1"/>
          <w:kern w:val="44"/>
          <w:sz w:val="28"/>
          <w:szCs w:val="44"/>
          <w14:textFill>
            <w14:solidFill>
              <w14:schemeClr w14:val="tx1"/>
            </w14:solidFill>
          </w14:textFill>
        </w:rPr>
        <w:t>须知前附表</w:t>
      </w:r>
      <w:bookmarkEnd w:id="35"/>
      <w:bookmarkEnd w:id="36"/>
      <w:bookmarkEnd w:id="37"/>
      <w:bookmarkEnd w:id="38"/>
    </w:p>
    <w:tbl>
      <w:tblPr>
        <w:tblStyle w:val="88"/>
        <w:tblW w:w="99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2"/>
        <w:gridCol w:w="1945"/>
        <w:gridCol w:w="7022"/>
      </w:tblGrid>
      <w:tr w14:paraId="278EEF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72" w:hRule="atLeast"/>
          <w:tblHeader/>
          <w:jc w:val="center"/>
        </w:trPr>
        <w:tc>
          <w:tcPr>
            <w:tcW w:w="982" w:type="dxa"/>
            <w:vAlign w:val="center"/>
          </w:tcPr>
          <w:p w14:paraId="6709CD0C">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hint="eastAsia" w:ascii="宋体" w:hAnsi="宋体" w:cs="FangSong_GB2312"/>
                <w:color w:val="000000" w:themeColor="text1"/>
                <w:kern w:val="0"/>
                <w:szCs w:val="21"/>
                <w14:textFill>
                  <w14:solidFill>
                    <w14:schemeClr w14:val="tx1"/>
                  </w14:solidFill>
                </w14:textFill>
              </w:rPr>
              <w:t>条款号</w:t>
            </w:r>
          </w:p>
        </w:tc>
        <w:tc>
          <w:tcPr>
            <w:tcW w:w="1945" w:type="dxa"/>
            <w:vAlign w:val="center"/>
          </w:tcPr>
          <w:p w14:paraId="062729AA">
            <w:pPr>
              <w:jc w:val="center"/>
              <w:rPr>
                <w:rFonts w:cs="黑体"/>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条款名称</w:t>
            </w:r>
          </w:p>
        </w:tc>
        <w:tc>
          <w:tcPr>
            <w:tcW w:w="7022" w:type="dxa"/>
            <w:vAlign w:val="center"/>
          </w:tcPr>
          <w:p w14:paraId="2938DE80">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hint="eastAsia" w:ascii="宋体" w:hAnsi="宋体" w:cs="FangSong_GB2312"/>
                <w:color w:val="000000" w:themeColor="text1"/>
                <w:kern w:val="0"/>
                <w:szCs w:val="21"/>
                <w14:textFill>
                  <w14:solidFill>
                    <w14:schemeClr w14:val="tx1"/>
                  </w14:solidFill>
                </w14:textFill>
              </w:rPr>
              <w:t>编列内容</w:t>
            </w:r>
          </w:p>
        </w:tc>
      </w:tr>
      <w:tr w14:paraId="519648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9" w:hRule="atLeast"/>
          <w:jc w:val="center"/>
        </w:trPr>
        <w:tc>
          <w:tcPr>
            <w:tcW w:w="982" w:type="dxa"/>
            <w:vAlign w:val="center"/>
          </w:tcPr>
          <w:p w14:paraId="7CB6506F">
            <w:pPr>
              <w:autoSpaceDE w:val="0"/>
              <w:autoSpaceDN w:val="0"/>
              <w:adjustRightInd w:val="0"/>
              <w:jc w:val="center"/>
              <w:rPr>
                <w:rFonts w:ascii="宋体" w:hAnsi="宋体" w:cs="黑体"/>
                <w:color w:val="000000" w:themeColor="text1"/>
                <w:kern w:val="0"/>
                <w:sz w:val="22"/>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1.1.2</w:t>
            </w:r>
          </w:p>
        </w:tc>
        <w:tc>
          <w:tcPr>
            <w:tcW w:w="1945" w:type="dxa"/>
            <w:vAlign w:val="center"/>
          </w:tcPr>
          <w:p w14:paraId="4572FF46">
            <w:pPr>
              <w:jc w:val="center"/>
              <w:rPr>
                <w:rFonts w:hint="eastAsia" w:eastAsia="宋体" w:cs="黑体"/>
                <w:color w:val="000000" w:themeColor="text1"/>
                <w:kern w:val="0"/>
                <w:lang w:eastAsia="zh-CN"/>
                <w14:textFill>
                  <w14:solidFill>
                    <w14:schemeClr w14:val="tx1"/>
                  </w14:solidFill>
                </w14:textFill>
              </w:rPr>
            </w:pPr>
            <w:r>
              <w:rPr>
                <w:rFonts w:hint="eastAsia"/>
                <w:color w:val="000000" w:themeColor="text1"/>
                <w:kern w:val="0"/>
                <w:lang w:eastAsia="zh-CN"/>
                <w14:textFill>
                  <w14:solidFill>
                    <w14:schemeClr w14:val="tx1"/>
                  </w14:solidFill>
                </w14:textFill>
              </w:rPr>
              <w:t>采购人</w:t>
            </w:r>
          </w:p>
        </w:tc>
        <w:tc>
          <w:tcPr>
            <w:tcW w:w="7022" w:type="dxa"/>
            <w:vAlign w:val="center"/>
          </w:tcPr>
          <w:p w14:paraId="335D97CD">
            <w:pPr>
              <w:autoSpaceDE w:val="0"/>
              <w:autoSpaceDN w:val="0"/>
              <w:adjustRightInd w:val="0"/>
              <w:snapToGrid w:val="0"/>
              <w:rPr>
                <w:rFonts w:ascii="宋体" w:hAnsi="宋体" w:cs="黑体"/>
                <w:kern w:val="0"/>
                <w:szCs w:val="21"/>
              </w:rPr>
            </w:pPr>
            <w:r>
              <w:rPr>
                <w:rFonts w:hint="eastAsia" w:ascii="宋体" w:hAnsi="宋体" w:cs="黑体"/>
                <w:kern w:val="0"/>
                <w:szCs w:val="21"/>
                <w:lang w:eastAsia="zh-CN"/>
              </w:rPr>
              <w:t>采购人</w:t>
            </w:r>
            <w:r>
              <w:rPr>
                <w:rFonts w:ascii="宋体" w:hAnsi="宋体" w:cs="黑体"/>
                <w:kern w:val="0"/>
                <w:szCs w:val="21"/>
              </w:rPr>
              <w:t>：</w:t>
            </w:r>
            <w:r>
              <w:rPr>
                <w:rFonts w:hint="eastAsia" w:ascii="宋体" w:hAnsi="宋体" w:cs="黑体"/>
                <w:kern w:val="0"/>
                <w:szCs w:val="21"/>
              </w:rPr>
              <w:t>敦化市水库移民管理局</w:t>
            </w:r>
          </w:p>
          <w:p w14:paraId="0143B934">
            <w:pPr>
              <w:autoSpaceDE w:val="0"/>
              <w:autoSpaceDN w:val="0"/>
              <w:adjustRightInd w:val="0"/>
              <w:snapToGrid w:val="0"/>
              <w:rPr>
                <w:rFonts w:ascii="宋体" w:hAnsi="宋体" w:cs="黑体"/>
                <w:kern w:val="0"/>
                <w:szCs w:val="21"/>
              </w:rPr>
            </w:pPr>
            <w:r>
              <w:rPr>
                <w:rFonts w:ascii="宋体" w:hAnsi="宋体" w:cs="黑体"/>
                <w:kern w:val="0"/>
                <w:szCs w:val="21"/>
              </w:rPr>
              <w:t>地址：</w:t>
            </w:r>
            <w:r>
              <w:rPr>
                <w:rFonts w:hint="eastAsia" w:ascii="宋体" w:hAnsi="宋体" w:cs="黑体"/>
                <w:kern w:val="0"/>
                <w:szCs w:val="21"/>
              </w:rPr>
              <w:t>敦化市渤海街办事处六楼</w:t>
            </w:r>
          </w:p>
          <w:p w14:paraId="627A4E7C">
            <w:pPr>
              <w:autoSpaceDE w:val="0"/>
              <w:autoSpaceDN w:val="0"/>
              <w:adjustRightInd w:val="0"/>
              <w:snapToGrid w:val="0"/>
              <w:rPr>
                <w:rFonts w:ascii="宋体" w:hAnsi="宋体" w:cs="黑体"/>
                <w:kern w:val="0"/>
                <w:szCs w:val="21"/>
              </w:rPr>
            </w:pPr>
            <w:r>
              <w:rPr>
                <w:rFonts w:ascii="宋体" w:hAnsi="宋体" w:cs="黑体"/>
                <w:kern w:val="0"/>
                <w:szCs w:val="21"/>
              </w:rPr>
              <w:t>联系人：</w:t>
            </w:r>
            <w:r>
              <w:rPr>
                <w:rFonts w:hint="eastAsia" w:ascii="宋体" w:hAnsi="宋体" w:cs="黑体"/>
                <w:kern w:val="0"/>
                <w:szCs w:val="21"/>
              </w:rPr>
              <w:t>高伟华</w:t>
            </w:r>
          </w:p>
          <w:p w14:paraId="10D242DE">
            <w:pPr>
              <w:autoSpaceDE w:val="0"/>
              <w:autoSpaceDN w:val="0"/>
              <w:adjustRightInd w:val="0"/>
              <w:snapToGrid w:val="0"/>
              <w:rPr>
                <w:rFonts w:ascii="宋体" w:hAnsi="宋体" w:cs="黑体"/>
                <w:kern w:val="0"/>
                <w:szCs w:val="21"/>
              </w:rPr>
            </w:pPr>
            <w:r>
              <w:rPr>
                <w:rFonts w:ascii="宋体" w:hAnsi="宋体" w:cs="黑体"/>
                <w:kern w:val="0"/>
                <w:szCs w:val="21"/>
              </w:rPr>
              <w:t>联系</w:t>
            </w:r>
            <w:r>
              <w:rPr>
                <w:rFonts w:ascii="宋体" w:hAnsi="宋体" w:cs="黑体"/>
                <w:color w:val="auto"/>
                <w:kern w:val="0"/>
                <w:szCs w:val="21"/>
              </w:rPr>
              <w:t>电话：</w:t>
            </w:r>
            <w:r>
              <w:rPr>
                <w:rFonts w:hint="eastAsia" w:ascii="宋体" w:hAnsi="宋体" w:cs="黑体"/>
                <w:color w:val="auto"/>
                <w:kern w:val="0"/>
                <w:szCs w:val="21"/>
              </w:rPr>
              <w:t>0433-6519177</w:t>
            </w:r>
          </w:p>
        </w:tc>
      </w:tr>
      <w:tr w14:paraId="513EAB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1" w:hRule="atLeast"/>
          <w:jc w:val="center"/>
        </w:trPr>
        <w:tc>
          <w:tcPr>
            <w:tcW w:w="982" w:type="dxa"/>
            <w:vAlign w:val="center"/>
          </w:tcPr>
          <w:p w14:paraId="53E0E5FA">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1.1.3</w:t>
            </w:r>
          </w:p>
        </w:tc>
        <w:tc>
          <w:tcPr>
            <w:tcW w:w="1945" w:type="dxa"/>
            <w:vAlign w:val="center"/>
          </w:tcPr>
          <w:p w14:paraId="2A1656A6">
            <w:pPr>
              <w:jc w:val="center"/>
              <w:rPr>
                <w:rFonts w:hint="eastAsia" w:eastAsia="宋体" w:cs="黑体"/>
                <w:color w:val="000000" w:themeColor="text1"/>
                <w:kern w:val="0"/>
                <w:lang w:eastAsia="zh-CN"/>
                <w14:textFill>
                  <w14:solidFill>
                    <w14:schemeClr w14:val="tx1"/>
                  </w14:solidFill>
                </w14:textFill>
              </w:rPr>
            </w:pPr>
            <w:r>
              <w:rPr>
                <w:rFonts w:hint="eastAsia"/>
                <w:color w:val="000000" w:themeColor="text1"/>
                <w:kern w:val="0"/>
                <w:lang w:eastAsia="zh-CN"/>
                <w14:textFill>
                  <w14:solidFill>
                    <w14:schemeClr w14:val="tx1"/>
                  </w14:solidFill>
                </w14:textFill>
              </w:rPr>
              <w:t>采购代理机构</w:t>
            </w:r>
          </w:p>
        </w:tc>
        <w:tc>
          <w:tcPr>
            <w:tcW w:w="7022" w:type="dxa"/>
            <w:vAlign w:val="center"/>
          </w:tcPr>
          <w:p w14:paraId="344D7E69">
            <w:pPr>
              <w:snapToGrid w:val="0"/>
              <w:rPr>
                <w:rFonts w:ascii="宋体" w:hAnsi="宋体"/>
                <w:szCs w:val="21"/>
              </w:rPr>
            </w:pPr>
            <w:r>
              <w:rPr>
                <w:rFonts w:hint="eastAsia" w:ascii="宋体" w:hAnsi="宋体"/>
                <w:szCs w:val="21"/>
                <w:lang w:eastAsia="zh-CN"/>
              </w:rPr>
              <w:t>采购代理机构</w:t>
            </w:r>
            <w:r>
              <w:rPr>
                <w:rFonts w:ascii="宋体" w:hAnsi="宋体"/>
                <w:szCs w:val="21"/>
              </w:rPr>
              <w:t>：</w:t>
            </w:r>
            <w:r>
              <w:rPr>
                <w:rFonts w:hint="eastAsia" w:ascii="宋体" w:hAnsi="宋体"/>
                <w:szCs w:val="21"/>
              </w:rPr>
              <w:t>上励建设工程有限公司</w:t>
            </w:r>
          </w:p>
          <w:p w14:paraId="03F04AF7">
            <w:pPr>
              <w:snapToGrid w:val="0"/>
              <w:rPr>
                <w:rFonts w:ascii="宋体" w:hAnsi="宋体"/>
                <w:szCs w:val="21"/>
              </w:rPr>
            </w:pPr>
            <w:r>
              <w:rPr>
                <w:rFonts w:ascii="宋体" w:hAnsi="宋体"/>
                <w:szCs w:val="21"/>
              </w:rPr>
              <w:t>地址：</w:t>
            </w:r>
            <w:r>
              <w:rPr>
                <w:rFonts w:hint="eastAsia" w:ascii="宋体" w:hAnsi="宋体"/>
                <w:szCs w:val="21"/>
              </w:rPr>
              <w:t>吉林省敦化市怡品蓝庭14栋底商0001002号，邮编133700</w:t>
            </w:r>
          </w:p>
          <w:p w14:paraId="16851F81">
            <w:pPr>
              <w:snapToGrid w:val="0"/>
              <w:rPr>
                <w:rFonts w:hint="eastAsia" w:ascii="宋体" w:hAnsi="宋体" w:eastAsia="宋体"/>
                <w:szCs w:val="21"/>
                <w:lang w:eastAsia="zh-CN"/>
              </w:rPr>
            </w:pPr>
            <w:r>
              <w:rPr>
                <w:rFonts w:ascii="宋体" w:hAnsi="宋体"/>
                <w:szCs w:val="21"/>
              </w:rPr>
              <w:t>联系人：</w:t>
            </w:r>
            <w:r>
              <w:rPr>
                <w:rFonts w:hint="eastAsia" w:ascii="宋体" w:hAnsi="宋体"/>
                <w:szCs w:val="21"/>
                <w:lang w:eastAsia="zh-CN"/>
              </w:rPr>
              <w:t>曲侠</w:t>
            </w:r>
          </w:p>
          <w:p w14:paraId="7EDEAE38">
            <w:pPr>
              <w:snapToGrid w:val="0"/>
              <w:rPr>
                <w:rFonts w:hint="eastAsia" w:ascii="宋体" w:hAnsi="宋体" w:eastAsia="宋体"/>
                <w:szCs w:val="21"/>
                <w:lang w:eastAsia="zh-CN"/>
              </w:rPr>
            </w:pPr>
            <w:r>
              <w:rPr>
                <w:rFonts w:ascii="宋体" w:hAnsi="宋体"/>
                <w:szCs w:val="21"/>
              </w:rPr>
              <w:t>电话：</w:t>
            </w:r>
            <w:r>
              <w:rPr>
                <w:rFonts w:hint="eastAsia" w:ascii="宋体" w:hAnsi="宋体"/>
                <w:szCs w:val="21"/>
                <w:lang w:eastAsia="zh-CN"/>
              </w:rPr>
              <w:t>18844311971</w:t>
            </w:r>
          </w:p>
          <w:p w14:paraId="64C8AAB6">
            <w:pPr>
              <w:autoSpaceDE w:val="0"/>
              <w:autoSpaceDN w:val="0"/>
              <w:adjustRightInd w:val="0"/>
              <w:snapToGrid w:val="0"/>
              <w:rPr>
                <w:rFonts w:ascii="宋体" w:hAnsi="宋体" w:cs="黑体"/>
                <w:kern w:val="0"/>
                <w:szCs w:val="21"/>
              </w:rPr>
            </w:pPr>
            <w:r>
              <w:rPr>
                <w:rFonts w:hint="eastAsia" w:ascii="宋体" w:hAnsi="宋体"/>
                <w:szCs w:val="21"/>
              </w:rPr>
              <w:t>电子邮箱：18743316550@163.com</w:t>
            </w:r>
          </w:p>
        </w:tc>
      </w:tr>
      <w:tr w14:paraId="7398A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jc w:val="center"/>
        </w:trPr>
        <w:tc>
          <w:tcPr>
            <w:tcW w:w="982" w:type="dxa"/>
            <w:vAlign w:val="center"/>
          </w:tcPr>
          <w:p w14:paraId="4A6E1783">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1.1.4</w:t>
            </w:r>
          </w:p>
        </w:tc>
        <w:tc>
          <w:tcPr>
            <w:tcW w:w="1945" w:type="dxa"/>
            <w:vAlign w:val="center"/>
          </w:tcPr>
          <w:p w14:paraId="7A33B3D4">
            <w:pPr>
              <w:jc w:val="center"/>
            </w:pPr>
            <w:r>
              <w:rPr>
                <w:rFonts w:hint="eastAsia"/>
              </w:rPr>
              <w:t>项目名称</w:t>
            </w:r>
          </w:p>
          <w:p w14:paraId="36C4D6D6">
            <w:pPr>
              <w:jc w:val="center"/>
            </w:pPr>
            <w:r>
              <w:rPr>
                <w:rFonts w:hint="eastAsia"/>
                <w:color w:val="000000" w:themeColor="text1"/>
                <w:kern w:val="0"/>
                <w14:textFill>
                  <w14:solidFill>
                    <w14:schemeClr w14:val="tx1"/>
                  </w14:solidFill>
                </w14:textFill>
              </w:rPr>
              <w:t>项目编号</w:t>
            </w:r>
          </w:p>
        </w:tc>
        <w:tc>
          <w:tcPr>
            <w:tcW w:w="7022" w:type="dxa"/>
            <w:vAlign w:val="center"/>
          </w:tcPr>
          <w:p w14:paraId="3667710A">
            <w:pPr>
              <w:autoSpaceDE w:val="0"/>
              <w:autoSpaceDN w:val="0"/>
              <w:adjustRightInd w:val="0"/>
              <w:snapToGrid w:val="0"/>
              <w:rPr>
                <w:rFonts w:hint="eastAsia"/>
                <w:lang w:val="en-US" w:eastAsia="zh-CN"/>
              </w:rPr>
            </w:pPr>
            <w:r>
              <w:rPr>
                <w:rFonts w:hint="eastAsia"/>
              </w:rPr>
              <w:t>项目名称：</w:t>
            </w:r>
            <w:r>
              <w:rPr>
                <w:rFonts w:hint="eastAsia"/>
                <w:lang w:eastAsia="zh-CN"/>
              </w:rPr>
              <w:t>2025年敦化市中央水库移民扶持基金项目资金</w:t>
            </w:r>
            <w:r>
              <w:rPr>
                <w:rFonts w:hint="eastAsia"/>
                <w:lang w:val="en-US" w:eastAsia="zh-CN"/>
              </w:rPr>
              <w:t>十二标段双河口村农业基础设施建设工程</w:t>
            </w:r>
          </w:p>
          <w:p w14:paraId="45B1B034">
            <w:pPr>
              <w:autoSpaceDE w:val="0"/>
              <w:autoSpaceDN w:val="0"/>
              <w:adjustRightInd w:val="0"/>
              <w:snapToGrid w:val="0"/>
              <w:rPr>
                <w:rFonts w:hint="default" w:eastAsia="宋体"/>
                <w:lang w:val="en-US" w:eastAsia="zh-CN"/>
              </w:rPr>
            </w:pPr>
            <w:r>
              <w:rPr>
                <w:rFonts w:hint="eastAsia"/>
              </w:rPr>
              <w:t>项目编号：</w:t>
            </w:r>
            <w:r>
              <w:rPr>
                <w:rFonts w:hint="eastAsia"/>
                <w:lang w:eastAsia="zh-CN"/>
              </w:rPr>
              <w:t>SL-ZC2025-0026</w:t>
            </w:r>
            <w:r>
              <w:rPr>
                <w:rFonts w:hint="eastAsia"/>
              </w:rPr>
              <w:t>-</w:t>
            </w:r>
            <w:r>
              <w:rPr>
                <w:rFonts w:hint="eastAsia"/>
                <w:lang w:val="en-US" w:eastAsia="zh-CN"/>
              </w:rPr>
              <w:t>12</w:t>
            </w:r>
          </w:p>
        </w:tc>
      </w:tr>
      <w:tr w14:paraId="352C7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2" w:hRule="atLeast"/>
          <w:jc w:val="center"/>
        </w:trPr>
        <w:tc>
          <w:tcPr>
            <w:tcW w:w="982" w:type="dxa"/>
            <w:vAlign w:val="center"/>
          </w:tcPr>
          <w:p w14:paraId="7A57C0F0">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1.1.5</w:t>
            </w:r>
          </w:p>
        </w:tc>
        <w:tc>
          <w:tcPr>
            <w:tcW w:w="1945" w:type="dxa"/>
            <w:vAlign w:val="center"/>
          </w:tcPr>
          <w:p w14:paraId="12C84EDC">
            <w:pPr>
              <w:jc w:val="center"/>
              <w:rPr>
                <w:rFonts w:cs="黑体"/>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建设地点</w:t>
            </w:r>
          </w:p>
        </w:tc>
        <w:tc>
          <w:tcPr>
            <w:tcW w:w="7022" w:type="dxa"/>
            <w:vAlign w:val="center"/>
          </w:tcPr>
          <w:p w14:paraId="4E2769B4">
            <w:pPr>
              <w:snapToGrid w:val="0"/>
              <w:rPr>
                <w:rFonts w:ascii="宋体" w:hAnsi="宋体" w:cs="宋体"/>
                <w:bCs/>
                <w:color w:val="000000" w:themeColor="text1"/>
                <w:szCs w:val="21"/>
                <w14:textFill>
                  <w14:solidFill>
                    <w14:schemeClr w14:val="tx1"/>
                  </w14:solidFill>
                </w14:textFill>
              </w:rPr>
            </w:pPr>
            <w:r>
              <w:rPr>
                <w:rFonts w:ascii="宋体" w:hAnsi="宋体" w:cs="宋体"/>
                <w:bCs/>
                <w:color w:val="000000" w:themeColor="text1"/>
                <w:szCs w:val="21"/>
                <w14:textFill>
                  <w14:solidFill>
                    <w14:schemeClr w14:val="tx1"/>
                  </w14:solidFill>
                </w14:textFill>
              </w:rPr>
              <w:t>敦化市青沟子乡双河口村</w:t>
            </w:r>
          </w:p>
        </w:tc>
      </w:tr>
      <w:tr w14:paraId="5E6B3D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1C6382C5">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1.2.1</w:t>
            </w:r>
          </w:p>
        </w:tc>
        <w:tc>
          <w:tcPr>
            <w:tcW w:w="1945" w:type="dxa"/>
            <w:vAlign w:val="center"/>
          </w:tcPr>
          <w:p w14:paraId="1700BDE3">
            <w:pPr>
              <w:jc w:val="center"/>
              <w:rPr>
                <w:rFonts w:cs="黑体"/>
                <w:kern w:val="0"/>
              </w:rPr>
            </w:pPr>
            <w:r>
              <w:rPr>
                <w:rFonts w:hint="eastAsia"/>
                <w:kern w:val="0"/>
              </w:rPr>
              <w:t>资金来源</w:t>
            </w:r>
          </w:p>
        </w:tc>
        <w:tc>
          <w:tcPr>
            <w:tcW w:w="7022" w:type="dxa"/>
            <w:vAlign w:val="center"/>
          </w:tcPr>
          <w:p w14:paraId="51899217">
            <w:pPr>
              <w:autoSpaceDE w:val="0"/>
              <w:autoSpaceDN w:val="0"/>
              <w:adjustRightInd w:val="0"/>
              <w:snapToGrid w:val="0"/>
              <w:rPr>
                <w:rFonts w:ascii="宋体" w:hAnsi="宋体" w:cs="黑体"/>
                <w:kern w:val="0"/>
                <w:szCs w:val="21"/>
              </w:rPr>
            </w:pPr>
            <w:r>
              <w:rPr>
                <w:rFonts w:hint="eastAsia" w:ascii="宋体" w:hAnsi="宋体" w:cs="宋体"/>
                <w:bCs/>
                <w:color w:val="000000" w:themeColor="text1"/>
                <w:szCs w:val="21"/>
                <w14:textFill>
                  <w14:solidFill>
                    <w14:schemeClr w14:val="tx1"/>
                  </w14:solidFill>
                </w14:textFill>
              </w:rPr>
              <w:t>财政资金</w:t>
            </w:r>
          </w:p>
        </w:tc>
      </w:tr>
      <w:tr w14:paraId="2EBC7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7B42C33C">
            <w:pPr>
              <w:autoSpaceDE w:val="0"/>
              <w:autoSpaceDN w:val="0"/>
              <w:adjustRightInd w:val="0"/>
              <w:jc w:val="center"/>
              <w:rPr>
                <w:rFonts w:hint="default" w:ascii="宋体" w:hAnsi="宋体" w:eastAsia="宋体" w:cs="TimesNewRomanPSMT"/>
                <w:color w:val="000000" w:themeColor="text1"/>
                <w:kern w:val="0"/>
                <w:szCs w:val="21"/>
                <w:lang w:val="en-US" w:eastAsia="zh-CN"/>
                <w14:textFill>
                  <w14:solidFill>
                    <w14:schemeClr w14:val="tx1"/>
                  </w14:solidFill>
                </w14:textFill>
              </w:rPr>
            </w:pPr>
            <w:r>
              <w:rPr>
                <w:rFonts w:hint="eastAsia" w:ascii="宋体" w:hAnsi="宋体" w:cs="TimesNewRomanPSMT"/>
                <w:color w:val="000000" w:themeColor="text1"/>
                <w:kern w:val="0"/>
                <w:szCs w:val="21"/>
                <w:lang w:val="en-US" w:eastAsia="zh-CN"/>
                <w14:textFill>
                  <w14:solidFill>
                    <w14:schemeClr w14:val="tx1"/>
                  </w14:solidFill>
                </w14:textFill>
              </w:rPr>
              <w:t>1.2.2</w:t>
            </w:r>
          </w:p>
        </w:tc>
        <w:tc>
          <w:tcPr>
            <w:tcW w:w="1945" w:type="dxa"/>
            <w:vAlign w:val="center"/>
          </w:tcPr>
          <w:p w14:paraId="67EAE920">
            <w:pPr>
              <w:tabs>
                <w:tab w:val="left" w:pos="1734"/>
              </w:tabs>
              <w:autoSpaceDE w:val="0"/>
              <w:autoSpaceDN w:val="0"/>
              <w:adjustRightInd w:val="0"/>
              <w:spacing w:line="400" w:lineRule="exact"/>
              <w:jc w:val="center"/>
              <w:rPr>
                <w:rFonts w:hint="eastAsia" w:ascii="宋体" w:hAnsi="宋体" w:eastAsia="宋体" w:cs="宋体"/>
                <w:kern w:val="2"/>
                <w:sz w:val="24"/>
                <w:szCs w:val="24"/>
                <w:highlight w:val="none"/>
                <w:lang w:val="zh-CN" w:eastAsia="zh-CN" w:bidi="ar-SA"/>
              </w:rPr>
            </w:pPr>
            <w:r>
              <w:rPr>
                <w:rFonts w:hint="eastAsia" w:ascii="宋体" w:hAnsi="宋体" w:cs="宋体"/>
                <w:sz w:val="24"/>
                <w:szCs w:val="24"/>
                <w:highlight w:val="none"/>
              </w:rPr>
              <w:t>出资比例</w:t>
            </w:r>
          </w:p>
        </w:tc>
        <w:tc>
          <w:tcPr>
            <w:tcW w:w="7022" w:type="dxa"/>
            <w:vAlign w:val="center"/>
          </w:tcPr>
          <w:p w14:paraId="2F4A5217">
            <w:pPr>
              <w:tabs>
                <w:tab w:val="left" w:pos="1734"/>
              </w:tabs>
              <w:autoSpaceDE w:val="0"/>
              <w:autoSpaceDN w:val="0"/>
              <w:adjustRightInd w:val="0"/>
              <w:spacing w:line="400" w:lineRule="exact"/>
              <w:jc w:val="left"/>
              <w:rPr>
                <w:rFonts w:hint="eastAsia" w:ascii="宋体" w:hAnsi="宋体" w:eastAsia="宋体" w:cs="宋体"/>
                <w:kern w:val="2"/>
                <w:sz w:val="24"/>
                <w:szCs w:val="24"/>
                <w:highlight w:val="none"/>
                <w:lang w:val="zh-CN" w:eastAsia="zh-CN" w:bidi="ar-SA"/>
              </w:rPr>
            </w:pPr>
            <w:r>
              <w:rPr>
                <w:rFonts w:hint="eastAsia" w:ascii="宋体" w:hAnsi="宋体" w:cs="宋体"/>
                <w:sz w:val="24"/>
                <w:szCs w:val="24"/>
                <w:highlight w:val="none"/>
              </w:rPr>
              <w:t>100%</w:t>
            </w:r>
          </w:p>
        </w:tc>
      </w:tr>
      <w:tr w14:paraId="709CC2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982" w:type="dxa"/>
            <w:vAlign w:val="center"/>
          </w:tcPr>
          <w:p w14:paraId="51F74C53">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1.2.</w:t>
            </w:r>
            <w:r>
              <w:rPr>
                <w:rFonts w:hint="eastAsia" w:ascii="宋体" w:hAnsi="宋体" w:cs="TimesNewRomanPSMT"/>
                <w:color w:val="000000" w:themeColor="text1"/>
                <w:kern w:val="0"/>
                <w:szCs w:val="21"/>
                <w14:textFill>
                  <w14:solidFill>
                    <w14:schemeClr w14:val="tx1"/>
                  </w14:solidFill>
                </w14:textFill>
              </w:rPr>
              <w:t>3</w:t>
            </w:r>
          </w:p>
        </w:tc>
        <w:tc>
          <w:tcPr>
            <w:tcW w:w="1945" w:type="dxa"/>
            <w:vAlign w:val="center"/>
          </w:tcPr>
          <w:p w14:paraId="74622CDB">
            <w:pPr>
              <w:jc w:val="center"/>
              <w:rPr>
                <w:rFonts w:cs="黑体"/>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资金落实情况</w:t>
            </w:r>
          </w:p>
        </w:tc>
        <w:tc>
          <w:tcPr>
            <w:tcW w:w="7022" w:type="dxa"/>
            <w:vAlign w:val="center"/>
          </w:tcPr>
          <w:p w14:paraId="17A241B6">
            <w:pPr>
              <w:autoSpaceDE w:val="0"/>
              <w:autoSpaceDN w:val="0"/>
              <w:adjustRightInd w:val="0"/>
              <w:snapToGrid w:val="0"/>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已落实</w:t>
            </w:r>
          </w:p>
        </w:tc>
      </w:tr>
      <w:tr w14:paraId="5E0B6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3" w:hRule="atLeast"/>
          <w:jc w:val="center"/>
        </w:trPr>
        <w:tc>
          <w:tcPr>
            <w:tcW w:w="982" w:type="dxa"/>
            <w:vAlign w:val="center"/>
          </w:tcPr>
          <w:p w14:paraId="44EF37DC">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1.3.1</w:t>
            </w:r>
          </w:p>
        </w:tc>
        <w:tc>
          <w:tcPr>
            <w:tcW w:w="1945" w:type="dxa"/>
            <w:vAlign w:val="center"/>
          </w:tcPr>
          <w:p w14:paraId="64C51DB1">
            <w:pPr>
              <w:jc w:val="center"/>
              <w:rPr>
                <w:rFonts w:cs="黑体"/>
                <w:color w:val="000000" w:themeColor="text1"/>
                <w:kern w:val="0"/>
                <w14:textFill>
                  <w14:solidFill>
                    <w14:schemeClr w14:val="tx1"/>
                  </w14:solidFill>
                </w14:textFill>
              </w:rPr>
            </w:pPr>
            <w:r>
              <w:rPr>
                <w:rFonts w:hint="eastAsia"/>
                <w:color w:val="000000" w:themeColor="text1"/>
                <w:kern w:val="0"/>
                <w:lang w:eastAsia="zh-CN"/>
                <w14:textFill>
                  <w14:solidFill>
                    <w14:schemeClr w14:val="tx1"/>
                  </w14:solidFill>
                </w14:textFill>
              </w:rPr>
              <w:t>磋商</w:t>
            </w:r>
            <w:r>
              <w:rPr>
                <w:rFonts w:hint="eastAsia"/>
                <w:color w:val="000000" w:themeColor="text1"/>
                <w:kern w:val="0"/>
                <w14:textFill>
                  <w14:solidFill>
                    <w14:schemeClr w14:val="tx1"/>
                  </w14:solidFill>
                </w14:textFill>
              </w:rPr>
              <w:t>范围</w:t>
            </w:r>
          </w:p>
        </w:tc>
        <w:tc>
          <w:tcPr>
            <w:tcW w:w="7022" w:type="dxa"/>
            <w:vAlign w:val="center"/>
          </w:tcPr>
          <w:p w14:paraId="20078E75">
            <w:pPr>
              <w:autoSpaceDE w:val="0"/>
              <w:autoSpaceDN w:val="0"/>
              <w:adjustRightInd w:val="0"/>
              <w:snapToGrid w:val="0"/>
              <w:rPr>
                <w:rFonts w:ascii="宋体" w:hAnsi="宋体" w:cs="黑体"/>
                <w:color w:val="000000" w:themeColor="text1"/>
                <w:kern w:val="0"/>
                <w:szCs w:val="21"/>
                <w14:textFill>
                  <w14:solidFill>
                    <w14:schemeClr w14:val="tx1"/>
                  </w14:solidFill>
                </w14:textFill>
              </w:rPr>
            </w:pPr>
            <w:r>
              <w:rPr>
                <w:rFonts w:hint="default" w:ascii="宋体" w:hAnsi="宋体" w:cs="黑体"/>
                <w:color w:val="000000" w:themeColor="text1"/>
                <w:kern w:val="0"/>
                <w:szCs w:val="21"/>
                <w:lang w:val="en-US" w:eastAsia="zh-CN"/>
                <w14:textFill>
                  <w14:solidFill>
                    <w14:schemeClr w14:val="tx1"/>
                  </w14:solidFill>
                </w14:textFill>
              </w:rPr>
              <w:t>水泥路1千米及涵管10节</w:t>
            </w:r>
            <w:r>
              <w:rPr>
                <w:rFonts w:hint="eastAsia" w:ascii="宋体" w:hAnsi="宋体" w:cs="黑体"/>
                <w:color w:val="000000" w:themeColor="text1"/>
                <w:kern w:val="0"/>
                <w:szCs w:val="21"/>
                <w:lang w:val="en-US" w:eastAsia="zh-CN"/>
                <w14:textFill>
                  <w14:solidFill>
                    <w14:schemeClr w14:val="tx1"/>
                  </w14:solidFill>
                </w14:textFill>
              </w:rPr>
              <w:t>。</w:t>
            </w:r>
          </w:p>
        </w:tc>
      </w:tr>
      <w:tr w14:paraId="74B51D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7" w:hRule="atLeast"/>
          <w:jc w:val="center"/>
        </w:trPr>
        <w:tc>
          <w:tcPr>
            <w:tcW w:w="982" w:type="dxa"/>
            <w:vAlign w:val="center"/>
          </w:tcPr>
          <w:p w14:paraId="0183795A">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1.3.2</w:t>
            </w:r>
          </w:p>
        </w:tc>
        <w:tc>
          <w:tcPr>
            <w:tcW w:w="1945" w:type="dxa"/>
            <w:vAlign w:val="center"/>
          </w:tcPr>
          <w:p w14:paraId="05E59956">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计划工期</w:t>
            </w:r>
          </w:p>
        </w:tc>
        <w:tc>
          <w:tcPr>
            <w:tcW w:w="7022" w:type="dxa"/>
            <w:vAlign w:val="center"/>
          </w:tcPr>
          <w:p w14:paraId="162A9E86">
            <w:pPr>
              <w:autoSpaceDE w:val="0"/>
              <w:autoSpaceDN w:val="0"/>
              <w:adjustRightInd w:val="0"/>
              <w:snapToGrid w:val="0"/>
              <w:rPr>
                <w:rFonts w:hint="default" w:ascii="宋体" w:hAnsi="宋体" w:eastAsia="宋体" w:cs="黑体"/>
                <w:bCs/>
                <w:color w:val="000000" w:themeColor="text1"/>
                <w:kern w:val="0"/>
                <w:szCs w:val="21"/>
                <w:lang w:val="en-US" w:eastAsia="zh-CN"/>
                <w14:textFill>
                  <w14:solidFill>
                    <w14:schemeClr w14:val="tx1"/>
                  </w14:solidFill>
                </w14:textFill>
              </w:rPr>
            </w:pPr>
            <w:r>
              <w:rPr>
                <w:rFonts w:hint="eastAsia" w:ascii="宋体" w:hAnsi="宋体" w:eastAsia="宋体" w:cs="黑体"/>
                <w:bCs/>
                <w:color w:val="000000" w:themeColor="text1"/>
                <w:kern w:val="0"/>
                <w:szCs w:val="21"/>
                <w:lang w:val="zh-CN" w:eastAsia="zh-CN"/>
                <w14:textFill>
                  <w14:solidFill>
                    <w14:schemeClr w14:val="tx1"/>
                  </w14:solidFill>
                </w14:textFill>
              </w:rPr>
              <w:t>计划开工时间为2025年05月10日，计划竣工日期为2025年07月</w:t>
            </w:r>
            <w:r>
              <w:rPr>
                <w:rFonts w:hint="eastAsia" w:ascii="宋体" w:hAnsi="宋体" w:cs="黑体"/>
                <w:bCs/>
                <w:color w:val="000000" w:themeColor="text1"/>
                <w:kern w:val="0"/>
                <w:szCs w:val="21"/>
                <w:lang w:val="en-US" w:eastAsia="zh-CN"/>
                <w14:textFill>
                  <w14:solidFill>
                    <w14:schemeClr w14:val="tx1"/>
                  </w14:solidFill>
                </w14:textFill>
              </w:rPr>
              <w:t>20</w:t>
            </w:r>
            <w:r>
              <w:rPr>
                <w:rFonts w:hint="eastAsia" w:ascii="宋体" w:hAnsi="宋体" w:eastAsia="宋体" w:cs="黑体"/>
                <w:bCs/>
                <w:color w:val="000000" w:themeColor="text1"/>
                <w:kern w:val="0"/>
                <w:szCs w:val="21"/>
                <w:lang w:val="zh-CN" w:eastAsia="zh-CN"/>
                <w14:textFill>
                  <w14:solidFill>
                    <w14:schemeClr w14:val="tx1"/>
                  </w14:solidFill>
                </w14:textFill>
              </w:rPr>
              <w:t>日，工期</w:t>
            </w:r>
            <w:r>
              <w:rPr>
                <w:rFonts w:hint="eastAsia" w:ascii="宋体" w:hAnsi="宋体" w:cs="黑体"/>
                <w:bCs/>
                <w:color w:val="000000" w:themeColor="text1"/>
                <w:kern w:val="0"/>
                <w:szCs w:val="21"/>
                <w:lang w:val="en-US" w:eastAsia="zh-CN"/>
                <w14:textFill>
                  <w14:solidFill>
                    <w14:schemeClr w14:val="tx1"/>
                  </w14:solidFill>
                </w14:textFill>
              </w:rPr>
              <w:t>71</w:t>
            </w:r>
            <w:r>
              <w:rPr>
                <w:rFonts w:hint="eastAsia" w:ascii="宋体" w:hAnsi="宋体" w:eastAsia="宋体" w:cs="黑体"/>
                <w:bCs/>
                <w:color w:val="000000" w:themeColor="text1"/>
                <w:kern w:val="0"/>
                <w:szCs w:val="21"/>
                <w:lang w:val="zh-CN" w:eastAsia="zh-CN"/>
                <w14:textFill>
                  <w14:solidFill>
                    <w14:schemeClr w14:val="tx1"/>
                  </w14:solidFill>
                </w14:textFill>
              </w:rPr>
              <w:t>日历天(实际工期以双方签订合同为准)</w:t>
            </w:r>
            <w:r>
              <w:rPr>
                <w:rFonts w:hint="eastAsia" w:ascii="宋体" w:hAnsi="宋体" w:cs="黑体"/>
                <w:bCs/>
                <w:color w:val="000000" w:themeColor="text1"/>
                <w:kern w:val="0"/>
                <w:szCs w:val="21"/>
                <w:lang w:val="zh-CN" w:eastAsia="zh-CN"/>
                <w14:textFill>
                  <w14:solidFill>
                    <w14:schemeClr w14:val="tx1"/>
                  </w14:solidFill>
                </w14:textFill>
              </w:rPr>
              <w:t>。</w:t>
            </w:r>
          </w:p>
        </w:tc>
      </w:tr>
      <w:tr w14:paraId="163DB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jc w:val="center"/>
        </w:trPr>
        <w:tc>
          <w:tcPr>
            <w:tcW w:w="982" w:type="dxa"/>
            <w:vAlign w:val="center"/>
          </w:tcPr>
          <w:p w14:paraId="6F42209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1.3.3</w:t>
            </w:r>
          </w:p>
        </w:tc>
        <w:tc>
          <w:tcPr>
            <w:tcW w:w="1945" w:type="dxa"/>
            <w:vAlign w:val="center"/>
          </w:tcPr>
          <w:p w14:paraId="2B810C78">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工程质量要求</w:t>
            </w:r>
          </w:p>
        </w:tc>
        <w:tc>
          <w:tcPr>
            <w:tcW w:w="7022" w:type="dxa"/>
            <w:vAlign w:val="center"/>
          </w:tcPr>
          <w:p w14:paraId="2E9A18AA">
            <w:pPr>
              <w:autoSpaceDE w:val="0"/>
              <w:autoSpaceDN w:val="0"/>
              <w:adjustRightInd w:val="0"/>
              <w:snapToGrid w:val="0"/>
              <w:rPr>
                <w:rFonts w:ascii="宋体" w:hAnsi="宋体" w:cs="黑体"/>
                <w:bCs/>
                <w:color w:val="000000" w:themeColor="text1"/>
                <w:kern w:val="0"/>
                <w:szCs w:val="21"/>
                <w:lang w:val="zh-CN"/>
                <w14:textFill>
                  <w14:solidFill>
                    <w14:schemeClr w14:val="tx1"/>
                  </w14:solidFill>
                </w14:textFill>
              </w:rPr>
            </w:pPr>
            <w:r>
              <w:rPr>
                <w:rFonts w:hint="eastAsia" w:ascii="宋体" w:hAnsi="宋体" w:cs="黑体"/>
                <w:bCs/>
                <w:color w:val="000000" w:themeColor="text1"/>
                <w:kern w:val="0"/>
                <w:szCs w:val="21"/>
                <w:lang w:val="zh-CN"/>
                <w14:textFill>
                  <w14:solidFill>
                    <w14:schemeClr w14:val="tx1"/>
                  </w14:solidFill>
                </w14:textFill>
              </w:rPr>
              <w:t>工程质量必须达到国家及吉林省地方规定的工程质量验收合格标准。</w:t>
            </w:r>
          </w:p>
        </w:tc>
      </w:tr>
      <w:tr w14:paraId="0D51EB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5" w:hRule="atLeast"/>
          <w:jc w:val="center"/>
        </w:trPr>
        <w:tc>
          <w:tcPr>
            <w:tcW w:w="982" w:type="dxa"/>
            <w:vAlign w:val="center"/>
          </w:tcPr>
          <w:p w14:paraId="7BD060C1">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1.4.1</w:t>
            </w:r>
          </w:p>
        </w:tc>
        <w:tc>
          <w:tcPr>
            <w:tcW w:w="1945" w:type="dxa"/>
            <w:vAlign w:val="center"/>
          </w:tcPr>
          <w:p w14:paraId="61879DE3">
            <w:pPr>
              <w:jc w:val="center"/>
              <w:rPr>
                <w:color w:val="000000" w:themeColor="text1"/>
                <w:kern w:val="0"/>
                <w14:textFill>
                  <w14:solidFill>
                    <w14:schemeClr w14:val="tx1"/>
                  </w14:solidFill>
                </w14:textFill>
              </w:rPr>
            </w:pPr>
            <w:r>
              <w:rPr>
                <w:rFonts w:hint="eastAsia"/>
                <w:color w:val="000000" w:themeColor="text1"/>
                <w:kern w:val="0"/>
                <w:lang w:eastAsia="zh-CN"/>
                <w14:textFill>
                  <w14:solidFill>
                    <w14:schemeClr w14:val="tx1"/>
                  </w14:solidFill>
                </w14:textFill>
              </w:rPr>
              <w:t>供应商</w:t>
            </w:r>
            <w:r>
              <w:rPr>
                <w:rFonts w:hint="eastAsia"/>
                <w:color w:val="000000" w:themeColor="text1"/>
                <w:kern w:val="0"/>
                <w14:textFill>
                  <w14:solidFill>
                    <w14:schemeClr w14:val="tx1"/>
                  </w14:solidFill>
                </w14:textFill>
              </w:rPr>
              <w:t>资质条件、能力和信誉</w:t>
            </w:r>
          </w:p>
        </w:tc>
        <w:tc>
          <w:tcPr>
            <w:tcW w:w="7022" w:type="dxa"/>
            <w:vAlign w:val="center"/>
          </w:tcPr>
          <w:p w14:paraId="1E65AB78">
            <w:pPr>
              <w:autoSpaceDE w:val="0"/>
              <w:autoSpaceDN w:val="0"/>
              <w:adjustRightInd w:val="0"/>
              <w:snapToGrid w:val="0"/>
              <w:spacing w:line="380" w:lineRule="exact"/>
              <w:jc w:val="left"/>
              <w:rPr>
                <w:lang w:val="zh-CN"/>
              </w:rPr>
            </w:pPr>
            <w:r>
              <w:rPr>
                <w:rFonts w:hint="eastAsia"/>
              </w:rPr>
              <w:t>1.</w:t>
            </w:r>
            <w:r>
              <w:rPr>
                <w:rFonts w:hint="eastAsia"/>
                <w:lang w:val="zh-CN"/>
              </w:rPr>
              <w:t>资质条件：投标申请人须具备建设行政主管部门核发的</w:t>
            </w:r>
            <w:r>
              <w:rPr>
                <w:rFonts w:hint="eastAsia"/>
              </w:rPr>
              <w:t>市政公用工程施工总承</w:t>
            </w:r>
            <w:r>
              <w:rPr>
                <w:rFonts w:hint="eastAsia"/>
                <w:highlight w:val="none"/>
              </w:rPr>
              <w:t>包</w:t>
            </w:r>
            <w:r>
              <w:rPr>
                <w:rFonts w:hint="eastAsia"/>
                <w:highlight w:val="none"/>
                <w:lang w:eastAsia="zh-CN"/>
              </w:rPr>
              <w:t>贰</w:t>
            </w:r>
            <w:r>
              <w:rPr>
                <w:rFonts w:hint="eastAsia"/>
                <w:highlight w:val="none"/>
              </w:rPr>
              <w:t>级或公路工程施工总承包</w:t>
            </w:r>
            <w:r>
              <w:rPr>
                <w:rFonts w:hint="eastAsia"/>
                <w:highlight w:val="none"/>
                <w:lang w:eastAsia="zh-CN"/>
              </w:rPr>
              <w:t>贰</w:t>
            </w:r>
            <w:r>
              <w:rPr>
                <w:rFonts w:hint="eastAsia"/>
              </w:rPr>
              <w:t>级</w:t>
            </w:r>
            <w:r>
              <w:rPr>
                <w:rFonts w:hint="eastAsia"/>
                <w:lang w:val="zh-CN"/>
              </w:rPr>
              <w:t>及以上资质并具备有效的安全生产许可证</w:t>
            </w:r>
            <w:r>
              <w:rPr>
                <w:rFonts w:hint="eastAsia"/>
              </w:rPr>
              <w:t>的法人或其他组织</w:t>
            </w:r>
            <w:r>
              <w:rPr>
                <w:rFonts w:hint="eastAsia"/>
                <w:lang w:val="zh-CN"/>
              </w:rPr>
              <w:t>，在人员、设备、资金等方面具有相应的施工能力；</w:t>
            </w:r>
          </w:p>
          <w:p w14:paraId="573857DA">
            <w:pPr>
              <w:autoSpaceDE w:val="0"/>
              <w:autoSpaceDN w:val="0"/>
              <w:adjustRightInd w:val="0"/>
              <w:snapToGrid w:val="0"/>
              <w:spacing w:line="380" w:lineRule="exact"/>
              <w:jc w:val="left"/>
              <w:rPr>
                <w:lang w:val="zh-CN"/>
              </w:rPr>
            </w:pPr>
            <w:r>
              <w:rPr>
                <w:rFonts w:hint="eastAsia"/>
              </w:rPr>
              <w:t>2.</w:t>
            </w:r>
            <w:r>
              <w:rPr>
                <w:rFonts w:hint="eastAsia"/>
                <w:lang w:val="zh-CN"/>
              </w:rPr>
              <w:t>项目负责人：</w:t>
            </w:r>
            <w:r>
              <w:rPr>
                <w:rFonts w:hint="eastAsia"/>
                <w:lang w:eastAsia="zh-CN"/>
              </w:rPr>
              <w:t>供应商</w:t>
            </w:r>
            <w:r>
              <w:rPr>
                <w:rFonts w:hint="eastAsia"/>
              </w:rPr>
              <w:t>拟派出的项目经理须具备市政公用工程专业二级或公路工程专业二级及以上注册建造师资格，具备有效的安全生产考核合格证书，且无在建工程；</w:t>
            </w:r>
          </w:p>
          <w:p w14:paraId="1BFCBBEF">
            <w:pPr>
              <w:autoSpaceDE w:val="0"/>
              <w:autoSpaceDN w:val="0"/>
              <w:adjustRightInd w:val="0"/>
              <w:snapToGrid w:val="0"/>
              <w:spacing w:line="380" w:lineRule="exact"/>
              <w:jc w:val="left"/>
              <w:rPr>
                <w:highlight w:val="yellow"/>
                <w:lang w:val="zh-CN"/>
              </w:rPr>
            </w:pPr>
            <w:r>
              <w:rPr>
                <w:rFonts w:hint="eastAsia"/>
              </w:rPr>
              <w:t>3.</w:t>
            </w:r>
            <w:r>
              <w:rPr>
                <w:rFonts w:hint="eastAsia"/>
                <w:lang w:val="zh-CN"/>
              </w:rPr>
              <w:t>业绩要求：近三年（20</w:t>
            </w:r>
            <w:r>
              <w:rPr>
                <w:rFonts w:hint="eastAsia"/>
                <w:lang w:val="en-US" w:eastAsia="zh-CN"/>
              </w:rPr>
              <w:t>22</w:t>
            </w:r>
            <w:r>
              <w:rPr>
                <w:rFonts w:hint="eastAsia"/>
                <w:lang w:val="zh-CN"/>
              </w:rPr>
              <w:t>至今）完成过至少1项同类或类似业绩；提供成交通知书或合同原件（或加盖公章复印件），标书内附成交通知书或合同复印件并加盖公章。</w:t>
            </w:r>
          </w:p>
          <w:p w14:paraId="7BDE992E">
            <w:pPr>
              <w:autoSpaceDE w:val="0"/>
              <w:autoSpaceDN w:val="0"/>
              <w:adjustRightInd w:val="0"/>
              <w:snapToGrid w:val="0"/>
              <w:spacing w:line="380" w:lineRule="exact"/>
              <w:jc w:val="left"/>
              <w:rPr>
                <w:lang w:val="zh-CN"/>
              </w:rPr>
            </w:pPr>
            <w:r>
              <w:rPr>
                <w:rFonts w:hint="eastAsia"/>
              </w:rPr>
              <w:t>4</w:t>
            </w:r>
            <w:r>
              <w:rPr>
                <w:rFonts w:hint="eastAsia"/>
                <w:highlight w:val="none"/>
              </w:rPr>
              <w:t>.</w:t>
            </w:r>
            <w:r>
              <w:rPr>
                <w:rFonts w:hint="eastAsia"/>
                <w:highlight w:val="none"/>
                <w:lang w:val="zh-CN"/>
              </w:rPr>
              <w:t>财务要求：提供近</w:t>
            </w:r>
            <w:r>
              <w:rPr>
                <w:rFonts w:hint="eastAsia"/>
                <w:lang w:val="zh-CN"/>
              </w:rPr>
              <w:t>三年</w:t>
            </w:r>
            <w:r>
              <w:rPr>
                <w:rFonts w:hint="eastAsia"/>
                <w:color w:val="000000" w:themeColor="text1"/>
                <w:lang w:val="zh-CN"/>
                <w14:textFill>
                  <w14:solidFill>
                    <w14:schemeClr w14:val="tx1"/>
                  </w14:solidFill>
                </w14:textFill>
              </w:rPr>
              <w:t>（</w:t>
            </w:r>
            <w:r>
              <w:rPr>
                <w:rFonts w:hint="eastAsia"/>
                <w:color w:val="000000" w:themeColor="text1"/>
                <w14:textFill>
                  <w14:solidFill>
                    <w14:schemeClr w14:val="tx1"/>
                  </w14:solidFill>
                </w14:textFill>
              </w:rPr>
              <w:t>202</w:t>
            </w:r>
            <w:r>
              <w:rPr>
                <w:rFonts w:hint="eastAsia"/>
                <w:color w:val="000000" w:themeColor="text1"/>
                <w:lang w:val="en-US" w:eastAsia="zh-CN"/>
                <w14:textFill>
                  <w14:solidFill>
                    <w14:schemeClr w14:val="tx1"/>
                  </w14:solidFill>
                </w14:textFill>
              </w:rPr>
              <w:t>1</w:t>
            </w:r>
            <w:r>
              <w:rPr>
                <w:rFonts w:hint="eastAsia"/>
                <w:color w:val="000000" w:themeColor="text1"/>
                <w14:textFill>
                  <w14:solidFill>
                    <w14:schemeClr w14:val="tx1"/>
                  </w14:solidFill>
                </w14:textFill>
              </w:rPr>
              <w:t>-202</w:t>
            </w:r>
            <w:r>
              <w:rPr>
                <w:rFonts w:hint="eastAsia"/>
                <w:color w:val="000000" w:themeColor="text1"/>
                <w:lang w:val="en-US" w:eastAsia="zh-CN"/>
                <w14:textFill>
                  <w14:solidFill>
                    <w14:schemeClr w14:val="tx1"/>
                  </w14:solidFill>
                </w14:textFill>
              </w:rPr>
              <w:t>3</w:t>
            </w:r>
            <w:r>
              <w:rPr>
                <w:rFonts w:hint="eastAsia"/>
                <w:color w:val="000000" w:themeColor="text1"/>
                <w:lang w:val="zh-CN"/>
                <w14:textFill>
                  <w14:solidFill>
                    <w14:schemeClr w14:val="tx1"/>
                  </w14:solidFill>
                </w14:textFill>
              </w:rPr>
              <w:t>年）</w:t>
            </w:r>
            <w:r>
              <w:rPr>
                <w:rFonts w:hint="eastAsia"/>
                <w:lang w:val="zh-CN"/>
              </w:rPr>
              <w:t>经会计师事务所或审计机构审计的财务会计报表，包括资产负债表、现金流量表、利润表和财务情况说明书的复印件；供应商成立不足三年的，提供自成立年份-20</w:t>
            </w:r>
            <w:r>
              <w:rPr>
                <w:rFonts w:hint="eastAsia"/>
              </w:rPr>
              <w:t>2</w:t>
            </w:r>
            <w:r>
              <w:rPr>
                <w:rFonts w:hint="eastAsia"/>
                <w:lang w:val="en-US" w:eastAsia="zh-CN"/>
              </w:rPr>
              <w:t>3</w:t>
            </w:r>
            <w:r>
              <w:rPr>
                <w:rFonts w:hint="eastAsia"/>
                <w:lang w:val="zh-CN"/>
              </w:rPr>
              <w:t>年的财务报告或财务报表，供应商在20</w:t>
            </w:r>
            <w:r>
              <w:rPr>
                <w:rFonts w:hint="eastAsia"/>
              </w:rPr>
              <w:t>2</w:t>
            </w:r>
            <w:r>
              <w:rPr>
                <w:rFonts w:hint="eastAsia"/>
                <w:lang w:val="en-US" w:eastAsia="zh-CN"/>
              </w:rPr>
              <w:t>4</w:t>
            </w:r>
            <w:r>
              <w:rPr>
                <w:rFonts w:hint="eastAsia"/>
                <w:lang w:val="zh-CN"/>
              </w:rPr>
              <w:t>年之后成立的，无财务状况报告的，提供基本账户开户银行的资信证明；</w:t>
            </w:r>
          </w:p>
          <w:p w14:paraId="7BAFFD1B">
            <w:pPr>
              <w:autoSpaceDE w:val="0"/>
              <w:autoSpaceDN w:val="0"/>
              <w:adjustRightInd w:val="0"/>
              <w:snapToGrid w:val="0"/>
              <w:spacing w:line="380" w:lineRule="exact"/>
              <w:jc w:val="left"/>
              <w:rPr>
                <w:lang w:val="zh-CN"/>
              </w:rPr>
            </w:pPr>
            <w:r>
              <w:rPr>
                <w:rFonts w:hint="eastAsia"/>
              </w:rPr>
              <w:t>5.</w:t>
            </w:r>
            <w:r>
              <w:rPr>
                <w:rFonts w:hint="eastAsia"/>
                <w:lang w:val="zh-CN"/>
              </w:rPr>
              <w:t>信誉要求：拒绝列入政府取消投标资格记录期间的企业或个人投标；未被</w:t>
            </w:r>
            <w:r>
              <w:rPr>
                <w:rFonts w:hint="eastAsia"/>
                <w:lang w:val="zh-CN" w:eastAsia="zh-CN"/>
              </w:rPr>
              <w:t>市场监督管理部门</w:t>
            </w:r>
            <w:r>
              <w:rPr>
                <w:rFonts w:hint="eastAsia"/>
                <w:lang w:val="zh-CN"/>
              </w:rPr>
              <w:t>在全国企业信用信息公示系统（www.gsxt.gov.cn）中列入严重违法失信企业名单；未被最高人民法院在“信用中国”网站（www.creditchina.gov.cn）或各级信用信息共享平台中列入失信被执行人名单；在近三年（20</w:t>
            </w:r>
            <w:r>
              <w:rPr>
                <w:rFonts w:hint="eastAsia"/>
              </w:rPr>
              <w:t>2</w:t>
            </w:r>
            <w:r>
              <w:rPr>
                <w:rFonts w:hint="eastAsia"/>
                <w:lang w:val="en-US" w:eastAsia="zh-CN"/>
              </w:rPr>
              <w:t>2</w:t>
            </w:r>
            <w:r>
              <w:rPr>
                <w:rFonts w:hint="eastAsia"/>
                <w:lang w:val="zh-CN"/>
              </w:rPr>
              <w:t>年1月1日-投标截止时间前）内供应商或其法定代表人、拟委任的项目负责人未在“中国裁判文书网 ”（wenshu.court.gov.cn）上有行贿犯罪行为；</w:t>
            </w:r>
          </w:p>
          <w:p w14:paraId="5CB06AD4">
            <w:pPr>
              <w:autoSpaceDE w:val="0"/>
              <w:autoSpaceDN w:val="0"/>
              <w:adjustRightInd w:val="0"/>
              <w:snapToGrid w:val="0"/>
              <w:spacing w:line="380" w:lineRule="exact"/>
              <w:jc w:val="left"/>
              <w:rPr>
                <w:lang w:val="zh-CN"/>
              </w:rPr>
            </w:pPr>
            <w:r>
              <w:rPr>
                <w:rFonts w:hint="eastAsia"/>
              </w:rPr>
              <w:t>6.</w:t>
            </w:r>
            <w:r>
              <w:rPr>
                <w:rFonts w:hint="eastAsia"/>
                <w:lang w:val="zh-CN"/>
              </w:rPr>
              <w:t>其他要求：与采购人存在利害关系可能影响磋商公正性的法人、其他组织或者个人，不得参加投标。单位负责人为同一人或者存在控股、管理关系的不同单位，不得参加同一标段投标或者未划分标段的同一磋商项目投标。违反上述规定的，相关投标均无效；</w:t>
            </w:r>
          </w:p>
          <w:p w14:paraId="22ED7EE6">
            <w:pPr>
              <w:autoSpaceDE w:val="0"/>
              <w:autoSpaceDN w:val="0"/>
              <w:adjustRightInd w:val="0"/>
              <w:snapToGrid w:val="0"/>
              <w:spacing w:line="380" w:lineRule="exact"/>
              <w:jc w:val="left"/>
              <w:rPr>
                <w:lang w:val="zh-CN"/>
              </w:rPr>
            </w:pPr>
            <w:r>
              <w:rPr>
                <w:rFonts w:hint="eastAsia"/>
              </w:rPr>
              <w:t>7.</w:t>
            </w:r>
            <w:r>
              <w:rPr>
                <w:rFonts w:hint="eastAsia"/>
                <w:lang w:val="zh-CN"/>
              </w:rPr>
              <w:t>招投标过程中，供应商所提供的所有证件均需在有效期内，且注册单位名称与供应商的名称一致，如企业名称发生变更，需提供主管部门出具的变更证明材料，否则不接受其供应商参与本次磋商项目的投标。</w:t>
            </w:r>
          </w:p>
          <w:p w14:paraId="43461A8B">
            <w:pPr>
              <w:autoSpaceDE w:val="0"/>
              <w:autoSpaceDN w:val="0"/>
              <w:adjustRightInd w:val="0"/>
              <w:snapToGrid w:val="0"/>
              <w:spacing w:line="380" w:lineRule="exact"/>
              <w:jc w:val="left"/>
              <w:rPr>
                <w:color w:val="000000" w:themeColor="text1"/>
                <w:lang w:val="zh-CN"/>
                <w14:textFill>
                  <w14:solidFill>
                    <w14:schemeClr w14:val="tx1"/>
                  </w14:solidFill>
                </w14:textFill>
              </w:rPr>
            </w:pPr>
            <w:r>
              <w:rPr>
                <w:rFonts w:hint="eastAsia"/>
              </w:rPr>
              <w:t>8、</w:t>
            </w:r>
            <w:r>
              <w:rPr>
                <w:rFonts w:hint="eastAsia"/>
                <w:lang w:val="zh-CN"/>
              </w:rPr>
              <w:t>非本单位的造价人员与投标单位签订的聘书或聘用合同（不同投标单位不得选择同一造价单位或同一造价人员制作工程量清单）。</w:t>
            </w:r>
          </w:p>
        </w:tc>
      </w:tr>
      <w:tr w14:paraId="6F853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073CB235">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1.4.2</w:t>
            </w:r>
          </w:p>
        </w:tc>
        <w:tc>
          <w:tcPr>
            <w:tcW w:w="1945" w:type="dxa"/>
            <w:vAlign w:val="center"/>
          </w:tcPr>
          <w:p w14:paraId="484B76DC">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是否接受联合体投标</w:t>
            </w:r>
          </w:p>
        </w:tc>
        <w:tc>
          <w:tcPr>
            <w:tcW w:w="7022" w:type="dxa"/>
            <w:vAlign w:val="center"/>
          </w:tcPr>
          <w:p w14:paraId="26092F2D">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不接受</w:t>
            </w:r>
          </w:p>
        </w:tc>
      </w:tr>
      <w:tr w14:paraId="03F74F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5C21A075">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1.9.1</w:t>
            </w:r>
          </w:p>
        </w:tc>
        <w:tc>
          <w:tcPr>
            <w:tcW w:w="1945" w:type="dxa"/>
            <w:vAlign w:val="center"/>
          </w:tcPr>
          <w:p w14:paraId="4F4A9B41">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踏勘现场</w:t>
            </w:r>
          </w:p>
        </w:tc>
        <w:tc>
          <w:tcPr>
            <w:tcW w:w="7022" w:type="dxa"/>
            <w:vAlign w:val="center"/>
          </w:tcPr>
          <w:p w14:paraId="38957E42">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不组织</w:t>
            </w:r>
          </w:p>
        </w:tc>
      </w:tr>
      <w:tr w14:paraId="2EB5A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662B8501">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1.10.1</w:t>
            </w:r>
          </w:p>
        </w:tc>
        <w:tc>
          <w:tcPr>
            <w:tcW w:w="1945" w:type="dxa"/>
            <w:vAlign w:val="center"/>
          </w:tcPr>
          <w:p w14:paraId="605F338D">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投标预备会</w:t>
            </w:r>
          </w:p>
        </w:tc>
        <w:tc>
          <w:tcPr>
            <w:tcW w:w="7022" w:type="dxa"/>
            <w:vAlign w:val="center"/>
          </w:tcPr>
          <w:p w14:paraId="522CCE07">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不召开</w:t>
            </w:r>
          </w:p>
        </w:tc>
      </w:tr>
      <w:tr w14:paraId="6F37D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jc w:val="center"/>
        </w:trPr>
        <w:tc>
          <w:tcPr>
            <w:tcW w:w="982" w:type="dxa"/>
            <w:vAlign w:val="center"/>
          </w:tcPr>
          <w:p w14:paraId="6F520B1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1.10.2</w:t>
            </w:r>
          </w:p>
        </w:tc>
        <w:tc>
          <w:tcPr>
            <w:tcW w:w="1945" w:type="dxa"/>
            <w:vAlign w:val="center"/>
          </w:tcPr>
          <w:p w14:paraId="1259D901">
            <w:pPr>
              <w:jc w:val="center"/>
              <w:rPr>
                <w:rFonts w:hint="eastAsia" w:ascii="宋体" w:hAnsi="宋体" w:eastAsia="宋体" w:cs="宋体"/>
                <w:highlight w:val="none"/>
              </w:rPr>
            </w:pPr>
            <w:r>
              <w:rPr>
                <w:rFonts w:hint="eastAsia" w:ascii="宋体" w:hAnsi="宋体" w:eastAsia="宋体" w:cs="宋体"/>
                <w:highlight w:val="none"/>
                <w:lang w:val="en-US" w:eastAsia="zh-CN"/>
              </w:rPr>
              <w:t>供应商</w:t>
            </w:r>
            <w:r>
              <w:rPr>
                <w:rFonts w:hint="eastAsia" w:ascii="宋体" w:hAnsi="宋体" w:eastAsia="宋体" w:cs="宋体"/>
                <w:highlight w:val="none"/>
              </w:rPr>
              <w:t>提出问题</w:t>
            </w:r>
          </w:p>
          <w:p w14:paraId="7B75AA7A">
            <w:pPr>
              <w:jc w:val="center"/>
              <w:rPr>
                <w:color w:val="0000FF"/>
                <w:kern w:val="0"/>
              </w:rPr>
            </w:pPr>
            <w:r>
              <w:rPr>
                <w:rFonts w:hint="eastAsia" w:ascii="宋体" w:hAnsi="宋体" w:eastAsia="宋体" w:cs="宋体"/>
                <w:highlight w:val="none"/>
              </w:rPr>
              <w:t>的截止时间</w:t>
            </w:r>
            <w:r>
              <w:rPr>
                <w:rFonts w:hint="eastAsia" w:ascii="宋体" w:hAnsi="宋体" w:eastAsia="宋体" w:cs="宋体"/>
                <w:highlight w:val="none"/>
                <w:lang w:val="en-US" w:eastAsia="zh-CN"/>
              </w:rPr>
              <w:t>及形式</w:t>
            </w:r>
          </w:p>
        </w:tc>
        <w:tc>
          <w:tcPr>
            <w:tcW w:w="7022" w:type="dxa"/>
            <w:vAlign w:val="center"/>
          </w:tcPr>
          <w:p w14:paraId="59B9ADA2">
            <w:pPr>
              <w:keepNext w:val="0"/>
              <w:keepLines w:val="0"/>
              <w:pageBreakBefore w:val="0"/>
              <w:widowControl w:val="0"/>
              <w:tabs>
                <w:tab w:val="left" w:pos="432"/>
              </w:tabs>
              <w:kinsoku/>
              <w:wordWrap/>
              <w:overflowPunct/>
              <w:topLinePunct w:val="0"/>
              <w:autoSpaceDE/>
              <w:autoSpaceDN/>
              <w:bidi w:val="0"/>
              <w:adjustRightInd/>
              <w:snapToGrid/>
              <w:spacing w:line="320" w:lineRule="exact"/>
              <w:textAlignment w:val="auto"/>
              <w:rPr>
                <w:rFonts w:hint="eastAsia" w:ascii="宋体" w:hAnsi="宋体" w:eastAsia="宋体" w:cs="宋体"/>
                <w:szCs w:val="21"/>
                <w:highlight w:val="none"/>
              </w:rPr>
            </w:pPr>
            <w:r>
              <w:rPr>
                <w:rFonts w:hint="eastAsia" w:ascii="宋体" w:hAnsi="宋体" w:eastAsia="宋体" w:cs="宋体"/>
                <w:szCs w:val="21"/>
                <w:highlight w:val="none"/>
              </w:rPr>
              <w:t>时间：提交首次响应文件截止之日5个工作日前</w:t>
            </w:r>
          </w:p>
          <w:p w14:paraId="212D5585">
            <w:pPr>
              <w:keepNext w:val="0"/>
              <w:keepLines w:val="0"/>
              <w:pageBreakBefore w:val="0"/>
              <w:widowControl w:val="0"/>
              <w:tabs>
                <w:tab w:val="left" w:pos="432"/>
              </w:tabs>
              <w:kinsoku/>
              <w:wordWrap/>
              <w:overflowPunct/>
              <w:topLinePunct w:val="0"/>
              <w:autoSpaceDE/>
              <w:autoSpaceDN/>
              <w:bidi w:val="0"/>
              <w:adjustRightInd/>
              <w:snapToGrid/>
              <w:spacing w:line="320" w:lineRule="exact"/>
              <w:textAlignment w:val="auto"/>
              <w:rPr>
                <w:rFonts w:ascii="宋体" w:hAnsi="宋体"/>
                <w:color w:val="0000FF"/>
                <w:szCs w:val="21"/>
              </w:rPr>
            </w:pPr>
            <w:r>
              <w:rPr>
                <w:rFonts w:hint="eastAsia" w:ascii="宋体" w:hAnsi="宋体" w:eastAsia="宋体" w:cs="宋体"/>
                <w:szCs w:val="21"/>
                <w:highlight w:val="none"/>
                <w:lang w:val="en-US" w:eastAsia="zh-CN"/>
              </w:rPr>
              <w:t>形式：</w:t>
            </w:r>
            <w:r>
              <w:rPr>
                <w:rFonts w:hint="eastAsia" w:ascii="宋体" w:hAnsi="宋体" w:eastAsia="宋体" w:cs="宋体"/>
                <w:szCs w:val="21"/>
                <w:highlight w:val="none"/>
                <w:lang w:val="zh-CN"/>
              </w:rPr>
              <w:t>使用CA数字证书登录“政采云”平台（http：//www.zcygov.cn），在</w:t>
            </w:r>
            <w:r>
              <w:rPr>
                <w:rFonts w:hint="eastAsia" w:ascii="宋体" w:hAnsi="宋体" w:eastAsia="宋体" w:cs="宋体"/>
                <w:szCs w:val="21"/>
                <w:highlight w:val="none"/>
              </w:rPr>
              <w:t>应用中心-项目采购-询问质疑投诉-询问列表</w:t>
            </w:r>
            <w:r>
              <w:rPr>
                <w:rFonts w:hint="eastAsia" w:ascii="宋体" w:hAnsi="宋体" w:eastAsia="宋体" w:cs="宋体"/>
                <w:szCs w:val="21"/>
                <w:highlight w:val="none"/>
                <w:lang w:val="zh-CN"/>
              </w:rPr>
              <w:t>菜单要求</w:t>
            </w:r>
            <w:r>
              <w:rPr>
                <w:rFonts w:hint="eastAsia" w:ascii="宋体" w:hAnsi="宋体" w:eastAsia="宋体" w:cs="宋体"/>
                <w:szCs w:val="21"/>
                <w:highlight w:val="none"/>
                <w:lang w:val="en-US" w:eastAsia="zh-CN"/>
              </w:rPr>
              <w:t>采购</w:t>
            </w:r>
            <w:r>
              <w:rPr>
                <w:rFonts w:hint="eastAsia" w:ascii="宋体" w:hAnsi="宋体" w:eastAsia="宋体" w:cs="宋体"/>
                <w:szCs w:val="21"/>
                <w:highlight w:val="none"/>
                <w:lang w:val="zh-CN"/>
              </w:rPr>
              <w:t>人对</w:t>
            </w:r>
            <w:r>
              <w:rPr>
                <w:rFonts w:hint="eastAsia" w:ascii="宋体" w:hAnsi="宋体" w:eastAsia="宋体" w:cs="宋体"/>
                <w:szCs w:val="21"/>
                <w:highlight w:val="none"/>
                <w:lang w:val="en-US" w:eastAsia="zh-CN"/>
              </w:rPr>
              <w:t>采购</w:t>
            </w:r>
            <w:r>
              <w:rPr>
                <w:rFonts w:hint="eastAsia" w:ascii="宋体" w:hAnsi="宋体" w:eastAsia="宋体" w:cs="宋体"/>
                <w:szCs w:val="21"/>
                <w:highlight w:val="none"/>
                <w:lang w:val="zh-CN"/>
              </w:rPr>
              <w:t>文件予以澄清，同时发送</w:t>
            </w:r>
            <w:r>
              <w:rPr>
                <w:rFonts w:hint="eastAsia" w:ascii="宋体" w:hAnsi="宋体" w:eastAsia="宋体" w:cs="宋体"/>
                <w:szCs w:val="21"/>
                <w:highlight w:val="none"/>
              </w:rPr>
              <w:t>书面材料扫描件的</w:t>
            </w:r>
            <w:r>
              <w:rPr>
                <w:rFonts w:hint="eastAsia" w:ascii="宋体" w:hAnsi="宋体" w:eastAsia="宋体" w:cs="宋体"/>
                <w:szCs w:val="21"/>
                <w:highlight w:val="none"/>
                <w:lang w:val="zh-CN"/>
              </w:rPr>
              <w:t>邮件至代理机构邮箱（</w:t>
            </w:r>
            <w:r>
              <w:rPr>
                <w:rFonts w:hint="eastAsia" w:ascii="宋体" w:hAnsi="宋体" w:cs="宋体"/>
                <w:color w:val="auto"/>
                <w:szCs w:val="21"/>
                <w:highlight w:val="none"/>
                <w:lang w:val="en-US" w:eastAsia="zh-CN"/>
              </w:rPr>
              <w:t>18743316550@163.com</w:t>
            </w:r>
            <w:r>
              <w:rPr>
                <w:rFonts w:hint="eastAsia" w:ascii="宋体" w:hAnsi="宋体" w:eastAsia="宋体" w:cs="宋体"/>
                <w:szCs w:val="21"/>
                <w:highlight w:val="none"/>
                <w:lang w:val="zh-CN"/>
              </w:rPr>
              <w:t>），并电话通知代理机构。</w:t>
            </w:r>
            <w:r>
              <w:rPr>
                <w:rFonts w:hint="eastAsia" w:ascii="宋体" w:hAnsi="宋体" w:eastAsia="宋体" w:cs="宋体"/>
                <w:szCs w:val="21"/>
                <w:highlight w:val="none"/>
              </w:rPr>
              <w:t>逾期不再接收任何问题，口头提问，不做书面答复（格式见附表2）。</w:t>
            </w:r>
          </w:p>
        </w:tc>
      </w:tr>
      <w:tr w14:paraId="15BD7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82" w:type="dxa"/>
            <w:vAlign w:val="center"/>
          </w:tcPr>
          <w:p w14:paraId="23D701A9">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1.10.3</w:t>
            </w:r>
          </w:p>
        </w:tc>
        <w:tc>
          <w:tcPr>
            <w:tcW w:w="1945" w:type="dxa"/>
            <w:vAlign w:val="center"/>
          </w:tcPr>
          <w:p w14:paraId="27AABE85">
            <w:pPr>
              <w:jc w:val="center"/>
              <w:rPr>
                <w:rFonts w:hint="eastAsia" w:ascii="宋体" w:hAnsi="宋体" w:eastAsia="宋体" w:cs="宋体"/>
                <w:highlight w:val="none"/>
              </w:rPr>
            </w:pPr>
            <w:r>
              <w:rPr>
                <w:rFonts w:hint="eastAsia" w:ascii="宋体" w:hAnsi="宋体" w:eastAsia="宋体" w:cs="宋体"/>
                <w:highlight w:val="none"/>
              </w:rPr>
              <w:t>采购人书面澄清</w:t>
            </w:r>
          </w:p>
          <w:p w14:paraId="7EC691F5">
            <w:pPr>
              <w:jc w:val="center"/>
              <w:rPr>
                <w:color w:val="0000FF"/>
                <w:kern w:val="0"/>
              </w:rPr>
            </w:pPr>
            <w:r>
              <w:rPr>
                <w:rFonts w:hint="eastAsia" w:ascii="宋体" w:hAnsi="宋体" w:eastAsia="宋体" w:cs="宋体"/>
                <w:highlight w:val="none"/>
              </w:rPr>
              <w:t>的时间</w:t>
            </w:r>
            <w:r>
              <w:rPr>
                <w:rFonts w:hint="eastAsia" w:ascii="宋体" w:hAnsi="宋体" w:eastAsia="宋体" w:cs="宋体"/>
                <w:highlight w:val="none"/>
                <w:lang w:val="en-US" w:eastAsia="zh-CN"/>
              </w:rPr>
              <w:t>及形式</w:t>
            </w:r>
          </w:p>
        </w:tc>
        <w:tc>
          <w:tcPr>
            <w:tcW w:w="7022" w:type="dxa"/>
            <w:vAlign w:val="center"/>
          </w:tcPr>
          <w:p w14:paraId="2299BAED">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时间：提交首次响应文件截止时间5日前</w:t>
            </w:r>
          </w:p>
          <w:p w14:paraId="764D7510">
            <w:pPr>
              <w:rPr>
                <w:color w:val="0000FF"/>
              </w:rPr>
            </w:pPr>
            <w:r>
              <w:rPr>
                <w:rFonts w:hint="eastAsia" w:ascii="宋体" w:hAnsi="宋体" w:eastAsia="宋体" w:cs="宋体"/>
                <w:szCs w:val="21"/>
                <w:highlight w:val="none"/>
                <w:lang w:val="en-US" w:eastAsia="zh-CN"/>
              </w:rPr>
              <w:t>形式：</w:t>
            </w:r>
            <w:r>
              <w:rPr>
                <w:rFonts w:hint="eastAsia" w:ascii="宋体" w:hAnsi="宋体" w:eastAsia="宋体" w:cs="宋体"/>
                <w:szCs w:val="21"/>
                <w:highlight w:val="none"/>
                <w:lang w:val="zh-CN" w:eastAsia="zh-CN"/>
              </w:rPr>
              <w:t>通过</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政采云</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平台</w:t>
            </w:r>
            <w:r>
              <w:rPr>
                <w:rFonts w:hint="eastAsia" w:ascii="宋体" w:hAnsi="宋体" w:eastAsia="宋体" w:cs="宋体"/>
                <w:szCs w:val="21"/>
                <w:highlight w:val="none"/>
                <w:lang w:val="en-US" w:eastAsia="zh-CN"/>
              </w:rPr>
              <w:t>（http：//www.zcygov.cn）</w:t>
            </w:r>
            <w:r>
              <w:rPr>
                <w:rFonts w:hint="eastAsia" w:ascii="宋体" w:hAnsi="宋体" w:eastAsia="宋体" w:cs="宋体"/>
                <w:szCs w:val="21"/>
                <w:highlight w:val="none"/>
                <w:lang w:val="zh-CN" w:eastAsia="zh-CN"/>
              </w:rPr>
              <w:t>发出</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由</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自行下载</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应在</w:t>
            </w:r>
            <w:r>
              <w:rPr>
                <w:rFonts w:hint="eastAsia" w:ascii="宋体" w:hAnsi="宋体" w:eastAsia="宋体" w:cs="宋体"/>
                <w:szCs w:val="21"/>
                <w:highlight w:val="none"/>
                <w:lang w:val="en-US" w:eastAsia="zh-CN"/>
              </w:rPr>
              <w:t>响应文件</w:t>
            </w:r>
            <w:r>
              <w:rPr>
                <w:rFonts w:hint="eastAsia" w:ascii="宋体" w:hAnsi="宋体" w:eastAsia="宋体" w:cs="宋体"/>
                <w:szCs w:val="21"/>
                <w:highlight w:val="none"/>
                <w:lang w:val="zh-CN" w:eastAsia="zh-CN"/>
              </w:rPr>
              <w:t>截止</w:t>
            </w:r>
            <w:r>
              <w:rPr>
                <w:rFonts w:hint="eastAsia" w:ascii="宋体" w:hAnsi="宋体" w:eastAsia="宋体" w:cs="宋体"/>
                <w:szCs w:val="21"/>
                <w:highlight w:val="none"/>
                <w:lang w:val="en-US" w:eastAsia="zh-CN"/>
              </w:rPr>
              <w:t>时间前</w:t>
            </w:r>
            <w:r>
              <w:rPr>
                <w:rFonts w:hint="eastAsia" w:ascii="宋体" w:hAnsi="宋体" w:eastAsia="宋体" w:cs="宋体"/>
                <w:szCs w:val="21"/>
                <w:highlight w:val="none"/>
                <w:lang w:val="zh-CN" w:eastAsia="zh-CN"/>
              </w:rPr>
              <w:t>不定时浏览上述平台</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否则出现一切后果由</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自负。</w:t>
            </w:r>
          </w:p>
        </w:tc>
      </w:tr>
      <w:tr w14:paraId="4741B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1AEAAC09">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1.11</w:t>
            </w:r>
          </w:p>
        </w:tc>
        <w:tc>
          <w:tcPr>
            <w:tcW w:w="1945" w:type="dxa"/>
            <w:vAlign w:val="center"/>
          </w:tcPr>
          <w:p w14:paraId="1C558066">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分包</w:t>
            </w:r>
          </w:p>
        </w:tc>
        <w:tc>
          <w:tcPr>
            <w:tcW w:w="7022" w:type="dxa"/>
            <w:vAlign w:val="center"/>
          </w:tcPr>
          <w:p w14:paraId="2ADCC4E0">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不允许</w:t>
            </w:r>
          </w:p>
        </w:tc>
      </w:tr>
      <w:tr w14:paraId="087657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982" w:type="dxa"/>
            <w:vAlign w:val="center"/>
          </w:tcPr>
          <w:p w14:paraId="4E87B5F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1.12</w:t>
            </w:r>
          </w:p>
        </w:tc>
        <w:tc>
          <w:tcPr>
            <w:tcW w:w="1945" w:type="dxa"/>
            <w:vAlign w:val="center"/>
          </w:tcPr>
          <w:p w14:paraId="66235C68">
            <w:pPr>
              <w:jc w:val="center"/>
              <w:rPr>
                <w:color w:val="000000" w:themeColor="text1"/>
                <w:kern w:val="0"/>
                <w14:textFill>
                  <w14:solidFill>
                    <w14:schemeClr w14:val="tx1"/>
                  </w14:solidFill>
                </w14:textFill>
              </w:rPr>
            </w:pPr>
            <w:bookmarkStart w:id="39" w:name="_Toc195921781"/>
            <w:bookmarkStart w:id="40" w:name="_Toc469921593"/>
            <w:bookmarkStart w:id="41" w:name="_Toc421017838"/>
            <w:r>
              <w:rPr>
                <w:rFonts w:hint="eastAsia"/>
                <w:color w:val="000000" w:themeColor="text1"/>
                <w:kern w:val="0"/>
                <w14:textFill>
                  <w14:solidFill>
                    <w14:schemeClr w14:val="tx1"/>
                  </w14:solidFill>
                </w14:textFill>
              </w:rPr>
              <w:t>偏离</w:t>
            </w:r>
            <w:bookmarkEnd w:id="39"/>
            <w:bookmarkEnd w:id="40"/>
            <w:bookmarkEnd w:id="41"/>
          </w:p>
        </w:tc>
        <w:tc>
          <w:tcPr>
            <w:tcW w:w="7022" w:type="dxa"/>
            <w:vAlign w:val="center"/>
          </w:tcPr>
          <w:p w14:paraId="40B26964">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不允许</w:t>
            </w:r>
          </w:p>
        </w:tc>
      </w:tr>
      <w:tr w14:paraId="0B2EC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9" w:hRule="atLeast"/>
          <w:jc w:val="center"/>
        </w:trPr>
        <w:tc>
          <w:tcPr>
            <w:tcW w:w="982" w:type="dxa"/>
            <w:vAlign w:val="center"/>
          </w:tcPr>
          <w:p w14:paraId="35F706BC">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2.1</w:t>
            </w:r>
          </w:p>
        </w:tc>
        <w:tc>
          <w:tcPr>
            <w:tcW w:w="1945" w:type="dxa"/>
            <w:vAlign w:val="center"/>
          </w:tcPr>
          <w:p w14:paraId="3CDE69A7">
            <w:pPr>
              <w:jc w:val="center"/>
              <w:rPr>
                <w:kern w:val="0"/>
              </w:rPr>
            </w:pPr>
            <w:bookmarkStart w:id="42" w:name="_Toc195921782"/>
            <w:bookmarkStart w:id="43" w:name="_Toc421017839"/>
            <w:bookmarkStart w:id="44" w:name="_Toc469921594"/>
            <w:r>
              <w:rPr>
                <w:rFonts w:hint="eastAsia"/>
                <w:kern w:val="0"/>
              </w:rPr>
              <w:t>构成竞争性磋商文件的其他材料</w:t>
            </w:r>
            <w:bookmarkEnd w:id="42"/>
            <w:bookmarkEnd w:id="43"/>
            <w:bookmarkEnd w:id="44"/>
          </w:p>
        </w:tc>
        <w:tc>
          <w:tcPr>
            <w:tcW w:w="7022" w:type="dxa"/>
            <w:vAlign w:val="center"/>
          </w:tcPr>
          <w:p w14:paraId="1226BE7E">
            <w:pPr>
              <w:autoSpaceDE w:val="0"/>
              <w:autoSpaceDN w:val="0"/>
              <w:adjustRightInd w:val="0"/>
              <w:snapToGrid w:val="0"/>
              <w:rPr>
                <w:rFonts w:ascii="宋体" w:hAnsi="宋体" w:cs="TimesNewRomanPSMT"/>
                <w:kern w:val="0"/>
                <w:szCs w:val="21"/>
              </w:rPr>
            </w:pPr>
            <w:r>
              <w:rPr>
                <w:rFonts w:hint="eastAsia" w:ascii="宋体" w:hAnsi="宋体" w:cs="TimesNewRomanPSMT"/>
                <w:kern w:val="0"/>
                <w:szCs w:val="21"/>
              </w:rPr>
              <w:t>工</w:t>
            </w:r>
            <w:r>
              <w:rPr>
                <w:rFonts w:ascii="宋体" w:hAnsi="宋体" w:cs="TimesNewRomanPSMT"/>
                <w:kern w:val="0"/>
                <w:szCs w:val="21"/>
              </w:rPr>
              <w:t>程</w:t>
            </w:r>
            <w:r>
              <w:rPr>
                <w:rFonts w:hint="eastAsia" w:ascii="宋体" w:hAnsi="宋体" w:cs="TimesNewRomanPSMT"/>
                <w:kern w:val="0"/>
                <w:szCs w:val="21"/>
              </w:rPr>
              <w:t>量</w:t>
            </w:r>
            <w:r>
              <w:rPr>
                <w:rFonts w:ascii="宋体" w:hAnsi="宋体" w:cs="TimesNewRomanPSMT"/>
                <w:kern w:val="0"/>
                <w:szCs w:val="21"/>
              </w:rPr>
              <w:t>清单</w:t>
            </w:r>
            <w:r>
              <w:rPr>
                <w:rFonts w:hint="eastAsia" w:ascii="宋体" w:hAnsi="宋体" w:cs="TimesNewRomanPSMT"/>
                <w:kern w:val="0"/>
                <w:szCs w:val="21"/>
              </w:rPr>
              <w:t>、施工图设计</w:t>
            </w:r>
          </w:p>
        </w:tc>
      </w:tr>
      <w:tr w14:paraId="089BD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jc w:val="center"/>
        </w:trPr>
        <w:tc>
          <w:tcPr>
            <w:tcW w:w="982" w:type="dxa"/>
            <w:vAlign w:val="center"/>
          </w:tcPr>
          <w:p w14:paraId="1407E34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2.2.1</w:t>
            </w:r>
          </w:p>
        </w:tc>
        <w:tc>
          <w:tcPr>
            <w:tcW w:w="1945" w:type="dxa"/>
            <w:vAlign w:val="center"/>
          </w:tcPr>
          <w:p w14:paraId="02CB4A60">
            <w:pPr>
              <w:jc w:val="center"/>
              <w:rPr>
                <w:color w:val="000000" w:themeColor="text1"/>
                <w:kern w:val="0"/>
                <w14:textFill>
                  <w14:solidFill>
                    <w14:schemeClr w14:val="tx1"/>
                  </w14:solidFill>
                </w14:textFill>
              </w:rPr>
            </w:pPr>
            <w:r>
              <w:rPr>
                <w:rFonts w:hint="eastAsia" w:ascii="宋体" w:hAnsi="宋体" w:eastAsia="宋体" w:cs="宋体"/>
                <w:highlight w:val="none"/>
                <w:lang w:val="en-US" w:eastAsia="zh-CN"/>
              </w:rPr>
              <w:t>供应商</w:t>
            </w:r>
            <w:r>
              <w:rPr>
                <w:rFonts w:hint="eastAsia" w:ascii="宋体" w:hAnsi="宋体" w:eastAsia="宋体" w:cs="宋体"/>
                <w:highlight w:val="none"/>
              </w:rPr>
              <w:t>要求澄清磋商文件的截止时间</w:t>
            </w:r>
          </w:p>
        </w:tc>
        <w:tc>
          <w:tcPr>
            <w:tcW w:w="7022" w:type="dxa"/>
            <w:vAlign w:val="center"/>
          </w:tcPr>
          <w:p w14:paraId="025B5BA4">
            <w:pPr>
              <w:rPr>
                <w:color w:val="000000" w:themeColor="text1"/>
                <w14:textFill>
                  <w14:solidFill>
                    <w14:schemeClr w14:val="tx1"/>
                  </w14:solidFill>
                </w14:textFill>
              </w:rPr>
            </w:pPr>
            <w:r>
              <w:rPr>
                <w:rFonts w:hint="eastAsia" w:ascii="宋体" w:hAnsi="宋体" w:eastAsia="宋体" w:cs="宋体"/>
                <w:szCs w:val="21"/>
                <w:highlight w:val="none"/>
              </w:rPr>
              <w:t>提交首次响应文件截止时间5日前</w:t>
            </w:r>
          </w:p>
        </w:tc>
      </w:tr>
      <w:tr w14:paraId="53F20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9" w:hRule="atLeast"/>
          <w:jc w:val="center"/>
        </w:trPr>
        <w:tc>
          <w:tcPr>
            <w:tcW w:w="982" w:type="dxa"/>
            <w:vAlign w:val="center"/>
          </w:tcPr>
          <w:p w14:paraId="620F818A">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2.2.</w:t>
            </w:r>
            <w:r>
              <w:rPr>
                <w:rFonts w:hint="eastAsia" w:ascii="宋体" w:hAnsi="宋体" w:cs="TimesNewRomanPSMT"/>
                <w:color w:val="000000" w:themeColor="text1"/>
                <w:kern w:val="0"/>
                <w:szCs w:val="21"/>
                <w14:textFill>
                  <w14:solidFill>
                    <w14:schemeClr w14:val="tx1"/>
                  </w14:solidFill>
                </w14:textFill>
              </w:rPr>
              <w:t>2</w:t>
            </w:r>
          </w:p>
        </w:tc>
        <w:tc>
          <w:tcPr>
            <w:tcW w:w="1945" w:type="dxa"/>
            <w:vAlign w:val="center"/>
          </w:tcPr>
          <w:p w14:paraId="2FFE3CCC">
            <w:pPr>
              <w:jc w:val="center"/>
              <w:rPr>
                <w:color w:val="000000" w:themeColor="text1"/>
                <w:kern w:val="0"/>
                <w14:textFill>
                  <w14:solidFill>
                    <w14:schemeClr w14:val="tx1"/>
                  </w14:solidFill>
                </w14:textFill>
              </w:rPr>
            </w:pPr>
            <w:r>
              <w:rPr>
                <w:rFonts w:hint="eastAsia" w:ascii="宋体" w:hAnsi="宋体" w:eastAsia="宋体" w:cs="宋体"/>
                <w:szCs w:val="21"/>
                <w:highlight w:val="none"/>
              </w:rPr>
              <w:t>响应文件递交截止时间</w:t>
            </w:r>
          </w:p>
        </w:tc>
        <w:tc>
          <w:tcPr>
            <w:tcW w:w="7022" w:type="dxa"/>
            <w:vAlign w:val="center"/>
          </w:tcPr>
          <w:p w14:paraId="6F886979">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2025年0</w:t>
            </w:r>
            <w:r>
              <w:rPr>
                <w:rFonts w:hint="eastAsia" w:ascii="宋体" w:hAnsi="宋体"/>
                <w:color w:val="000000" w:themeColor="text1"/>
                <w:szCs w:val="21"/>
                <w:lang w:val="en-US" w:eastAsia="zh-CN"/>
                <w14:textFill>
                  <w14:solidFill>
                    <w14:schemeClr w14:val="tx1"/>
                  </w14:solidFill>
                </w14:textFill>
              </w:rPr>
              <w:t>5</w:t>
            </w:r>
            <w:r>
              <w:rPr>
                <w:rFonts w:hint="eastAsia" w:ascii="宋体" w:hAnsi="宋体"/>
                <w:color w:val="000000" w:themeColor="text1"/>
                <w:szCs w:val="21"/>
                <w:lang w:eastAsia="zh-CN"/>
                <w14:textFill>
                  <w14:solidFill>
                    <w14:schemeClr w14:val="tx1"/>
                  </w14:solidFill>
                </w14:textFill>
              </w:rPr>
              <w:t>月</w:t>
            </w:r>
            <w:r>
              <w:rPr>
                <w:rFonts w:hint="eastAsia" w:ascii="宋体" w:hAnsi="宋体"/>
                <w:color w:val="000000" w:themeColor="text1"/>
                <w:szCs w:val="21"/>
                <w:lang w:val="en-US" w:eastAsia="zh-CN"/>
                <w14:textFill>
                  <w14:solidFill>
                    <w14:schemeClr w14:val="tx1"/>
                  </w14:solidFill>
                </w14:textFill>
              </w:rPr>
              <w:t>06</w:t>
            </w:r>
            <w:r>
              <w:rPr>
                <w:rFonts w:hint="eastAsia" w:ascii="宋体" w:hAnsi="宋体"/>
                <w:color w:val="000000" w:themeColor="text1"/>
                <w:szCs w:val="21"/>
                <w:lang w:eastAsia="zh-CN"/>
                <w14:textFill>
                  <w14:solidFill>
                    <w14:schemeClr w14:val="tx1"/>
                  </w14:solidFill>
                </w14:textFill>
              </w:rPr>
              <w:t>日</w:t>
            </w:r>
            <w:r>
              <w:rPr>
                <w:rFonts w:hint="eastAsia" w:ascii="宋体" w:hAnsi="宋体"/>
                <w:color w:val="000000" w:themeColor="text1"/>
                <w:szCs w:val="21"/>
                <w14:textFill>
                  <w14:solidFill>
                    <w14:schemeClr w14:val="tx1"/>
                  </w14:solidFill>
                </w14:textFill>
              </w:rPr>
              <w:t>08时30分</w:t>
            </w:r>
          </w:p>
        </w:tc>
      </w:tr>
      <w:tr w14:paraId="107839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jc w:val="center"/>
        </w:trPr>
        <w:tc>
          <w:tcPr>
            <w:tcW w:w="982" w:type="dxa"/>
            <w:vAlign w:val="center"/>
          </w:tcPr>
          <w:p w14:paraId="20BD5514">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2.2.</w:t>
            </w:r>
            <w:r>
              <w:rPr>
                <w:rFonts w:hint="eastAsia" w:ascii="宋体" w:hAnsi="宋体" w:cs="TimesNewRomanPSMT"/>
                <w:color w:val="000000" w:themeColor="text1"/>
                <w:kern w:val="0"/>
                <w:szCs w:val="21"/>
                <w14:textFill>
                  <w14:solidFill>
                    <w14:schemeClr w14:val="tx1"/>
                  </w14:solidFill>
                </w14:textFill>
              </w:rPr>
              <w:t>3</w:t>
            </w:r>
          </w:p>
        </w:tc>
        <w:tc>
          <w:tcPr>
            <w:tcW w:w="1945" w:type="dxa"/>
            <w:vAlign w:val="center"/>
          </w:tcPr>
          <w:p w14:paraId="133D39FD">
            <w:pPr>
              <w:jc w:val="center"/>
              <w:rPr>
                <w:color w:val="000000" w:themeColor="text1"/>
                <w:kern w:val="0"/>
                <w14:textFill>
                  <w14:solidFill>
                    <w14:schemeClr w14:val="tx1"/>
                  </w14:solidFill>
                </w14:textFill>
              </w:rPr>
            </w:pPr>
            <w:r>
              <w:rPr>
                <w:rFonts w:hint="eastAsia" w:ascii="宋体" w:hAnsi="宋体" w:eastAsia="宋体" w:cs="宋体"/>
                <w:highlight w:val="none"/>
                <w:lang w:val="en-US" w:eastAsia="zh-CN"/>
              </w:rPr>
              <w:t>供应商</w:t>
            </w:r>
            <w:r>
              <w:rPr>
                <w:rFonts w:hint="eastAsia" w:ascii="宋体" w:hAnsi="宋体" w:eastAsia="宋体" w:cs="宋体"/>
                <w:highlight w:val="none"/>
              </w:rPr>
              <w:t>确认收到磋商文件澄清的时间</w:t>
            </w:r>
          </w:p>
        </w:tc>
        <w:tc>
          <w:tcPr>
            <w:tcW w:w="7022" w:type="dxa"/>
            <w:vAlign w:val="center"/>
          </w:tcPr>
          <w:p w14:paraId="3EA66A4A">
            <w:pPr>
              <w:rPr>
                <w:rFonts w:ascii="宋体" w:hAnsi="宋体"/>
                <w:color w:val="000000" w:themeColor="text1"/>
                <w:szCs w:val="21"/>
                <w:u w:val="single"/>
                <w14:textFill>
                  <w14:solidFill>
                    <w14:schemeClr w14:val="tx1"/>
                  </w14:solidFill>
                </w14:textFill>
              </w:rPr>
            </w:pPr>
            <w:r>
              <w:rPr>
                <w:rFonts w:hint="eastAsia" w:ascii="宋体" w:hAnsi="宋体" w:eastAsia="宋体" w:cs="宋体"/>
                <w:szCs w:val="21"/>
                <w:highlight w:val="none"/>
              </w:rPr>
              <w:t>在收到相应澄清文件后 24 小时内</w:t>
            </w:r>
          </w:p>
        </w:tc>
      </w:tr>
      <w:tr w14:paraId="1326D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982" w:type="dxa"/>
            <w:vAlign w:val="center"/>
          </w:tcPr>
          <w:p w14:paraId="462AC9EB">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2.3.</w:t>
            </w:r>
            <w:r>
              <w:rPr>
                <w:rFonts w:hint="eastAsia" w:ascii="宋体" w:hAnsi="宋体" w:cs="TimesNewRomanPSMT"/>
                <w:color w:val="000000" w:themeColor="text1"/>
                <w:kern w:val="0"/>
                <w:szCs w:val="21"/>
                <w14:textFill>
                  <w14:solidFill>
                    <w14:schemeClr w14:val="tx1"/>
                  </w14:solidFill>
                </w14:textFill>
              </w:rPr>
              <w:t>2</w:t>
            </w:r>
          </w:p>
        </w:tc>
        <w:tc>
          <w:tcPr>
            <w:tcW w:w="1945" w:type="dxa"/>
            <w:vAlign w:val="center"/>
          </w:tcPr>
          <w:p w14:paraId="474EF0C7">
            <w:pPr>
              <w:jc w:val="center"/>
              <w:rPr>
                <w:color w:val="000000" w:themeColor="text1"/>
                <w:kern w:val="0"/>
                <w14:textFill>
                  <w14:solidFill>
                    <w14:schemeClr w14:val="tx1"/>
                  </w14:solidFill>
                </w14:textFill>
              </w:rPr>
            </w:pPr>
            <w:r>
              <w:rPr>
                <w:rFonts w:hint="eastAsia" w:ascii="宋体" w:hAnsi="宋体" w:eastAsia="宋体" w:cs="宋体"/>
                <w:highlight w:val="none"/>
                <w:lang w:val="en-US" w:eastAsia="zh-CN"/>
              </w:rPr>
              <w:t>供应商</w:t>
            </w:r>
            <w:r>
              <w:rPr>
                <w:rFonts w:hint="eastAsia" w:ascii="宋体" w:hAnsi="宋体" w:eastAsia="宋体" w:cs="宋体"/>
                <w:highlight w:val="none"/>
              </w:rPr>
              <w:t>确认收到磋商文件修改的时间</w:t>
            </w:r>
          </w:p>
        </w:tc>
        <w:tc>
          <w:tcPr>
            <w:tcW w:w="7022" w:type="dxa"/>
            <w:vAlign w:val="center"/>
          </w:tcPr>
          <w:p w14:paraId="09A987DF">
            <w:pPr>
              <w:rPr>
                <w:rFonts w:ascii="宋体" w:hAnsi="宋体"/>
                <w:color w:val="000000" w:themeColor="text1"/>
                <w:szCs w:val="21"/>
                <w14:textFill>
                  <w14:solidFill>
                    <w14:schemeClr w14:val="tx1"/>
                  </w14:solidFill>
                </w14:textFill>
              </w:rPr>
            </w:pPr>
            <w:r>
              <w:rPr>
                <w:rFonts w:hint="eastAsia" w:ascii="宋体" w:hAnsi="宋体" w:eastAsia="宋体" w:cs="宋体"/>
                <w:szCs w:val="21"/>
                <w:highlight w:val="none"/>
              </w:rPr>
              <w:t>在收到相应修改文件后 24 小时内</w:t>
            </w:r>
          </w:p>
        </w:tc>
      </w:tr>
      <w:tr w14:paraId="4D48F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982" w:type="dxa"/>
            <w:vAlign w:val="center"/>
          </w:tcPr>
          <w:p w14:paraId="0800EB07">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3.1.1</w:t>
            </w:r>
          </w:p>
        </w:tc>
        <w:tc>
          <w:tcPr>
            <w:tcW w:w="1945" w:type="dxa"/>
            <w:vAlign w:val="center"/>
          </w:tcPr>
          <w:p w14:paraId="4E8E4CA6">
            <w:pPr>
              <w:jc w:val="center"/>
              <w:rPr>
                <w:color w:val="000000" w:themeColor="text1"/>
                <w:kern w:val="0"/>
                <w14:textFill>
                  <w14:solidFill>
                    <w14:schemeClr w14:val="tx1"/>
                  </w14:solidFill>
                </w14:textFill>
              </w:rPr>
            </w:pPr>
            <w:bookmarkStart w:id="45" w:name="_Toc195921787"/>
            <w:bookmarkStart w:id="46" w:name="_Toc469921599"/>
            <w:bookmarkStart w:id="47" w:name="_Toc421017844"/>
            <w:r>
              <w:rPr>
                <w:rFonts w:hint="eastAsia"/>
                <w:color w:val="000000" w:themeColor="text1"/>
                <w:kern w:val="0"/>
                <w14:textFill>
                  <w14:solidFill>
                    <w14:schemeClr w14:val="tx1"/>
                  </w14:solidFill>
                </w14:textFill>
              </w:rPr>
              <w:t>构成响应文件的其他材料</w:t>
            </w:r>
            <w:bookmarkEnd w:id="45"/>
            <w:bookmarkEnd w:id="46"/>
            <w:bookmarkEnd w:id="47"/>
          </w:p>
        </w:tc>
        <w:tc>
          <w:tcPr>
            <w:tcW w:w="7022" w:type="dxa"/>
            <w:vAlign w:val="center"/>
          </w:tcPr>
          <w:p w14:paraId="07AB9476">
            <w:pPr>
              <w:rPr>
                <w:rFonts w:ascii="宋体" w:hAnsi="宋体" w:cs="TimesNewRomanPSMT"/>
                <w:color w:val="000000" w:themeColor="text1"/>
                <w:kern w:val="0"/>
                <w:szCs w:val="21"/>
                <w14:textFill>
                  <w14:solidFill>
                    <w14:schemeClr w14:val="tx1"/>
                  </w14:solidFill>
                </w14:textFill>
              </w:rPr>
            </w:pPr>
            <w:r>
              <w:rPr>
                <w:rFonts w:hint="eastAsia" w:ascii="宋体" w:hAnsi="宋体" w:eastAsia="宋体" w:cs="宋体"/>
                <w:szCs w:val="21"/>
                <w:highlight w:val="none"/>
              </w:rPr>
              <w:t>评标办法及磋商文件中要求提供的证明材料。</w:t>
            </w:r>
          </w:p>
        </w:tc>
      </w:tr>
      <w:tr w14:paraId="5497B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982" w:type="dxa"/>
            <w:vAlign w:val="center"/>
          </w:tcPr>
          <w:p w14:paraId="79F20A40">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3.3.1</w:t>
            </w:r>
          </w:p>
        </w:tc>
        <w:tc>
          <w:tcPr>
            <w:tcW w:w="1945" w:type="dxa"/>
            <w:vAlign w:val="center"/>
          </w:tcPr>
          <w:p w14:paraId="2B742FF6">
            <w:pPr>
              <w:jc w:val="center"/>
              <w:rPr>
                <w:color w:val="000000" w:themeColor="text1"/>
                <w:kern w:val="0"/>
                <w:highlight w:val="none"/>
                <w14:textFill>
                  <w14:solidFill>
                    <w14:schemeClr w14:val="tx1"/>
                  </w14:solidFill>
                </w14:textFill>
              </w:rPr>
            </w:pPr>
            <w:bookmarkStart w:id="48" w:name="_Toc469921600"/>
            <w:bookmarkStart w:id="49" w:name="_Toc195921788"/>
            <w:bookmarkStart w:id="50" w:name="_Toc421017845"/>
            <w:r>
              <w:rPr>
                <w:rFonts w:hint="eastAsia"/>
                <w:color w:val="000000" w:themeColor="text1"/>
                <w:kern w:val="0"/>
                <w:highlight w:val="none"/>
                <w:lang w:val="en-US" w:eastAsia="zh-CN"/>
                <w14:textFill>
                  <w14:solidFill>
                    <w14:schemeClr w14:val="tx1"/>
                  </w14:solidFill>
                </w14:textFill>
              </w:rPr>
              <w:t>磋商</w:t>
            </w:r>
            <w:r>
              <w:rPr>
                <w:rFonts w:hint="eastAsia"/>
                <w:color w:val="000000" w:themeColor="text1"/>
                <w:kern w:val="0"/>
                <w:highlight w:val="none"/>
                <w14:textFill>
                  <w14:solidFill>
                    <w14:schemeClr w14:val="tx1"/>
                  </w14:solidFill>
                </w14:textFill>
              </w:rPr>
              <w:t>有效期</w:t>
            </w:r>
            <w:bookmarkEnd w:id="48"/>
            <w:bookmarkEnd w:id="49"/>
            <w:bookmarkEnd w:id="50"/>
          </w:p>
        </w:tc>
        <w:tc>
          <w:tcPr>
            <w:tcW w:w="7022" w:type="dxa"/>
            <w:vAlign w:val="center"/>
          </w:tcPr>
          <w:p w14:paraId="39F52F0E">
            <w:pPr>
              <w:autoSpaceDE w:val="0"/>
              <w:autoSpaceDN w:val="0"/>
              <w:adjustRightInd w:val="0"/>
              <w:snapToGrid w:val="0"/>
              <w:rPr>
                <w:rFonts w:ascii="宋体" w:hAnsi="宋体" w:cs="TimesNewRomanPSMT"/>
                <w:color w:val="000000" w:themeColor="text1"/>
                <w:kern w:val="0"/>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0天</w:t>
            </w:r>
          </w:p>
        </w:tc>
      </w:tr>
      <w:tr w14:paraId="2B5C9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jc w:val="center"/>
        </w:trPr>
        <w:tc>
          <w:tcPr>
            <w:tcW w:w="982" w:type="dxa"/>
            <w:vAlign w:val="center"/>
          </w:tcPr>
          <w:p w14:paraId="54215255">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3.4.1</w:t>
            </w:r>
          </w:p>
        </w:tc>
        <w:tc>
          <w:tcPr>
            <w:tcW w:w="1945" w:type="dxa"/>
            <w:vAlign w:val="center"/>
          </w:tcPr>
          <w:p w14:paraId="7104DEEA">
            <w:pPr>
              <w:jc w:val="center"/>
              <w:rPr>
                <w:kern w:val="0"/>
              </w:rPr>
            </w:pPr>
            <w:r>
              <w:rPr>
                <w:rFonts w:hint="eastAsia"/>
                <w:kern w:val="0"/>
              </w:rPr>
              <w:t>磋商保证金</w:t>
            </w:r>
          </w:p>
        </w:tc>
        <w:tc>
          <w:tcPr>
            <w:tcW w:w="7022" w:type="dxa"/>
            <w:vAlign w:val="center"/>
          </w:tcPr>
          <w:p w14:paraId="4359092C">
            <w:pPr>
              <w:snapToGrid w:val="0"/>
              <w:rPr>
                <w:rFonts w:hint="eastAsia" w:ascii="宋体" w:hAnsi="宋体" w:eastAsia="宋体" w:cs="宋体"/>
                <w:spacing w:val="6"/>
                <w:kern w:val="18"/>
                <w:lang w:val="en-US" w:eastAsia="zh-CN"/>
              </w:rPr>
            </w:pPr>
            <w:r>
              <w:rPr>
                <w:rFonts w:hint="eastAsia"/>
                <w:kern w:val="0"/>
                <w:lang w:val="en-US" w:eastAsia="zh-CN"/>
              </w:rPr>
              <w:t>肆仟元</w:t>
            </w:r>
            <w:r>
              <w:rPr>
                <w:rFonts w:hint="eastAsia"/>
                <w:kern w:val="0"/>
              </w:rPr>
              <w:t>整</w:t>
            </w:r>
          </w:p>
        </w:tc>
      </w:tr>
      <w:tr w14:paraId="4B35B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jc w:val="center"/>
        </w:trPr>
        <w:tc>
          <w:tcPr>
            <w:tcW w:w="982" w:type="dxa"/>
            <w:vAlign w:val="center"/>
          </w:tcPr>
          <w:p w14:paraId="239C030F">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3.5.2</w:t>
            </w:r>
          </w:p>
        </w:tc>
        <w:tc>
          <w:tcPr>
            <w:tcW w:w="1945" w:type="dxa"/>
            <w:vAlign w:val="center"/>
          </w:tcPr>
          <w:p w14:paraId="5B87D738">
            <w:pPr>
              <w:jc w:val="center"/>
              <w:rPr>
                <w:color w:val="000000" w:themeColor="text1"/>
                <w:kern w:val="0"/>
                <w:highlight w:val="none"/>
                <w14:textFill>
                  <w14:solidFill>
                    <w14:schemeClr w14:val="tx1"/>
                  </w14:solidFill>
                </w14:textFill>
              </w:rPr>
            </w:pPr>
            <w:r>
              <w:rPr>
                <w:rFonts w:hint="eastAsia"/>
                <w:color w:val="000000" w:themeColor="text1"/>
                <w:kern w:val="0"/>
                <w:highlight w:val="none"/>
                <w14:textFill>
                  <w14:solidFill>
                    <w14:schemeClr w14:val="tx1"/>
                  </w14:solidFill>
                </w14:textFill>
              </w:rPr>
              <w:t>近年财务状况的年份要求</w:t>
            </w:r>
          </w:p>
        </w:tc>
        <w:tc>
          <w:tcPr>
            <w:tcW w:w="7022" w:type="dxa"/>
            <w:vAlign w:val="center"/>
          </w:tcPr>
          <w:p w14:paraId="0F37E228">
            <w:pPr>
              <w:ind w:left="105" w:leftChars="50"/>
              <w:rPr>
                <w:rFonts w:hint="default" w:ascii="宋体" w:hAnsi="宋体" w:eastAsia="宋体"/>
                <w:color w:val="000000" w:themeColor="text1"/>
                <w:szCs w:val="21"/>
                <w:highlight w:val="none"/>
                <w:lang w:val="en-US" w:eastAsia="zh-CN"/>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2021.2022.2023年</w:t>
            </w:r>
          </w:p>
        </w:tc>
      </w:tr>
      <w:tr w14:paraId="3A35C1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982" w:type="dxa"/>
            <w:shd w:val="clear" w:color="auto" w:fill="auto"/>
            <w:vAlign w:val="center"/>
          </w:tcPr>
          <w:p w14:paraId="15345D44">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3.5.3</w:t>
            </w:r>
          </w:p>
        </w:tc>
        <w:tc>
          <w:tcPr>
            <w:tcW w:w="1945" w:type="dxa"/>
            <w:shd w:val="clear" w:color="auto" w:fill="auto"/>
            <w:vAlign w:val="center"/>
          </w:tcPr>
          <w:p w14:paraId="1418B57C">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近年完成的类似项目的年份要求</w:t>
            </w:r>
          </w:p>
        </w:tc>
        <w:tc>
          <w:tcPr>
            <w:tcW w:w="7022" w:type="dxa"/>
            <w:shd w:val="clear" w:color="auto" w:fill="auto"/>
            <w:vAlign w:val="center"/>
          </w:tcPr>
          <w:p w14:paraId="0D850AE9">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202</w:t>
            </w:r>
            <w:r>
              <w:rPr>
                <w:rFonts w:hint="eastAsia" w:ascii="宋体" w:hAnsi="宋体"/>
                <w:color w:val="000000" w:themeColor="text1"/>
                <w:szCs w:val="21"/>
                <w:lang w:val="en-US" w:eastAsia="zh-CN"/>
                <w14:textFill>
                  <w14:solidFill>
                    <w14:schemeClr w14:val="tx1"/>
                  </w14:solidFill>
                </w14:textFill>
              </w:rPr>
              <w:t>2</w:t>
            </w:r>
            <w:r>
              <w:rPr>
                <w:rFonts w:hint="eastAsia" w:ascii="宋体" w:hAnsi="宋体"/>
                <w:color w:val="000000" w:themeColor="text1"/>
                <w:szCs w:val="21"/>
                <w14:textFill>
                  <w14:solidFill>
                    <w14:schemeClr w14:val="tx1"/>
                  </w14:solidFill>
                </w14:textFill>
              </w:rPr>
              <w:t>年至今</w:t>
            </w:r>
          </w:p>
        </w:tc>
      </w:tr>
      <w:tr w14:paraId="6270D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jc w:val="center"/>
        </w:trPr>
        <w:tc>
          <w:tcPr>
            <w:tcW w:w="982" w:type="dxa"/>
            <w:vAlign w:val="center"/>
          </w:tcPr>
          <w:p w14:paraId="482309CB">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3.5.5</w:t>
            </w:r>
          </w:p>
        </w:tc>
        <w:tc>
          <w:tcPr>
            <w:tcW w:w="1945" w:type="dxa"/>
            <w:vAlign w:val="center"/>
          </w:tcPr>
          <w:p w14:paraId="67E45CE2">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近年发生的诉讼及仲裁情况的年份要求</w:t>
            </w:r>
          </w:p>
        </w:tc>
        <w:tc>
          <w:tcPr>
            <w:tcW w:w="7022" w:type="dxa"/>
            <w:vAlign w:val="center"/>
          </w:tcPr>
          <w:p w14:paraId="0036820A">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202</w:t>
            </w:r>
            <w:r>
              <w:rPr>
                <w:rFonts w:hint="eastAsia" w:ascii="宋体" w:hAnsi="宋体"/>
                <w:color w:val="000000" w:themeColor="text1"/>
                <w:szCs w:val="21"/>
                <w:lang w:val="en-US" w:eastAsia="zh-CN"/>
                <w14:textFill>
                  <w14:solidFill>
                    <w14:schemeClr w14:val="tx1"/>
                  </w14:solidFill>
                </w14:textFill>
              </w:rPr>
              <w:t>2</w:t>
            </w:r>
            <w:r>
              <w:rPr>
                <w:rFonts w:hint="eastAsia" w:ascii="宋体" w:hAnsi="宋体"/>
                <w:color w:val="000000" w:themeColor="text1"/>
                <w:szCs w:val="21"/>
                <w14:textFill>
                  <w14:solidFill>
                    <w14:schemeClr w14:val="tx1"/>
                  </w14:solidFill>
                </w14:textFill>
              </w:rPr>
              <w:t>年至今</w:t>
            </w:r>
          </w:p>
        </w:tc>
      </w:tr>
      <w:tr w14:paraId="1A7639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982" w:type="dxa"/>
            <w:vAlign w:val="center"/>
          </w:tcPr>
          <w:p w14:paraId="2BE8723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3.6</w:t>
            </w:r>
          </w:p>
        </w:tc>
        <w:tc>
          <w:tcPr>
            <w:tcW w:w="1945" w:type="dxa"/>
            <w:vAlign w:val="center"/>
          </w:tcPr>
          <w:p w14:paraId="1FA9432D">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是否允许递交备选投标方案</w:t>
            </w:r>
          </w:p>
        </w:tc>
        <w:tc>
          <w:tcPr>
            <w:tcW w:w="7022" w:type="dxa"/>
            <w:vAlign w:val="center"/>
          </w:tcPr>
          <w:p w14:paraId="606C655F">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不允许</w:t>
            </w:r>
          </w:p>
        </w:tc>
      </w:tr>
      <w:tr w14:paraId="289C5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982" w:type="dxa"/>
            <w:vAlign w:val="center"/>
          </w:tcPr>
          <w:p w14:paraId="292B727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3.7.3</w:t>
            </w:r>
          </w:p>
        </w:tc>
        <w:tc>
          <w:tcPr>
            <w:tcW w:w="1945" w:type="dxa"/>
            <w:vAlign w:val="center"/>
          </w:tcPr>
          <w:p w14:paraId="4C60DA57">
            <w:pPr>
              <w:jc w:val="center"/>
              <w:rPr>
                <w:rFonts w:hint="eastAsia"/>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签字或盖章要求</w:t>
            </w:r>
          </w:p>
        </w:tc>
        <w:tc>
          <w:tcPr>
            <w:tcW w:w="7022" w:type="dxa"/>
            <w:vAlign w:val="center"/>
          </w:tcPr>
          <w:p w14:paraId="425044AD">
            <w:pPr>
              <w:jc w:val="both"/>
              <w:rPr>
                <w:rFonts w:hint="eastAsia"/>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签字或盖章，详见投标</w:t>
            </w:r>
            <w:r>
              <w:rPr>
                <w:rFonts w:hint="eastAsia"/>
                <w:color w:val="000000" w:themeColor="text1"/>
                <w:kern w:val="0"/>
                <w:lang w:val="en-US" w:eastAsia="zh-CN"/>
                <w14:textFill>
                  <w14:solidFill>
                    <w14:schemeClr w14:val="tx1"/>
                  </w14:solidFill>
                </w14:textFill>
              </w:rPr>
              <w:t>供应商</w:t>
            </w:r>
            <w:r>
              <w:rPr>
                <w:rFonts w:hint="eastAsia"/>
                <w:color w:val="000000" w:themeColor="text1"/>
                <w:kern w:val="0"/>
                <w14:textFill>
                  <w14:solidFill>
                    <w14:schemeClr w14:val="tx1"/>
                  </w14:solidFill>
                </w14:textFill>
              </w:rPr>
              <w:t>须知。</w:t>
            </w:r>
          </w:p>
        </w:tc>
      </w:tr>
      <w:tr w14:paraId="684255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982" w:type="dxa"/>
            <w:vAlign w:val="center"/>
          </w:tcPr>
          <w:p w14:paraId="60090FAF">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3.7.4</w:t>
            </w:r>
          </w:p>
        </w:tc>
        <w:tc>
          <w:tcPr>
            <w:tcW w:w="1945" w:type="dxa"/>
            <w:vAlign w:val="center"/>
          </w:tcPr>
          <w:p w14:paraId="42D33014">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响应文件副本份数</w:t>
            </w:r>
          </w:p>
        </w:tc>
        <w:tc>
          <w:tcPr>
            <w:tcW w:w="7022" w:type="dxa"/>
            <w:vAlign w:val="center"/>
          </w:tcPr>
          <w:p w14:paraId="64724CAA">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 xml:space="preserve">1.供应商在“政采云”平台（http：//www.zcygov.cn）上制作响应文件一份（此响应文件须上传至“政采云”平台）。 </w:t>
            </w:r>
          </w:p>
          <w:p w14:paraId="0CD9F8F6">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 xml:space="preserve">2.纸质版响应文件份数要求： </w:t>
            </w:r>
          </w:p>
          <w:p w14:paraId="3B6A0921">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zh-CN" w:eastAsia="en-US"/>
              </w:rPr>
              <w:t>（</w:t>
            </w:r>
            <w:r>
              <w:rPr>
                <w:rFonts w:hint="eastAsia" w:ascii="宋体" w:hAnsi="宋体" w:eastAsia="宋体" w:cs="宋体"/>
                <w:szCs w:val="21"/>
                <w:highlight w:val="none"/>
                <w:lang w:val="en-US" w:eastAsia="zh-CN"/>
              </w:rPr>
              <w:t>1</w:t>
            </w:r>
            <w:r>
              <w:rPr>
                <w:rFonts w:hint="eastAsia" w:ascii="宋体" w:hAnsi="宋体" w:eastAsia="宋体" w:cs="宋体"/>
                <w:szCs w:val="21"/>
                <w:highlight w:val="none"/>
                <w:lang w:val="zh-CN" w:eastAsia="en-US"/>
              </w:rPr>
              <w:t>）纸质版</w:t>
            </w:r>
            <w:r>
              <w:rPr>
                <w:rFonts w:hint="eastAsia" w:ascii="宋体" w:hAnsi="宋体" w:eastAsia="宋体" w:cs="宋体"/>
                <w:szCs w:val="21"/>
                <w:highlight w:val="none"/>
                <w:lang w:val="en-US" w:eastAsia="zh-CN"/>
              </w:rPr>
              <w:t>响应文件</w:t>
            </w:r>
            <w:r>
              <w:rPr>
                <w:rFonts w:hint="eastAsia" w:ascii="宋体" w:hAnsi="宋体" w:eastAsia="宋体" w:cs="宋体"/>
                <w:szCs w:val="21"/>
                <w:highlight w:val="none"/>
                <w:lang w:val="zh-CN" w:eastAsia="en-US"/>
              </w:rPr>
              <w:t>文件</w:t>
            </w:r>
            <w:r>
              <w:rPr>
                <w:rFonts w:hint="eastAsia" w:ascii="宋体" w:hAnsi="宋体" w:eastAsia="宋体" w:cs="宋体"/>
                <w:szCs w:val="21"/>
                <w:highlight w:val="none"/>
                <w:lang w:val="zh-CN" w:eastAsia="zh-CN"/>
              </w:rPr>
              <w:t>（纸质标书须为电子标书的打印版本）</w:t>
            </w:r>
            <w:r>
              <w:rPr>
                <w:rFonts w:hint="eastAsia" w:ascii="宋体" w:hAnsi="宋体" w:eastAsia="宋体" w:cs="宋体"/>
                <w:szCs w:val="21"/>
                <w:highlight w:val="none"/>
                <w:lang w:val="zh-CN" w:eastAsia="en-US"/>
              </w:rPr>
              <w:t>: 正本一份，副本二份</w:t>
            </w:r>
            <w:r>
              <w:rPr>
                <w:rFonts w:hint="eastAsia" w:ascii="宋体" w:hAnsi="宋体" w:eastAsia="宋体" w:cs="宋体"/>
                <w:szCs w:val="21"/>
                <w:highlight w:val="none"/>
                <w:lang w:val="zh-CN" w:eastAsia="zh-CN"/>
              </w:rPr>
              <w:t>，签字并</w:t>
            </w:r>
            <w:r>
              <w:rPr>
                <w:rFonts w:hint="eastAsia" w:ascii="宋体" w:hAnsi="宋体" w:eastAsia="宋体" w:cs="宋体"/>
                <w:szCs w:val="21"/>
                <w:highlight w:val="none"/>
                <w:lang w:val="zh-CN" w:eastAsia="en-US"/>
              </w:rPr>
              <w:t>加盖</w:t>
            </w:r>
            <w:r>
              <w:rPr>
                <w:rFonts w:hint="eastAsia" w:ascii="宋体" w:hAnsi="宋体" w:cs="宋体"/>
                <w:szCs w:val="21"/>
                <w:highlight w:val="none"/>
                <w:lang w:val="zh-CN" w:eastAsia="en-US"/>
              </w:rPr>
              <w:t>供应商</w:t>
            </w:r>
            <w:r>
              <w:rPr>
                <w:rFonts w:hint="eastAsia" w:ascii="宋体" w:hAnsi="宋体" w:eastAsia="宋体" w:cs="宋体"/>
                <w:szCs w:val="21"/>
                <w:highlight w:val="none"/>
                <w:lang w:val="zh-CN" w:eastAsia="en-US"/>
              </w:rPr>
              <w:t>单位公章。电子版投标文件: 电子版</w:t>
            </w:r>
            <w:r>
              <w:rPr>
                <w:rFonts w:hint="eastAsia" w:ascii="宋体" w:hAnsi="宋体" w:eastAsia="宋体" w:cs="宋体"/>
                <w:szCs w:val="21"/>
                <w:highlight w:val="none"/>
                <w:lang w:val="en-US" w:eastAsia="zh-CN"/>
              </w:rPr>
              <w:t>1</w:t>
            </w:r>
            <w:r>
              <w:rPr>
                <w:rFonts w:hint="eastAsia" w:ascii="宋体" w:hAnsi="宋体" w:eastAsia="宋体" w:cs="宋体"/>
                <w:szCs w:val="21"/>
                <w:highlight w:val="none"/>
                <w:lang w:val="zh-CN" w:eastAsia="en-US"/>
              </w:rPr>
              <w:t>套（须提交优盘或移动硬盘形式的存储设备，不接受光盘形式的存储设备），电子版须单独密封随</w:t>
            </w:r>
            <w:r>
              <w:rPr>
                <w:rFonts w:hint="eastAsia" w:ascii="宋体" w:hAnsi="宋体" w:eastAsia="宋体" w:cs="宋体"/>
                <w:szCs w:val="21"/>
                <w:highlight w:val="none"/>
                <w:lang w:val="en-US" w:eastAsia="zh-CN"/>
              </w:rPr>
              <w:t>响应</w:t>
            </w:r>
            <w:r>
              <w:rPr>
                <w:rFonts w:hint="eastAsia" w:ascii="宋体" w:hAnsi="宋体" w:eastAsia="宋体" w:cs="宋体"/>
                <w:szCs w:val="21"/>
                <w:highlight w:val="none"/>
                <w:lang w:val="zh-CN" w:eastAsia="en-US"/>
              </w:rPr>
              <w:t>文件一起递交，包封上须注明项目名称、公司名称及电子版字样</w:t>
            </w:r>
            <w:r>
              <w:rPr>
                <w:rFonts w:hint="eastAsia" w:ascii="宋体" w:hAnsi="宋体" w:eastAsia="宋体" w:cs="宋体"/>
                <w:szCs w:val="21"/>
                <w:highlight w:val="none"/>
                <w:lang w:val="en-US" w:eastAsia="zh-CN"/>
              </w:rPr>
              <w:t>。</w:t>
            </w:r>
          </w:p>
          <w:p w14:paraId="6EF1AA69">
            <w:pPr>
              <w:rPr>
                <w:rFonts w:ascii="宋体" w:hAnsi="宋体" w:cs="FangSong_GB2312"/>
                <w:color w:val="000000" w:themeColor="text1"/>
                <w:kern w:val="0"/>
                <w:szCs w:val="21"/>
                <w14:textFill>
                  <w14:solidFill>
                    <w14:schemeClr w14:val="tx1"/>
                  </w14:solidFill>
                </w14:textFill>
              </w:rPr>
            </w:pPr>
            <w:r>
              <w:rPr>
                <w:rFonts w:hint="eastAsia" w:ascii="宋体" w:hAnsi="宋体" w:eastAsia="宋体" w:cs="宋体"/>
                <w:szCs w:val="21"/>
                <w:highlight w:val="none"/>
                <w:lang w:val="en-US" w:eastAsia="zh-CN"/>
              </w:rPr>
              <w:t>纸质版响应文件为上传至“政采云”平台的电子打印版（打印后投标文件正本须盖章处仍须加盖公章，并编制目录页码）。</w:t>
            </w:r>
          </w:p>
        </w:tc>
      </w:tr>
      <w:tr w14:paraId="5399E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9" w:hRule="atLeast"/>
          <w:jc w:val="center"/>
        </w:trPr>
        <w:tc>
          <w:tcPr>
            <w:tcW w:w="982" w:type="dxa"/>
            <w:vAlign w:val="center"/>
          </w:tcPr>
          <w:p w14:paraId="34D1E24F">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3.7.5</w:t>
            </w:r>
          </w:p>
        </w:tc>
        <w:tc>
          <w:tcPr>
            <w:tcW w:w="1945" w:type="dxa"/>
            <w:vAlign w:val="center"/>
          </w:tcPr>
          <w:p w14:paraId="6A3D765B">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装订要求</w:t>
            </w:r>
          </w:p>
        </w:tc>
        <w:tc>
          <w:tcPr>
            <w:tcW w:w="7022" w:type="dxa"/>
            <w:vAlign w:val="center"/>
          </w:tcPr>
          <w:p w14:paraId="53E88E92">
            <w:pPr>
              <w:snapToGrid w:val="0"/>
              <w:rPr>
                <w:rFonts w:ascii="宋体" w:hAnsi="宋体" w:cs="FangSong_GB2312"/>
                <w:color w:val="000000" w:themeColor="text1"/>
                <w:kern w:val="0"/>
                <w:szCs w:val="21"/>
                <w14:textFill>
                  <w14:solidFill>
                    <w14:schemeClr w14:val="tx1"/>
                  </w14:solidFill>
                </w14:textFill>
              </w:rPr>
            </w:pPr>
            <w:r>
              <w:rPr>
                <w:rFonts w:hint="eastAsia" w:ascii="宋体" w:hAnsi="宋体" w:cs="宋体"/>
                <w:szCs w:val="21"/>
              </w:rPr>
              <w:t>左侧纵向装订成固定不可拆分的书册形式，建议胶装，</w:t>
            </w:r>
            <w:r>
              <w:rPr>
                <w:rFonts w:hint="eastAsia" w:ascii="宋体" w:hAnsi="宋体" w:cs="宋体"/>
                <w:szCs w:val="21"/>
                <w:lang w:eastAsia="zh-CN"/>
              </w:rPr>
              <w:t>供应商</w:t>
            </w:r>
            <w:r>
              <w:rPr>
                <w:rFonts w:hint="eastAsia" w:ascii="宋体" w:hAnsi="宋体" w:cs="宋体"/>
                <w:szCs w:val="21"/>
              </w:rPr>
              <w:t>自行决定是否分册装订。</w:t>
            </w:r>
          </w:p>
        </w:tc>
      </w:tr>
      <w:tr w14:paraId="59BBDD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9" w:hRule="atLeast"/>
          <w:jc w:val="center"/>
        </w:trPr>
        <w:tc>
          <w:tcPr>
            <w:tcW w:w="982" w:type="dxa"/>
            <w:vAlign w:val="center"/>
          </w:tcPr>
          <w:p w14:paraId="22743092">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4.1.2</w:t>
            </w:r>
          </w:p>
        </w:tc>
        <w:tc>
          <w:tcPr>
            <w:tcW w:w="1945" w:type="dxa"/>
            <w:vAlign w:val="center"/>
          </w:tcPr>
          <w:p w14:paraId="402454D7">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封套上写明</w:t>
            </w:r>
          </w:p>
        </w:tc>
        <w:tc>
          <w:tcPr>
            <w:tcW w:w="7022" w:type="dxa"/>
            <w:vAlign w:val="center"/>
          </w:tcPr>
          <w:p w14:paraId="665F1FF4">
            <w:pPr>
              <w:ind w:left="105" w:leftChars="50"/>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采购人名称：</w:t>
            </w:r>
            <w:r>
              <w:rPr>
                <w:rFonts w:hint="eastAsia" w:ascii="宋体" w:hAnsi="宋体"/>
                <w:color w:val="000000" w:themeColor="text1"/>
                <w:szCs w:val="21"/>
                <w14:textFill>
                  <w14:solidFill>
                    <w14:schemeClr w14:val="tx1"/>
                  </w14:solidFill>
                </w14:textFill>
              </w:rPr>
              <w:t>敦化市水库移民管理局</w:t>
            </w:r>
          </w:p>
          <w:p w14:paraId="1E0E9B1D">
            <w:pPr>
              <w:ind w:left="105" w:leftChars="50"/>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采购人地址：</w:t>
            </w:r>
            <w:r>
              <w:rPr>
                <w:rFonts w:hint="eastAsia" w:ascii="宋体" w:hAnsi="宋体"/>
                <w:color w:val="000000" w:themeColor="text1"/>
                <w:szCs w:val="21"/>
                <w14:textFill>
                  <w14:solidFill>
                    <w14:schemeClr w14:val="tx1"/>
                  </w14:solidFill>
                </w14:textFill>
              </w:rPr>
              <w:t>敦化市渤海街办事处六楼</w:t>
            </w:r>
          </w:p>
          <w:p w14:paraId="34A28318">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供应商地址：</w:t>
            </w:r>
          </w:p>
          <w:p w14:paraId="174ED3DC">
            <w:pPr>
              <w:ind w:left="105" w:leftChars="50"/>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供应商名称：</w:t>
            </w:r>
          </w:p>
          <w:p w14:paraId="42FE7400">
            <w:pPr>
              <w:ind w:left="105" w:leftChars="50"/>
              <w:rPr>
                <w:rFonts w:ascii="宋体" w:hAnsi="宋体"/>
                <w:color w:val="000000" w:themeColor="text1"/>
                <w:szCs w:val="21"/>
                <w:u w:val="single"/>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(项目名称)响应文件在</w:t>
            </w:r>
            <w:r>
              <w:rPr>
                <w:rFonts w:hint="eastAsia" w:ascii="宋体" w:hAnsi="宋体"/>
                <w:color w:val="000000" w:themeColor="text1"/>
                <w:szCs w:val="21"/>
                <w:lang w:eastAsia="zh-CN"/>
                <w14:textFill>
                  <w14:solidFill>
                    <w14:schemeClr w14:val="tx1"/>
                  </w14:solidFill>
                </w14:textFill>
              </w:rPr>
              <w:t>2025年</w:t>
            </w:r>
            <w:r>
              <w:rPr>
                <w:rFonts w:hint="eastAsia" w:ascii="宋体" w:hAnsi="宋体"/>
                <w:color w:val="000000" w:themeColor="text1"/>
                <w:szCs w:val="21"/>
                <w:lang w:val="en-US" w:eastAsia="zh-CN"/>
                <w14:textFill>
                  <w14:solidFill>
                    <w14:schemeClr w14:val="tx1"/>
                  </w14:solidFill>
                </w14:textFill>
              </w:rPr>
              <w:t>05</w:t>
            </w:r>
            <w:r>
              <w:rPr>
                <w:rFonts w:hint="eastAsia" w:ascii="宋体" w:hAnsi="宋体"/>
                <w:color w:val="000000" w:themeColor="text1"/>
                <w:szCs w:val="21"/>
                <w:lang w:eastAsia="zh-CN"/>
                <w14:textFill>
                  <w14:solidFill>
                    <w14:schemeClr w14:val="tx1"/>
                  </w14:solidFill>
                </w14:textFill>
              </w:rPr>
              <w:t>月</w:t>
            </w:r>
            <w:r>
              <w:rPr>
                <w:rFonts w:hint="eastAsia" w:ascii="宋体" w:hAnsi="宋体"/>
                <w:color w:val="000000" w:themeColor="text1"/>
                <w:szCs w:val="21"/>
                <w:lang w:val="en-US" w:eastAsia="zh-CN"/>
                <w14:textFill>
                  <w14:solidFill>
                    <w14:schemeClr w14:val="tx1"/>
                  </w14:solidFill>
                </w14:textFill>
              </w:rPr>
              <w:t>06</w:t>
            </w:r>
            <w:r>
              <w:rPr>
                <w:rFonts w:hint="eastAsia" w:ascii="宋体" w:hAnsi="宋体"/>
                <w:color w:val="000000" w:themeColor="text1"/>
                <w:szCs w:val="21"/>
                <w:lang w:eastAsia="zh-CN"/>
                <w14:textFill>
                  <w14:solidFill>
                    <w14:schemeClr w14:val="tx1"/>
                  </w14:solidFill>
                </w14:textFill>
              </w:rPr>
              <w:t>日</w:t>
            </w:r>
            <w:r>
              <w:rPr>
                <w:rFonts w:hint="eastAsia" w:ascii="宋体" w:hAnsi="宋体"/>
                <w:color w:val="000000" w:themeColor="text1"/>
                <w:szCs w:val="21"/>
                <w14:textFill>
                  <w14:solidFill>
                    <w14:schemeClr w14:val="tx1"/>
                  </w14:solidFill>
                </w14:textFill>
              </w:rPr>
              <w:t>08</w:t>
            </w:r>
            <w:r>
              <w:rPr>
                <w:rFonts w:hint="eastAsia" w:ascii="宋体" w:hAnsi="宋体"/>
                <w:color w:val="000000" w:themeColor="text1"/>
                <w:szCs w:val="21"/>
                <w:lang w:val="zh-CN"/>
                <w14:textFill>
                  <w14:solidFill>
                    <w14:schemeClr w14:val="tx1"/>
                  </w14:solidFill>
                </w14:textFill>
              </w:rPr>
              <w:t>时</w:t>
            </w:r>
            <w:r>
              <w:rPr>
                <w:rFonts w:hint="eastAsia" w:ascii="宋体" w:hAnsi="宋体"/>
                <w:color w:val="000000" w:themeColor="text1"/>
                <w:szCs w:val="21"/>
                <w14:textFill>
                  <w14:solidFill>
                    <w14:schemeClr w14:val="tx1"/>
                  </w14:solidFill>
                </w14:textFill>
              </w:rPr>
              <w:t>30</w:t>
            </w:r>
            <w:r>
              <w:rPr>
                <w:rFonts w:hint="eastAsia" w:ascii="宋体" w:hAnsi="宋体"/>
                <w:color w:val="000000" w:themeColor="text1"/>
                <w:szCs w:val="21"/>
                <w:lang w:val="zh-CN"/>
                <w14:textFill>
                  <w14:solidFill>
                    <w14:schemeClr w14:val="tx1"/>
                  </w14:solidFill>
                </w14:textFill>
              </w:rPr>
              <w:t>分前不得开启</w:t>
            </w:r>
          </w:p>
        </w:tc>
      </w:tr>
      <w:tr w14:paraId="3E384D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982" w:type="dxa"/>
            <w:vAlign w:val="center"/>
          </w:tcPr>
          <w:p w14:paraId="7568CFD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4.2.2</w:t>
            </w:r>
          </w:p>
        </w:tc>
        <w:tc>
          <w:tcPr>
            <w:tcW w:w="1945" w:type="dxa"/>
            <w:vAlign w:val="center"/>
          </w:tcPr>
          <w:p w14:paraId="38EF9775">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递交响应文件地点</w:t>
            </w:r>
          </w:p>
        </w:tc>
        <w:tc>
          <w:tcPr>
            <w:tcW w:w="7022" w:type="dxa"/>
            <w:vAlign w:val="center"/>
          </w:tcPr>
          <w:p w14:paraId="06F14CE7">
            <w:pPr>
              <w:adjustRightInd w:val="0"/>
              <w:snapToGrid w:val="0"/>
              <w:spacing w:before="36" w:beforeLines="15" w:line="276" w:lineRule="auto"/>
              <w:rPr>
                <w:rFonts w:ascii="宋体" w:hAnsi="宋体"/>
                <w:color w:val="000000" w:themeColor="text1"/>
                <w:szCs w:val="21"/>
                <w14:textFill>
                  <w14:solidFill>
                    <w14:schemeClr w14:val="tx1"/>
                  </w14:solidFill>
                </w14:textFill>
              </w:rPr>
            </w:pPr>
            <w:r>
              <w:rPr>
                <w:rFonts w:hint="eastAsia" w:ascii="宋体" w:hAnsi="宋体" w:eastAsia="宋体" w:cs="宋体"/>
                <w:b/>
                <w:bCs/>
                <w:color w:val="auto"/>
                <w:sz w:val="21"/>
                <w:szCs w:val="21"/>
                <w:highlight w:val="none"/>
                <w:lang w:val="en-US" w:eastAsia="zh-CN"/>
              </w:rPr>
              <w:t>纸质版响应文件须</w:t>
            </w:r>
            <w:r>
              <w:rPr>
                <w:rFonts w:hint="eastAsia" w:ascii="宋体" w:hAnsi="宋体" w:eastAsia="宋体" w:cs="宋体"/>
                <w:b/>
                <w:bCs/>
                <w:color w:val="auto"/>
                <w:sz w:val="21"/>
                <w:szCs w:val="21"/>
                <w:highlight w:val="none"/>
                <w:u w:val="none"/>
                <w:lang w:eastAsia="zh-CN"/>
              </w:rPr>
              <w:t>在开标后三个工作日内</w:t>
            </w:r>
            <w:r>
              <w:rPr>
                <w:rFonts w:hint="eastAsia" w:ascii="宋体" w:hAnsi="宋体" w:eastAsia="宋体" w:cs="宋体"/>
                <w:b/>
                <w:bCs/>
                <w:color w:val="auto"/>
                <w:sz w:val="21"/>
                <w:szCs w:val="21"/>
                <w:highlight w:val="none"/>
                <w:lang w:val="en-US" w:eastAsia="zh-CN"/>
              </w:rPr>
              <w:t>送至（或邮寄）采购代理机构，地址及联系方式见公告。</w:t>
            </w:r>
          </w:p>
        </w:tc>
      </w:tr>
      <w:tr w14:paraId="32AF8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982" w:type="dxa"/>
            <w:vAlign w:val="center"/>
          </w:tcPr>
          <w:p w14:paraId="44833E84">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4.2.3</w:t>
            </w:r>
          </w:p>
        </w:tc>
        <w:tc>
          <w:tcPr>
            <w:tcW w:w="1945" w:type="dxa"/>
            <w:vAlign w:val="center"/>
          </w:tcPr>
          <w:p w14:paraId="355A313B">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是否退还响应文件</w:t>
            </w:r>
          </w:p>
        </w:tc>
        <w:tc>
          <w:tcPr>
            <w:tcW w:w="7022" w:type="dxa"/>
            <w:vAlign w:val="center"/>
          </w:tcPr>
          <w:p w14:paraId="3DCB5AE5">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■否</w:t>
            </w:r>
          </w:p>
        </w:tc>
      </w:tr>
      <w:tr w14:paraId="2CD3EF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1" w:hRule="atLeast"/>
          <w:jc w:val="center"/>
        </w:trPr>
        <w:tc>
          <w:tcPr>
            <w:tcW w:w="982" w:type="dxa"/>
            <w:vAlign w:val="center"/>
          </w:tcPr>
          <w:p w14:paraId="5820FDD1">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5.1</w:t>
            </w:r>
          </w:p>
        </w:tc>
        <w:tc>
          <w:tcPr>
            <w:tcW w:w="1945" w:type="dxa"/>
            <w:vAlign w:val="center"/>
          </w:tcPr>
          <w:p w14:paraId="3F5B7EA9">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开标时间和地点</w:t>
            </w:r>
          </w:p>
        </w:tc>
        <w:tc>
          <w:tcPr>
            <w:tcW w:w="7022" w:type="dxa"/>
            <w:vAlign w:val="center"/>
          </w:tcPr>
          <w:p w14:paraId="28E36634">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时间：同投标截止时间</w:t>
            </w:r>
          </w:p>
          <w:p w14:paraId="0DF97BCC">
            <w:pPr>
              <w:ind w:left="105" w:leftChars="50"/>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地点：敦化市公共资源交易中心（敦化市政数局）政采云平台开标大厅。1.本项目开标方式为远程开标，投标人不到现场。投标人投标时，需携带制作投标文件时用来加密的有效数字证书（CA认证）登录“政采云”平台电子开标大厅现场按规定时间对加密的投标文件进行解密。</w:t>
            </w:r>
          </w:p>
          <w:p w14:paraId="6FDE45B8">
            <w:pPr>
              <w:ind w:left="105" w:leftChars="50"/>
              <w:rPr>
                <w:rFonts w:ascii="宋体" w:hAnsi="宋体"/>
                <w:color w:val="000000" w:themeColor="text1"/>
                <w:szCs w:val="21"/>
                <w14:textFill>
                  <w14:solidFill>
                    <w14:schemeClr w14:val="tx1"/>
                  </w14:solidFill>
                </w14:textFill>
              </w:rPr>
            </w:pPr>
            <w:r>
              <w:rPr>
                <w:rFonts w:hint="eastAsia" w:ascii="宋体" w:hAnsi="宋体" w:eastAsia="宋体" w:cs="宋体"/>
                <w:szCs w:val="21"/>
                <w:highlight w:val="none"/>
                <w:lang w:val="en-US" w:eastAsia="zh-CN"/>
              </w:rPr>
              <w:t>2.投标文件提交方式：本项目为全流程电子化项目，通过“政采云”平台（http：//www.zcygov.cn）实行在线电子投标，投标人应先安装“政采云电子交易客户端”（请自行前往“政采云”平台进行下载），并按照本项目招标文件和“政采云”平台的要求编制、加密后在开标截止时间前通过网络上传至“政采云”平台，投标人在“政采云”平台提交电子版投标文件时，请填写参加开标活动经办人联系方式。</w:t>
            </w:r>
          </w:p>
        </w:tc>
      </w:tr>
      <w:tr w14:paraId="102E0F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982" w:type="dxa"/>
            <w:vAlign w:val="center"/>
          </w:tcPr>
          <w:p w14:paraId="473EA29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5.2</w:t>
            </w:r>
          </w:p>
        </w:tc>
        <w:tc>
          <w:tcPr>
            <w:tcW w:w="1945" w:type="dxa"/>
            <w:vAlign w:val="center"/>
          </w:tcPr>
          <w:p w14:paraId="4FACA0F2">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开标程序</w:t>
            </w:r>
          </w:p>
        </w:tc>
        <w:tc>
          <w:tcPr>
            <w:tcW w:w="7022" w:type="dxa"/>
            <w:vAlign w:val="center"/>
          </w:tcPr>
          <w:p w14:paraId="68688242">
            <w:pPr>
              <w:jc w:val="left"/>
              <w:rPr>
                <w:rFonts w:ascii="宋体" w:hAnsi="宋体"/>
                <w:color w:val="000000" w:themeColor="text1"/>
                <w:szCs w:val="21"/>
                <w14:textFill>
                  <w14:solidFill>
                    <w14:schemeClr w14:val="tx1"/>
                  </w14:solidFill>
                </w14:textFill>
              </w:rPr>
            </w:pPr>
            <w:r>
              <w:rPr>
                <w:rFonts w:hint="eastAsia" w:ascii="宋体" w:hAnsi="宋体" w:eastAsia="宋体" w:cs="宋体"/>
                <w:highlight w:val="none"/>
                <w:lang w:val="en-US" w:eastAsia="zh-CN"/>
              </w:rPr>
              <w:t>开标顺序：按</w:t>
            </w:r>
            <w:r>
              <w:rPr>
                <w:rFonts w:hint="eastAsia" w:ascii="宋体" w:hAnsi="宋体" w:eastAsia="宋体" w:cs="宋体"/>
                <w:highlight w:val="none"/>
                <w:lang w:val="zh-CN" w:eastAsia="zh-CN"/>
              </w:rPr>
              <w:t>政府采购云平台电子标默认的顺序开标。</w:t>
            </w:r>
          </w:p>
        </w:tc>
      </w:tr>
      <w:tr w14:paraId="1E17F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4" w:hRule="atLeast"/>
          <w:jc w:val="center"/>
        </w:trPr>
        <w:tc>
          <w:tcPr>
            <w:tcW w:w="982" w:type="dxa"/>
            <w:vAlign w:val="center"/>
          </w:tcPr>
          <w:p w14:paraId="5F1B1C37">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6.1.1</w:t>
            </w:r>
          </w:p>
        </w:tc>
        <w:tc>
          <w:tcPr>
            <w:tcW w:w="1945" w:type="dxa"/>
            <w:vAlign w:val="center"/>
          </w:tcPr>
          <w:p w14:paraId="5508C199">
            <w:pPr>
              <w:jc w:val="center"/>
              <w:rPr>
                <w:color w:val="0000FF"/>
                <w:kern w:val="0"/>
              </w:rPr>
            </w:pPr>
            <w:bookmarkStart w:id="51" w:name="_Toc421017847"/>
            <w:bookmarkStart w:id="52" w:name="_Toc195921790"/>
            <w:bookmarkStart w:id="53" w:name="_Toc469921602"/>
            <w:r>
              <w:rPr>
                <w:rFonts w:hint="eastAsia"/>
                <w:color w:val="000000" w:themeColor="text1"/>
                <w:kern w:val="0"/>
                <w14:textFill>
                  <w14:solidFill>
                    <w14:schemeClr w14:val="tx1"/>
                  </w14:solidFill>
                </w14:textFill>
              </w:rPr>
              <w:t>评标委员会的组建</w:t>
            </w:r>
            <w:bookmarkEnd w:id="51"/>
            <w:bookmarkEnd w:id="52"/>
            <w:bookmarkEnd w:id="53"/>
          </w:p>
        </w:tc>
        <w:tc>
          <w:tcPr>
            <w:tcW w:w="7022" w:type="dxa"/>
            <w:vAlign w:val="center"/>
          </w:tcPr>
          <w:p w14:paraId="1C32B608">
            <w:pPr>
              <w:ind w:left="105" w:leftChars="50"/>
              <w:rPr>
                <w:rFonts w:ascii="宋体" w:hAnsi="宋体"/>
                <w:color w:val="0000FF"/>
                <w:szCs w:val="21"/>
              </w:rPr>
            </w:pPr>
            <w:r>
              <w:rPr>
                <w:rFonts w:hint="eastAsia"/>
                <w:color w:val="000000" w:themeColor="text1"/>
                <w:kern w:val="0"/>
                <w14:textFill>
                  <w14:solidFill>
                    <w14:schemeClr w14:val="tx1"/>
                  </w14:solidFill>
                </w14:textFill>
              </w:rPr>
              <w:t>评标委员会构成：</w:t>
            </w:r>
            <w:r>
              <w:rPr>
                <w:rFonts w:hint="eastAsia"/>
                <w:color w:val="000000" w:themeColor="text1"/>
                <w:kern w:val="0"/>
                <w:lang w:val="en-US" w:eastAsia="zh-CN"/>
                <w14:textFill>
                  <w14:solidFill>
                    <w14:schemeClr w14:val="tx1"/>
                  </w14:solidFill>
                </w14:textFill>
              </w:rPr>
              <w:t>3</w:t>
            </w:r>
            <w:r>
              <w:rPr>
                <w:rFonts w:hint="eastAsia"/>
                <w:color w:val="000000" w:themeColor="text1"/>
                <w:kern w:val="0"/>
                <w14:textFill>
                  <w14:solidFill>
                    <w14:schemeClr w14:val="tx1"/>
                  </w14:solidFill>
                </w14:textFill>
              </w:rPr>
              <w:t>人，评标专家确定方式：从敦化市公共资源交易中心评标专家库抽取。</w:t>
            </w:r>
          </w:p>
        </w:tc>
      </w:tr>
      <w:tr w14:paraId="734530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982" w:type="dxa"/>
            <w:vAlign w:val="center"/>
          </w:tcPr>
          <w:p w14:paraId="331B00A2">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7.1</w:t>
            </w:r>
          </w:p>
        </w:tc>
        <w:tc>
          <w:tcPr>
            <w:tcW w:w="1945" w:type="dxa"/>
            <w:vAlign w:val="center"/>
          </w:tcPr>
          <w:p w14:paraId="1A665556">
            <w:pPr>
              <w:jc w:val="center"/>
              <w:rPr>
                <w:color w:val="000000" w:themeColor="text1"/>
                <w:kern w:val="0"/>
                <w14:textFill>
                  <w14:solidFill>
                    <w14:schemeClr w14:val="tx1"/>
                  </w14:solidFill>
                </w14:textFill>
              </w:rPr>
            </w:pPr>
            <w:bookmarkStart w:id="54" w:name="_Toc469921603"/>
            <w:bookmarkStart w:id="55" w:name="_Toc195921791"/>
            <w:bookmarkStart w:id="56" w:name="_Toc421017848"/>
            <w:r>
              <w:rPr>
                <w:rFonts w:hint="eastAsia"/>
                <w:color w:val="000000" w:themeColor="text1"/>
                <w:kern w:val="0"/>
                <w14:textFill>
                  <w14:solidFill>
                    <w14:schemeClr w14:val="tx1"/>
                  </w14:solidFill>
                </w14:textFill>
              </w:rPr>
              <w:t>是否授权评标委员会确定</w:t>
            </w:r>
            <w:r>
              <w:rPr>
                <w:rFonts w:hint="eastAsia"/>
                <w:color w:val="000000" w:themeColor="text1"/>
                <w:kern w:val="0"/>
                <w:lang w:eastAsia="zh-CN"/>
                <w14:textFill>
                  <w14:solidFill>
                    <w14:schemeClr w14:val="tx1"/>
                  </w14:solidFill>
                </w14:textFill>
              </w:rPr>
              <w:t>成交</w:t>
            </w:r>
            <w:r>
              <w:rPr>
                <w:rFonts w:hint="eastAsia"/>
                <w:color w:val="000000" w:themeColor="text1"/>
                <w:kern w:val="0"/>
                <w14:textFill>
                  <w14:solidFill>
                    <w14:schemeClr w14:val="tx1"/>
                  </w14:solidFill>
                </w14:textFill>
              </w:rPr>
              <w:t>人</w:t>
            </w:r>
            <w:bookmarkEnd w:id="54"/>
            <w:bookmarkEnd w:id="55"/>
            <w:bookmarkEnd w:id="56"/>
          </w:p>
        </w:tc>
        <w:tc>
          <w:tcPr>
            <w:tcW w:w="7022" w:type="dxa"/>
            <w:vAlign w:val="center"/>
          </w:tcPr>
          <w:p w14:paraId="1EEC0427">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否，推荐的</w:t>
            </w:r>
            <w:r>
              <w:rPr>
                <w:rFonts w:hint="eastAsia" w:ascii="宋体" w:hAnsi="宋体" w:cs="FangSong_GB2312"/>
                <w:color w:val="000000" w:themeColor="text1"/>
                <w:kern w:val="0"/>
                <w:szCs w:val="21"/>
                <w:lang w:eastAsia="zh-CN"/>
                <w14:textFill>
                  <w14:solidFill>
                    <w14:schemeClr w14:val="tx1"/>
                  </w14:solidFill>
                </w14:textFill>
              </w:rPr>
              <w:t>成交</w:t>
            </w:r>
            <w:r>
              <w:rPr>
                <w:rFonts w:hint="eastAsia" w:ascii="宋体" w:hAnsi="宋体" w:cs="FangSong_GB2312"/>
                <w:color w:val="000000" w:themeColor="text1"/>
                <w:kern w:val="0"/>
                <w:szCs w:val="21"/>
                <w14:textFill>
                  <w14:solidFill>
                    <w14:schemeClr w14:val="tx1"/>
                  </w14:solidFill>
                </w14:textFill>
              </w:rPr>
              <w:t>候选人数：3名</w:t>
            </w:r>
          </w:p>
        </w:tc>
      </w:tr>
      <w:tr w14:paraId="0E059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982" w:type="dxa"/>
            <w:vAlign w:val="center"/>
          </w:tcPr>
          <w:p w14:paraId="776384D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7.3.1</w:t>
            </w:r>
          </w:p>
        </w:tc>
        <w:tc>
          <w:tcPr>
            <w:tcW w:w="1945" w:type="dxa"/>
            <w:vAlign w:val="center"/>
          </w:tcPr>
          <w:p w14:paraId="7190AA77">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履约担保</w:t>
            </w:r>
          </w:p>
        </w:tc>
        <w:tc>
          <w:tcPr>
            <w:tcW w:w="7022" w:type="dxa"/>
            <w:vAlign w:val="center"/>
          </w:tcPr>
          <w:p w14:paraId="6BDADA1B">
            <w:pPr>
              <w:rPr>
                <w:rFonts w:ascii="宋体" w:hAnsi="宋体"/>
                <w:color w:val="000000" w:themeColor="text1"/>
                <w:szCs w:val="21"/>
                <w14:textFill>
                  <w14:solidFill>
                    <w14:schemeClr w14:val="tx1"/>
                  </w14:solidFill>
                </w14:textFill>
              </w:rPr>
            </w:pPr>
            <w:r>
              <w:rPr>
                <w:rFonts w:hint="eastAsia" w:ascii="宋体" w:hAnsi="宋体" w:cs="宋体"/>
                <w:szCs w:val="21"/>
              </w:rPr>
              <w:t>按合同约定。</w:t>
            </w:r>
          </w:p>
        </w:tc>
      </w:tr>
      <w:tr w14:paraId="1A46B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982" w:type="dxa"/>
            <w:vAlign w:val="center"/>
          </w:tcPr>
          <w:p w14:paraId="2D72C8F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bCs/>
                <w:color w:val="000000" w:themeColor="text1"/>
                <w:kern w:val="0"/>
                <w:szCs w:val="21"/>
                <w14:textFill>
                  <w14:solidFill>
                    <w14:schemeClr w14:val="tx1"/>
                  </w14:solidFill>
                </w14:textFill>
              </w:rPr>
              <w:t>10</w:t>
            </w:r>
          </w:p>
        </w:tc>
        <w:tc>
          <w:tcPr>
            <w:tcW w:w="8967" w:type="dxa"/>
            <w:gridSpan w:val="2"/>
            <w:vAlign w:val="center"/>
          </w:tcPr>
          <w:p w14:paraId="21E37B80">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需要补充的其他内容</w:t>
            </w:r>
          </w:p>
        </w:tc>
      </w:tr>
      <w:tr w14:paraId="3B9B4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1" w:hRule="atLeast"/>
          <w:jc w:val="center"/>
        </w:trPr>
        <w:tc>
          <w:tcPr>
            <w:tcW w:w="982" w:type="dxa"/>
            <w:vAlign w:val="center"/>
          </w:tcPr>
          <w:p w14:paraId="3D37005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磋商保证金</w:t>
            </w:r>
          </w:p>
        </w:tc>
        <w:tc>
          <w:tcPr>
            <w:tcW w:w="8967" w:type="dxa"/>
            <w:gridSpan w:val="2"/>
            <w:vAlign w:val="center"/>
          </w:tcPr>
          <w:p w14:paraId="7D47EA3E">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磋商保证金的形式：转账、电汇、银行出具的现金支票、保兑支票、银行汇票及银行、工程担保机构出具的保函</w:t>
            </w:r>
          </w:p>
          <w:p w14:paraId="2A5A7DD5">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磋商保证金的金额：</w:t>
            </w:r>
            <w:r>
              <w:rPr>
                <w:rFonts w:hint="eastAsia" w:ascii="宋体" w:hAnsi="宋体"/>
                <w:color w:val="000000" w:themeColor="text1"/>
                <w:szCs w:val="21"/>
                <w:lang w:val="en-US" w:eastAsia="zh-CN"/>
                <w14:textFill>
                  <w14:solidFill>
                    <w14:schemeClr w14:val="tx1"/>
                  </w14:solidFill>
                </w14:textFill>
              </w:rPr>
              <w:t>肆仟元</w:t>
            </w:r>
            <w:r>
              <w:rPr>
                <w:rFonts w:hint="eastAsia" w:ascii="宋体" w:hAnsi="宋体"/>
                <w:color w:val="000000" w:themeColor="text1"/>
                <w:szCs w:val="21"/>
                <w14:textFill>
                  <w14:solidFill>
                    <w14:schemeClr w14:val="tx1"/>
                  </w14:solidFill>
                </w14:textFill>
              </w:rPr>
              <w:t>整。</w:t>
            </w:r>
          </w:p>
          <w:p w14:paraId="189EDAB4">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磋商保证金银行帐号：</w:t>
            </w:r>
          </w:p>
          <w:p w14:paraId="17E74777">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开户银行：</w:t>
            </w:r>
            <w:r>
              <w:rPr>
                <w:rFonts w:hint="eastAsia" w:ascii="宋体" w:hAnsi="宋体" w:cs="宋体"/>
                <w:bCs/>
                <w:szCs w:val="21"/>
                <w:lang w:val="zh-CN"/>
              </w:rPr>
              <w:t>中国建设银行股份有限公司敦化支行</w:t>
            </w:r>
          </w:p>
          <w:p w14:paraId="702F5A8B">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帐户名称：</w:t>
            </w:r>
            <w:r>
              <w:rPr>
                <w:rFonts w:hint="eastAsia" w:ascii="宋体" w:hAnsi="宋体" w:cs="宋体"/>
                <w:bCs/>
                <w:szCs w:val="21"/>
                <w:lang w:val="zh-CN"/>
              </w:rPr>
              <w:t>上励建设工程有限公司敦化分公司</w:t>
            </w:r>
          </w:p>
          <w:p w14:paraId="1B615D55">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帐    号：</w:t>
            </w:r>
            <w:r>
              <w:rPr>
                <w:rFonts w:hint="eastAsia" w:ascii="宋体" w:hAnsi="宋体" w:cs="宋体"/>
                <w:bCs/>
                <w:szCs w:val="21"/>
              </w:rPr>
              <w:t>2205 0168 6338 0000 2326</w:t>
            </w:r>
          </w:p>
          <w:p w14:paraId="5B51FB64">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行    号：</w:t>
            </w:r>
            <w:r>
              <w:rPr>
                <w:rFonts w:hint="eastAsia" w:ascii="宋体" w:hAnsi="宋体" w:cs="宋体"/>
                <w:bCs/>
                <w:szCs w:val="21"/>
                <w:lang w:val="zh-CN"/>
              </w:rPr>
              <w:t>105249300304</w:t>
            </w:r>
          </w:p>
          <w:p w14:paraId="1731CF9F">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要求：</w:t>
            </w:r>
          </w:p>
          <w:p w14:paraId="39E40B91">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提交的磋商保证金应当从</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基本账户转出，须提供基本账户开户许可证及磋商保证金汇款凭证等相关证明文件原件，并将复印件装入到响应文件中。</w:t>
            </w:r>
          </w:p>
          <w:p w14:paraId="56D05AB4">
            <w:pPr>
              <w:snapToGrid w:val="0"/>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（2）请在汇款单据上标明项目名称以及标段以便核查。</w:t>
            </w:r>
          </w:p>
          <w:p w14:paraId="66D6347A">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（3）缴纳完磋商保证金后须将银行的存款回单以邮件的方式传送至采购代理机构。（邮箱：18743316550@163.com）。磋商保证金的确认以最终到帐日期为准。</w:t>
            </w:r>
          </w:p>
          <w:p w14:paraId="39C554CC">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以“担保”形式递交磋商保证金的，应在投标截止时间前，将担保公司开具的担保保函原件递到采购代理机构项目负责人处，并自留一份复印件附在响应文件。</w:t>
            </w:r>
          </w:p>
          <w:p w14:paraId="6DA0AC38">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（4）</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在办理退还磋商保证金手续时，需将汇款银行出具的汇款（存款）凭证复印件并加盖公章的扫描件发送至我公司邮箱：（18743316550@163.com），并打电话</w:t>
            </w:r>
            <w:r>
              <w:rPr>
                <w:rFonts w:hint="eastAsia" w:ascii="宋体" w:hAnsi="宋体"/>
                <w:color w:val="000000" w:themeColor="text1"/>
                <w:szCs w:val="21"/>
                <w:lang w:eastAsia="zh-CN"/>
                <w14:textFill>
                  <w14:solidFill>
                    <w14:schemeClr w14:val="tx1"/>
                  </w14:solidFill>
                </w14:textFill>
              </w:rPr>
              <w:t>18844311971</w:t>
            </w:r>
            <w:r>
              <w:rPr>
                <w:rFonts w:hint="eastAsia" w:ascii="宋体" w:hAnsi="宋体"/>
                <w:color w:val="000000" w:themeColor="text1"/>
                <w:szCs w:val="21"/>
                <w14:textFill>
                  <w14:solidFill>
                    <w14:schemeClr w14:val="tx1"/>
                  </w14:solidFill>
                </w14:textFill>
              </w:rPr>
              <w:t>确认。</w:t>
            </w:r>
          </w:p>
          <w:p w14:paraId="3D5AC067">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（5）</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未按规定时间办理上述内容，其投标无效，后果自负。</w:t>
            </w:r>
          </w:p>
        </w:tc>
      </w:tr>
      <w:tr w14:paraId="30357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9" w:hRule="atLeast"/>
          <w:jc w:val="center"/>
        </w:trPr>
        <w:tc>
          <w:tcPr>
            <w:tcW w:w="982" w:type="dxa"/>
            <w:vAlign w:val="center"/>
          </w:tcPr>
          <w:p w14:paraId="6D8CBCE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lang w:eastAsia="zh-CN"/>
                <w14:textFill>
                  <w14:solidFill>
                    <w14:schemeClr w14:val="tx1"/>
                  </w14:solidFill>
                </w14:textFill>
              </w:rPr>
              <w:t>磋商</w:t>
            </w:r>
            <w:r>
              <w:rPr>
                <w:rFonts w:hint="eastAsia" w:ascii="宋体" w:hAnsi="宋体" w:cs="TimesNewRomanPSMT"/>
                <w:color w:val="000000" w:themeColor="text1"/>
                <w:kern w:val="0"/>
                <w:szCs w:val="21"/>
                <w14:textFill>
                  <w14:solidFill>
                    <w14:schemeClr w14:val="tx1"/>
                  </w14:solidFill>
                </w14:textFill>
              </w:rPr>
              <w:t>代理服务费</w:t>
            </w:r>
          </w:p>
        </w:tc>
        <w:tc>
          <w:tcPr>
            <w:tcW w:w="8967" w:type="dxa"/>
            <w:gridSpan w:val="2"/>
            <w:vAlign w:val="center"/>
          </w:tcPr>
          <w:p w14:paraId="483DE240">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参照国家发展改革委关于进一步放开建设项目专业服务价格的通知（发改价格【2015】299号）的收费标准，代理费为</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金额的1% 由</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人在</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公示结束后一次性支付。</w:t>
            </w:r>
          </w:p>
        </w:tc>
      </w:tr>
      <w:tr w14:paraId="7D9DB5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7" w:hRule="atLeast"/>
          <w:jc w:val="center"/>
        </w:trPr>
        <w:tc>
          <w:tcPr>
            <w:tcW w:w="982" w:type="dxa"/>
            <w:vAlign w:val="center"/>
          </w:tcPr>
          <w:p w14:paraId="5A3C0FF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lang w:eastAsia="zh-CN"/>
                <w14:textFill>
                  <w14:solidFill>
                    <w14:schemeClr w14:val="tx1"/>
                  </w14:solidFill>
                </w14:textFill>
              </w:rPr>
              <w:t>磋商</w:t>
            </w:r>
            <w:r>
              <w:rPr>
                <w:rFonts w:hint="eastAsia" w:ascii="宋体" w:hAnsi="宋体" w:cs="TimesNewRomanPSMT"/>
                <w:color w:val="000000" w:themeColor="text1"/>
                <w:kern w:val="0"/>
                <w:szCs w:val="21"/>
                <w14:textFill>
                  <w14:solidFill>
                    <w14:schemeClr w14:val="tx1"/>
                  </w14:solidFill>
                </w14:textFill>
              </w:rPr>
              <w:t>控制价</w:t>
            </w:r>
          </w:p>
        </w:tc>
        <w:tc>
          <w:tcPr>
            <w:tcW w:w="8967" w:type="dxa"/>
            <w:gridSpan w:val="2"/>
            <w:vAlign w:val="center"/>
          </w:tcPr>
          <w:p w14:paraId="00C24592">
            <w:pPr>
              <w:ind w:left="105" w:leftChars="50"/>
              <w:rPr>
                <w:rFonts w:hint="eastAsia" w:ascii="宋体" w:hAnsi="宋体"/>
                <w:color w:val="000000" w:themeColor="text1"/>
                <w:szCs w:val="21"/>
                <w14:textFill>
                  <w14:solidFill>
                    <w14:schemeClr w14:val="tx1"/>
                  </w14:solidFill>
                </w14:textFill>
              </w:rPr>
            </w:pPr>
            <w:r>
              <w:rPr>
                <w:rFonts w:hint="eastAsia" w:ascii="宋体" w:hAnsi="宋体"/>
                <w:color w:val="000000" w:themeColor="text1"/>
                <w:szCs w:val="21"/>
                <w:lang w:val="zh-CN" w:eastAsia="zh-CN"/>
                <w14:textFill>
                  <w14:solidFill>
                    <w14:schemeClr w14:val="tx1"/>
                  </w14:solidFill>
                </w14:textFill>
              </w:rPr>
              <w:t>473191元</w:t>
            </w:r>
            <w:r>
              <w:rPr>
                <w:rFonts w:hint="eastAsia" w:ascii="宋体" w:hAnsi="宋体"/>
                <w:color w:val="000000" w:themeColor="text1"/>
                <w:szCs w:val="21"/>
                <w:lang w:val="zh-CN"/>
                <w14:textFill>
                  <w14:solidFill>
                    <w14:schemeClr w14:val="tx1"/>
                  </w14:solidFill>
                </w14:textFill>
              </w:rPr>
              <w:t>；</w:t>
            </w:r>
          </w:p>
          <w:p w14:paraId="063FA440">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投标报价不得超过工程控制价</w:t>
            </w:r>
            <w:r>
              <w:rPr>
                <w:rFonts w:hint="eastAsia" w:ascii="宋体" w:hAnsi="宋体"/>
                <w:color w:val="000000" w:themeColor="text1"/>
                <w:szCs w:val="21"/>
                <w:lang w:eastAsia="zh-CN"/>
                <w14:textFill>
                  <w14:solidFill>
                    <w14:schemeClr w14:val="tx1"/>
                  </w14:solidFill>
                </w14:textFill>
              </w:rPr>
              <w:t>，</w:t>
            </w:r>
            <w:r>
              <w:rPr>
                <w:rFonts w:hint="eastAsia" w:ascii="宋体" w:hAnsi="宋体" w:cs="宋体"/>
                <w:color w:val="000000"/>
                <w:sz w:val="21"/>
                <w:szCs w:val="21"/>
                <w:highlight w:val="none"/>
                <w:lang w:val="en-US" w:eastAsia="zh-CN"/>
              </w:rPr>
              <w:t>否则视为废标</w:t>
            </w:r>
            <w:r>
              <w:rPr>
                <w:rFonts w:hint="eastAsia" w:ascii="宋体" w:hAnsi="宋体"/>
                <w:color w:val="000000" w:themeColor="text1"/>
                <w:szCs w:val="21"/>
                <w14:textFill>
                  <w14:solidFill>
                    <w14:schemeClr w14:val="tx1"/>
                  </w14:solidFill>
                </w14:textFill>
              </w:rPr>
              <w:t>。</w:t>
            </w:r>
          </w:p>
        </w:tc>
      </w:tr>
      <w:tr w14:paraId="466EFC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982" w:type="dxa"/>
            <w:shd w:val="clear" w:color="auto" w:fill="auto"/>
            <w:vAlign w:val="center"/>
          </w:tcPr>
          <w:p w14:paraId="594FAB79">
            <w:pPr>
              <w:jc w:val="center"/>
              <w:rPr>
                <w:rFonts w:ascii="宋体" w:hAnsi="宋体" w:cs="TimesNewRomanPSMT"/>
                <w:color w:val="000000" w:themeColor="text1"/>
                <w:kern w:val="0"/>
                <w:szCs w:val="21"/>
                <w:highlight w:val="none"/>
                <w14:textFill>
                  <w14:solidFill>
                    <w14:schemeClr w14:val="tx1"/>
                  </w14:solidFill>
                </w14:textFill>
              </w:rPr>
            </w:pPr>
            <w:r>
              <w:rPr>
                <w:rFonts w:hint="eastAsia" w:ascii="宋体" w:hAnsi="宋体" w:cs="TimesNewRomanPSMT"/>
                <w:color w:val="000000" w:themeColor="text1"/>
                <w:kern w:val="0"/>
                <w:szCs w:val="21"/>
                <w:highlight w:val="none"/>
                <w14:textFill>
                  <w14:solidFill>
                    <w14:schemeClr w14:val="tx1"/>
                  </w14:solidFill>
                </w14:textFill>
              </w:rPr>
              <w:t>合同形式</w:t>
            </w:r>
          </w:p>
        </w:tc>
        <w:tc>
          <w:tcPr>
            <w:tcW w:w="8967" w:type="dxa"/>
            <w:gridSpan w:val="2"/>
            <w:shd w:val="clear" w:color="auto" w:fill="auto"/>
            <w:vAlign w:val="center"/>
          </w:tcPr>
          <w:p w14:paraId="56700394">
            <w:pPr>
              <w:ind w:left="105" w:leftChars="50"/>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固定单价合同</w:t>
            </w:r>
          </w:p>
        </w:tc>
      </w:tr>
      <w:tr w14:paraId="1C5F1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982" w:type="dxa"/>
            <w:shd w:val="clear" w:color="auto" w:fill="auto"/>
            <w:vAlign w:val="center"/>
          </w:tcPr>
          <w:p w14:paraId="09EC5109">
            <w:pPr>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合同签订</w:t>
            </w:r>
          </w:p>
        </w:tc>
        <w:tc>
          <w:tcPr>
            <w:tcW w:w="8967" w:type="dxa"/>
            <w:gridSpan w:val="2"/>
            <w:shd w:val="clear" w:color="auto" w:fill="auto"/>
            <w:vAlign w:val="center"/>
          </w:tcPr>
          <w:p w14:paraId="3F7FFB58">
            <w:pPr>
              <w:jc w:val="left"/>
              <w:rPr>
                <w:rFonts w:ascii="宋体" w:hAnsi="宋体" w:cs="宋体"/>
                <w:szCs w:val="21"/>
              </w:rPr>
            </w:pPr>
            <w:r>
              <w:rPr>
                <w:rFonts w:hint="eastAsia" w:ascii="宋体" w:hAnsi="宋体" w:cs="宋体"/>
                <w:szCs w:val="21"/>
                <w:highlight w:val="none"/>
              </w:rPr>
              <w:t>请</w:t>
            </w:r>
            <w:r>
              <w:rPr>
                <w:rFonts w:hint="eastAsia" w:ascii="宋体" w:hAnsi="宋体" w:cs="宋体"/>
                <w:szCs w:val="21"/>
                <w:highlight w:val="none"/>
                <w:lang w:val="en-US" w:eastAsia="zh-CN"/>
              </w:rPr>
              <w:t>成交</w:t>
            </w:r>
            <w:r>
              <w:rPr>
                <w:rFonts w:hint="eastAsia" w:ascii="宋体" w:hAnsi="宋体" w:cs="宋体"/>
                <w:szCs w:val="21"/>
                <w:highlight w:val="none"/>
              </w:rPr>
              <w:t>单位在</w:t>
            </w:r>
            <w:r>
              <w:rPr>
                <w:rFonts w:hint="eastAsia" w:ascii="宋体" w:hAnsi="宋体" w:cs="宋体"/>
                <w:szCs w:val="21"/>
                <w:highlight w:val="none"/>
                <w:lang w:val="en-US" w:eastAsia="zh-CN"/>
              </w:rPr>
              <w:t>磋商</w:t>
            </w:r>
            <w:r>
              <w:rPr>
                <w:rFonts w:hint="eastAsia" w:ascii="宋体" w:hAnsi="宋体" w:cs="宋体"/>
                <w:szCs w:val="21"/>
                <w:highlight w:val="none"/>
              </w:rPr>
              <w:t>有效期，自《</w:t>
            </w:r>
            <w:r>
              <w:rPr>
                <w:rFonts w:hint="eastAsia" w:ascii="宋体" w:hAnsi="宋体" w:cs="宋体"/>
                <w:szCs w:val="21"/>
                <w:highlight w:val="none"/>
                <w:lang w:val="en-US" w:eastAsia="zh-CN"/>
              </w:rPr>
              <w:t>成交</w:t>
            </w:r>
            <w:r>
              <w:rPr>
                <w:rFonts w:hint="eastAsia" w:ascii="宋体" w:hAnsi="宋体" w:cs="宋体"/>
                <w:szCs w:val="21"/>
                <w:highlight w:val="none"/>
              </w:rPr>
              <w:t>通知</w:t>
            </w:r>
            <w:r>
              <w:rPr>
                <w:rFonts w:hint="eastAsia" w:ascii="宋体" w:hAnsi="宋体" w:cs="宋体"/>
                <w:szCs w:val="21"/>
              </w:rPr>
              <w:t>书》发出之日起30日内，与</w:t>
            </w:r>
            <w:r>
              <w:rPr>
                <w:rFonts w:hint="eastAsia" w:ascii="宋体" w:hAnsi="宋体" w:cs="宋体"/>
                <w:szCs w:val="21"/>
                <w:lang w:eastAsia="zh-CN"/>
              </w:rPr>
              <w:t>采购人</w:t>
            </w:r>
            <w:r>
              <w:rPr>
                <w:rFonts w:hint="eastAsia" w:ascii="宋体" w:hAnsi="宋体" w:cs="宋体"/>
                <w:szCs w:val="21"/>
              </w:rPr>
              <w:t>签订合同。</w:t>
            </w:r>
          </w:p>
        </w:tc>
      </w:tr>
      <w:tr w14:paraId="5D677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jc w:val="center"/>
        </w:trPr>
        <w:tc>
          <w:tcPr>
            <w:tcW w:w="982" w:type="dxa"/>
            <w:vAlign w:val="center"/>
          </w:tcPr>
          <w:p w14:paraId="40754FD4">
            <w:pPr>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工程付款方式</w:t>
            </w:r>
          </w:p>
        </w:tc>
        <w:tc>
          <w:tcPr>
            <w:tcW w:w="8967" w:type="dxa"/>
            <w:gridSpan w:val="2"/>
            <w:vAlign w:val="center"/>
          </w:tcPr>
          <w:p w14:paraId="2D22B3BF">
            <w:pPr>
              <w:jc w:val="left"/>
              <w:rPr>
                <w:rFonts w:cs="宋体-18030"/>
                <w:b/>
                <w:color w:val="000000" w:themeColor="text1"/>
                <w:sz w:val="22"/>
                <w:szCs w:val="28"/>
                <w14:textFill>
                  <w14:solidFill>
                    <w14:schemeClr w14:val="tx1"/>
                  </w14:solidFill>
                </w14:textFill>
              </w:rPr>
            </w:pPr>
            <w:r>
              <w:rPr>
                <w:rFonts w:hint="eastAsia" w:ascii="宋体" w:hAnsi="宋体" w:cs="宋体"/>
                <w:szCs w:val="21"/>
              </w:rPr>
              <w:t>按合同约定。</w:t>
            </w:r>
          </w:p>
        </w:tc>
      </w:tr>
      <w:tr w14:paraId="6F51D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82" w:type="dxa"/>
            <w:vAlign w:val="center"/>
          </w:tcPr>
          <w:p w14:paraId="1BC88D88">
            <w:pPr>
              <w:jc w:val="center"/>
              <w:rPr>
                <w:rFonts w:ascii="宋体" w:hAnsi="宋体" w:cs="TimesNewRomanPSMT"/>
                <w:color w:val="auto"/>
                <w:kern w:val="0"/>
                <w:szCs w:val="21"/>
              </w:rPr>
            </w:pPr>
            <w:r>
              <w:rPr>
                <w:rFonts w:hint="eastAsia" w:ascii="宋体" w:hAnsi="宋体" w:cs="TimesNewRomanPSMT"/>
                <w:color w:val="auto"/>
                <w:kern w:val="0"/>
                <w:szCs w:val="21"/>
              </w:rPr>
              <w:t>质保金</w:t>
            </w:r>
          </w:p>
        </w:tc>
        <w:tc>
          <w:tcPr>
            <w:tcW w:w="8967" w:type="dxa"/>
            <w:gridSpan w:val="2"/>
            <w:vAlign w:val="center"/>
          </w:tcPr>
          <w:p w14:paraId="1DDE14EF">
            <w:pPr>
              <w:jc w:val="left"/>
              <w:rPr>
                <w:rFonts w:cs="宋体-18030"/>
                <w:b/>
                <w:color w:val="auto"/>
                <w:sz w:val="22"/>
                <w:szCs w:val="28"/>
              </w:rPr>
            </w:pPr>
            <w:r>
              <w:rPr>
                <w:rFonts w:hint="eastAsia" w:ascii="宋体" w:hAnsi="宋体" w:cs="宋体"/>
                <w:color w:val="auto"/>
                <w:szCs w:val="21"/>
                <w:lang w:val="en-US" w:eastAsia="zh-CN"/>
              </w:rPr>
              <w:t>不超过成交金额的3%</w:t>
            </w:r>
          </w:p>
        </w:tc>
      </w:tr>
      <w:tr w14:paraId="2E59C3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982" w:type="dxa"/>
            <w:vAlign w:val="center"/>
          </w:tcPr>
          <w:p w14:paraId="191BCFCC">
            <w:pPr>
              <w:snapToGrid w:val="0"/>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重要事项</w:t>
            </w:r>
          </w:p>
        </w:tc>
        <w:tc>
          <w:tcPr>
            <w:tcW w:w="8967" w:type="dxa"/>
            <w:gridSpan w:val="2"/>
            <w:vAlign w:val="center"/>
          </w:tcPr>
          <w:p w14:paraId="1485BE08">
            <w:pPr>
              <w:jc w:val="left"/>
              <w:rPr>
                <w:rFonts w:cs="宋体-18030"/>
                <w:color w:val="000000" w:themeColor="text1"/>
                <w14:textFill>
                  <w14:solidFill>
                    <w14:schemeClr w14:val="tx1"/>
                  </w14:solidFill>
                </w14:textFill>
              </w:rPr>
            </w:pPr>
            <w:r>
              <w:rPr>
                <w:rFonts w:hint="eastAsia" w:cs="宋体-18030"/>
                <w:b/>
                <w:color w:val="000000" w:themeColor="text1"/>
                <w14:textFill>
                  <w14:solidFill>
                    <w14:schemeClr w14:val="tx1"/>
                  </w14:solidFill>
                </w14:textFill>
              </w:rPr>
              <w:t>监督：</w:t>
            </w:r>
            <w:r>
              <w:rPr>
                <w:rFonts w:hint="eastAsia" w:cs="宋体-18030"/>
                <w:color w:val="000000" w:themeColor="text1"/>
                <w14:textFill>
                  <w14:solidFill>
                    <w14:schemeClr w14:val="tx1"/>
                  </w14:solidFill>
                </w14:textFill>
              </w:rPr>
              <w:t>本项目的</w:t>
            </w:r>
            <w:r>
              <w:rPr>
                <w:rFonts w:hint="eastAsia" w:cs="宋体-18030"/>
                <w:color w:val="000000" w:themeColor="text1"/>
                <w:lang w:eastAsia="zh-CN"/>
                <w14:textFill>
                  <w14:solidFill>
                    <w14:schemeClr w14:val="tx1"/>
                  </w14:solidFill>
                </w14:textFill>
              </w:rPr>
              <w:t>磋商</w:t>
            </w:r>
            <w:r>
              <w:rPr>
                <w:rFonts w:hint="eastAsia" w:cs="宋体-18030"/>
                <w:color w:val="000000" w:themeColor="text1"/>
                <w14:textFill>
                  <w14:solidFill>
                    <w14:schemeClr w14:val="tx1"/>
                  </w14:solidFill>
                </w14:textFill>
              </w:rPr>
              <w:t>投标活动及其相关当事人应当接受相关人员依法实施的监督。</w:t>
            </w:r>
          </w:p>
        </w:tc>
      </w:tr>
      <w:tr w14:paraId="3D1E9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4" w:hRule="atLeast"/>
          <w:jc w:val="center"/>
        </w:trPr>
        <w:tc>
          <w:tcPr>
            <w:tcW w:w="982" w:type="dxa"/>
            <w:vAlign w:val="center"/>
          </w:tcPr>
          <w:p w14:paraId="57502E8B">
            <w:pPr>
              <w:snapToGrid w:val="0"/>
              <w:jc w:val="center"/>
              <w:rPr>
                <w:rFonts w:ascii="宋体" w:hAnsi="宋体"/>
                <w:color w:val="000000" w:themeColor="text1"/>
                <w:szCs w:val="21"/>
                <w14:textFill>
                  <w14:solidFill>
                    <w14:schemeClr w14:val="tx1"/>
                  </w14:solidFill>
                </w14:textFill>
              </w:rPr>
            </w:pPr>
            <w:r>
              <w:rPr>
                <w:rFonts w:hint="eastAsia"/>
              </w:rPr>
              <w:t>解释权</w:t>
            </w:r>
          </w:p>
        </w:tc>
        <w:tc>
          <w:tcPr>
            <w:tcW w:w="8967" w:type="dxa"/>
            <w:gridSpan w:val="2"/>
            <w:vAlign w:val="center"/>
          </w:tcPr>
          <w:p w14:paraId="18064263">
            <w:pPr>
              <w:jc w:val="left"/>
              <w:rPr>
                <w:rFonts w:cs="宋体-18030"/>
                <w:b/>
                <w:color w:val="000000" w:themeColor="text1"/>
                <w14:textFill>
                  <w14:solidFill>
                    <w14:schemeClr w14:val="tx1"/>
                  </w14:solidFill>
                </w14:textFill>
              </w:rPr>
            </w:pPr>
            <w:r>
              <w:rPr>
                <w:rFonts w:hint="eastAsia"/>
              </w:rPr>
              <w:t>构成本竞争性磋商文件的各个组成文件应互为解释，互为说明；如有不明确或不一致，构成合同文件组成内容的，以合同文件约定内容为准，且以专用合同条款约定的合同文件优先顺序解释；除竞争性磋商文件中有特别规定外，仅适用于</w:t>
            </w:r>
            <w:r>
              <w:rPr>
                <w:rFonts w:hint="eastAsia"/>
                <w:lang w:eastAsia="zh-CN"/>
              </w:rPr>
              <w:t>磋商</w:t>
            </w:r>
            <w:r>
              <w:rPr>
                <w:rFonts w:hint="eastAsia"/>
              </w:rPr>
              <w:t>投标阶段的规定，按竞争性磋商公告（投标邀请书）、</w:t>
            </w:r>
            <w:r>
              <w:rPr>
                <w:rFonts w:hint="eastAsia"/>
                <w:lang w:eastAsia="zh-CN"/>
              </w:rPr>
              <w:t>供应商</w:t>
            </w:r>
            <w:r>
              <w:rPr>
                <w:rFonts w:hint="eastAsia"/>
              </w:rPr>
              <w:t>须知、评标办法、响应文件格式的先后顺序解释；同一组成文件中就同一事项的规定或约定不一致的，以编排顺序在后者为准；同一组成文件不同版本之间有不一致的，以形成时间在后者为准。按本款前述规定仍不能形成结论的，由</w:t>
            </w:r>
            <w:r>
              <w:rPr>
                <w:rFonts w:hint="eastAsia"/>
                <w:lang w:eastAsia="zh-CN"/>
              </w:rPr>
              <w:t>采购人</w:t>
            </w:r>
            <w:r>
              <w:rPr>
                <w:rFonts w:hint="eastAsia"/>
              </w:rPr>
              <w:t>负责解释。</w:t>
            </w:r>
          </w:p>
        </w:tc>
      </w:tr>
      <w:tr w14:paraId="52F40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9949" w:type="dxa"/>
            <w:gridSpan w:val="3"/>
            <w:vAlign w:val="center"/>
          </w:tcPr>
          <w:p w14:paraId="7C2B2998">
            <w:pPr>
              <w:jc w:val="center"/>
              <w:rPr>
                <w:rFonts w:hint="eastAsia"/>
              </w:rPr>
            </w:pPr>
            <w:bookmarkStart w:id="57" w:name="_Toc469921605"/>
            <w:r>
              <w:rPr>
                <w:sz w:val="24"/>
                <w:highlight w:val="none"/>
              </w:rPr>
              <w:t>项目所属行业为：建筑业</w:t>
            </w:r>
          </w:p>
        </w:tc>
      </w:tr>
    </w:tbl>
    <w:p w14:paraId="788C888E">
      <w:pPr>
        <w:spacing w:beforeLines="29" w:line="360" w:lineRule="auto"/>
        <w:rPr>
          <w:color w:val="000000" w:themeColor="text1"/>
          <w:szCs w:val="21"/>
          <w14:textFill>
            <w14:solidFill>
              <w14:schemeClr w14:val="tx1"/>
            </w14:solidFill>
          </w14:textFill>
        </w:rPr>
      </w:pPr>
      <w:r>
        <w:rPr>
          <w:rFonts w:hint="eastAsia"/>
          <w:b/>
          <w:color w:val="000000" w:themeColor="text1"/>
          <w:szCs w:val="21"/>
          <w14:textFill>
            <w14:solidFill>
              <w14:schemeClr w14:val="tx1"/>
            </w14:solidFill>
          </w14:textFill>
        </w:rPr>
        <w:t>注意事项</w:t>
      </w:r>
      <w:r>
        <w:rPr>
          <w:rFonts w:hint="eastAsia"/>
          <w:color w:val="000000" w:themeColor="text1"/>
          <w:szCs w:val="21"/>
          <w14:textFill>
            <w14:solidFill>
              <w14:schemeClr w14:val="tx1"/>
            </w14:solidFill>
          </w14:textFill>
        </w:rPr>
        <w:t>：</w:t>
      </w:r>
      <w:r>
        <w:rPr>
          <w:rFonts w:hint="eastAsia"/>
          <w:color w:val="000000" w:themeColor="text1"/>
          <w:szCs w:val="21"/>
          <w14:textFill>
            <w14:solidFill>
              <w14:schemeClr w14:val="tx1"/>
            </w14:solidFill>
          </w14:textFill>
        </w:rPr>
        <w:tab/>
      </w:r>
      <w:r>
        <w:rPr>
          <w:rFonts w:hint="eastAsia"/>
          <w:color w:val="000000" w:themeColor="text1"/>
          <w:szCs w:val="21"/>
          <w14:textFill>
            <w14:solidFill>
              <w14:schemeClr w14:val="tx1"/>
            </w14:solidFill>
          </w14:textFill>
        </w:rPr>
        <w:tab/>
      </w:r>
      <w:r>
        <w:rPr>
          <w:rFonts w:hint="eastAsia"/>
          <w:color w:val="000000" w:themeColor="text1"/>
          <w:szCs w:val="21"/>
          <w14:textFill>
            <w14:solidFill>
              <w14:schemeClr w14:val="tx1"/>
            </w14:solidFill>
          </w14:textFill>
        </w:rPr>
        <w:tab/>
      </w:r>
    </w:p>
    <w:p w14:paraId="50CDB8C8">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1、请各</w:t>
      </w:r>
      <w:r>
        <w:rPr>
          <w:rFonts w:hint="eastAsia"/>
          <w:color w:val="000000" w:themeColor="text1"/>
          <w:szCs w:val="21"/>
          <w:lang w:eastAsia="zh-CN"/>
          <w14:textFill>
            <w14:solidFill>
              <w14:schemeClr w14:val="tx1"/>
            </w14:solidFill>
          </w14:textFill>
        </w:rPr>
        <w:t>供应商</w:t>
      </w:r>
      <w:r>
        <w:rPr>
          <w:rFonts w:hint="eastAsia"/>
          <w:color w:val="000000" w:themeColor="text1"/>
          <w:szCs w:val="21"/>
          <w14:textFill>
            <w14:solidFill>
              <w14:schemeClr w14:val="tx1"/>
            </w14:solidFill>
          </w14:textFill>
        </w:rPr>
        <w:t>务必详细阅读本竞争性磋商文件的全部条款，以减少不必要的失误，否则，由此引起的损失或风险由</w:t>
      </w:r>
      <w:r>
        <w:rPr>
          <w:rFonts w:hint="eastAsia"/>
          <w:color w:val="000000" w:themeColor="text1"/>
          <w:szCs w:val="21"/>
          <w:lang w:eastAsia="zh-CN"/>
          <w14:textFill>
            <w14:solidFill>
              <w14:schemeClr w14:val="tx1"/>
            </w14:solidFill>
          </w14:textFill>
        </w:rPr>
        <w:t>供应商</w:t>
      </w:r>
      <w:r>
        <w:rPr>
          <w:rFonts w:hint="eastAsia"/>
          <w:color w:val="000000" w:themeColor="text1"/>
          <w:szCs w:val="21"/>
          <w14:textFill>
            <w14:solidFill>
              <w14:schemeClr w14:val="tx1"/>
            </w14:solidFill>
          </w14:textFill>
        </w:rPr>
        <w:t>自行承担。</w:t>
      </w:r>
    </w:p>
    <w:p w14:paraId="0FD89494">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2、因字迹不清、证明材料复印不清楚等情况，导致响应文件废标或不予计分的，由</w:t>
      </w:r>
      <w:r>
        <w:rPr>
          <w:rFonts w:hint="eastAsia"/>
          <w:color w:val="000000" w:themeColor="text1"/>
          <w:szCs w:val="21"/>
          <w:lang w:eastAsia="zh-CN"/>
          <w14:textFill>
            <w14:solidFill>
              <w14:schemeClr w14:val="tx1"/>
            </w14:solidFill>
          </w14:textFill>
        </w:rPr>
        <w:t>供应商</w:t>
      </w:r>
      <w:r>
        <w:rPr>
          <w:rFonts w:hint="eastAsia"/>
          <w:color w:val="000000" w:themeColor="text1"/>
          <w:szCs w:val="21"/>
          <w14:textFill>
            <w14:solidFill>
              <w14:schemeClr w14:val="tx1"/>
            </w14:solidFill>
          </w14:textFill>
        </w:rPr>
        <w:t>自行承担。</w:t>
      </w:r>
    </w:p>
    <w:p w14:paraId="684704AD">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3、投诉人不得以投诉为名，排挤竞争对手，不得进行虚假、恶意投诉，阻碍</w:t>
      </w:r>
      <w:r>
        <w:rPr>
          <w:rFonts w:hint="eastAsia"/>
          <w:color w:val="000000" w:themeColor="text1"/>
          <w:szCs w:val="21"/>
          <w:lang w:eastAsia="zh-CN"/>
          <w14:textFill>
            <w14:solidFill>
              <w14:schemeClr w14:val="tx1"/>
            </w14:solidFill>
          </w14:textFill>
        </w:rPr>
        <w:t>磋商</w:t>
      </w:r>
      <w:r>
        <w:rPr>
          <w:rFonts w:hint="eastAsia"/>
          <w:color w:val="000000" w:themeColor="text1"/>
          <w:szCs w:val="21"/>
          <w14:textFill>
            <w14:solidFill>
              <w14:schemeClr w14:val="tx1"/>
            </w14:solidFill>
          </w14:textFill>
        </w:rPr>
        <w:t>投标活动的正常进行。</w:t>
      </w:r>
    </w:p>
    <w:p w14:paraId="2C209AC0">
      <w:pPr>
        <w:pageBreakBefore/>
        <w:autoSpaceDE w:val="0"/>
        <w:autoSpaceDN w:val="0"/>
        <w:adjustRightInd w:val="0"/>
        <w:jc w:val="center"/>
        <w:outlineLvl w:val="1"/>
        <w:rPr>
          <w:rFonts w:ascii="宋体" w:hAnsi="宋体"/>
          <w:b/>
          <w:bCs/>
          <w:color w:val="000000" w:themeColor="text1"/>
          <w:kern w:val="44"/>
          <w:sz w:val="28"/>
          <w:szCs w:val="44"/>
          <w14:textFill>
            <w14:solidFill>
              <w14:schemeClr w14:val="tx1"/>
            </w14:solidFill>
          </w14:textFill>
        </w:rPr>
      </w:pPr>
      <w:bookmarkStart w:id="58" w:name="_Toc54258216"/>
      <w:bookmarkStart w:id="59" w:name="_Toc54097192"/>
      <w:bookmarkStart w:id="60" w:name="_Toc53569395"/>
      <w:r>
        <w:rPr>
          <w:rFonts w:hint="eastAsia" w:ascii="宋体" w:hAnsi="宋体"/>
          <w:b/>
          <w:bCs/>
          <w:color w:val="000000" w:themeColor="text1"/>
          <w:kern w:val="44"/>
          <w:sz w:val="36"/>
          <w:szCs w:val="52"/>
          <w14:textFill>
            <w14:solidFill>
              <w14:schemeClr w14:val="tx1"/>
            </w14:solidFill>
          </w14:textFill>
        </w:rPr>
        <w:t>第二章</w:t>
      </w:r>
      <w:r>
        <w:rPr>
          <w:rFonts w:hint="eastAsia" w:ascii="宋体" w:hAnsi="宋体"/>
          <w:b/>
          <w:bCs/>
          <w:color w:val="000000" w:themeColor="text1"/>
          <w:kern w:val="44"/>
          <w:sz w:val="36"/>
          <w:szCs w:val="52"/>
          <w:lang w:eastAsia="zh-CN"/>
          <w14:textFill>
            <w14:solidFill>
              <w14:schemeClr w14:val="tx1"/>
            </w14:solidFill>
          </w14:textFill>
        </w:rPr>
        <w:t>供应商</w:t>
      </w:r>
      <w:r>
        <w:rPr>
          <w:rFonts w:hint="eastAsia" w:ascii="宋体" w:hAnsi="宋体"/>
          <w:b/>
          <w:bCs/>
          <w:color w:val="000000" w:themeColor="text1"/>
          <w:kern w:val="44"/>
          <w:sz w:val="36"/>
          <w:szCs w:val="52"/>
          <w14:textFill>
            <w14:solidFill>
              <w14:schemeClr w14:val="tx1"/>
            </w14:solidFill>
          </w14:textFill>
        </w:rPr>
        <w:t>须知正文</w:t>
      </w:r>
      <w:bookmarkEnd w:id="57"/>
      <w:bookmarkEnd w:id="58"/>
      <w:bookmarkEnd w:id="59"/>
      <w:bookmarkEnd w:id="60"/>
    </w:p>
    <w:p w14:paraId="6B86E9E9">
      <w:pPr>
        <w:pStyle w:val="5"/>
        <w:spacing w:line="240" w:lineRule="auto"/>
        <w:ind w:left="0" w:firstLine="0"/>
        <w:jc w:val="both"/>
        <w:rPr>
          <w:rFonts w:ascii="宋体" w:hAnsi="宋体"/>
          <w:b/>
          <w:iCs/>
          <w:color w:val="000000" w:themeColor="text1"/>
          <w:sz w:val="24"/>
          <w:szCs w:val="24"/>
          <w14:textFill>
            <w14:solidFill>
              <w14:schemeClr w14:val="tx1"/>
            </w14:solidFill>
          </w14:textFill>
        </w:rPr>
      </w:pPr>
      <w:bookmarkStart w:id="61" w:name="_Toc53569396"/>
      <w:bookmarkStart w:id="62" w:name="_Toc54097193"/>
      <w:bookmarkStart w:id="63" w:name="_Toc51855932"/>
      <w:bookmarkStart w:id="64" w:name="_Toc54258217"/>
      <w:bookmarkStart w:id="65" w:name="_Toc293923443"/>
      <w:bookmarkStart w:id="66" w:name="_Toc356288047"/>
      <w:r>
        <w:rPr>
          <w:rFonts w:hint="eastAsia" w:ascii="宋体" w:hAnsi="宋体"/>
          <w:b/>
          <w:iCs/>
          <w:color w:val="000000" w:themeColor="text1"/>
          <w:sz w:val="24"/>
          <w:szCs w:val="24"/>
          <w14:textFill>
            <w14:solidFill>
              <w14:schemeClr w14:val="tx1"/>
            </w14:solidFill>
          </w14:textFill>
        </w:rPr>
        <w:t>1. 总则</w:t>
      </w:r>
      <w:bookmarkEnd w:id="61"/>
      <w:bookmarkEnd w:id="62"/>
      <w:bookmarkEnd w:id="63"/>
      <w:bookmarkEnd w:id="64"/>
      <w:bookmarkEnd w:id="65"/>
      <w:bookmarkEnd w:id="66"/>
    </w:p>
    <w:p w14:paraId="2D46DEE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 项目概况</w:t>
      </w:r>
    </w:p>
    <w:p w14:paraId="19EB2F84">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1.1.1 根据《中华人民共和国政府采购法》等有关法律、法规和规章的规定，本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项目己具备</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条件，现对工程进行</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w:t>
      </w:r>
    </w:p>
    <w:p w14:paraId="7383703D">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1.1.2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EFFA3A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1.1.3 本标段</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53771995">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1.1.4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项目名称、编号：见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F01F79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1.1.5 本标段建设地点：见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C8D4340">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1.2 资金来源和落实情况</w:t>
      </w:r>
    </w:p>
    <w:p w14:paraId="107BCDB3">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1.2.1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项目的资金来源：见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7B02E749">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1.2.2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项目的出资比例：见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71EC86D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1.2.3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项目的资金落实情况：见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696F10F5">
      <w:pPr>
        <w:pStyle w:val="6"/>
        <w:spacing w:line="240" w:lineRule="atLeast"/>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 xml:space="preserve">1.3 </w:t>
      </w:r>
      <w:r>
        <w:rPr>
          <w:rFonts w:hint="eastAsia" w:asciiTheme="majorEastAsia" w:hAnsiTheme="majorEastAsia" w:eastAsiaTheme="majorEastAsia"/>
          <w:color w:val="000000" w:themeColor="text1"/>
          <w:sz w:val="24"/>
          <w:szCs w:val="24"/>
          <w:lang w:eastAsia="zh-CN"/>
          <w14:textFill>
            <w14:solidFill>
              <w14:schemeClr w14:val="tx1"/>
            </w14:solidFill>
          </w14:textFill>
        </w:rPr>
        <w:t>磋商</w:t>
      </w:r>
      <w:r>
        <w:rPr>
          <w:rFonts w:hint="eastAsia" w:asciiTheme="majorEastAsia" w:hAnsiTheme="majorEastAsia" w:eastAsiaTheme="majorEastAsia"/>
          <w:color w:val="000000" w:themeColor="text1"/>
          <w:sz w:val="24"/>
          <w:szCs w:val="24"/>
          <w14:textFill>
            <w14:solidFill>
              <w14:schemeClr w14:val="tx1"/>
            </w14:solidFill>
          </w14:textFill>
        </w:rPr>
        <w:t>范围、计划工期和质量要求</w:t>
      </w:r>
    </w:p>
    <w:p w14:paraId="64407A3B">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1.3.1 本次</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内容、规模、范围：见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18F33B8">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1.3.2 本标段的计划工期：见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5C62867B">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1.3.3 本标段的质量要求：见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77577F89">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 xml:space="preserve">1.4 </w:t>
      </w:r>
      <w:r>
        <w:rPr>
          <w:rFonts w:hint="eastAsia" w:asciiTheme="majorEastAsia" w:hAnsiTheme="majorEastAsia" w:eastAsiaTheme="majorEastAsia"/>
          <w:color w:val="000000" w:themeColor="text1"/>
          <w:sz w:val="24"/>
          <w:szCs w:val="24"/>
          <w:lang w:eastAsia="zh-CN"/>
          <w14:textFill>
            <w14:solidFill>
              <w14:schemeClr w14:val="tx1"/>
            </w14:solidFill>
          </w14:textFill>
        </w:rPr>
        <w:t>供应商</w:t>
      </w:r>
      <w:r>
        <w:rPr>
          <w:rFonts w:hint="eastAsia" w:asciiTheme="majorEastAsia" w:hAnsiTheme="majorEastAsia" w:eastAsiaTheme="majorEastAsia"/>
          <w:color w:val="000000" w:themeColor="text1"/>
          <w:sz w:val="24"/>
          <w:szCs w:val="24"/>
          <w14:textFill>
            <w14:solidFill>
              <w14:schemeClr w14:val="tx1"/>
            </w14:solidFill>
          </w14:textFill>
        </w:rPr>
        <w:t>资格要求</w:t>
      </w:r>
    </w:p>
    <w:p w14:paraId="3BF61D96">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1.4.1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应具备承担本工程的资质条件、能力和信誉：见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1F6E7256">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1.4.2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须知前附表规定接受联合体投标的，除应符合本章第1.4.1项和</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须知前附表的要求外，还应遵守下列规定：</w:t>
      </w:r>
    </w:p>
    <w:p w14:paraId="08F2F6C8">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（1）联合体各方应按照竞争性磋商文件提供的格式签订联合体协议书，明确联合体牵头人和各方权利义务；</w:t>
      </w:r>
    </w:p>
    <w:p w14:paraId="002756C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（2）由同一专业的单位组成的联合体，按照资质等级较低的单位确定资质等级；</w:t>
      </w:r>
    </w:p>
    <w:p w14:paraId="7D0F129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（3）联合体各方不得再以自己的名义单独或参加其他联合体在同一标段中投标。</w:t>
      </w:r>
    </w:p>
    <w:p w14:paraId="56FC2210">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1.4.3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不得存在下列情形之一：</w:t>
      </w:r>
    </w:p>
    <w:p w14:paraId="74FC96C0">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(1)为</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不具有独立法人资格的附属机构(单位)；</w:t>
      </w:r>
    </w:p>
    <w:p w14:paraId="2E51E7E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(2)为本标段前期准备提供设计或咨询服务的，但设计施工总承包的除外；</w:t>
      </w:r>
    </w:p>
    <w:p w14:paraId="2BF2375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(3)为本标段的监理人；</w:t>
      </w:r>
    </w:p>
    <w:p w14:paraId="5EDDE8F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(4)为本标段的代建人；</w:t>
      </w:r>
    </w:p>
    <w:p w14:paraId="23E92829">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(5)为本标段提供</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代理服务的；</w:t>
      </w:r>
    </w:p>
    <w:p w14:paraId="4405AF43">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(6)与本标段的监理人或代建人或</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同为一个法定代表人的；</w:t>
      </w:r>
    </w:p>
    <w:p w14:paraId="5F736572">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(7)与本标段的监理人或代建人或</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相互控股或参股的；</w:t>
      </w:r>
    </w:p>
    <w:p w14:paraId="64D71513">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(8)与本标段的监理人或代建人或</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相互任职或工作的；</w:t>
      </w:r>
    </w:p>
    <w:p w14:paraId="3F456E4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(9)被责令停业的；</w:t>
      </w:r>
    </w:p>
    <w:p w14:paraId="50373F6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(10)被暂停或取消投标资格的；</w:t>
      </w:r>
    </w:p>
    <w:p w14:paraId="3DDFC088">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(11)财产被接管或冻结的：</w:t>
      </w:r>
    </w:p>
    <w:p w14:paraId="4233EF0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(12)在最近三年内有骗取</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或严重违约或重大工程质量问题的。</w:t>
      </w:r>
    </w:p>
    <w:p w14:paraId="0A47BED2">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1.5 费用承担</w:t>
      </w:r>
    </w:p>
    <w:p w14:paraId="4494DEA9">
      <w:pPr>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准备和参加投标活动发生的费用自理。</w:t>
      </w:r>
    </w:p>
    <w:p w14:paraId="4AD77AEC">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1.6 保密</w:t>
      </w:r>
    </w:p>
    <w:p w14:paraId="0BC349D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参与</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投标活动的各方应对竞争性磋商文件和响应文件中的商业和技术等秘密保密，违者应对由此造成的后果承担法律责任。</w:t>
      </w:r>
    </w:p>
    <w:p w14:paraId="419AF441">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1.7 语言文字</w:t>
      </w:r>
    </w:p>
    <w:p w14:paraId="3CF3386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除专用术语外，与</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投标有关的语言均使用中文。必要时专用术语应附有中文注释。</w:t>
      </w:r>
    </w:p>
    <w:p w14:paraId="1D00216E">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1.8 计量单位</w:t>
      </w:r>
    </w:p>
    <w:p w14:paraId="4189ACA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所有计量均采用中华人民共和国法定计量单位。</w:t>
      </w:r>
    </w:p>
    <w:p w14:paraId="4B982EE5">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1.9 踏勘现场</w:t>
      </w:r>
    </w:p>
    <w:p w14:paraId="0399090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1.9.1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须知前附表规定组织踏勘现场的，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须知前附表规定的时间、地点组织</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踏勘项目现场。</w:t>
      </w:r>
    </w:p>
    <w:p w14:paraId="708618E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1.9.2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踏勘现场发生的费用自理。</w:t>
      </w:r>
    </w:p>
    <w:p w14:paraId="3C1925B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1.9.3 除</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的原因外，</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自行负责在踏勘现场中所发生的人员伤亡和财产损失。</w:t>
      </w:r>
    </w:p>
    <w:p w14:paraId="16AA253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1.9.4 </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在踏勘现场中介绍的工程场地和相关的周边环境情况，供</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在编制响应文件时参考，</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不对</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据此作出的判断和决策负责。</w:t>
      </w:r>
    </w:p>
    <w:p w14:paraId="5413BA6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1.10 投标预备会</w:t>
      </w:r>
    </w:p>
    <w:p w14:paraId="383292C7">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1.10.1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须知前附表规定召开投标预备会的，</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按</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须知前附表规定的时间和地点召开投标预备会，澄清</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提出的问题。</w:t>
      </w:r>
    </w:p>
    <w:p w14:paraId="67FD8BD2">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1.10.2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应在</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须知前附表规定的时间前，以书面形式将提出的问题送达</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，以便</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在会议期间澄清。</w:t>
      </w:r>
    </w:p>
    <w:p w14:paraId="5CE764E9">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1.10.3 投标预备会后，</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在</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须知前附表规定的时间内，将对</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所提问题的澄清，以书面形式通知所有获取竞争性磋商文件的</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。该澄清内容为竞争性磋商文件的组成部分。</w:t>
      </w:r>
    </w:p>
    <w:p w14:paraId="68894A9B">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1.11 分包</w:t>
      </w:r>
    </w:p>
    <w:p w14:paraId="6CC78F4B">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拟在</w:t>
      </w:r>
      <w:r>
        <w:rPr>
          <w:rFonts w:hint="eastAsia"/>
          <w:color w:val="000000" w:themeColor="text1"/>
          <w:sz w:val="24"/>
          <w:lang w:eastAsia="zh-CN"/>
          <w14:textFill>
            <w14:solidFill>
              <w14:schemeClr w14:val="tx1"/>
            </w14:solidFill>
          </w14:textFill>
        </w:rPr>
        <w:t>成交</w:t>
      </w:r>
      <w:r>
        <w:rPr>
          <w:rFonts w:hint="eastAsia"/>
          <w:color w:val="000000" w:themeColor="text1"/>
          <w:sz w:val="24"/>
          <w14:textFill>
            <w14:solidFill>
              <w14:schemeClr w14:val="tx1"/>
            </w14:solidFill>
          </w14:textFill>
        </w:rPr>
        <w:t>后将</w:t>
      </w:r>
      <w:r>
        <w:rPr>
          <w:rFonts w:hint="eastAsia"/>
          <w:color w:val="000000" w:themeColor="text1"/>
          <w:sz w:val="24"/>
          <w:lang w:eastAsia="zh-CN"/>
          <w14:textFill>
            <w14:solidFill>
              <w14:schemeClr w14:val="tx1"/>
            </w14:solidFill>
          </w14:textFill>
        </w:rPr>
        <w:t>成交</w:t>
      </w:r>
      <w:r>
        <w:rPr>
          <w:rFonts w:hint="eastAsia"/>
          <w:color w:val="000000" w:themeColor="text1"/>
          <w:sz w:val="24"/>
          <w14:textFill>
            <w14:solidFill>
              <w14:schemeClr w14:val="tx1"/>
            </w14:solidFill>
          </w14:textFill>
        </w:rPr>
        <w:t>项目的部分非主体、非关键性工作进行分包的，应符合</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须知前附表规定的分包内容、分包金额和接受分包的第三人资质要求等限制性条件。</w:t>
      </w:r>
    </w:p>
    <w:p w14:paraId="5232C884">
      <w:pPr>
        <w:pStyle w:val="6"/>
        <w:spacing w:line="36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1.12 偏离</w:t>
      </w:r>
    </w:p>
    <w:p w14:paraId="2BA89973">
      <w:pPr>
        <w:spacing w:line="360" w:lineRule="auto"/>
        <w:ind w:firstLine="480" w:firstLineChars="200"/>
        <w:rPr>
          <w:color w:val="000000" w:themeColor="text1"/>
          <w:sz w:val="24"/>
          <w14:textFill>
            <w14:solidFill>
              <w14:schemeClr w14:val="tx1"/>
            </w14:solidFill>
          </w14:textFill>
        </w:rPr>
      </w:pPr>
      <w:bookmarkStart w:id="67" w:name="_Toc51855933"/>
      <w:bookmarkStart w:id="68" w:name="_Toc54258218"/>
      <w:bookmarkStart w:id="69" w:name="_Toc53569397"/>
      <w:bookmarkStart w:id="70" w:name="_Toc54097194"/>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须知前附表允许响应文件偏离竞争性磋商文件某些要求的，偏离应当符合竞争性磋商文件规定的偏离范围和幅度。</w:t>
      </w:r>
    </w:p>
    <w:p w14:paraId="3A1C8A58">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2.</w:t>
      </w:r>
      <w:bookmarkEnd w:id="67"/>
      <w:bookmarkEnd w:id="68"/>
      <w:bookmarkEnd w:id="69"/>
      <w:bookmarkEnd w:id="70"/>
      <w:r>
        <w:rPr>
          <w:rFonts w:hint="eastAsia" w:asciiTheme="majorEastAsia" w:hAnsiTheme="majorEastAsia" w:eastAsiaTheme="majorEastAsia"/>
          <w:b/>
          <w:color w:val="000000" w:themeColor="text1"/>
          <w:sz w:val="24"/>
          <w:szCs w:val="24"/>
          <w14:textFill>
            <w14:solidFill>
              <w14:schemeClr w14:val="tx1"/>
            </w14:solidFill>
          </w14:textFill>
        </w:rPr>
        <w:t>竞争性磋商文件</w:t>
      </w:r>
    </w:p>
    <w:p w14:paraId="07596E5A">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2.1 竞争性磋商文件的组成</w:t>
      </w:r>
    </w:p>
    <w:p w14:paraId="6DC4599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本竞争性磋商文件包括：</w:t>
      </w:r>
    </w:p>
    <w:p w14:paraId="2E1C8E9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(1)竞争性磋商公告；</w:t>
      </w:r>
    </w:p>
    <w:p w14:paraId="120789C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须知正文；</w:t>
      </w:r>
    </w:p>
    <w:p w14:paraId="00EA281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(3)评标办法；</w:t>
      </w:r>
    </w:p>
    <w:p w14:paraId="66C265C5">
      <w:pPr>
        <w:spacing w:line="360" w:lineRule="auto"/>
        <w:ind w:firstLine="480" w:firstLineChars="200"/>
        <w:rPr>
          <w:color w:val="000000" w:themeColor="text1"/>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(4)合同条款及格式；</w:t>
      </w:r>
    </w:p>
    <w:p w14:paraId="1D00651C">
      <w:pPr>
        <w:spacing w:line="360" w:lineRule="auto"/>
        <w:ind w:firstLine="480" w:firstLineChars="200"/>
        <w:rPr>
          <w:rFonts w:eastAsiaTheme="minorEastAsia"/>
        </w:rPr>
      </w:pPr>
      <w:r>
        <w:rPr>
          <w:rFonts w:hint="eastAsia" w:asciiTheme="minorEastAsia" w:hAnsiTheme="minorEastAsia" w:eastAsiaTheme="minorEastAsia"/>
          <w:color w:val="000000" w:themeColor="text1"/>
          <w:sz w:val="24"/>
          <w14:textFill>
            <w14:solidFill>
              <w14:schemeClr w14:val="tx1"/>
            </w14:solidFill>
          </w14:textFill>
        </w:rPr>
        <w:t>(5)工程量清单;</w:t>
      </w:r>
    </w:p>
    <w:p w14:paraId="0D1DB82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(6)图纸；</w:t>
      </w:r>
    </w:p>
    <w:p w14:paraId="7443598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(7)技术标准和要求；</w:t>
      </w:r>
    </w:p>
    <w:p w14:paraId="6937AE0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(8)响应文件格式；</w:t>
      </w:r>
    </w:p>
    <w:p w14:paraId="497EC25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根据本章第1.10款、第2.2款和第2.3款对竞争性磋商文件所作的澄清、修改，构成</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件的组成部分。</w:t>
      </w:r>
    </w:p>
    <w:p w14:paraId="57AB486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2.2 竞争性磋商文件的澄清</w:t>
      </w:r>
    </w:p>
    <w:p w14:paraId="46C72E3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2.2.1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应仔细阅读和检查竞争性磋商文件的全部内容。如发现缺页或附件不全，应及时向</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提出，以便补齐。如有疑问，应在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须知前附表规定的时间前以书面形式 (包括信函、电报、传真等可以有形地表现所载内容的形式，下同)，要求</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对竞争性磋商文件予以澄清。</w:t>
      </w:r>
    </w:p>
    <w:p w14:paraId="3B9335D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2.2.2 竞争性磋商文件的澄清将在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须知前附表规定的投标截止时间15天前以书面形式发给所有获取竞争性磋商文件的</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，但不指明澄清问题的来源。如果澄清发出的时间距投标截止时间不足15天，相应延长投标截止时间。</w:t>
      </w:r>
    </w:p>
    <w:p w14:paraId="23C4779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2.2.3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在收到澄清后，应在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须知前附表规定的时间内以书面形式通知</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，确认已收到该澄清。</w:t>
      </w:r>
    </w:p>
    <w:p w14:paraId="0DDC8CF0">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2.3 竞争性磋商文件的修改</w:t>
      </w:r>
    </w:p>
    <w:p w14:paraId="695E0BF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2.3.1在投标截止时间15天前，</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可以书面形式修改竞争性磋商文件，并通知所有已获取竞争性磋商文件的</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。如果修改竞争性磋商文件的时间距投标截止时间不足15天，相应延长投标截止时间。</w:t>
      </w:r>
    </w:p>
    <w:p w14:paraId="5A3844C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2.3.2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收到修改内容后，应在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须知前附表规定的时间内以书面形式通知</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，确认已收到该修改。</w:t>
      </w:r>
    </w:p>
    <w:p w14:paraId="63142841">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71" w:name="_Toc54097195"/>
      <w:bookmarkStart w:id="72" w:name="_Toc54258219"/>
      <w:bookmarkStart w:id="73" w:name="_Toc51855934"/>
      <w:bookmarkStart w:id="74" w:name="_Toc53569398"/>
      <w:r>
        <w:rPr>
          <w:rFonts w:hint="eastAsia" w:asciiTheme="majorEastAsia" w:hAnsiTheme="majorEastAsia" w:eastAsiaTheme="majorEastAsia"/>
          <w:b/>
          <w:color w:val="000000" w:themeColor="text1"/>
          <w:sz w:val="24"/>
          <w:szCs w:val="24"/>
          <w14:textFill>
            <w14:solidFill>
              <w14:schemeClr w14:val="tx1"/>
            </w14:solidFill>
          </w14:textFill>
        </w:rPr>
        <w:t>3.</w:t>
      </w:r>
      <w:bookmarkEnd w:id="71"/>
      <w:bookmarkEnd w:id="72"/>
      <w:bookmarkEnd w:id="73"/>
      <w:bookmarkEnd w:id="74"/>
      <w:r>
        <w:rPr>
          <w:rFonts w:hint="eastAsia" w:asciiTheme="majorEastAsia" w:hAnsiTheme="majorEastAsia" w:eastAsiaTheme="majorEastAsia"/>
          <w:b/>
          <w:color w:val="000000" w:themeColor="text1"/>
          <w:sz w:val="24"/>
          <w:szCs w:val="24"/>
          <w14:textFill>
            <w14:solidFill>
              <w14:schemeClr w14:val="tx1"/>
            </w14:solidFill>
          </w14:textFill>
        </w:rPr>
        <w:t>响应文件</w:t>
      </w:r>
    </w:p>
    <w:p w14:paraId="3CE61C25">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3.1 响应文件的组成</w:t>
      </w:r>
    </w:p>
    <w:p w14:paraId="083645B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3.1.1 响应文件应包括下列内容：</w:t>
      </w:r>
    </w:p>
    <w:p w14:paraId="779B5681">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(1)投标函；</w:t>
      </w:r>
    </w:p>
    <w:p w14:paraId="7F3E33F8">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(2)法定代表人身份证明或附有法定代表人身份证明的授权委托书；</w:t>
      </w:r>
    </w:p>
    <w:p w14:paraId="77343632">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(3)磋商保证金；</w:t>
      </w:r>
    </w:p>
    <w:p w14:paraId="62C2E437">
      <w:pPr>
        <w:spacing w:line="360" w:lineRule="auto"/>
        <w:ind w:firstLine="480" w:firstLineChars="200"/>
        <w:rPr>
          <w:color w:val="000000" w:themeColor="text1"/>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w:t>
      </w:r>
      <w:r>
        <w:rPr>
          <w:rFonts w:hint="eastAsia" w:asciiTheme="minorEastAsia" w:hAnsiTheme="minorEastAsia" w:eastAsiaTheme="minorEastAsia"/>
          <w:color w:val="000000" w:themeColor="text1"/>
          <w:sz w:val="24"/>
          <w:lang w:eastAsia="zh-CN"/>
          <w14:textFill>
            <w14:solidFill>
              <w14:schemeClr w14:val="tx1"/>
            </w14:solidFill>
          </w14:textFill>
        </w:rPr>
        <w:t>报价</w:t>
      </w:r>
      <w:r>
        <w:rPr>
          <w:rFonts w:hint="eastAsia" w:asciiTheme="minorEastAsia" w:hAnsiTheme="minorEastAsia" w:eastAsiaTheme="minorEastAsia"/>
          <w:color w:val="000000" w:themeColor="text1"/>
          <w:sz w:val="24"/>
          <w14:textFill>
            <w14:solidFill>
              <w14:schemeClr w14:val="tx1"/>
            </w14:solidFill>
          </w14:textFill>
        </w:rPr>
        <w:t>一览表；</w:t>
      </w:r>
    </w:p>
    <w:p w14:paraId="7E80E26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(5)已标价的工程量清单；</w:t>
      </w:r>
    </w:p>
    <w:p w14:paraId="6871FEC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(6)施工组织设计；</w:t>
      </w:r>
    </w:p>
    <w:p w14:paraId="32A5ECC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(7)项目管理机构；</w:t>
      </w:r>
    </w:p>
    <w:p w14:paraId="4338C7C3">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(8)资格审查资料；</w:t>
      </w:r>
    </w:p>
    <w:p w14:paraId="69DCA942">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(9)</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须知前附表规定的其他材料。</w:t>
      </w:r>
    </w:p>
    <w:p w14:paraId="053E19C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3.1.2</w:t>
      </w:r>
      <w:r>
        <w:rPr>
          <w:rFonts w:hint="eastAsia" w:ascii="宋体" w:hAnsi="宋体" w:cs="宋体" w:eastAsiaTheme="minorEastAsia"/>
          <w:kern w:val="0"/>
          <w:sz w:val="24"/>
          <w:lang w:eastAsia="zh-CN"/>
        </w:rPr>
        <w:t>供应商</w:t>
      </w:r>
      <w:r>
        <w:rPr>
          <w:rFonts w:hint="eastAsia" w:ascii="宋体" w:hAnsi="宋体" w:cs="宋体"/>
          <w:kern w:val="0"/>
          <w:sz w:val="24"/>
        </w:rPr>
        <w:t>须知前附表规定不接受联合体投标的，或</w:t>
      </w:r>
      <w:r>
        <w:rPr>
          <w:rFonts w:hint="eastAsia" w:ascii="宋体" w:hAnsi="宋体" w:cs="宋体"/>
          <w:kern w:val="0"/>
          <w:sz w:val="24"/>
          <w:lang w:eastAsia="zh-CN"/>
        </w:rPr>
        <w:t>供应商</w:t>
      </w:r>
      <w:r>
        <w:rPr>
          <w:rFonts w:hint="eastAsia" w:ascii="宋体" w:hAnsi="宋体" w:cs="宋体"/>
          <w:kern w:val="0"/>
          <w:sz w:val="24"/>
        </w:rPr>
        <w:t>没有组成联合体的，响应文件不包括响应文件格式中所指的“联合体协议书”。</w:t>
      </w:r>
    </w:p>
    <w:p w14:paraId="5C3B5F40">
      <w:pPr>
        <w:spacing w:line="360" w:lineRule="auto"/>
        <w:rPr>
          <w:rFonts w:asciiTheme="majorEastAsia" w:hAnsiTheme="majorEastAsia" w:eastAsiaTheme="majorEastAsia"/>
          <w:b/>
          <w:bCs/>
          <w:color w:val="000000" w:themeColor="text1"/>
          <w:sz w:val="24"/>
          <w14:textFill>
            <w14:solidFill>
              <w14:schemeClr w14:val="tx1"/>
            </w14:solidFill>
          </w14:textFill>
        </w:rPr>
      </w:pPr>
      <w:r>
        <w:rPr>
          <w:rFonts w:hint="eastAsia" w:asciiTheme="majorEastAsia" w:hAnsiTheme="majorEastAsia" w:eastAsiaTheme="majorEastAsia"/>
          <w:b/>
          <w:bCs/>
          <w:color w:val="000000" w:themeColor="text1"/>
          <w:sz w:val="24"/>
          <w14:textFill>
            <w14:solidFill>
              <w14:schemeClr w14:val="tx1"/>
            </w14:solidFill>
          </w14:textFill>
        </w:rPr>
        <w:t>3.2 投标报价</w:t>
      </w:r>
    </w:p>
    <w:p w14:paraId="6F1CD4E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3.2.1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应按第五章“工程量清单”的要求填写相应表格。</w:t>
      </w:r>
    </w:p>
    <w:p w14:paraId="5E65670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3.2.2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在投标截止时间前修改投标函中的投标总报价，应同时修改第五章“已标价的工程量清单”中的相应报价。此修改须符合本章第4.3款的有关要求。</w:t>
      </w:r>
    </w:p>
    <w:p w14:paraId="526726F9">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3.3 投标有效期</w:t>
      </w:r>
    </w:p>
    <w:p w14:paraId="234AFE0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3.3.1 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须知前附表规定的投标有效期内，</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不得要求撤销或修改其响应文件。</w:t>
      </w:r>
    </w:p>
    <w:p w14:paraId="1F366C8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3.3.2 出现特殊情况需要延长投标有效期的，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以书面形式通知所有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延长投标有效期。</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同意延长的，应相应延长其磋商保证金的有效期，但不得要求或被允许修改或撤销其响应文件；</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拒绝延长的，其投标失效，但</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有权收回其磋商保证金。</w:t>
      </w:r>
    </w:p>
    <w:p w14:paraId="4021C5F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3.4 磋商保证金</w:t>
      </w:r>
    </w:p>
    <w:p w14:paraId="5DF7E3B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3.4.1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在递交响应文件的同时，应按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须知前附表规定的金额、担保形式和第八章“响应文件格式”规定的磋商保证金格式递交磋商保证金，并作为其响应文件的组成部分。联合体投标的，其磋商保证金由牵头人递交，并应符合</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须知前附表的规定。</w:t>
      </w:r>
    </w:p>
    <w:p w14:paraId="270B187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3.4.2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不按本章第3.4.1项要求提交磋商保证金的，其响应文件作废标处理。</w:t>
      </w:r>
    </w:p>
    <w:p w14:paraId="55FFE3D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3.4.3 除因处理异议、投诉等原因外，在公示期结束后5日内退还未</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人的磋商保证金；在</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与</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人签订合同后5个工作日内，向</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人退还磋商保证金。</w:t>
      </w:r>
    </w:p>
    <w:p w14:paraId="00B749D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3.4.4 有下列情形之一的，磋商保证金将不予退还：</w:t>
      </w:r>
    </w:p>
    <w:p w14:paraId="799E3C53">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在规定的投标有效期内撤销或修改其响应文件；</w:t>
      </w:r>
    </w:p>
    <w:p w14:paraId="61C8093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人在收到</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通知书后，无正当理由拒签合同协议书或未按竞争性磋商文件规定提交履约担保；</w:t>
      </w:r>
    </w:p>
    <w:p w14:paraId="4B2F832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(3)发生</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须知前附表规定的其他可以不予退还保证金的情形。</w:t>
      </w:r>
    </w:p>
    <w:p w14:paraId="4BC8CF1F">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3.5 资格审查资料</w:t>
      </w:r>
    </w:p>
    <w:p w14:paraId="1682E9E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基本情况表”应附</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营业执照副本及其年检合格的证明材料、资质证书副本和安全生产许可证等材料的复印件。</w:t>
      </w:r>
    </w:p>
    <w:p w14:paraId="19E4338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3.5.2 “近年财务状况表”应附经会计师事务所或审计机构审计的财务会计报表，包括资产负债表、现金流量表、利润表和财务情况说明书的复印件，具体年份要求见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69789C6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3.5.3 “近年完成的类似项目情况表”应附</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通知书和(或)合同协议书、工程接收证书(工程竣工验收证书)、证明文件的复印件，具体年份要求见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须知前附表。每张表格只填写一个项目，并标明序号。</w:t>
      </w:r>
    </w:p>
    <w:p w14:paraId="67E949A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3.5.4 “正在施工和新承接的项目情况表”应附</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通知书和(或)合同协议书复印件。每张表格只填写一个项目，并标明序号。</w:t>
      </w:r>
    </w:p>
    <w:p w14:paraId="62DE988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3.5.5 “近年发生的诉讼及仲裁情况”应说明相关情况，并附法院或仲裁机构作出的判决、裁决等有关法律文书复印件，具体年份要求见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00F5D82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3.5.6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须知前附表规定接受联合体投标的，本章第3.5.1项至第3.5.5项规定的表格和资料应包括联合体各方相关情况。</w:t>
      </w:r>
    </w:p>
    <w:p w14:paraId="3A0F585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3.6 备选投标方案</w:t>
      </w:r>
    </w:p>
    <w:p w14:paraId="110C812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宋体" w:hAnsi="宋体"/>
          <w:sz w:val="24"/>
        </w:rPr>
        <w:t>除</w:t>
      </w:r>
      <w:r>
        <w:rPr>
          <w:rFonts w:hint="eastAsia" w:ascii="宋体" w:hAnsi="宋体"/>
          <w:sz w:val="24"/>
          <w:lang w:eastAsia="zh-CN"/>
        </w:rPr>
        <w:t>供应商</w:t>
      </w:r>
      <w:r>
        <w:rPr>
          <w:rFonts w:hint="eastAsia" w:ascii="宋体" w:hAnsi="宋体"/>
          <w:sz w:val="24"/>
        </w:rPr>
        <w:t>须知前附表另有规定外，</w:t>
      </w:r>
      <w:r>
        <w:rPr>
          <w:rFonts w:hint="eastAsia" w:ascii="宋体" w:hAnsi="宋体"/>
          <w:sz w:val="24"/>
          <w:lang w:eastAsia="zh-CN"/>
        </w:rPr>
        <w:t>供应商</w:t>
      </w:r>
      <w:r>
        <w:rPr>
          <w:rFonts w:hint="eastAsia" w:ascii="宋体" w:hAnsi="宋体"/>
          <w:sz w:val="24"/>
        </w:rPr>
        <w:t>不得递交备选投标方案。允许</w:t>
      </w:r>
      <w:r>
        <w:rPr>
          <w:rFonts w:hint="eastAsia" w:ascii="宋体" w:hAnsi="宋体"/>
          <w:sz w:val="24"/>
          <w:lang w:eastAsia="zh-CN"/>
        </w:rPr>
        <w:t>供应商</w:t>
      </w:r>
      <w:r>
        <w:rPr>
          <w:rFonts w:hint="eastAsia" w:ascii="宋体" w:hAnsi="宋体"/>
          <w:sz w:val="24"/>
        </w:rPr>
        <w:t>递交备选投标方案的，只有</w:t>
      </w:r>
      <w:r>
        <w:rPr>
          <w:rFonts w:hint="eastAsia" w:ascii="宋体" w:hAnsi="宋体"/>
          <w:sz w:val="24"/>
          <w:lang w:eastAsia="zh-CN"/>
        </w:rPr>
        <w:t>成交</w:t>
      </w:r>
      <w:r>
        <w:rPr>
          <w:rFonts w:hint="eastAsia" w:ascii="宋体" w:hAnsi="宋体"/>
          <w:sz w:val="24"/>
        </w:rPr>
        <w:t>人所递交的备选投标方案方可予以考虑。评标委员会认为</w:t>
      </w:r>
      <w:r>
        <w:rPr>
          <w:rFonts w:hint="eastAsia" w:ascii="宋体" w:hAnsi="宋体"/>
          <w:sz w:val="24"/>
          <w:lang w:eastAsia="zh-CN"/>
        </w:rPr>
        <w:t>成交</w:t>
      </w:r>
      <w:r>
        <w:rPr>
          <w:rFonts w:hint="eastAsia" w:ascii="宋体" w:hAnsi="宋体"/>
          <w:sz w:val="24"/>
        </w:rPr>
        <w:t>人的各选投标方案优于其按照竞争性磋商文件要求编制的投标方案的，</w:t>
      </w:r>
      <w:r>
        <w:rPr>
          <w:rFonts w:hint="eastAsia" w:ascii="宋体" w:hAnsi="宋体"/>
          <w:sz w:val="24"/>
          <w:lang w:eastAsia="zh-CN"/>
        </w:rPr>
        <w:t>采购人</w:t>
      </w:r>
      <w:r>
        <w:rPr>
          <w:rFonts w:hint="eastAsia" w:ascii="宋体" w:hAnsi="宋体"/>
          <w:sz w:val="24"/>
        </w:rPr>
        <w:t>可以接受该备选投标方案。</w:t>
      </w:r>
    </w:p>
    <w:p w14:paraId="3DF8FF8F">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3.7 响应文件的编制</w:t>
      </w:r>
    </w:p>
    <w:p w14:paraId="137BDE6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3.7.1 响应文件应按第八章“响应文件格式”进行编写，并在文件中填写目录与页码，如有必要，可以增加附页，作为响应文件的组成部分。其中，投标函附录在满足竞争性磋商文件实质性要求的基础上，可以提出比竞争性磋商文件要求更有利于</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的承诺。</w:t>
      </w:r>
    </w:p>
    <w:p w14:paraId="76DC5D9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3.7.2 响应文件应当对竞争性磋商文件有关工期、投标有效期、质量要求、技术标准和要求、</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范围等实质性内容作出响应。</w:t>
      </w:r>
    </w:p>
    <w:p w14:paraId="313FA61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3.7.3 响应文件应用不褪色的材料书写或打印，并由</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的法定代表人或其委托代理人签字或盖单位章。委托代理人签字的，响应文件应附法定代表人签署的授权委托书。响应文件应尽量避免涂改、行间插字或删除。如果出现上述情况，改动之处应加盖单位章或由</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的法定代表人或其授权的代理人签字确认。签字或盖章的具体要求见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14F933A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3.7.4 响应文件正本一份，副本份数见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须知前附表。正本和副本的封面上应清楚地标记“正本”或“副本”的字样。当副本和正本不一致时，以正本为准。</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应根据</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须知前附表要求提供电子版文件。</w:t>
      </w:r>
    </w:p>
    <w:p w14:paraId="295B362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3.7.5 响应文件的正本与副本应分别装订成册，并编制目录，具体装订要求见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w:t>
      </w:r>
    </w:p>
    <w:p w14:paraId="553BE678">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75" w:name="_Toc54097196"/>
      <w:bookmarkStart w:id="76" w:name="_Toc54258220"/>
      <w:bookmarkStart w:id="77" w:name="_Toc51855935"/>
      <w:bookmarkStart w:id="78" w:name="_Toc53569399"/>
      <w:r>
        <w:rPr>
          <w:rFonts w:hint="eastAsia" w:asciiTheme="majorEastAsia" w:hAnsiTheme="majorEastAsia" w:eastAsiaTheme="majorEastAsia"/>
          <w:b/>
          <w:color w:val="000000" w:themeColor="text1"/>
          <w:sz w:val="24"/>
          <w:szCs w:val="24"/>
          <w14:textFill>
            <w14:solidFill>
              <w14:schemeClr w14:val="tx1"/>
            </w14:solidFill>
          </w14:textFill>
        </w:rPr>
        <w:t>4.投标</w:t>
      </w:r>
      <w:bookmarkEnd w:id="75"/>
      <w:bookmarkEnd w:id="76"/>
      <w:bookmarkEnd w:id="77"/>
      <w:bookmarkEnd w:id="78"/>
    </w:p>
    <w:p w14:paraId="26F85BC0">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4.1 响应文件的密封和标记</w:t>
      </w:r>
    </w:p>
    <w:p w14:paraId="124125B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4.1.1 响应文件的正本与副本应合并包装，加贴封条，并在封套的封口处加盖</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单位章，封套上应写明的其他内容见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538A44B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4.1.2 响应文件的封皮上应清楚地标记“正本”或“副本”字样。</w:t>
      </w:r>
    </w:p>
    <w:p w14:paraId="75D9C3E8">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4.1.3 未按本章第4.1.1项或第4.1.2项要求密封和加写标记的响应文件，</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不予受理。</w:t>
      </w:r>
    </w:p>
    <w:p w14:paraId="2F549B7C">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4.2 响应文件的递交</w:t>
      </w:r>
    </w:p>
    <w:p w14:paraId="0A28237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4.2.1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应在本章第2.2.2项规定的投标截止时间前递交响应文件。</w:t>
      </w:r>
    </w:p>
    <w:p w14:paraId="5097B90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4.2.2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递交响应文件的地点：见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4B0B91B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4.2.3 除</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须知前附表另有规定外，</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所递交的响应文件不予退还。</w:t>
      </w:r>
    </w:p>
    <w:p w14:paraId="3969BD5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4.2.4 </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收到响应文件后，向</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出具签收凭证。</w:t>
      </w:r>
    </w:p>
    <w:p w14:paraId="7C087DC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4.2.5 逾期送达的或者未送达指定地点的响应文件，</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不予受理。</w:t>
      </w:r>
    </w:p>
    <w:p w14:paraId="213F0F7A">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4.3 响应文件的修改与撤回</w:t>
      </w:r>
    </w:p>
    <w:p w14:paraId="63420D6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4.3.1 在本章第2.2.2项规定的投标截止时间前，</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可以修改或撤回已递交的响应文件，但应以书面形式通知</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w:t>
      </w:r>
    </w:p>
    <w:p w14:paraId="12A2C9E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4.3.2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修改或撤回已递交响应文件的书面通知应按照本章第3.7.3项的要求签字或盖章。</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收到书面通知后，向</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出具签收凭证。</w:t>
      </w:r>
    </w:p>
    <w:p w14:paraId="79E9FD4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4.3.3 修改的内容为响应文件的组成部分。修改的响应文件应按照本章第3条、第4条规定进行编制、密封、标记和递交，并标明“修改”字样。</w:t>
      </w:r>
    </w:p>
    <w:p w14:paraId="781362DD">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79" w:name="_Toc51855936"/>
      <w:bookmarkStart w:id="80" w:name="_Toc54097197"/>
      <w:bookmarkStart w:id="81" w:name="_Toc54258221"/>
      <w:bookmarkStart w:id="82" w:name="_Toc53569400"/>
      <w:r>
        <w:rPr>
          <w:rFonts w:hint="eastAsia" w:asciiTheme="majorEastAsia" w:hAnsiTheme="majorEastAsia" w:eastAsiaTheme="majorEastAsia"/>
          <w:b/>
          <w:color w:val="000000" w:themeColor="text1"/>
          <w:sz w:val="24"/>
          <w:szCs w:val="24"/>
          <w14:textFill>
            <w14:solidFill>
              <w14:schemeClr w14:val="tx1"/>
            </w14:solidFill>
          </w14:textFill>
        </w:rPr>
        <w:t>5.开标</w:t>
      </w:r>
      <w:bookmarkEnd w:id="79"/>
      <w:bookmarkEnd w:id="80"/>
      <w:bookmarkEnd w:id="81"/>
      <w:bookmarkEnd w:id="82"/>
    </w:p>
    <w:p w14:paraId="49D02E3E">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5.1 开标时间和地点</w:t>
      </w:r>
    </w:p>
    <w:p w14:paraId="6246A9A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在本章第2.2.2项规定的投标截止时间(开标时间)和</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w:t>
      </w:r>
    </w:p>
    <w:p w14:paraId="25950E09">
      <w:pPr>
        <w:spacing w:line="360" w:lineRule="auto"/>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定的地点竞争性磋商，并邀请所有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的法定代表人或其委托代理人准时参加。</w:t>
      </w:r>
    </w:p>
    <w:p w14:paraId="2B36103A">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5.2 开标程序</w:t>
      </w:r>
    </w:p>
    <w:p w14:paraId="0AA08D0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5.2.1．采购单位组织的竞磋按公告规定的时间和地点进行。供应商（法人或法人授权代表）务必准时参加；未在规定时间内到达的，视其为自动放弃本次竞磋，逾期送达的竞磋响应文件将被拒收。查验响应文件的密封性过后，供应商到指定地点等候，等待进行最后报价。</w:t>
      </w:r>
    </w:p>
    <w:p w14:paraId="68E7746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5.2.2．竞磋时各供应商派授权代表，由采购方分别组织各供应商代表进行磋商。</w:t>
      </w:r>
    </w:p>
    <w:p w14:paraId="43C5655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5.2.3．在竞磋过程中，竞磋的任何一方不得向他人透露与竞磋有关的技术资料或其他信息。</w:t>
      </w:r>
    </w:p>
    <w:p w14:paraId="781C8D8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5.2.4．竞磋开始后，如竞磋文件有实质性变动的，竞磋小组须以书面形式通知所有参加竞磋的供应商。所有供应商根据竞磋文件或其补充文件在规定的时间里提出有关书面建议及作出相关的书面承诺。</w:t>
      </w:r>
    </w:p>
    <w:p w14:paraId="3129554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5.2.5．在竞磋期间，为有助于对竞磋响应文件的审查、评价和比较，评委会有权要求供应商对其竞磋响应文件中含义不明确、同类问题表述不一致或者有明显文字和计算错误的内容进行澄清。但并非对每个供应商都作澄清要求。</w:t>
      </w:r>
    </w:p>
    <w:p w14:paraId="29D0E82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5.2.6．所有供应商在竞磋时作出的所有书面承诺须由供应商法人或法人授权代表签字。</w:t>
      </w:r>
    </w:p>
    <w:p w14:paraId="76510A8B">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bookmarkStart w:id="83" w:name="_Toc184635076"/>
      <w:bookmarkStart w:id="84" w:name="_Toc27980"/>
      <w:r>
        <w:rPr>
          <w:rFonts w:hint="eastAsia" w:cs="Times New Roman" w:asciiTheme="majorEastAsia" w:hAnsiTheme="majorEastAsia" w:eastAsiaTheme="majorEastAsia"/>
          <w:b/>
          <w:color w:val="000000" w:themeColor="text1"/>
          <w:sz w:val="24"/>
          <w:szCs w:val="24"/>
          <w14:textFill>
            <w14:solidFill>
              <w14:schemeClr w14:val="tx1"/>
            </w14:solidFill>
          </w14:textFill>
        </w:rPr>
        <w:t>6．评审</w:t>
      </w:r>
      <w:bookmarkEnd w:id="83"/>
      <w:bookmarkEnd w:id="84"/>
    </w:p>
    <w:p w14:paraId="04E1E0E4">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r>
        <w:rPr>
          <w:rFonts w:hint="eastAsia" w:cs="Times New Roman" w:asciiTheme="majorEastAsia" w:hAnsiTheme="majorEastAsia" w:eastAsiaTheme="majorEastAsia"/>
          <w:b/>
          <w:color w:val="000000" w:themeColor="text1"/>
          <w:sz w:val="24"/>
          <w:szCs w:val="24"/>
          <w14:textFill>
            <w14:solidFill>
              <w14:schemeClr w14:val="tx1"/>
            </w14:solidFill>
          </w14:textFill>
        </w:rPr>
        <w:t>6.1 磋商小组</w:t>
      </w:r>
    </w:p>
    <w:p w14:paraId="434D5B34">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6.1.1 评审工作由依法组建的磋商小组负责。磋商小组由有关技术、经济等方面的专家组成。磋商小组成员人数以及技术、经济等方面专家的确定方式见</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须知前附表。</w:t>
      </w:r>
    </w:p>
    <w:p w14:paraId="75F26591">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6.1.2 磋商小组成员有下列情形之一的，应当回避：</w:t>
      </w:r>
    </w:p>
    <w:p w14:paraId="27C5A0A1">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(1）采购人或</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的主要负责人的近亲属；</w:t>
      </w:r>
    </w:p>
    <w:p w14:paraId="188A3EEF">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(2）项目主管部门或者行政监督部门的人员；</w:t>
      </w:r>
    </w:p>
    <w:p w14:paraId="35A609B6">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(3）与</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有经济利益关系，可能影响对投标公正评审的；</w:t>
      </w:r>
    </w:p>
    <w:p w14:paraId="66651907">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(4）曾因在</w:t>
      </w:r>
      <w:r>
        <w:rPr>
          <w:rFonts w:hint="eastAsia" w:cs="Times New Roman" w:asciiTheme="minorEastAsia" w:hAnsiTheme="minorEastAsia" w:eastAsiaTheme="minorEastAsia"/>
          <w:color w:val="000000" w:themeColor="text1"/>
          <w:sz w:val="24"/>
          <w:lang w:eastAsia="zh-CN"/>
          <w14:textFill>
            <w14:solidFill>
              <w14:schemeClr w14:val="tx1"/>
            </w14:solidFill>
          </w14:textFill>
        </w:rPr>
        <w:t>磋商</w:t>
      </w:r>
      <w:r>
        <w:rPr>
          <w:rFonts w:hint="eastAsia" w:cs="Times New Roman" w:asciiTheme="minorEastAsia" w:hAnsiTheme="minorEastAsia" w:eastAsiaTheme="minorEastAsia"/>
          <w:color w:val="000000" w:themeColor="text1"/>
          <w:sz w:val="24"/>
          <w14:textFill>
            <w14:solidFill>
              <w14:schemeClr w14:val="tx1"/>
            </w14:solidFill>
          </w14:textFill>
        </w:rPr>
        <w:t>、评审工作以及其他与</w:t>
      </w:r>
      <w:r>
        <w:rPr>
          <w:rFonts w:hint="eastAsia" w:cs="Times New Roman" w:asciiTheme="minorEastAsia" w:hAnsiTheme="minorEastAsia" w:eastAsiaTheme="minorEastAsia"/>
          <w:color w:val="000000" w:themeColor="text1"/>
          <w:sz w:val="24"/>
          <w:lang w:eastAsia="zh-CN"/>
          <w14:textFill>
            <w14:solidFill>
              <w14:schemeClr w14:val="tx1"/>
            </w14:solidFill>
          </w14:textFill>
        </w:rPr>
        <w:t>磋商</w:t>
      </w:r>
      <w:r>
        <w:rPr>
          <w:rFonts w:hint="eastAsia" w:cs="Times New Roman" w:asciiTheme="minorEastAsia" w:hAnsiTheme="minorEastAsia" w:eastAsiaTheme="minorEastAsia"/>
          <w:color w:val="000000" w:themeColor="text1"/>
          <w:sz w:val="24"/>
          <w14:textFill>
            <w14:solidFill>
              <w14:schemeClr w14:val="tx1"/>
            </w14:solidFill>
          </w14:textFill>
        </w:rPr>
        <w:t>投标有关活动中从事违法行为而受过行政处罚或刑事处罚的。</w:t>
      </w:r>
    </w:p>
    <w:p w14:paraId="136D0651">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r>
        <w:rPr>
          <w:rFonts w:hint="eastAsia" w:cs="Times New Roman" w:asciiTheme="majorEastAsia" w:hAnsiTheme="majorEastAsia" w:eastAsiaTheme="majorEastAsia"/>
          <w:b/>
          <w:color w:val="000000" w:themeColor="text1"/>
          <w:sz w:val="24"/>
          <w:szCs w:val="24"/>
          <w14:textFill>
            <w14:solidFill>
              <w14:schemeClr w14:val="tx1"/>
            </w14:solidFill>
          </w14:textFill>
        </w:rPr>
        <w:t>6.2 评审原则</w:t>
      </w:r>
    </w:p>
    <w:p w14:paraId="06BFBF49">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评审工作活动遵循公平、公正、科学和择优的原则。</w:t>
      </w:r>
    </w:p>
    <w:p w14:paraId="3BDE301B">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r>
        <w:rPr>
          <w:rFonts w:hint="eastAsia" w:cs="Times New Roman" w:asciiTheme="majorEastAsia" w:hAnsiTheme="majorEastAsia" w:eastAsiaTheme="majorEastAsia"/>
          <w:b/>
          <w:color w:val="000000" w:themeColor="text1"/>
          <w:sz w:val="24"/>
          <w:szCs w:val="24"/>
          <w14:textFill>
            <w14:solidFill>
              <w14:schemeClr w14:val="tx1"/>
            </w14:solidFill>
          </w14:textFill>
        </w:rPr>
        <w:t>6.3 评审工作</w:t>
      </w:r>
    </w:p>
    <w:p w14:paraId="51A50C96">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磋商小组按照第三章“评审办法”规定的方法、评审因素、标准和程序对响应文件进行评审。第三章“评审办法”没有规定的方法、评审因素和标准，不作为评审工作依据。</w:t>
      </w:r>
    </w:p>
    <w:p w14:paraId="41CDDD53">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6.3.1</w:t>
      </w:r>
      <w:r>
        <w:rPr>
          <w:rFonts w:hint="eastAsia" w:cs="Times New Roman" w:asciiTheme="minorEastAsia" w:hAnsiTheme="minorEastAsia" w:eastAsiaTheme="minorEastAsia"/>
          <w:color w:val="000000" w:themeColor="text1"/>
          <w:sz w:val="24"/>
          <w:lang w:val="zh-TW"/>
          <w14:textFill>
            <w14:solidFill>
              <w14:schemeClr w14:val="tx1"/>
            </w14:solidFill>
          </w14:textFill>
        </w:rPr>
        <w:t>磋商小组对所有响应文件进行形式、资格、响应性评审；</w:t>
      </w:r>
    </w:p>
    <w:p w14:paraId="5D5D71C2">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6.3.2</w:t>
      </w:r>
      <w:r>
        <w:rPr>
          <w:rFonts w:hint="eastAsia" w:cs="Times New Roman" w:asciiTheme="minorEastAsia" w:hAnsiTheme="minorEastAsia" w:eastAsiaTheme="minorEastAsia"/>
          <w:color w:val="000000" w:themeColor="text1"/>
          <w:sz w:val="24"/>
          <w:lang w:val="zh-TW"/>
          <w14:textFill>
            <w14:solidFill>
              <w14:schemeClr w14:val="tx1"/>
            </w14:solidFill>
          </w14:textFill>
        </w:rPr>
        <w:t>磋商小组所有成员集中与通过形式、资格、响应性评审的单一</w:t>
      </w:r>
      <w:r>
        <w:rPr>
          <w:rFonts w:hint="eastAsia" w:cs="Times New Roman" w:asciiTheme="minorEastAsia" w:hAnsiTheme="minorEastAsia" w:eastAsiaTheme="minorEastAsia"/>
          <w:color w:val="000000" w:themeColor="text1"/>
          <w:sz w:val="24"/>
          <w:lang w:val="zh-TW"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lang w:val="zh-TW"/>
          <w14:textFill>
            <w14:solidFill>
              <w14:schemeClr w14:val="tx1"/>
            </w14:solidFill>
          </w14:textFill>
        </w:rPr>
        <w:t>分别进行磋商，并给予所有参加磋商的</w:t>
      </w:r>
      <w:r>
        <w:rPr>
          <w:rFonts w:hint="eastAsia" w:cs="Times New Roman" w:asciiTheme="minorEastAsia" w:hAnsiTheme="minorEastAsia" w:eastAsiaTheme="minorEastAsia"/>
          <w:color w:val="000000" w:themeColor="text1"/>
          <w:sz w:val="24"/>
          <w:lang w:val="zh-TW"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lang w:val="zh-TW"/>
          <w14:textFill>
            <w14:solidFill>
              <w14:schemeClr w14:val="tx1"/>
            </w14:solidFill>
          </w14:textFill>
        </w:rPr>
        <w:t>平等的磋商机会。</w:t>
      </w:r>
      <w:r>
        <w:rPr>
          <w:rFonts w:hint="eastAsia" w:cs="Times New Roman" w:asciiTheme="minorEastAsia" w:hAnsiTheme="minorEastAsia" w:eastAsiaTheme="minorEastAsia"/>
          <w:color w:val="000000" w:themeColor="text1"/>
          <w:sz w:val="24"/>
          <w14:textFill>
            <w14:solidFill>
              <w14:schemeClr w14:val="tx1"/>
            </w14:solidFill>
          </w14:textFill>
        </w:rPr>
        <w:t>在磋商过程中，磋商小组可以根据磋商文件和磋商情况实质性变动采购需求中的技术、服务要求以及合同草案条款，但不得变动磋商文件中的其他内容。实质性变动的内容，须经采购人代表确认。</w:t>
      </w:r>
    </w:p>
    <w:p w14:paraId="1E0D911A">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对磋商文件作出的实质性变动是磋商文件的有效组成部分，磋商小组应当及时以书面形式同时通知所有参加磋商的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w:t>
      </w:r>
    </w:p>
    <w:p w14:paraId="67B64C81">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应当按照磋商文件的变动情况和磋商小组的要求重新提交响应文件，并由其法定代表人或授权代表签字或者加盖公章。由授权代表签字的，应当附法定代表人授权书。</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为自然人的，应当由本人签字并附身份证明。</w:t>
      </w:r>
    </w:p>
    <w:p w14:paraId="37C08EFC">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6.3.3磋商文件能够详细列明采购标的的技术、服务要求的，磋商结束后，磋商小组应当要求所有实质性响应的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在规定时间内提交最后报价，提交最后报价的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不得少于3家。</w:t>
      </w:r>
    </w:p>
    <w:p w14:paraId="454F230F">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磋商文件不能详细列明采购标的的技术、服务要求，需经磋商由</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提供最终设计方案或解决方案的，磋商结束后，磋商小组应当按照少数服从多数的原则投票推荐3家以上</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的设计方案或者解决方案，并要求其在规定时间内提交最后报价。最后报价是</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响应文件的有效组成部分。</w:t>
      </w:r>
    </w:p>
    <w:p w14:paraId="3657AFB6">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已提交响应文件的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，在提交最后报价之前，可以根据磋商情况退出磋商。采购人、采购代理机构应当退还退出磋商的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的磋商保证金。</w:t>
      </w:r>
    </w:p>
    <w:p w14:paraId="62988692">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lang w:val="zh-TW"/>
          <w14:textFill>
            <w14:solidFill>
              <w14:schemeClr w14:val="tx1"/>
            </w14:solidFill>
          </w14:textFill>
        </w:rPr>
        <w:t>6.3.4</w:t>
      </w:r>
      <w:r>
        <w:rPr>
          <w:rFonts w:hint="eastAsia" w:cs="Times New Roman" w:asciiTheme="minorEastAsia" w:hAnsiTheme="minorEastAsia" w:eastAsiaTheme="minorEastAsia"/>
          <w:color w:val="000000" w:themeColor="text1"/>
          <w:sz w:val="24"/>
          <w14:textFill>
            <w14:solidFill>
              <w14:schemeClr w14:val="tx1"/>
            </w14:solidFill>
          </w14:textFill>
        </w:rPr>
        <w:t>经磋商确定最终采购需求和提交最后报价的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后，由磋商小组采用综合评分法对提交最后报价的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的响应文件和最后报价进行综合评分</w:t>
      </w:r>
      <w:r>
        <w:rPr>
          <w:rFonts w:hint="eastAsia" w:cs="Times New Roman" w:asciiTheme="minorEastAsia" w:hAnsiTheme="minorEastAsia" w:eastAsiaTheme="minorEastAsia"/>
          <w:color w:val="000000" w:themeColor="text1"/>
          <w:sz w:val="24"/>
          <w:lang w:val="zh-TW"/>
          <w14:textFill>
            <w14:solidFill>
              <w14:schemeClr w14:val="tx1"/>
            </w14:solidFill>
          </w14:textFill>
        </w:rPr>
        <w:t>；</w:t>
      </w:r>
    </w:p>
    <w:p w14:paraId="6762D369">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lang w:val="zh-TW"/>
          <w14:textFill>
            <w14:solidFill>
              <w14:schemeClr w14:val="tx1"/>
            </w14:solidFill>
          </w14:textFill>
        </w:rPr>
        <w:t>6.3.5</w:t>
      </w:r>
      <w:r>
        <w:rPr>
          <w:rFonts w:hint="eastAsia" w:cs="Times New Roman" w:asciiTheme="minorEastAsia" w:hAnsiTheme="minorEastAsia" w:eastAsiaTheme="minorEastAsia"/>
          <w:color w:val="000000" w:themeColor="text1"/>
          <w:sz w:val="24"/>
          <w14:textFill>
            <w14:solidFill>
              <w14:schemeClr w14:val="tx1"/>
            </w14:solidFill>
          </w14:textFill>
        </w:rPr>
        <w:t>磋商小组应当根据综合评分情况，按照评审得分由高到低顺序推荐3名以上成交候选人，并编写评审报告。评审得分相同的，按照最后报价由低到高的顺序推荐。评审得分且最后报价相同的，按照技术指标优劣顺序推荐。</w:t>
      </w:r>
    </w:p>
    <w:p w14:paraId="7C220BC3"/>
    <w:p w14:paraId="6655F27C">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7.4 签订合同</w:t>
      </w:r>
    </w:p>
    <w:p w14:paraId="34464421">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7.4.1 </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和</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人应当自</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通知书发出之日起30天内，根据竞争性磋商文件和</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人的响应文件订立书面合同。</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人无正当理由拒签合同的，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取消其</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资格，其磋商保证金不予退还；给</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造成的损失超过磋商保证金数额的，</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人还应当对超过部分予以赔偿。</w:t>
      </w:r>
    </w:p>
    <w:p w14:paraId="57E6594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7.4.2 发出</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通知书后，</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无正当理由拒签合同的，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向</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人退还磋商保证金；给</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人造成损失的，还应当赔偿损失。</w:t>
      </w:r>
    </w:p>
    <w:p w14:paraId="5D4BF017">
      <w:pPr>
        <w:pStyle w:val="5"/>
        <w:spacing w:line="240" w:lineRule="auto"/>
        <w:ind w:left="0" w:firstLine="0"/>
        <w:jc w:val="both"/>
        <w:rPr>
          <w:rFonts w:hint="eastAsia" w:asciiTheme="majorEastAsia" w:hAnsiTheme="majorEastAsia" w:eastAsiaTheme="majorEastAsia"/>
          <w:b/>
          <w:color w:val="000000" w:themeColor="text1"/>
          <w:sz w:val="24"/>
          <w:szCs w:val="24"/>
          <w:lang w:eastAsia="zh-CN"/>
          <w14:textFill>
            <w14:solidFill>
              <w14:schemeClr w14:val="tx1"/>
            </w14:solidFill>
          </w14:textFill>
        </w:rPr>
      </w:pPr>
      <w:bookmarkStart w:id="85" w:name="_Toc54097200"/>
      <w:bookmarkStart w:id="86" w:name="_Toc51855939"/>
      <w:bookmarkStart w:id="87" w:name="_Toc54258224"/>
      <w:bookmarkStart w:id="88" w:name="_Toc53569403"/>
      <w:r>
        <w:rPr>
          <w:rFonts w:hint="eastAsia" w:asciiTheme="majorEastAsia" w:hAnsiTheme="majorEastAsia" w:eastAsiaTheme="majorEastAsia"/>
          <w:b/>
          <w:color w:val="000000" w:themeColor="text1"/>
          <w:sz w:val="24"/>
          <w:szCs w:val="24"/>
          <w14:textFill>
            <w14:solidFill>
              <w14:schemeClr w14:val="tx1"/>
            </w14:solidFill>
          </w14:textFill>
        </w:rPr>
        <w:t>8.重新</w:t>
      </w:r>
      <w:bookmarkEnd w:id="85"/>
      <w:bookmarkEnd w:id="86"/>
      <w:bookmarkEnd w:id="87"/>
      <w:bookmarkEnd w:id="88"/>
      <w:r>
        <w:rPr>
          <w:rFonts w:hint="eastAsia" w:asciiTheme="majorEastAsia" w:hAnsiTheme="majorEastAsia" w:eastAsiaTheme="majorEastAsia"/>
          <w:b/>
          <w:color w:val="000000" w:themeColor="text1"/>
          <w:sz w:val="24"/>
          <w:szCs w:val="24"/>
          <w:lang w:eastAsia="zh-CN"/>
          <w14:textFill>
            <w14:solidFill>
              <w14:schemeClr w14:val="tx1"/>
            </w14:solidFill>
          </w14:textFill>
        </w:rPr>
        <w:t>磋商</w:t>
      </w:r>
    </w:p>
    <w:p w14:paraId="300A89B2">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有下列情形之一的，建设行政主管部门责令修改竞争性磋商文件有关内容，并降低相应标准，</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将重新</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w:t>
      </w:r>
    </w:p>
    <w:p w14:paraId="4C71AAB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(1)投标截止时间止，</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少于法定人数的；</w:t>
      </w:r>
    </w:p>
    <w:p w14:paraId="3B3C768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(2)经评标委员会评审后进入到详细评审的有效</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少于法定人数的；</w:t>
      </w:r>
    </w:p>
    <w:p w14:paraId="2905C57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(3)经评标委员会评审后否决所有投标的。</w:t>
      </w:r>
    </w:p>
    <w:p w14:paraId="7A9F400A">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89" w:name="_Toc54258225"/>
      <w:bookmarkStart w:id="90" w:name="_Toc53569404"/>
      <w:bookmarkStart w:id="91" w:name="_Toc51855940"/>
      <w:bookmarkStart w:id="92" w:name="_Toc54097201"/>
      <w:r>
        <w:rPr>
          <w:rFonts w:hint="eastAsia" w:asciiTheme="majorEastAsia" w:hAnsiTheme="majorEastAsia" w:eastAsiaTheme="majorEastAsia"/>
          <w:b/>
          <w:color w:val="000000" w:themeColor="text1"/>
          <w:sz w:val="24"/>
          <w:szCs w:val="24"/>
          <w14:textFill>
            <w14:solidFill>
              <w14:schemeClr w14:val="tx1"/>
            </w14:solidFill>
          </w14:textFill>
        </w:rPr>
        <w:t>9.纪律和监督</w:t>
      </w:r>
      <w:bookmarkEnd w:id="89"/>
      <w:bookmarkEnd w:id="90"/>
      <w:bookmarkEnd w:id="91"/>
      <w:bookmarkEnd w:id="92"/>
    </w:p>
    <w:p w14:paraId="0225A668">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9.1 对</w:t>
      </w:r>
      <w:r>
        <w:rPr>
          <w:rFonts w:hint="eastAsia" w:asciiTheme="majorEastAsia" w:hAnsiTheme="majorEastAsia" w:eastAsiaTheme="majorEastAsia"/>
          <w:color w:val="000000" w:themeColor="text1"/>
          <w:sz w:val="24"/>
          <w:szCs w:val="24"/>
          <w:lang w:eastAsia="zh-CN"/>
          <w14:textFill>
            <w14:solidFill>
              <w14:schemeClr w14:val="tx1"/>
            </w14:solidFill>
          </w14:textFill>
        </w:rPr>
        <w:t>采购人</w:t>
      </w:r>
      <w:r>
        <w:rPr>
          <w:rFonts w:hint="eastAsia" w:asciiTheme="majorEastAsia" w:hAnsiTheme="majorEastAsia" w:eastAsiaTheme="majorEastAsia"/>
          <w:color w:val="000000" w:themeColor="text1"/>
          <w:sz w:val="24"/>
          <w:szCs w:val="24"/>
          <w14:textFill>
            <w14:solidFill>
              <w14:schemeClr w14:val="tx1"/>
            </w14:solidFill>
          </w14:textFill>
        </w:rPr>
        <w:t>的纪律要求</w:t>
      </w:r>
    </w:p>
    <w:p w14:paraId="0CFC455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不得泄漏</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投标活动中应当保密的情况和资料，不得与</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串通损害国家利益、社会公共利益或者他人合法权益。</w:t>
      </w:r>
    </w:p>
    <w:p w14:paraId="407363CB">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9.2 对</w:t>
      </w:r>
      <w:r>
        <w:rPr>
          <w:rFonts w:hint="eastAsia" w:asciiTheme="majorEastAsia" w:hAnsiTheme="majorEastAsia" w:eastAsiaTheme="majorEastAsia"/>
          <w:color w:val="000000" w:themeColor="text1"/>
          <w:sz w:val="24"/>
          <w:szCs w:val="24"/>
          <w:lang w:eastAsia="zh-CN"/>
          <w14:textFill>
            <w14:solidFill>
              <w14:schemeClr w14:val="tx1"/>
            </w14:solidFill>
          </w14:textFill>
        </w:rPr>
        <w:t>供应商</w:t>
      </w:r>
      <w:r>
        <w:rPr>
          <w:rFonts w:hint="eastAsia" w:asciiTheme="majorEastAsia" w:hAnsiTheme="majorEastAsia" w:eastAsiaTheme="majorEastAsia"/>
          <w:color w:val="000000" w:themeColor="text1"/>
          <w:sz w:val="24"/>
          <w:szCs w:val="24"/>
          <w14:textFill>
            <w14:solidFill>
              <w14:schemeClr w14:val="tx1"/>
            </w14:solidFill>
          </w14:textFill>
        </w:rPr>
        <w:t>的纪律要求</w:t>
      </w:r>
    </w:p>
    <w:p w14:paraId="476E526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不得相互串通投标或者与</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串通投标，不得向</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或者评标委员会成员行贿谋取</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，不得以他人名义投标或者以其他方式弄虚作假骗取</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不得以任何方式干扰、影响评标工作。</w:t>
      </w:r>
    </w:p>
    <w:p w14:paraId="39D3F06A">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9.3 对评标委员会成员的纪律要求</w:t>
      </w:r>
    </w:p>
    <w:p w14:paraId="5BBDD9C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评标委员会成员不得收受他人的财物或者其他好处，不得向他人透漏对响应文件的评审和比较、</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候选人的推荐情况以及评标有关的其他情况。在评标活动中，评标委员会成员不得擅离职守，影响评标程序正常进行，不得使用第三章“评标办法”没有规定的评审因素和标准进行评标。</w:t>
      </w:r>
    </w:p>
    <w:p w14:paraId="76C0AFCB">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9.4 对与评标活动有关的工作人员的纪律要求</w:t>
      </w:r>
    </w:p>
    <w:p w14:paraId="148FE63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与评标活动有关的工作人员不得收受他人的财物或者其他好处，不得向他人透漏对响应文件的评审和比较、</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候选人的推荐情况以及评标有关的其他晴况。在评标活动中，与评标活动有关的工作人员不得擅离职守，影响评标程序正常进行。</w:t>
      </w:r>
    </w:p>
    <w:p w14:paraId="391BB164">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9.5 投诉</w:t>
      </w:r>
    </w:p>
    <w:p w14:paraId="12B65AA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和其他利害关系人认为本次</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活动违反法律、法规和规章规定的，有权向有关行政监督部门投诉。</w:t>
      </w:r>
    </w:p>
    <w:p w14:paraId="7A42FEC3">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93" w:name="_Toc53569405"/>
      <w:bookmarkStart w:id="94" w:name="_Toc51855941"/>
      <w:bookmarkStart w:id="95" w:name="_Toc54258226"/>
      <w:bookmarkStart w:id="96" w:name="_Toc54097202"/>
      <w:r>
        <w:rPr>
          <w:rFonts w:hint="eastAsia" w:asciiTheme="majorEastAsia" w:hAnsiTheme="majorEastAsia" w:eastAsiaTheme="majorEastAsia"/>
          <w:b/>
          <w:color w:val="000000" w:themeColor="text1"/>
          <w:sz w:val="24"/>
          <w:szCs w:val="24"/>
          <w14:textFill>
            <w14:solidFill>
              <w14:schemeClr w14:val="tx1"/>
            </w14:solidFill>
          </w14:textFill>
        </w:rPr>
        <w:t>10.需要补充的其他内容</w:t>
      </w:r>
      <w:bookmarkEnd w:id="93"/>
      <w:bookmarkEnd w:id="94"/>
      <w:bookmarkEnd w:id="95"/>
      <w:bookmarkEnd w:id="96"/>
    </w:p>
    <w:p w14:paraId="1E07CF1E">
      <w:pPr>
        <w:rPr>
          <w:rFonts w:hint="eastAsia"/>
        </w:rPr>
      </w:pPr>
      <w:bookmarkStart w:id="97" w:name="_Toc144974548"/>
      <w:bookmarkStart w:id="98" w:name="_Toc152042358"/>
      <w:bookmarkStart w:id="99" w:name="_Toc179632599"/>
      <w:bookmarkStart w:id="100" w:name="_Toc152045581"/>
      <w:bookmarkStart w:id="101" w:name="_Toc201487347"/>
      <w:bookmarkStart w:id="102" w:name="_Toc54258228"/>
      <w:bookmarkStart w:id="103" w:name="_Toc202062700"/>
      <w:bookmarkStart w:id="104" w:name="_Toc399762098"/>
      <w:bookmarkStart w:id="105" w:name="_Toc201487969"/>
    </w:p>
    <w:p w14:paraId="3E9E6C06">
      <w:pPr>
        <w:rPr>
          <w:rFonts w:hint="eastAsia"/>
        </w:rPr>
      </w:pPr>
    </w:p>
    <w:p w14:paraId="22E680A5">
      <w:pPr>
        <w:pStyle w:val="714"/>
        <w:outlineLvl w:val="1"/>
      </w:pPr>
      <w:r>
        <w:rPr>
          <w:rFonts w:hint="eastAsia"/>
        </w:rPr>
        <w:t>附表一：开标记录表</w:t>
      </w:r>
      <w:bookmarkEnd w:id="97"/>
      <w:bookmarkEnd w:id="98"/>
      <w:bookmarkEnd w:id="99"/>
      <w:bookmarkEnd w:id="100"/>
    </w:p>
    <w:p w14:paraId="64002737">
      <w:pPr>
        <w:spacing w:line="400" w:lineRule="exact"/>
      </w:pPr>
    </w:p>
    <w:p w14:paraId="73547540">
      <w:pPr>
        <w:spacing w:line="400" w:lineRule="exact"/>
        <w:jc w:val="center"/>
        <w:rPr>
          <w:rFonts w:ascii="黑体" w:eastAsia="黑体"/>
          <w:sz w:val="28"/>
          <w:szCs w:val="28"/>
        </w:rPr>
      </w:pPr>
      <w:r>
        <w:rPr>
          <w:rFonts w:hint="eastAsia" w:ascii="黑体" w:eastAsia="黑体"/>
          <w:sz w:val="28"/>
          <w:szCs w:val="28"/>
        </w:rPr>
        <w:t>（项目名称）标段施工</w:t>
      </w:r>
      <w:r>
        <w:rPr>
          <w:rFonts w:hint="eastAsia" w:ascii="黑体" w:eastAsia="黑体"/>
          <w:sz w:val="28"/>
          <w:szCs w:val="28"/>
          <w:highlight w:val="none"/>
          <w:lang w:val="en-US" w:eastAsia="zh-CN"/>
        </w:rPr>
        <w:t>磋商</w:t>
      </w:r>
      <w:r>
        <w:rPr>
          <w:rFonts w:hint="eastAsia" w:ascii="黑体" w:eastAsia="黑体"/>
          <w:sz w:val="28"/>
          <w:szCs w:val="28"/>
        </w:rPr>
        <w:t>记录表</w:t>
      </w:r>
    </w:p>
    <w:p w14:paraId="6CFA5CFA">
      <w:pPr>
        <w:spacing w:line="400" w:lineRule="exact"/>
      </w:pPr>
    </w:p>
    <w:p w14:paraId="36E694E2">
      <w:pPr>
        <w:spacing w:line="400" w:lineRule="exact"/>
        <w:jc w:val="right"/>
      </w:pPr>
      <w:r>
        <w:rPr>
          <w:rFonts w:hint="eastAsia"/>
        </w:rPr>
        <w:t>开标时间：年月日时分</w:t>
      </w:r>
    </w:p>
    <w:tbl>
      <w:tblPr>
        <w:tblStyle w:val="88"/>
        <w:tblW w:w="4920" w:type="pct"/>
        <w:jc w:val="center"/>
        <w:tblLayout w:type="autofit"/>
        <w:tblCellMar>
          <w:top w:w="0" w:type="dxa"/>
          <w:left w:w="108" w:type="dxa"/>
          <w:bottom w:w="0" w:type="dxa"/>
          <w:right w:w="108" w:type="dxa"/>
        </w:tblCellMar>
      </w:tblPr>
      <w:tblGrid>
        <w:gridCol w:w="613"/>
        <w:gridCol w:w="1210"/>
        <w:gridCol w:w="1011"/>
        <w:gridCol w:w="2060"/>
        <w:gridCol w:w="1806"/>
        <w:gridCol w:w="1011"/>
        <w:gridCol w:w="1011"/>
        <w:gridCol w:w="1210"/>
      </w:tblGrid>
      <w:tr w14:paraId="536387F6">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0CB5562F">
            <w:pPr>
              <w:spacing w:line="500" w:lineRule="exact"/>
              <w:jc w:val="left"/>
              <w:rPr>
                <w:szCs w:val="21"/>
              </w:rPr>
            </w:pPr>
            <w:r>
              <w:rPr>
                <w:szCs w:val="21"/>
              </w:rPr>
              <w:t>序号</w:t>
            </w:r>
          </w:p>
        </w:tc>
        <w:tc>
          <w:tcPr>
            <w:tcW w:w="531" w:type="pct"/>
            <w:tcBorders>
              <w:top w:val="single" w:color="auto" w:sz="4" w:space="0"/>
              <w:left w:val="single" w:color="auto" w:sz="4" w:space="0"/>
              <w:bottom w:val="single" w:color="auto" w:sz="4" w:space="0"/>
              <w:right w:val="single" w:color="auto" w:sz="4" w:space="0"/>
            </w:tcBorders>
            <w:noWrap/>
          </w:tcPr>
          <w:p w14:paraId="09E4DB0A">
            <w:pPr>
              <w:spacing w:line="500" w:lineRule="exact"/>
              <w:jc w:val="left"/>
              <w:rPr>
                <w:szCs w:val="21"/>
              </w:rPr>
            </w:pPr>
            <w:r>
              <w:rPr>
                <w:rFonts w:hint="eastAsia"/>
                <w:szCs w:val="21"/>
                <w:lang w:eastAsia="zh-CN"/>
              </w:rPr>
              <w:t>供应商</w:t>
            </w:r>
            <w:r>
              <w:rPr>
                <w:rFonts w:hint="eastAsia"/>
                <w:szCs w:val="21"/>
              </w:rPr>
              <w:t>名称</w:t>
            </w:r>
          </w:p>
        </w:tc>
        <w:tc>
          <w:tcPr>
            <w:tcW w:w="641" w:type="pct"/>
            <w:tcBorders>
              <w:top w:val="single" w:color="auto" w:sz="4" w:space="0"/>
              <w:left w:val="single" w:color="auto" w:sz="4" w:space="0"/>
              <w:bottom w:val="single" w:color="auto" w:sz="4" w:space="0"/>
              <w:right w:val="single" w:color="auto" w:sz="4" w:space="0"/>
            </w:tcBorders>
            <w:noWrap/>
          </w:tcPr>
          <w:p w14:paraId="2ECAEE2D">
            <w:pPr>
              <w:spacing w:line="500" w:lineRule="exact"/>
              <w:jc w:val="left"/>
              <w:rPr>
                <w:szCs w:val="21"/>
              </w:rPr>
            </w:pPr>
            <w:r>
              <w:rPr>
                <w:rFonts w:hint="eastAsia"/>
                <w:szCs w:val="21"/>
              </w:rPr>
              <w:t>资质等级</w:t>
            </w:r>
          </w:p>
        </w:tc>
        <w:tc>
          <w:tcPr>
            <w:tcW w:w="853" w:type="pct"/>
            <w:tcBorders>
              <w:top w:val="single" w:color="auto" w:sz="4" w:space="0"/>
              <w:left w:val="single" w:color="auto" w:sz="4" w:space="0"/>
              <w:bottom w:val="single" w:color="auto" w:sz="4" w:space="0"/>
              <w:right w:val="single" w:color="auto" w:sz="4" w:space="0"/>
            </w:tcBorders>
            <w:noWrap/>
          </w:tcPr>
          <w:p w14:paraId="026BEA5A">
            <w:pPr>
              <w:spacing w:line="500" w:lineRule="exact"/>
              <w:jc w:val="left"/>
              <w:rPr>
                <w:szCs w:val="21"/>
              </w:rPr>
            </w:pPr>
            <w:r>
              <w:rPr>
                <w:rFonts w:hint="eastAsia"/>
                <w:szCs w:val="21"/>
              </w:rPr>
              <w:t>磋商保证金（有/无）</w:t>
            </w:r>
          </w:p>
        </w:tc>
        <w:tc>
          <w:tcPr>
            <w:tcW w:w="960" w:type="pct"/>
            <w:tcBorders>
              <w:top w:val="single" w:color="auto" w:sz="4" w:space="0"/>
              <w:left w:val="single" w:color="auto" w:sz="4" w:space="0"/>
              <w:bottom w:val="single" w:color="auto" w:sz="4" w:space="0"/>
              <w:right w:val="single" w:color="auto" w:sz="4" w:space="0"/>
            </w:tcBorders>
            <w:noWrap/>
          </w:tcPr>
          <w:p w14:paraId="3578DBB4">
            <w:pPr>
              <w:spacing w:line="500" w:lineRule="exact"/>
              <w:jc w:val="left"/>
              <w:rPr>
                <w:szCs w:val="21"/>
              </w:rPr>
            </w:pPr>
            <w:r>
              <w:rPr>
                <w:szCs w:val="21"/>
              </w:rPr>
              <w:t>投标报价（</w:t>
            </w:r>
            <w:r>
              <w:rPr>
                <w:rFonts w:hint="eastAsia"/>
                <w:szCs w:val="21"/>
              </w:rPr>
              <w:t>万</w:t>
            </w:r>
            <w:r>
              <w:rPr>
                <w:szCs w:val="21"/>
              </w:rPr>
              <w:t>元）</w:t>
            </w:r>
          </w:p>
        </w:tc>
        <w:tc>
          <w:tcPr>
            <w:tcW w:w="637" w:type="pct"/>
            <w:tcBorders>
              <w:top w:val="single" w:color="auto" w:sz="4" w:space="0"/>
              <w:left w:val="single" w:color="auto" w:sz="4" w:space="0"/>
              <w:bottom w:val="single" w:color="auto" w:sz="4" w:space="0"/>
              <w:right w:val="single" w:color="auto" w:sz="4" w:space="0"/>
            </w:tcBorders>
            <w:noWrap/>
          </w:tcPr>
          <w:p w14:paraId="75940D55">
            <w:pPr>
              <w:spacing w:line="500" w:lineRule="exact"/>
              <w:jc w:val="left"/>
              <w:rPr>
                <w:szCs w:val="21"/>
              </w:rPr>
            </w:pPr>
            <w:r>
              <w:rPr>
                <w:szCs w:val="21"/>
              </w:rPr>
              <w:t>质量</w:t>
            </w:r>
            <w:r>
              <w:rPr>
                <w:rFonts w:hint="eastAsia"/>
                <w:szCs w:val="21"/>
              </w:rPr>
              <w:t>要求</w:t>
            </w:r>
          </w:p>
        </w:tc>
        <w:tc>
          <w:tcPr>
            <w:tcW w:w="459" w:type="pct"/>
            <w:tcBorders>
              <w:top w:val="single" w:color="auto" w:sz="4" w:space="0"/>
              <w:left w:val="single" w:color="auto" w:sz="4" w:space="0"/>
              <w:bottom w:val="single" w:color="auto" w:sz="4" w:space="0"/>
              <w:right w:val="single" w:color="auto" w:sz="4" w:space="0"/>
            </w:tcBorders>
            <w:noWrap/>
          </w:tcPr>
          <w:p w14:paraId="0DBFF1F4">
            <w:pPr>
              <w:spacing w:line="500" w:lineRule="exact"/>
              <w:jc w:val="left"/>
              <w:rPr>
                <w:szCs w:val="21"/>
              </w:rPr>
            </w:pPr>
            <w:r>
              <w:rPr>
                <w:rFonts w:hint="eastAsia"/>
                <w:szCs w:val="21"/>
              </w:rPr>
              <w:t>计划</w:t>
            </w:r>
            <w:r>
              <w:rPr>
                <w:szCs w:val="21"/>
              </w:rPr>
              <w:t>工期</w:t>
            </w:r>
          </w:p>
        </w:tc>
        <w:tc>
          <w:tcPr>
            <w:tcW w:w="429" w:type="pct"/>
            <w:tcBorders>
              <w:top w:val="single" w:color="auto" w:sz="4" w:space="0"/>
              <w:left w:val="single" w:color="auto" w:sz="4" w:space="0"/>
              <w:bottom w:val="single" w:color="auto" w:sz="4" w:space="0"/>
              <w:right w:val="single" w:color="auto" w:sz="4" w:space="0"/>
            </w:tcBorders>
            <w:noWrap/>
          </w:tcPr>
          <w:p w14:paraId="31B8CBAB">
            <w:pPr>
              <w:spacing w:line="500" w:lineRule="exact"/>
              <w:jc w:val="left"/>
              <w:rPr>
                <w:szCs w:val="21"/>
              </w:rPr>
            </w:pPr>
            <w:r>
              <w:rPr>
                <w:rFonts w:hint="eastAsia"/>
                <w:szCs w:val="21"/>
                <w:lang w:eastAsia="zh-CN"/>
              </w:rPr>
              <w:t>供应商</w:t>
            </w:r>
            <w:r>
              <w:rPr>
                <w:szCs w:val="21"/>
              </w:rPr>
              <w:t>签名</w:t>
            </w:r>
          </w:p>
        </w:tc>
      </w:tr>
      <w:tr w14:paraId="7B430804">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3AFD8902">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28F30B57">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9401443">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E68739B">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1FF281B2">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0D6D5FDC">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5DB99F12">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7133715">
            <w:pPr>
              <w:spacing w:line="500" w:lineRule="exact"/>
              <w:jc w:val="left"/>
              <w:rPr>
                <w:szCs w:val="21"/>
              </w:rPr>
            </w:pPr>
          </w:p>
        </w:tc>
      </w:tr>
      <w:tr w14:paraId="5204C4E0">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6F472584">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5B43879C">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6E82988">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5B736D78">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62E1C789">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50AF90E3">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461376A1">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21B9CF4A">
            <w:pPr>
              <w:spacing w:line="500" w:lineRule="exact"/>
              <w:jc w:val="left"/>
              <w:rPr>
                <w:szCs w:val="21"/>
              </w:rPr>
            </w:pPr>
          </w:p>
        </w:tc>
      </w:tr>
      <w:tr w14:paraId="33D85CC0">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457083D">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6D5E1B7D">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46DD12E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478A1B03">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BF3B95B">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5B9A2175">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65B36647">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F43C668">
            <w:pPr>
              <w:spacing w:line="500" w:lineRule="exact"/>
              <w:jc w:val="left"/>
              <w:rPr>
                <w:szCs w:val="21"/>
              </w:rPr>
            </w:pPr>
          </w:p>
        </w:tc>
      </w:tr>
      <w:tr w14:paraId="16C8EACA">
        <w:trPr>
          <w:jc w:val="center"/>
        </w:trPr>
        <w:tc>
          <w:tcPr>
            <w:tcW w:w="487" w:type="pct"/>
            <w:tcBorders>
              <w:top w:val="single" w:color="auto" w:sz="4" w:space="0"/>
              <w:left w:val="single" w:color="auto" w:sz="4" w:space="0"/>
              <w:bottom w:val="single" w:color="auto" w:sz="4" w:space="0"/>
              <w:right w:val="single" w:color="auto" w:sz="4" w:space="0"/>
            </w:tcBorders>
            <w:noWrap/>
          </w:tcPr>
          <w:p w14:paraId="7D0BCADB">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01F4769A">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76E2DB30">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54002EDE">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2B9056B">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6B5257EB">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670BD198">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773CC94A">
            <w:pPr>
              <w:spacing w:line="500" w:lineRule="exact"/>
              <w:jc w:val="left"/>
              <w:rPr>
                <w:szCs w:val="21"/>
              </w:rPr>
            </w:pPr>
          </w:p>
        </w:tc>
      </w:tr>
      <w:tr w14:paraId="6FE9DCF5">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08B1455">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63C67568">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454496A">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32026B0">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0848F3C1">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79FE4D95">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D14F8A2">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43A66FE">
            <w:pPr>
              <w:spacing w:line="500" w:lineRule="exact"/>
              <w:jc w:val="left"/>
              <w:rPr>
                <w:szCs w:val="21"/>
              </w:rPr>
            </w:pPr>
          </w:p>
        </w:tc>
      </w:tr>
      <w:tr w14:paraId="19F4D209">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73CD0AE">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668D345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5609F7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195A8B4">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5BF0A7EE">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6D178034">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70D573DC">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745F3655">
            <w:pPr>
              <w:spacing w:line="500" w:lineRule="exact"/>
              <w:jc w:val="left"/>
              <w:rPr>
                <w:szCs w:val="21"/>
              </w:rPr>
            </w:pPr>
          </w:p>
        </w:tc>
      </w:tr>
      <w:tr w14:paraId="784BF4AE">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21003B2">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2C7D1308">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75B53449">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15B51718">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76F090B">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7A66BE72">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11E1AAC9">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4D4B7D0D">
            <w:pPr>
              <w:spacing w:line="500" w:lineRule="exact"/>
              <w:jc w:val="left"/>
              <w:rPr>
                <w:szCs w:val="21"/>
              </w:rPr>
            </w:pPr>
          </w:p>
        </w:tc>
      </w:tr>
      <w:tr w14:paraId="41D57928">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613E646">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5F737CD6">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0D7BE765">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31E50CC">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574F8F82">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04E9F779">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A36277B">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93BA31A">
            <w:pPr>
              <w:spacing w:line="500" w:lineRule="exact"/>
              <w:jc w:val="left"/>
              <w:rPr>
                <w:szCs w:val="21"/>
              </w:rPr>
            </w:pPr>
          </w:p>
        </w:tc>
      </w:tr>
      <w:tr w14:paraId="125B5C8D">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27A6C46A">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052DFBA0">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6A588D60">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18F4BC6C">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1CC0C2C">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263911B3">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7AF4CD69">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0E09B5E1">
            <w:pPr>
              <w:spacing w:line="500" w:lineRule="exact"/>
              <w:jc w:val="left"/>
              <w:rPr>
                <w:szCs w:val="21"/>
              </w:rPr>
            </w:pPr>
          </w:p>
        </w:tc>
      </w:tr>
      <w:tr w14:paraId="42FCB1D5">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6F6E185">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1D68A30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03E4688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C299886">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2EFAD7E">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6D5FD4F5">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E718896">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5615E667">
            <w:pPr>
              <w:spacing w:line="500" w:lineRule="exact"/>
              <w:jc w:val="left"/>
              <w:rPr>
                <w:szCs w:val="21"/>
              </w:rPr>
            </w:pPr>
          </w:p>
        </w:tc>
      </w:tr>
      <w:tr w14:paraId="0E28A2DA">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4996F24D">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08FDFA07">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0F465EB8">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3E627BD7">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09200B1">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5FE0FFA7">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8DAA610">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6A915745">
            <w:pPr>
              <w:spacing w:line="500" w:lineRule="exact"/>
              <w:jc w:val="left"/>
              <w:rPr>
                <w:szCs w:val="21"/>
              </w:rPr>
            </w:pPr>
          </w:p>
        </w:tc>
      </w:tr>
      <w:tr w14:paraId="4F8B7D0E">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DBC8492">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10EC268A">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B936994">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B1C7562">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E69591C">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4BDF4EDE">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1387EBC9">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642E6B03">
            <w:pPr>
              <w:spacing w:line="500" w:lineRule="exact"/>
              <w:jc w:val="left"/>
              <w:rPr>
                <w:szCs w:val="21"/>
              </w:rPr>
            </w:pPr>
          </w:p>
        </w:tc>
      </w:tr>
      <w:tr w14:paraId="0EE76201">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28CC1491">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2B14824D">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D90DC56">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0515015">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0A0DBC0F">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2F9B2B53">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57A57853">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69792BC9">
            <w:pPr>
              <w:spacing w:line="500" w:lineRule="exact"/>
              <w:jc w:val="left"/>
              <w:rPr>
                <w:szCs w:val="21"/>
              </w:rPr>
            </w:pPr>
          </w:p>
        </w:tc>
      </w:tr>
      <w:tr w14:paraId="123E4B61">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347266DD">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5121C4E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B80A561">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075376A">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7BD4DE97">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37DC6282">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4095B705">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0637A412">
            <w:pPr>
              <w:spacing w:line="500" w:lineRule="exact"/>
              <w:jc w:val="left"/>
              <w:rPr>
                <w:szCs w:val="21"/>
              </w:rPr>
            </w:pPr>
          </w:p>
        </w:tc>
      </w:tr>
      <w:tr w14:paraId="4EC2D8A3">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2ECD90AC">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3C60F60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11737C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10A7A34B">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218AEDE">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76003B48">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6EC79E4">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19E1235">
            <w:pPr>
              <w:spacing w:line="500" w:lineRule="exact"/>
              <w:jc w:val="left"/>
              <w:rPr>
                <w:szCs w:val="21"/>
              </w:rPr>
            </w:pPr>
          </w:p>
        </w:tc>
      </w:tr>
    </w:tbl>
    <w:p w14:paraId="4C8C2AE4">
      <w:pPr>
        <w:spacing w:line="440" w:lineRule="exact"/>
        <w:rPr>
          <w:szCs w:val="21"/>
        </w:rPr>
      </w:pPr>
      <w:r>
        <w:rPr>
          <w:rFonts w:hint="eastAsia"/>
        </w:rPr>
        <w:t>　　</w:t>
      </w:r>
      <w:r>
        <w:rPr>
          <w:rFonts w:hint="eastAsia"/>
          <w:szCs w:val="21"/>
        </w:rPr>
        <w:t>　</w:t>
      </w:r>
    </w:p>
    <w:p w14:paraId="6C76B01C">
      <w:pPr>
        <w:spacing w:line="620" w:lineRule="exact"/>
        <w:rPr>
          <w:szCs w:val="21"/>
        </w:rPr>
      </w:pPr>
      <w:r>
        <w:rPr>
          <w:rFonts w:hint="eastAsia"/>
          <w:szCs w:val="21"/>
          <w:lang w:eastAsia="zh-CN"/>
        </w:rPr>
        <w:t>采购人</w:t>
      </w:r>
      <w:r>
        <w:rPr>
          <w:szCs w:val="21"/>
        </w:rPr>
        <w:t>代表： 记录人：</w:t>
      </w:r>
    </w:p>
    <w:p w14:paraId="4E6BE17C">
      <w:pPr>
        <w:spacing w:line="620" w:lineRule="exact"/>
        <w:jc w:val="right"/>
        <w:rPr>
          <w:szCs w:val="21"/>
          <w:u w:val="single"/>
        </w:rPr>
      </w:pPr>
    </w:p>
    <w:p w14:paraId="2A5F0A64">
      <w:pPr>
        <w:spacing w:line="620" w:lineRule="exact"/>
        <w:jc w:val="right"/>
        <w:rPr>
          <w:sz w:val="20"/>
          <w:szCs w:val="20"/>
        </w:rPr>
      </w:pPr>
      <w:r>
        <w:rPr>
          <w:szCs w:val="21"/>
        </w:rPr>
        <w:t>年月日</w:t>
      </w:r>
    </w:p>
    <w:p w14:paraId="02D7A2FB">
      <w:pPr>
        <w:spacing w:line="440" w:lineRule="exact"/>
        <w:rPr>
          <w:szCs w:val="21"/>
        </w:rPr>
      </w:pPr>
      <w:r>
        <w:br w:type="page"/>
      </w:r>
    </w:p>
    <w:p w14:paraId="79BBCA4A">
      <w:pPr>
        <w:pStyle w:val="714"/>
        <w:outlineLvl w:val="1"/>
      </w:pPr>
      <w:bookmarkStart w:id="106" w:name="_Toc152042359"/>
      <w:bookmarkStart w:id="107" w:name="_Toc144974549"/>
      <w:bookmarkStart w:id="108" w:name="_Toc152045582"/>
      <w:bookmarkStart w:id="109" w:name="_Toc179632600"/>
      <w:r>
        <w:t>附表二：问题澄清通知</w:t>
      </w:r>
      <w:bookmarkEnd w:id="106"/>
      <w:bookmarkEnd w:id="107"/>
      <w:bookmarkEnd w:id="108"/>
      <w:bookmarkEnd w:id="109"/>
    </w:p>
    <w:p w14:paraId="5A4CB283">
      <w:pPr>
        <w:spacing w:line="440" w:lineRule="exact"/>
        <w:jc w:val="center"/>
        <w:rPr>
          <w:szCs w:val="21"/>
        </w:rPr>
      </w:pPr>
    </w:p>
    <w:p w14:paraId="1367DA57">
      <w:pPr>
        <w:spacing w:line="440" w:lineRule="exact"/>
        <w:jc w:val="center"/>
        <w:rPr>
          <w:rFonts w:eastAsia="黑体"/>
          <w:sz w:val="28"/>
          <w:szCs w:val="28"/>
        </w:rPr>
      </w:pPr>
      <w:r>
        <w:rPr>
          <w:rFonts w:eastAsia="黑体"/>
          <w:sz w:val="28"/>
          <w:szCs w:val="28"/>
        </w:rPr>
        <w:t>问题澄清通知</w:t>
      </w:r>
    </w:p>
    <w:p w14:paraId="14560996">
      <w:pPr>
        <w:spacing w:line="440" w:lineRule="exact"/>
        <w:rPr>
          <w:szCs w:val="21"/>
        </w:rPr>
      </w:pPr>
      <w:r>
        <w:rPr>
          <w:szCs w:val="21"/>
        </w:rPr>
        <w:t>编号：</w:t>
      </w:r>
    </w:p>
    <w:p w14:paraId="53DA45E7">
      <w:pPr>
        <w:spacing w:line="440" w:lineRule="exact"/>
        <w:rPr>
          <w:szCs w:val="21"/>
        </w:rPr>
      </w:pPr>
    </w:p>
    <w:p w14:paraId="43B2BD81">
      <w:pPr>
        <w:spacing w:line="440" w:lineRule="exact"/>
        <w:rPr>
          <w:szCs w:val="21"/>
        </w:rPr>
      </w:pPr>
      <w:r>
        <w:rPr>
          <w:szCs w:val="21"/>
        </w:rPr>
        <w:t>（</w:t>
      </w:r>
      <w:r>
        <w:rPr>
          <w:rFonts w:hint="eastAsia"/>
          <w:szCs w:val="21"/>
          <w:lang w:eastAsia="zh-CN"/>
        </w:rPr>
        <w:t>供应商</w:t>
      </w:r>
      <w:r>
        <w:rPr>
          <w:szCs w:val="21"/>
        </w:rPr>
        <w:t>名称）：</w:t>
      </w:r>
    </w:p>
    <w:p w14:paraId="0E8E56C4">
      <w:pPr>
        <w:spacing w:line="440" w:lineRule="exact"/>
        <w:rPr>
          <w:szCs w:val="21"/>
        </w:rPr>
      </w:pPr>
    </w:p>
    <w:p w14:paraId="5FF964BB">
      <w:pPr>
        <w:spacing w:line="440" w:lineRule="exact"/>
        <w:rPr>
          <w:szCs w:val="21"/>
        </w:rPr>
      </w:pPr>
      <w:r>
        <w:rPr>
          <w:szCs w:val="21"/>
        </w:rPr>
        <w:t xml:space="preserve">　　  </w:t>
      </w:r>
      <w:r>
        <w:rPr>
          <w:szCs w:val="21"/>
          <w:u w:val="single"/>
        </w:rPr>
        <w:t xml:space="preserve">　             </w:t>
      </w:r>
      <w:r>
        <w:rPr>
          <w:szCs w:val="21"/>
        </w:rPr>
        <w:t xml:space="preserve"> （项目名称）标段施工</w:t>
      </w:r>
      <w:r>
        <w:rPr>
          <w:rFonts w:hint="eastAsia"/>
          <w:szCs w:val="21"/>
          <w:lang w:eastAsia="zh-CN"/>
        </w:rPr>
        <w:t>磋商</w:t>
      </w:r>
      <w:r>
        <w:rPr>
          <w:szCs w:val="21"/>
        </w:rPr>
        <w:t>的评标委员会，对你方的</w:t>
      </w:r>
      <w:r>
        <w:rPr>
          <w:rFonts w:hint="eastAsia"/>
          <w:szCs w:val="21"/>
        </w:rPr>
        <w:t>响应文件</w:t>
      </w:r>
      <w:r>
        <w:rPr>
          <w:szCs w:val="21"/>
        </w:rPr>
        <w:t>进行了仔细的审查，现需你方对下列问题以书面形式予以澄清：</w:t>
      </w:r>
    </w:p>
    <w:p w14:paraId="089D57EB">
      <w:pPr>
        <w:spacing w:line="440" w:lineRule="exact"/>
        <w:rPr>
          <w:szCs w:val="21"/>
        </w:rPr>
      </w:pPr>
      <w:r>
        <w:rPr>
          <w:szCs w:val="21"/>
        </w:rPr>
        <w:t>　　</w:t>
      </w:r>
    </w:p>
    <w:p w14:paraId="4D2B345D">
      <w:pPr>
        <w:spacing w:line="440" w:lineRule="exact"/>
        <w:rPr>
          <w:szCs w:val="21"/>
        </w:rPr>
      </w:pPr>
      <w:r>
        <w:rPr>
          <w:szCs w:val="21"/>
        </w:rPr>
        <w:t xml:space="preserve">    1.</w:t>
      </w:r>
    </w:p>
    <w:p w14:paraId="68E77ABD">
      <w:pPr>
        <w:spacing w:line="440" w:lineRule="exact"/>
        <w:rPr>
          <w:szCs w:val="21"/>
        </w:rPr>
      </w:pPr>
      <w:r>
        <w:rPr>
          <w:szCs w:val="21"/>
        </w:rPr>
        <w:t xml:space="preserve">    2.</w:t>
      </w:r>
    </w:p>
    <w:p w14:paraId="08BC4AA8">
      <w:pPr>
        <w:spacing w:line="440" w:lineRule="exact"/>
        <w:rPr>
          <w:szCs w:val="21"/>
        </w:rPr>
      </w:pPr>
      <w:r>
        <w:rPr>
          <w:szCs w:val="21"/>
        </w:rPr>
        <w:t xml:space="preserve">     ......   </w:t>
      </w:r>
    </w:p>
    <w:p w14:paraId="6E6BB0CE">
      <w:pPr>
        <w:spacing w:line="440" w:lineRule="exact"/>
        <w:rPr>
          <w:szCs w:val="21"/>
        </w:rPr>
      </w:pPr>
      <w:r>
        <w:rPr>
          <w:szCs w:val="21"/>
        </w:rPr>
        <w:t>　　　</w:t>
      </w:r>
    </w:p>
    <w:p w14:paraId="340AA893">
      <w:pPr>
        <w:spacing w:line="440" w:lineRule="exact"/>
        <w:rPr>
          <w:szCs w:val="21"/>
        </w:rPr>
      </w:pPr>
      <w:r>
        <w:rPr>
          <w:szCs w:val="21"/>
        </w:rPr>
        <w:t>　　请将上述问题的澄清于年月日时前递交至（详细地址）</w:t>
      </w:r>
      <w:r>
        <w:rPr>
          <w:rFonts w:hint="eastAsia"/>
          <w:szCs w:val="21"/>
        </w:rPr>
        <w:t>或</w:t>
      </w:r>
      <w:r>
        <w:rPr>
          <w:rFonts w:hint="eastAsia" w:ascii="宋体" w:hAnsi="宋体"/>
          <w:szCs w:val="21"/>
        </w:rPr>
        <w:t>传真至（传真号码）。采用传真方式的，应在</w:t>
      </w:r>
      <w:r>
        <w:rPr>
          <w:rFonts w:ascii="宋体" w:hAnsi="宋体"/>
          <w:szCs w:val="21"/>
        </w:rPr>
        <w:t>年月日</w:t>
      </w:r>
      <w:r>
        <w:rPr>
          <w:rFonts w:hint="eastAsia" w:ascii="宋体" w:hAnsi="宋体"/>
          <w:szCs w:val="21"/>
        </w:rPr>
        <w:t>时前将原件递交至</w:t>
      </w:r>
      <w:r>
        <w:rPr>
          <w:szCs w:val="21"/>
        </w:rPr>
        <w:t>（详细地址）。</w:t>
      </w:r>
    </w:p>
    <w:p w14:paraId="26207273">
      <w:pPr>
        <w:spacing w:line="440" w:lineRule="exact"/>
        <w:rPr>
          <w:szCs w:val="21"/>
        </w:rPr>
      </w:pPr>
    </w:p>
    <w:p w14:paraId="5A31D472">
      <w:pPr>
        <w:spacing w:line="440" w:lineRule="exact"/>
        <w:rPr>
          <w:szCs w:val="21"/>
        </w:rPr>
      </w:pPr>
    </w:p>
    <w:p w14:paraId="6E484373">
      <w:pPr>
        <w:spacing w:line="440" w:lineRule="exact"/>
        <w:jc w:val="right"/>
        <w:rPr>
          <w:szCs w:val="21"/>
        </w:rPr>
      </w:pPr>
    </w:p>
    <w:p w14:paraId="6655FE65">
      <w:pPr>
        <w:spacing w:line="440" w:lineRule="exact"/>
        <w:jc w:val="right"/>
        <w:rPr>
          <w:szCs w:val="21"/>
        </w:rPr>
      </w:pPr>
      <w:r>
        <w:rPr>
          <w:szCs w:val="21"/>
        </w:rPr>
        <w:t xml:space="preserve"> 评标</w:t>
      </w:r>
      <w:r>
        <w:rPr>
          <w:rFonts w:hint="eastAsia"/>
          <w:szCs w:val="21"/>
        </w:rPr>
        <w:t>工作组负责人</w:t>
      </w:r>
      <w:r>
        <w:rPr>
          <w:szCs w:val="21"/>
        </w:rPr>
        <w:t>：（签字）</w:t>
      </w:r>
    </w:p>
    <w:p w14:paraId="5FD48A0D">
      <w:pPr>
        <w:spacing w:line="440" w:lineRule="exact"/>
        <w:rPr>
          <w:szCs w:val="21"/>
        </w:rPr>
      </w:pPr>
    </w:p>
    <w:p w14:paraId="5DC75E96">
      <w:pPr>
        <w:spacing w:line="440" w:lineRule="exact"/>
        <w:jc w:val="right"/>
        <w:rPr>
          <w:szCs w:val="21"/>
        </w:rPr>
      </w:pPr>
      <w:r>
        <w:rPr>
          <w:szCs w:val="21"/>
        </w:rPr>
        <w:t xml:space="preserve"> 年 月 日</w:t>
      </w:r>
    </w:p>
    <w:p w14:paraId="5F5508FF">
      <w:pPr>
        <w:spacing w:line="400" w:lineRule="exact"/>
      </w:pPr>
    </w:p>
    <w:p w14:paraId="78CB3ADC">
      <w:pPr>
        <w:spacing w:line="400" w:lineRule="exact"/>
      </w:pPr>
      <w:r>
        <w:br w:type="page"/>
      </w:r>
    </w:p>
    <w:p w14:paraId="257E1761">
      <w:pPr>
        <w:pStyle w:val="714"/>
        <w:outlineLvl w:val="1"/>
      </w:pPr>
      <w:bookmarkStart w:id="110" w:name="_Toc179632601"/>
      <w:bookmarkStart w:id="111" w:name="_Toc152042360"/>
      <w:bookmarkStart w:id="112" w:name="_Toc152045583"/>
      <w:bookmarkStart w:id="113" w:name="_Toc144974550"/>
      <w:r>
        <w:rPr>
          <w:rFonts w:hint="eastAsia"/>
        </w:rPr>
        <w:t>附表三：问题的澄清</w:t>
      </w:r>
      <w:bookmarkEnd w:id="110"/>
      <w:bookmarkEnd w:id="111"/>
      <w:bookmarkEnd w:id="112"/>
      <w:bookmarkEnd w:id="113"/>
    </w:p>
    <w:p w14:paraId="0CDAA8A6">
      <w:pPr>
        <w:spacing w:line="400" w:lineRule="exact"/>
        <w:jc w:val="center"/>
        <w:rPr>
          <w:rFonts w:ascii="黑体" w:eastAsia="黑体"/>
          <w:sz w:val="28"/>
          <w:szCs w:val="28"/>
        </w:rPr>
      </w:pPr>
    </w:p>
    <w:p w14:paraId="2B83F76C">
      <w:pPr>
        <w:spacing w:line="400" w:lineRule="exact"/>
        <w:jc w:val="center"/>
        <w:rPr>
          <w:rFonts w:ascii="黑体" w:eastAsia="黑体"/>
          <w:sz w:val="28"/>
          <w:szCs w:val="28"/>
        </w:rPr>
      </w:pPr>
      <w:r>
        <w:rPr>
          <w:rFonts w:hint="eastAsia" w:ascii="黑体" w:eastAsia="黑体"/>
          <w:sz w:val="28"/>
          <w:szCs w:val="28"/>
        </w:rPr>
        <w:t>问题的澄清</w:t>
      </w:r>
    </w:p>
    <w:p w14:paraId="5F80A1E1">
      <w:pPr>
        <w:spacing w:line="400" w:lineRule="exact"/>
        <w:ind w:firstLine="3465" w:firstLineChars="1650"/>
      </w:pPr>
      <w:r>
        <w:rPr>
          <w:rFonts w:hint="eastAsia"/>
        </w:rPr>
        <w:t xml:space="preserve">编号： </w:t>
      </w:r>
    </w:p>
    <w:p w14:paraId="1F3DC040">
      <w:pPr>
        <w:spacing w:line="400" w:lineRule="exact"/>
        <w:rPr>
          <w:szCs w:val="21"/>
        </w:rPr>
      </w:pPr>
    </w:p>
    <w:p w14:paraId="73FA1936">
      <w:pPr>
        <w:spacing w:line="440" w:lineRule="exact"/>
        <w:rPr>
          <w:szCs w:val="21"/>
        </w:rPr>
      </w:pPr>
      <w:r>
        <w:rPr>
          <w:szCs w:val="21"/>
        </w:rPr>
        <w:t>（项目名称）标段施工</w:t>
      </w:r>
      <w:r>
        <w:rPr>
          <w:rFonts w:hint="eastAsia"/>
          <w:szCs w:val="21"/>
          <w:lang w:eastAsia="zh-CN"/>
        </w:rPr>
        <w:t>磋商</w:t>
      </w:r>
      <w:r>
        <w:rPr>
          <w:szCs w:val="21"/>
        </w:rPr>
        <w:t>评标委员会：</w:t>
      </w:r>
    </w:p>
    <w:p w14:paraId="732963C3">
      <w:pPr>
        <w:spacing w:line="440" w:lineRule="exact"/>
        <w:rPr>
          <w:szCs w:val="21"/>
        </w:rPr>
      </w:pPr>
    </w:p>
    <w:p w14:paraId="7A2E2F34">
      <w:pPr>
        <w:spacing w:line="440" w:lineRule="exact"/>
        <w:rPr>
          <w:szCs w:val="21"/>
        </w:rPr>
      </w:pPr>
      <w:r>
        <w:rPr>
          <w:szCs w:val="21"/>
        </w:rPr>
        <w:t>　　问题澄清通知（编号：）已收悉，现澄清如下：</w:t>
      </w:r>
    </w:p>
    <w:p w14:paraId="03C6BC67">
      <w:pPr>
        <w:spacing w:line="440" w:lineRule="exact"/>
        <w:rPr>
          <w:szCs w:val="21"/>
        </w:rPr>
      </w:pPr>
      <w:r>
        <w:rPr>
          <w:szCs w:val="21"/>
        </w:rPr>
        <w:t>　     1.</w:t>
      </w:r>
    </w:p>
    <w:p w14:paraId="1D65E6E7">
      <w:pPr>
        <w:spacing w:line="440" w:lineRule="exact"/>
        <w:rPr>
          <w:szCs w:val="21"/>
        </w:rPr>
      </w:pPr>
      <w:r>
        <w:rPr>
          <w:szCs w:val="21"/>
        </w:rPr>
        <w:t>　     2.</w:t>
      </w:r>
    </w:p>
    <w:p w14:paraId="5C4B8D6D">
      <w:pPr>
        <w:spacing w:line="440" w:lineRule="exact"/>
        <w:rPr>
          <w:szCs w:val="21"/>
        </w:rPr>
      </w:pPr>
      <w:r>
        <w:rPr>
          <w:szCs w:val="21"/>
        </w:rPr>
        <w:t xml:space="preserve">　   </w:t>
      </w:r>
    </w:p>
    <w:p w14:paraId="72A17A3E">
      <w:pPr>
        <w:spacing w:line="440" w:lineRule="exact"/>
        <w:rPr>
          <w:szCs w:val="21"/>
        </w:rPr>
      </w:pPr>
      <w:r>
        <w:rPr>
          <w:szCs w:val="21"/>
        </w:rPr>
        <w:t>　    .....</w:t>
      </w:r>
    </w:p>
    <w:p w14:paraId="37028623">
      <w:pPr>
        <w:spacing w:line="440" w:lineRule="exact"/>
        <w:rPr>
          <w:szCs w:val="21"/>
        </w:rPr>
      </w:pPr>
    </w:p>
    <w:p w14:paraId="56A94D8F">
      <w:pPr>
        <w:spacing w:line="440" w:lineRule="exact"/>
        <w:rPr>
          <w:szCs w:val="21"/>
        </w:rPr>
      </w:pPr>
      <w:r>
        <w:rPr>
          <w:szCs w:val="21"/>
        </w:rPr>
        <w:t xml:space="preserve">　 </w:t>
      </w:r>
    </w:p>
    <w:p w14:paraId="045EF31F">
      <w:pPr>
        <w:spacing w:line="440" w:lineRule="exact"/>
        <w:rPr>
          <w:szCs w:val="21"/>
        </w:rPr>
      </w:pPr>
    </w:p>
    <w:p w14:paraId="785AF3E5">
      <w:pPr>
        <w:spacing w:line="440" w:lineRule="exact"/>
        <w:rPr>
          <w:szCs w:val="21"/>
        </w:rPr>
      </w:pPr>
    </w:p>
    <w:p w14:paraId="660ECF1A">
      <w:pPr>
        <w:spacing w:line="440" w:lineRule="exact"/>
        <w:rPr>
          <w:szCs w:val="21"/>
        </w:rPr>
      </w:pPr>
    </w:p>
    <w:p w14:paraId="57D4C29D">
      <w:pPr>
        <w:spacing w:line="440" w:lineRule="exact"/>
        <w:rPr>
          <w:szCs w:val="21"/>
        </w:rPr>
      </w:pPr>
    </w:p>
    <w:p w14:paraId="2A94A9D4">
      <w:pPr>
        <w:spacing w:line="440" w:lineRule="exact"/>
        <w:rPr>
          <w:szCs w:val="21"/>
        </w:rPr>
      </w:pPr>
      <w:r>
        <w:rPr>
          <w:szCs w:val="21"/>
        </w:rPr>
        <w:t>　　　　　　　　　　　　　　　</w:t>
      </w:r>
      <w:r>
        <w:rPr>
          <w:rFonts w:hint="eastAsia"/>
          <w:szCs w:val="21"/>
          <w:lang w:eastAsia="zh-CN"/>
        </w:rPr>
        <w:t>供应商</w:t>
      </w:r>
      <w:r>
        <w:rPr>
          <w:szCs w:val="21"/>
        </w:rPr>
        <w:t>：（盖单位章）</w:t>
      </w:r>
    </w:p>
    <w:p w14:paraId="46286DBD">
      <w:pPr>
        <w:spacing w:line="440" w:lineRule="exact"/>
        <w:rPr>
          <w:szCs w:val="21"/>
        </w:rPr>
      </w:pPr>
      <w:r>
        <w:rPr>
          <w:szCs w:val="21"/>
        </w:rPr>
        <w:t>　　　　　　　　　　　　　　　</w:t>
      </w:r>
    </w:p>
    <w:p w14:paraId="79C46A20">
      <w:pPr>
        <w:spacing w:line="440" w:lineRule="exact"/>
        <w:rPr>
          <w:szCs w:val="21"/>
        </w:rPr>
      </w:pPr>
      <w:r>
        <w:rPr>
          <w:szCs w:val="21"/>
        </w:rPr>
        <w:t>　　　　　　　　　　　　　　　法定代表人或其委托代理人：（签字）</w:t>
      </w:r>
    </w:p>
    <w:p w14:paraId="5FDD2489">
      <w:pPr>
        <w:spacing w:line="440" w:lineRule="exact"/>
        <w:rPr>
          <w:szCs w:val="21"/>
        </w:rPr>
      </w:pPr>
      <w:r>
        <w:rPr>
          <w:szCs w:val="21"/>
        </w:rPr>
        <w:t>　　　　　　　　　　　　　　　</w:t>
      </w:r>
    </w:p>
    <w:p w14:paraId="50C35ACD">
      <w:pPr>
        <w:spacing w:line="440" w:lineRule="exact"/>
        <w:rPr>
          <w:szCs w:val="21"/>
        </w:rPr>
      </w:pPr>
      <w:r>
        <w:rPr>
          <w:szCs w:val="21"/>
        </w:rPr>
        <w:t>　　　　　　　　　　　　　　　        年月日</w:t>
      </w:r>
    </w:p>
    <w:p w14:paraId="14689AAA">
      <w:pPr>
        <w:spacing w:line="400" w:lineRule="exact"/>
      </w:pPr>
    </w:p>
    <w:p w14:paraId="6821797F">
      <w:pPr>
        <w:spacing w:line="400" w:lineRule="exact"/>
      </w:pPr>
      <w:r>
        <w:br w:type="page"/>
      </w:r>
    </w:p>
    <w:p w14:paraId="14123AFF">
      <w:pPr>
        <w:pStyle w:val="714"/>
        <w:outlineLvl w:val="1"/>
      </w:pPr>
      <w:bookmarkStart w:id="114" w:name="_Toc179632602"/>
      <w:bookmarkStart w:id="115" w:name="_Toc152045584"/>
      <w:bookmarkStart w:id="116" w:name="_Toc152042361"/>
      <w:bookmarkStart w:id="117" w:name="_Toc144974551"/>
      <w:r>
        <w:rPr>
          <w:rFonts w:hint="eastAsia"/>
        </w:rPr>
        <w:t>附表四：</w:t>
      </w:r>
      <w:r>
        <w:rPr>
          <w:rFonts w:hint="eastAsia"/>
          <w:lang w:eastAsia="zh-CN"/>
        </w:rPr>
        <w:t>成交</w:t>
      </w:r>
      <w:r>
        <w:rPr>
          <w:rFonts w:hint="eastAsia"/>
        </w:rPr>
        <w:t>通知书</w:t>
      </w:r>
      <w:bookmarkEnd w:id="114"/>
      <w:bookmarkEnd w:id="115"/>
      <w:bookmarkEnd w:id="116"/>
      <w:bookmarkEnd w:id="117"/>
    </w:p>
    <w:p w14:paraId="6D383A2F">
      <w:pPr>
        <w:spacing w:line="400" w:lineRule="exact"/>
      </w:pPr>
    </w:p>
    <w:p w14:paraId="262A47C1">
      <w:pPr>
        <w:spacing w:line="400" w:lineRule="exact"/>
        <w:jc w:val="center"/>
        <w:rPr>
          <w:rFonts w:ascii="黑体" w:eastAsia="黑体"/>
          <w:sz w:val="28"/>
          <w:szCs w:val="28"/>
        </w:rPr>
      </w:pPr>
      <w:r>
        <w:rPr>
          <w:rFonts w:hint="eastAsia" w:ascii="黑体" w:eastAsia="黑体"/>
          <w:sz w:val="28"/>
          <w:szCs w:val="28"/>
          <w:lang w:val="en-US" w:eastAsia="zh-CN"/>
        </w:rPr>
        <w:t>成交</w:t>
      </w:r>
      <w:r>
        <w:rPr>
          <w:rFonts w:hint="eastAsia" w:ascii="黑体" w:eastAsia="黑体"/>
          <w:sz w:val="28"/>
          <w:szCs w:val="28"/>
        </w:rPr>
        <w:t>通知书</w:t>
      </w:r>
    </w:p>
    <w:p w14:paraId="35D98965">
      <w:pPr>
        <w:spacing w:line="400" w:lineRule="exact"/>
      </w:pPr>
    </w:p>
    <w:p w14:paraId="488367F2">
      <w:pPr>
        <w:autoSpaceDE w:val="0"/>
        <w:autoSpaceDN w:val="0"/>
        <w:adjustRightInd w:val="0"/>
        <w:spacing w:line="360" w:lineRule="auto"/>
        <w:jc w:val="right"/>
        <w:rPr>
          <w:szCs w:val="21"/>
        </w:rPr>
      </w:pPr>
      <w:r>
        <w:rPr>
          <w:rFonts w:hint="eastAsia"/>
          <w:szCs w:val="21"/>
        </w:rPr>
        <w:t>项目编号：</w:t>
      </w:r>
    </w:p>
    <w:tbl>
      <w:tblPr>
        <w:tblStyle w:val="88"/>
        <w:tblpPr w:leftFromText="180" w:rightFromText="180" w:vertAnchor="text" w:horzAnchor="margin" w:tblpXSpec="center" w:tblpY="142"/>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76"/>
        <w:gridCol w:w="2347"/>
        <w:gridCol w:w="1337"/>
        <w:gridCol w:w="3480"/>
      </w:tblGrid>
      <w:tr w14:paraId="433E4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2076" w:type="dxa"/>
            <w:noWrap/>
            <w:vAlign w:val="center"/>
          </w:tcPr>
          <w:p w14:paraId="24B00EFA">
            <w:pPr>
              <w:jc w:val="distribute"/>
              <w:rPr>
                <w:szCs w:val="21"/>
              </w:rPr>
            </w:pPr>
            <w:r>
              <w:rPr>
                <w:rFonts w:hint="eastAsia"/>
                <w:szCs w:val="21"/>
              </w:rPr>
              <w:t>项目编号</w:t>
            </w:r>
          </w:p>
        </w:tc>
        <w:tc>
          <w:tcPr>
            <w:tcW w:w="7164" w:type="dxa"/>
            <w:gridSpan w:val="3"/>
            <w:noWrap/>
            <w:vAlign w:val="center"/>
          </w:tcPr>
          <w:p w14:paraId="5841C2CA">
            <w:pPr>
              <w:jc w:val="center"/>
              <w:rPr>
                <w:szCs w:val="21"/>
              </w:rPr>
            </w:pPr>
          </w:p>
        </w:tc>
      </w:tr>
      <w:tr w14:paraId="07345B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2076" w:type="dxa"/>
            <w:noWrap/>
            <w:vAlign w:val="center"/>
          </w:tcPr>
          <w:p w14:paraId="743F1428">
            <w:pPr>
              <w:jc w:val="distribute"/>
              <w:rPr>
                <w:szCs w:val="21"/>
              </w:rPr>
            </w:pPr>
            <w:r>
              <w:rPr>
                <w:rFonts w:hint="eastAsia"/>
                <w:szCs w:val="21"/>
                <w:lang w:val="en-US" w:eastAsia="zh-CN"/>
              </w:rPr>
              <w:t>成交</w:t>
            </w:r>
            <w:r>
              <w:rPr>
                <w:rFonts w:hint="eastAsia"/>
                <w:szCs w:val="21"/>
              </w:rPr>
              <w:t>单位名称</w:t>
            </w:r>
          </w:p>
        </w:tc>
        <w:tc>
          <w:tcPr>
            <w:tcW w:w="7164" w:type="dxa"/>
            <w:gridSpan w:val="3"/>
            <w:noWrap/>
            <w:vAlign w:val="center"/>
          </w:tcPr>
          <w:p w14:paraId="5C5615B7">
            <w:pPr>
              <w:jc w:val="center"/>
              <w:rPr>
                <w:szCs w:val="21"/>
              </w:rPr>
            </w:pPr>
          </w:p>
        </w:tc>
      </w:tr>
      <w:tr w14:paraId="77D0A6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2076" w:type="dxa"/>
            <w:noWrap/>
            <w:vAlign w:val="center"/>
          </w:tcPr>
          <w:p w14:paraId="19384D8B">
            <w:pPr>
              <w:jc w:val="distribute"/>
              <w:rPr>
                <w:szCs w:val="21"/>
                <w:highlight w:val="none"/>
              </w:rPr>
            </w:pPr>
            <w:r>
              <w:rPr>
                <w:rFonts w:hint="eastAsia"/>
                <w:szCs w:val="21"/>
                <w:highlight w:val="none"/>
                <w:lang w:val="en-US" w:eastAsia="zh-CN"/>
              </w:rPr>
              <w:t>成交</w:t>
            </w:r>
            <w:r>
              <w:rPr>
                <w:rFonts w:hint="eastAsia"/>
                <w:szCs w:val="21"/>
                <w:highlight w:val="none"/>
              </w:rPr>
              <w:t>项目名称</w:t>
            </w:r>
          </w:p>
        </w:tc>
        <w:tc>
          <w:tcPr>
            <w:tcW w:w="7164" w:type="dxa"/>
            <w:gridSpan w:val="3"/>
            <w:noWrap/>
            <w:vAlign w:val="center"/>
          </w:tcPr>
          <w:p w14:paraId="21F7F2E8">
            <w:pPr>
              <w:jc w:val="center"/>
              <w:rPr>
                <w:szCs w:val="21"/>
              </w:rPr>
            </w:pPr>
          </w:p>
        </w:tc>
      </w:tr>
      <w:tr w14:paraId="141D91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076" w:type="dxa"/>
            <w:noWrap/>
            <w:vAlign w:val="center"/>
          </w:tcPr>
          <w:p w14:paraId="7EE7E9DE">
            <w:pPr>
              <w:jc w:val="distribute"/>
              <w:rPr>
                <w:szCs w:val="21"/>
                <w:highlight w:val="none"/>
              </w:rPr>
            </w:pPr>
            <w:r>
              <w:rPr>
                <w:rFonts w:hint="eastAsia"/>
                <w:szCs w:val="21"/>
                <w:highlight w:val="none"/>
                <w:lang w:val="en-US" w:eastAsia="zh-CN"/>
              </w:rPr>
              <w:t>成交</w:t>
            </w:r>
            <w:r>
              <w:rPr>
                <w:rFonts w:hint="eastAsia"/>
                <w:szCs w:val="21"/>
                <w:highlight w:val="none"/>
              </w:rPr>
              <w:t>项目地点</w:t>
            </w:r>
          </w:p>
        </w:tc>
        <w:tc>
          <w:tcPr>
            <w:tcW w:w="2347" w:type="dxa"/>
            <w:noWrap/>
            <w:vAlign w:val="center"/>
          </w:tcPr>
          <w:p w14:paraId="35F5FBF5">
            <w:pPr>
              <w:jc w:val="center"/>
              <w:rPr>
                <w:szCs w:val="21"/>
              </w:rPr>
            </w:pPr>
          </w:p>
        </w:tc>
        <w:tc>
          <w:tcPr>
            <w:tcW w:w="1337" w:type="dxa"/>
            <w:noWrap/>
            <w:vAlign w:val="center"/>
          </w:tcPr>
          <w:p w14:paraId="1E7CC578">
            <w:pPr>
              <w:jc w:val="center"/>
              <w:rPr>
                <w:rFonts w:hint="eastAsia" w:eastAsia="宋体"/>
                <w:szCs w:val="21"/>
                <w:lang w:eastAsia="zh-CN"/>
              </w:rPr>
            </w:pPr>
            <w:r>
              <w:rPr>
                <w:rFonts w:hint="eastAsia"/>
                <w:szCs w:val="21"/>
                <w:lang w:eastAsia="zh-CN"/>
              </w:rPr>
              <w:t>采购人</w:t>
            </w:r>
          </w:p>
        </w:tc>
        <w:tc>
          <w:tcPr>
            <w:tcW w:w="3480" w:type="dxa"/>
            <w:noWrap/>
            <w:vAlign w:val="center"/>
          </w:tcPr>
          <w:p w14:paraId="6DB73282">
            <w:pPr>
              <w:jc w:val="center"/>
              <w:rPr>
                <w:szCs w:val="21"/>
              </w:rPr>
            </w:pPr>
          </w:p>
        </w:tc>
      </w:tr>
      <w:tr w14:paraId="6826E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076" w:type="dxa"/>
            <w:noWrap/>
            <w:vAlign w:val="center"/>
          </w:tcPr>
          <w:p w14:paraId="2D9F167A">
            <w:pPr>
              <w:jc w:val="distribute"/>
              <w:rPr>
                <w:szCs w:val="21"/>
              </w:rPr>
            </w:pPr>
            <w:r>
              <w:rPr>
                <w:rFonts w:hint="eastAsia"/>
                <w:szCs w:val="21"/>
              </w:rPr>
              <w:t>项目经理</w:t>
            </w:r>
          </w:p>
        </w:tc>
        <w:tc>
          <w:tcPr>
            <w:tcW w:w="2347" w:type="dxa"/>
            <w:noWrap/>
            <w:vAlign w:val="center"/>
          </w:tcPr>
          <w:p w14:paraId="627DF62D">
            <w:pPr>
              <w:jc w:val="center"/>
              <w:rPr>
                <w:szCs w:val="21"/>
              </w:rPr>
            </w:pPr>
          </w:p>
        </w:tc>
        <w:tc>
          <w:tcPr>
            <w:tcW w:w="1337" w:type="dxa"/>
            <w:noWrap/>
            <w:vAlign w:val="center"/>
          </w:tcPr>
          <w:p w14:paraId="0B74878C">
            <w:pPr>
              <w:jc w:val="center"/>
              <w:rPr>
                <w:szCs w:val="21"/>
              </w:rPr>
            </w:pPr>
            <w:r>
              <w:rPr>
                <w:rFonts w:hint="eastAsia"/>
                <w:szCs w:val="21"/>
              </w:rPr>
              <w:t>资格等级</w:t>
            </w:r>
          </w:p>
        </w:tc>
        <w:tc>
          <w:tcPr>
            <w:tcW w:w="3480" w:type="dxa"/>
            <w:noWrap/>
            <w:vAlign w:val="center"/>
          </w:tcPr>
          <w:p w14:paraId="71F18B88">
            <w:pPr>
              <w:jc w:val="center"/>
              <w:rPr>
                <w:szCs w:val="21"/>
              </w:rPr>
            </w:pPr>
          </w:p>
        </w:tc>
      </w:tr>
      <w:tr w14:paraId="4E637D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076" w:type="dxa"/>
            <w:noWrap/>
            <w:vAlign w:val="center"/>
          </w:tcPr>
          <w:p w14:paraId="1AD17296">
            <w:pPr>
              <w:jc w:val="distribute"/>
              <w:rPr>
                <w:rFonts w:hint="eastAsia"/>
                <w:szCs w:val="21"/>
                <w:highlight w:val="none"/>
                <w:lang w:val="en-US" w:eastAsia="zh-CN"/>
              </w:rPr>
            </w:pPr>
            <w:r>
              <w:rPr>
                <w:rFonts w:hint="eastAsia"/>
                <w:szCs w:val="21"/>
                <w:highlight w:val="none"/>
                <w:lang w:val="en-US" w:eastAsia="zh-CN"/>
              </w:rPr>
              <w:t>磋 商 日 期</w:t>
            </w:r>
          </w:p>
        </w:tc>
        <w:tc>
          <w:tcPr>
            <w:tcW w:w="2347" w:type="dxa"/>
            <w:noWrap/>
            <w:vAlign w:val="center"/>
          </w:tcPr>
          <w:p w14:paraId="047C8022">
            <w:pPr>
              <w:jc w:val="center"/>
              <w:rPr>
                <w:szCs w:val="21"/>
              </w:rPr>
            </w:pPr>
          </w:p>
        </w:tc>
        <w:tc>
          <w:tcPr>
            <w:tcW w:w="1337" w:type="dxa"/>
            <w:noWrap/>
            <w:vAlign w:val="center"/>
          </w:tcPr>
          <w:p w14:paraId="63E0B1F6">
            <w:pPr>
              <w:jc w:val="center"/>
              <w:rPr>
                <w:szCs w:val="21"/>
              </w:rPr>
            </w:pPr>
            <w:r>
              <w:rPr>
                <w:rFonts w:hint="eastAsia"/>
                <w:szCs w:val="21"/>
                <w:highlight w:val="none"/>
                <w:lang w:val="en-US" w:eastAsia="zh-CN"/>
              </w:rPr>
              <w:t>开标</w:t>
            </w:r>
            <w:r>
              <w:rPr>
                <w:rFonts w:hint="eastAsia"/>
                <w:szCs w:val="21"/>
                <w:highlight w:val="none"/>
              </w:rPr>
              <w:t>方式</w:t>
            </w:r>
          </w:p>
        </w:tc>
        <w:tc>
          <w:tcPr>
            <w:tcW w:w="3480" w:type="dxa"/>
            <w:noWrap/>
            <w:vAlign w:val="center"/>
          </w:tcPr>
          <w:p w14:paraId="27A347A3">
            <w:pPr>
              <w:jc w:val="center"/>
              <w:rPr>
                <w:szCs w:val="21"/>
              </w:rPr>
            </w:pPr>
          </w:p>
        </w:tc>
      </w:tr>
      <w:tr w14:paraId="4CAE2D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2076" w:type="dxa"/>
            <w:noWrap/>
            <w:vAlign w:val="center"/>
          </w:tcPr>
          <w:p w14:paraId="06172FB7">
            <w:pPr>
              <w:jc w:val="distribute"/>
              <w:rPr>
                <w:rFonts w:hint="eastAsia"/>
                <w:szCs w:val="21"/>
                <w:highlight w:val="none"/>
                <w:lang w:val="en-US" w:eastAsia="zh-CN"/>
              </w:rPr>
            </w:pPr>
            <w:r>
              <w:rPr>
                <w:rFonts w:hint="eastAsia"/>
                <w:szCs w:val="21"/>
                <w:highlight w:val="none"/>
                <w:lang w:val="en-US" w:eastAsia="zh-CN"/>
              </w:rPr>
              <w:t>成交 价 格</w:t>
            </w:r>
          </w:p>
        </w:tc>
        <w:tc>
          <w:tcPr>
            <w:tcW w:w="7164" w:type="dxa"/>
            <w:gridSpan w:val="3"/>
            <w:noWrap/>
            <w:vAlign w:val="center"/>
          </w:tcPr>
          <w:p w14:paraId="467EB85B">
            <w:pPr>
              <w:rPr>
                <w:szCs w:val="21"/>
              </w:rPr>
            </w:pPr>
          </w:p>
        </w:tc>
      </w:tr>
      <w:tr w14:paraId="47C4AF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jc w:val="center"/>
        </w:trPr>
        <w:tc>
          <w:tcPr>
            <w:tcW w:w="2076" w:type="dxa"/>
            <w:noWrap/>
            <w:vAlign w:val="center"/>
          </w:tcPr>
          <w:p w14:paraId="79B639E2">
            <w:pPr>
              <w:jc w:val="distribute"/>
              <w:rPr>
                <w:rFonts w:hint="eastAsia"/>
                <w:szCs w:val="21"/>
              </w:rPr>
            </w:pPr>
            <w:r>
              <w:rPr>
                <w:rFonts w:hint="eastAsia"/>
                <w:szCs w:val="21"/>
              </w:rPr>
              <w:t>计划工期</w:t>
            </w:r>
          </w:p>
        </w:tc>
        <w:tc>
          <w:tcPr>
            <w:tcW w:w="7164" w:type="dxa"/>
            <w:gridSpan w:val="3"/>
            <w:noWrap/>
            <w:vAlign w:val="center"/>
          </w:tcPr>
          <w:p w14:paraId="5F5843A5">
            <w:pPr>
              <w:rPr>
                <w:szCs w:val="21"/>
              </w:rPr>
            </w:pPr>
          </w:p>
        </w:tc>
      </w:tr>
      <w:tr w14:paraId="58E96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2076" w:type="dxa"/>
            <w:noWrap/>
            <w:vAlign w:val="center"/>
          </w:tcPr>
          <w:p w14:paraId="00DB8AE1">
            <w:pPr>
              <w:jc w:val="distribute"/>
              <w:rPr>
                <w:rFonts w:hint="eastAsia"/>
                <w:szCs w:val="21"/>
              </w:rPr>
            </w:pPr>
            <w:r>
              <w:rPr>
                <w:rFonts w:hint="eastAsia"/>
                <w:szCs w:val="21"/>
                <w:lang w:eastAsia="zh-CN"/>
              </w:rPr>
              <w:t>磋商</w:t>
            </w:r>
            <w:r>
              <w:rPr>
                <w:rFonts w:hint="eastAsia"/>
                <w:szCs w:val="21"/>
              </w:rPr>
              <w:t>范围</w:t>
            </w:r>
          </w:p>
        </w:tc>
        <w:tc>
          <w:tcPr>
            <w:tcW w:w="7164" w:type="dxa"/>
            <w:gridSpan w:val="3"/>
            <w:noWrap/>
            <w:vAlign w:val="center"/>
          </w:tcPr>
          <w:p w14:paraId="598EC000">
            <w:pPr>
              <w:rPr>
                <w:szCs w:val="21"/>
              </w:rPr>
            </w:pPr>
          </w:p>
        </w:tc>
      </w:tr>
      <w:tr w14:paraId="246F5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2076" w:type="dxa"/>
            <w:noWrap/>
            <w:vAlign w:val="center"/>
          </w:tcPr>
          <w:p w14:paraId="53C0A981">
            <w:pPr>
              <w:jc w:val="distribute"/>
              <w:rPr>
                <w:szCs w:val="21"/>
              </w:rPr>
            </w:pPr>
            <w:r>
              <w:rPr>
                <w:rFonts w:hint="eastAsia"/>
                <w:szCs w:val="21"/>
              </w:rPr>
              <w:t>质量要求</w:t>
            </w:r>
          </w:p>
        </w:tc>
        <w:tc>
          <w:tcPr>
            <w:tcW w:w="7164" w:type="dxa"/>
            <w:gridSpan w:val="3"/>
            <w:noWrap/>
            <w:vAlign w:val="center"/>
          </w:tcPr>
          <w:p w14:paraId="353572BE">
            <w:pPr>
              <w:rPr>
                <w:szCs w:val="21"/>
              </w:rPr>
            </w:pPr>
          </w:p>
        </w:tc>
      </w:tr>
      <w:tr w14:paraId="567462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9240" w:type="dxa"/>
            <w:gridSpan w:val="4"/>
            <w:noWrap/>
            <w:vAlign w:val="center"/>
          </w:tcPr>
          <w:p w14:paraId="53FAF405">
            <w:pPr>
              <w:ind w:firstLine="435"/>
              <w:rPr>
                <w:szCs w:val="21"/>
              </w:rPr>
            </w:pPr>
            <w:r>
              <w:rPr>
                <w:rFonts w:hint="eastAsia"/>
                <w:szCs w:val="21"/>
              </w:rPr>
              <w:t>请</w:t>
            </w:r>
            <w:r>
              <w:rPr>
                <w:rFonts w:hint="eastAsia"/>
                <w:lang w:val="zh-TW" w:eastAsia="zh-CN"/>
              </w:rPr>
              <w:t>成交</w:t>
            </w:r>
            <w:r>
              <w:rPr>
                <w:rFonts w:hint="eastAsia"/>
                <w:szCs w:val="21"/>
              </w:rPr>
              <w:t>单位在投标有效期，自《</w:t>
            </w:r>
            <w:r>
              <w:rPr>
                <w:rFonts w:hint="eastAsia"/>
                <w:lang w:val="zh-TW" w:eastAsia="zh-CN"/>
              </w:rPr>
              <w:t>成交</w:t>
            </w:r>
            <w:r>
              <w:rPr>
                <w:rFonts w:hint="eastAsia"/>
                <w:szCs w:val="21"/>
              </w:rPr>
              <w:t>通知书》发出之日起30日内，与</w:t>
            </w:r>
            <w:r>
              <w:rPr>
                <w:rFonts w:hint="eastAsia"/>
                <w:szCs w:val="21"/>
                <w:lang w:eastAsia="zh-CN"/>
              </w:rPr>
              <w:t>采购人</w:t>
            </w:r>
            <w:r>
              <w:rPr>
                <w:rFonts w:hint="eastAsia"/>
                <w:szCs w:val="21"/>
              </w:rPr>
              <w:t>签订合同。</w:t>
            </w:r>
          </w:p>
        </w:tc>
      </w:tr>
      <w:tr w14:paraId="546BF8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3" w:hRule="atLeast"/>
          <w:jc w:val="center"/>
        </w:trPr>
        <w:tc>
          <w:tcPr>
            <w:tcW w:w="4423" w:type="dxa"/>
            <w:gridSpan w:val="2"/>
            <w:noWrap/>
            <w:vAlign w:val="center"/>
          </w:tcPr>
          <w:p w14:paraId="52647372">
            <w:pPr>
              <w:rPr>
                <w:szCs w:val="21"/>
              </w:rPr>
            </w:pPr>
            <w:r>
              <w:rPr>
                <w:rFonts w:hint="eastAsia"/>
                <w:szCs w:val="21"/>
                <w:lang w:eastAsia="zh-CN"/>
              </w:rPr>
              <w:t>采购人</w:t>
            </w:r>
            <w:r>
              <w:rPr>
                <w:rFonts w:hint="eastAsia"/>
                <w:szCs w:val="21"/>
              </w:rPr>
              <w:t>（盖章）</w:t>
            </w:r>
          </w:p>
          <w:p w14:paraId="54193AD1">
            <w:pPr>
              <w:rPr>
                <w:szCs w:val="21"/>
              </w:rPr>
            </w:pPr>
          </w:p>
          <w:p w14:paraId="24AD02DF">
            <w:pPr>
              <w:rPr>
                <w:szCs w:val="21"/>
              </w:rPr>
            </w:pPr>
          </w:p>
          <w:p w14:paraId="7DFACCE8">
            <w:pPr>
              <w:rPr>
                <w:szCs w:val="21"/>
              </w:rPr>
            </w:pPr>
          </w:p>
          <w:p w14:paraId="5F75AF2B">
            <w:pPr>
              <w:rPr>
                <w:szCs w:val="21"/>
              </w:rPr>
            </w:pPr>
          </w:p>
          <w:p w14:paraId="24E3D9FB">
            <w:pPr>
              <w:rPr>
                <w:szCs w:val="21"/>
              </w:rPr>
            </w:pPr>
            <w:r>
              <w:rPr>
                <w:rFonts w:hint="eastAsia"/>
                <w:szCs w:val="21"/>
              </w:rPr>
              <w:t>法人代表或委托代理人（签字或盖章）</w:t>
            </w:r>
          </w:p>
          <w:p w14:paraId="55B8EEEF">
            <w:pPr>
              <w:rPr>
                <w:szCs w:val="21"/>
              </w:rPr>
            </w:pPr>
          </w:p>
          <w:p w14:paraId="7CF91E1A">
            <w:pPr>
              <w:rPr>
                <w:szCs w:val="21"/>
              </w:rPr>
            </w:pPr>
          </w:p>
          <w:p w14:paraId="33A6DF1D">
            <w:pPr>
              <w:pStyle w:val="87"/>
              <w:tabs>
                <w:tab w:val="left" w:pos="360"/>
              </w:tabs>
              <w:ind w:left="440"/>
            </w:pPr>
          </w:p>
          <w:p w14:paraId="3C45A584">
            <w:pPr>
              <w:ind w:firstLine="840" w:firstLineChars="400"/>
              <w:rPr>
                <w:szCs w:val="21"/>
              </w:rPr>
            </w:pPr>
          </w:p>
          <w:p w14:paraId="6115B8AA">
            <w:pPr>
              <w:ind w:firstLine="2520" w:firstLineChars="1200"/>
              <w:rPr>
                <w:szCs w:val="21"/>
              </w:rPr>
            </w:pPr>
            <w:r>
              <w:rPr>
                <w:rFonts w:hint="eastAsia"/>
                <w:szCs w:val="21"/>
              </w:rPr>
              <w:t>年   月   日</w:t>
            </w:r>
          </w:p>
        </w:tc>
        <w:tc>
          <w:tcPr>
            <w:tcW w:w="4817" w:type="dxa"/>
            <w:gridSpan w:val="2"/>
            <w:noWrap/>
            <w:vAlign w:val="center"/>
          </w:tcPr>
          <w:p w14:paraId="448DEB1E">
            <w:pPr>
              <w:rPr>
                <w:szCs w:val="21"/>
              </w:rPr>
            </w:pPr>
            <w:r>
              <w:rPr>
                <w:rFonts w:hint="eastAsia"/>
                <w:szCs w:val="21"/>
                <w:lang w:eastAsia="zh-CN"/>
              </w:rPr>
              <w:t>采购代理机构</w:t>
            </w:r>
            <w:r>
              <w:rPr>
                <w:rFonts w:hint="eastAsia"/>
                <w:szCs w:val="21"/>
              </w:rPr>
              <w:t>（盖章）</w:t>
            </w:r>
          </w:p>
          <w:p w14:paraId="63DEF8AF">
            <w:pPr>
              <w:rPr>
                <w:szCs w:val="21"/>
              </w:rPr>
            </w:pPr>
          </w:p>
          <w:p w14:paraId="15B2A655">
            <w:pPr>
              <w:rPr>
                <w:szCs w:val="21"/>
              </w:rPr>
            </w:pPr>
          </w:p>
          <w:p w14:paraId="4CC15F49">
            <w:pPr>
              <w:rPr>
                <w:szCs w:val="21"/>
              </w:rPr>
            </w:pPr>
          </w:p>
          <w:p w14:paraId="0069454A">
            <w:pPr>
              <w:rPr>
                <w:szCs w:val="21"/>
              </w:rPr>
            </w:pPr>
          </w:p>
          <w:p w14:paraId="4D6B9BBD">
            <w:pPr>
              <w:rPr>
                <w:szCs w:val="21"/>
              </w:rPr>
            </w:pPr>
            <w:r>
              <w:rPr>
                <w:rFonts w:hint="eastAsia"/>
                <w:szCs w:val="21"/>
              </w:rPr>
              <w:t>法人代表或委托代理人（签字或盖章）</w:t>
            </w:r>
          </w:p>
          <w:p w14:paraId="1B302713">
            <w:pPr>
              <w:rPr>
                <w:szCs w:val="21"/>
              </w:rPr>
            </w:pPr>
          </w:p>
          <w:p w14:paraId="6EFE7A76">
            <w:pPr>
              <w:ind w:firstLine="1050" w:firstLineChars="500"/>
              <w:rPr>
                <w:szCs w:val="21"/>
              </w:rPr>
            </w:pPr>
          </w:p>
          <w:p w14:paraId="098752BB">
            <w:pPr>
              <w:pStyle w:val="87"/>
              <w:tabs>
                <w:tab w:val="left" w:pos="360"/>
              </w:tabs>
              <w:ind w:left="440"/>
            </w:pPr>
          </w:p>
          <w:p w14:paraId="1970F203">
            <w:pPr>
              <w:ind w:firstLine="1050" w:firstLineChars="500"/>
              <w:rPr>
                <w:szCs w:val="21"/>
              </w:rPr>
            </w:pPr>
          </w:p>
          <w:p w14:paraId="186EE887">
            <w:pPr>
              <w:ind w:firstLine="2940" w:firstLineChars="1400"/>
              <w:rPr>
                <w:szCs w:val="21"/>
              </w:rPr>
            </w:pPr>
            <w:r>
              <w:rPr>
                <w:rFonts w:hint="eastAsia"/>
                <w:szCs w:val="21"/>
              </w:rPr>
              <w:t>年   月   日</w:t>
            </w:r>
          </w:p>
        </w:tc>
      </w:tr>
    </w:tbl>
    <w:p w14:paraId="3CBB7A30">
      <w:pPr>
        <w:spacing w:line="540" w:lineRule="exact"/>
        <w:rPr>
          <w:szCs w:val="21"/>
        </w:rPr>
      </w:pPr>
      <w:r>
        <w:rPr>
          <w:rFonts w:hint="eastAsia"/>
          <w:b/>
          <w:sz w:val="18"/>
          <w:szCs w:val="18"/>
        </w:rPr>
        <w:t>[注]此《</w:t>
      </w:r>
      <w:r>
        <w:rPr>
          <w:rFonts w:hint="eastAsia"/>
          <w:b/>
          <w:sz w:val="18"/>
          <w:szCs w:val="18"/>
          <w:lang w:val="en-US" w:eastAsia="zh-CN"/>
        </w:rPr>
        <w:t>成交</w:t>
      </w:r>
      <w:r>
        <w:rPr>
          <w:rFonts w:hint="eastAsia"/>
          <w:b/>
          <w:sz w:val="18"/>
          <w:szCs w:val="18"/>
        </w:rPr>
        <w:t>通知书》一式五份，</w:t>
      </w:r>
      <w:r>
        <w:rPr>
          <w:rFonts w:hint="eastAsia"/>
          <w:b/>
          <w:sz w:val="18"/>
          <w:szCs w:val="18"/>
          <w:lang w:eastAsia="zh-CN"/>
        </w:rPr>
        <w:t>采购人</w:t>
      </w:r>
      <w:r>
        <w:rPr>
          <w:rFonts w:hint="eastAsia"/>
          <w:b/>
          <w:sz w:val="18"/>
          <w:szCs w:val="18"/>
        </w:rPr>
        <w:t>执二份，</w:t>
      </w:r>
      <w:r>
        <w:rPr>
          <w:rFonts w:hint="eastAsia"/>
          <w:b/>
          <w:sz w:val="18"/>
          <w:szCs w:val="18"/>
          <w:lang w:eastAsia="zh-CN"/>
        </w:rPr>
        <w:t>采购代理机构</w:t>
      </w:r>
      <w:r>
        <w:rPr>
          <w:rFonts w:hint="eastAsia"/>
          <w:b/>
          <w:sz w:val="18"/>
          <w:szCs w:val="18"/>
        </w:rPr>
        <w:t>、监督部门、</w:t>
      </w:r>
      <w:r>
        <w:rPr>
          <w:rFonts w:hint="eastAsia"/>
          <w:b/>
          <w:sz w:val="18"/>
          <w:szCs w:val="18"/>
          <w:lang w:eastAsia="zh-CN"/>
        </w:rPr>
        <w:t>成交</w:t>
      </w:r>
      <w:r>
        <w:rPr>
          <w:rFonts w:hint="eastAsia"/>
          <w:b/>
          <w:sz w:val="18"/>
          <w:szCs w:val="18"/>
        </w:rPr>
        <w:t>单位各执一份。</w:t>
      </w:r>
    </w:p>
    <w:p w14:paraId="1395171B">
      <w:pPr>
        <w:spacing w:line="400" w:lineRule="exact"/>
      </w:pPr>
    </w:p>
    <w:p w14:paraId="52458B4F">
      <w:pPr>
        <w:spacing w:line="400" w:lineRule="exact"/>
      </w:pPr>
      <w:r>
        <w:br w:type="page"/>
      </w:r>
    </w:p>
    <w:p w14:paraId="14973D1C">
      <w:pPr>
        <w:pStyle w:val="714"/>
        <w:outlineLvl w:val="1"/>
      </w:pPr>
      <w:bookmarkStart w:id="118" w:name="_Toc144974552"/>
      <w:bookmarkStart w:id="119" w:name="_Toc152045585"/>
      <w:bookmarkStart w:id="120" w:name="_Toc152042362"/>
      <w:bookmarkStart w:id="121" w:name="_Toc179632603"/>
      <w:r>
        <w:rPr>
          <w:rFonts w:hint="eastAsia"/>
        </w:rPr>
        <w:t>附表五：</w:t>
      </w:r>
      <w:r>
        <w:rPr>
          <w:rFonts w:hint="eastAsia"/>
          <w:lang w:val="en-US" w:eastAsia="zh-CN"/>
        </w:rPr>
        <w:t>成交</w:t>
      </w:r>
      <w:r>
        <w:rPr>
          <w:rFonts w:hint="eastAsia"/>
        </w:rPr>
        <w:t>结果通知书</w:t>
      </w:r>
      <w:bookmarkEnd w:id="118"/>
      <w:bookmarkEnd w:id="119"/>
      <w:bookmarkEnd w:id="120"/>
      <w:bookmarkEnd w:id="121"/>
    </w:p>
    <w:p w14:paraId="5BA801C2">
      <w:pPr>
        <w:spacing w:line="400" w:lineRule="exact"/>
      </w:pPr>
    </w:p>
    <w:p w14:paraId="7D018AAB">
      <w:pPr>
        <w:spacing w:line="400" w:lineRule="exact"/>
        <w:jc w:val="center"/>
        <w:rPr>
          <w:rFonts w:ascii="黑体" w:eastAsia="黑体"/>
          <w:sz w:val="28"/>
          <w:szCs w:val="28"/>
        </w:rPr>
      </w:pPr>
      <w:r>
        <w:rPr>
          <w:rFonts w:hint="eastAsia" w:ascii="黑体" w:eastAsia="黑体"/>
          <w:sz w:val="28"/>
          <w:szCs w:val="28"/>
          <w:lang w:val="en-US" w:eastAsia="zh-CN"/>
        </w:rPr>
        <w:t>成交</w:t>
      </w:r>
      <w:r>
        <w:rPr>
          <w:rFonts w:hint="eastAsia" w:ascii="黑体" w:eastAsia="黑体"/>
          <w:sz w:val="28"/>
          <w:szCs w:val="28"/>
        </w:rPr>
        <w:t>结果通知书</w:t>
      </w:r>
    </w:p>
    <w:p w14:paraId="36F5C624">
      <w:pPr>
        <w:spacing w:line="400" w:lineRule="exact"/>
      </w:pPr>
    </w:p>
    <w:p w14:paraId="2C641F55">
      <w:pPr>
        <w:spacing w:line="440" w:lineRule="exact"/>
        <w:rPr>
          <w:szCs w:val="21"/>
        </w:rPr>
      </w:pPr>
      <w:r>
        <w:rPr>
          <w:szCs w:val="21"/>
        </w:rPr>
        <w:t>（未</w:t>
      </w:r>
      <w:r>
        <w:rPr>
          <w:rFonts w:hint="eastAsia"/>
          <w:szCs w:val="21"/>
          <w:lang w:eastAsia="zh-CN"/>
        </w:rPr>
        <w:t>成交</w:t>
      </w:r>
      <w:r>
        <w:rPr>
          <w:szCs w:val="21"/>
        </w:rPr>
        <w:t>人名称）：</w:t>
      </w:r>
    </w:p>
    <w:p w14:paraId="0AC1B07E">
      <w:pPr>
        <w:spacing w:line="440" w:lineRule="exact"/>
        <w:rPr>
          <w:szCs w:val="21"/>
        </w:rPr>
      </w:pPr>
    </w:p>
    <w:p w14:paraId="3870A9A9">
      <w:pPr>
        <w:spacing w:line="440" w:lineRule="exact"/>
        <w:rPr>
          <w:szCs w:val="21"/>
        </w:rPr>
      </w:pPr>
      <w:r>
        <w:rPr>
          <w:szCs w:val="21"/>
        </w:rPr>
        <w:t>　　我方已接受 （</w:t>
      </w:r>
      <w:r>
        <w:rPr>
          <w:rFonts w:hint="eastAsia"/>
          <w:szCs w:val="21"/>
          <w:lang w:eastAsia="zh-CN"/>
        </w:rPr>
        <w:t>成交</w:t>
      </w:r>
      <w:r>
        <w:rPr>
          <w:szCs w:val="21"/>
        </w:rPr>
        <w:t>人名称）于（投标日期）所递交的（项目名称）标段</w:t>
      </w:r>
      <w:r>
        <w:rPr>
          <w:rFonts w:hint="eastAsia"/>
          <w:szCs w:val="21"/>
        </w:rPr>
        <w:t>的响应文件</w:t>
      </w:r>
      <w:r>
        <w:rPr>
          <w:szCs w:val="21"/>
        </w:rPr>
        <w:t>，确定（</w:t>
      </w:r>
      <w:r>
        <w:rPr>
          <w:rFonts w:hint="eastAsia"/>
          <w:szCs w:val="21"/>
          <w:lang w:eastAsia="zh-CN"/>
        </w:rPr>
        <w:t>成交</w:t>
      </w:r>
      <w:r>
        <w:rPr>
          <w:szCs w:val="21"/>
        </w:rPr>
        <w:t>人名称）为</w:t>
      </w:r>
      <w:r>
        <w:rPr>
          <w:rFonts w:hint="eastAsia"/>
          <w:szCs w:val="21"/>
          <w:lang w:eastAsia="zh-CN"/>
        </w:rPr>
        <w:t>成交</w:t>
      </w:r>
      <w:r>
        <w:rPr>
          <w:rFonts w:hint="eastAsia"/>
          <w:szCs w:val="21"/>
        </w:rPr>
        <w:t>供应商</w:t>
      </w:r>
      <w:r>
        <w:rPr>
          <w:szCs w:val="21"/>
        </w:rPr>
        <w:t>。</w:t>
      </w:r>
    </w:p>
    <w:p w14:paraId="0AEC926C">
      <w:pPr>
        <w:spacing w:line="440" w:lineRule="exact"/>
        <w:rPr>
          <w:szCs w:val="21"/>
        </w:rPr>
      </w:pPr>
      <w:r>
        <w:rPr>
          <w:szCs w:val="21"/>
        </w:rPr>
        <w:t>　　</w:t>
      </w:r>
    </w:p>
    <w:p w14:paraId="16C1EBED">
      <w:pPr>
        <w:spacing w:line="440" w:lineRule="exact"/>
        <w:rPr>
          <w:szCs w:val="21"/>
        </w:rPr>
      </w:pPr>
      <w:r>
        <w:rPr>
          <w:szCs w:val="21"/>
        </w:rPr>
        <w:t>　　感谢</w:t>
      </w:r>
      <w:r>
        <w:rPr>
          <w:rFonts w:hint="eastAsia"/>
          <w:szCs w:val="21"/>
        </w:rPr>
        <w:t>贵</w:t>
      </w:r>
      <w:r>
        <w:rPr>
          <w:szCs w:val="21"/>
        </w:rPr>
        <w:t>单位对我们工作的大力支持！</w:t>
      </w:r>
    </w:p>
    <w:p w14:paraId="1440A4D1">
      <w:pPr>
        <w:spacing w:line="440" w:lineRule="exact"/>
        <w:rPr>
          <w:szCs w:val="21"/>
        </w:rPr>
      </w:pPr>
    </w:p>
    <w:p w14:paraId="36CD1D97">
      <w:pPr>
        <w:spacing w:line="440" w:lineRule="exact"/>
        <w:rPr>
          <w:szCs w:val="21"/>
        </w:rPr>
      </w:pPr>
    </w:p>
    <w:p w14:paraId="05E1B323">
      <w:pPr>
        <w:spacing w:line="440" w:lineRule="exact"/>
        <w:rPr>
          <w:szCs w:val="21"/>
        </w:rPr>
      </w:pPr>
    </w:p>
    <w:p w14:paraId="18397389">
      <w:pPr>
        <w:spacing w:line="440" w:lineRule="exact"/>
        <w:jc w:val="right"/>
        <w:rPr>
          <w:szCs w:val="21"/>
        </w:rPr>
      </w:pPr>
      <w:r>
        <w:rPr>
          <w:rFonts w:hint="eastAsia"/>
          <w:szCs w:val="21"/>
          <w:lang w:eastAsia="zh-CN"/>
        </w:rPr>
        <w:t>采购人</w:t>
      </w:r>
      <w:r>
        <w:rPr>
          <w:szCs w:val="21"/>
        </w:rPr>
        <w:t>：</w:t>
      </w:r>
      <w:r>
        <w:rPr>
          <w:rFonts w:hint="eastAsia"/>
          <w:szCs w:val="21"/>
          <w:u w:val="single"/>
          <w:lang w:val="en-US" w:eastAsia="zh-CN"/>
        </w:rPr>
        <w:t xml:space="preserve">            </w:t>
      </w:r>
      <w:r>
        <w:rPr>
          <w:szCs w:val="21"/>
        </w:rPr>
        <w:t>（盖单位章）</w:t>
      </w:r>
    </w:p>
    <w:p w14:paraId="7E1C3DF2">
      <w:pPr>
        <w:spacing w:line="440" w:lineRule="exact"/>
        <w:jc w:val="right"/>
        <w:rPr>
          <w:szCs w:val="21"/>
        </w:rPr>
      </w:pPr>
    </w:p>
    <w:p w14:paraId="3F6ED721">
      <w:pPr>
        <w:spacing w:line="440" w:lineRule="exact"/>
        <w:jc w:val="right"/>
        <w:rPr>
          <w:szCs w:val="21"/>
        </w:rPr>
      </w:pPr>
      <w:r>
        <w:rPr>
          <w:rFonts w:hint="eastAsia"/>
          <w:szCs w:val="21"/>
        </w:rPr>
        <w:t>采购代理机构</w:t>
      </w:r>
      <w:r>
        <w:rPr>
          <w:szCs w:val="21"/>
        </w:rPr>
        <w:t>：</w:t>
      </w:r>
      <w:r>
        <w:rPr>
          <w:rFonts w:hint="eastAsia"/>
          <w:szCs w:val="21"/>
          <w:u w:val="single"/>
          <w:lang w:val="en-US" w:eastAsia="zh-CN"/>
        </w:rPr>
        <w:t xml:space="preserve">             </w:t>
      </w:r>
      <w:r>
        <w:rPr>
          <w:szCs w:val="21"/>
        </w:rPr>
        <w:t>（</w:t>
      </w:r>
      <w:r>
        <w:rPr>
          <w:rFonts w:hint="eastAsia"/>
          <w:szCs w:val="21"/>
        </w:rPr>
        <w:t>盖单位章</w:t>
      </w:r>
      <w:r>
        <w:rPr>
          <w:szCs w:val="21"/>
        </w:rPr>
        <w:t>）</w:t>
      </w:r>
    </w:p>
    <w:p w14:paraId="157710B3">
      <w:pPr>
        <w:spacing w:line="440" w:lineRule="exact"/>
        <w:jc w:val="right"/>
        <w:rPr>
          <w:szCs w:val="21"/>
        </w:rPr>
      </w:pPr>
    </w:p>
    <w:p w14:paraId="484DD5E7">
      <w:pPr>
        <w:spacing w:line="440" w:lineRule="exact"/>
        <w:jc w:val="right"/>
        <w:rPr>
          <w:szCs w:val="21"/>
        </w:rPr>
      </w:pPr>
      <w:r>
        <w:rPr>
          <w:szCs w:val="21"/>
        </w:rPr>
        <w:t>年</w:t>
      </w:r>
      <w:r>
        <w:rPr>
          <w:rFonts w:hint="eastAsia"/>
          <w:szCs w:val="21"/>
          <w:lang w:val="en-US" w:eastAsia="zh-CN"/>
        </w:rPr>
        <w:t xml:space="preserve">   </w:t>
      </w:r>
      <w:r>
        <w:rPr>
          <w:szCs w:val="21"/>
        </w:rPr>
        <w:t>月</w:t>
      </w:r>
      <w:r>
        <w:rPr>
          <w:rFonts w:hint="eastAsia"/>
          <w:szCs w:val="21"/>
          <w:lang w:val="en-US" w:eastAsia="zh-CN"/>
        </w:rPr>
        <w:t xml:space="preserve">   </w:t>
      </w:r>
      <w:r>
        <w:rPr>
          <w:szCs w:val="21"/>
        </w:rPr>
        <w:t>日</w:t>
      </w:r>
    </w:p>
    <w:p w14:paraId="7543E442">
      <w:pPr>
        <w:spacing w:line="400" w:lineRule="exact"/>
      </w:pPr>
    </w:p>
    <w:p w14:paraId="66FCEEE9">
      <w:pPr>
        <w:spacing w:line="400" w:lineRule="exact"/>
      </w:pPr>
      <w:r>
        <w:br w:type="page"/>
      </w:r>
    </w:p>
    <w:p w14:paraId="39AAD231">
      <w:pPr>
        <w:pStyle w:val="714"/>
        <w:outlineLvl w:val="1"/>
      </w:pPr>
      <w:bookmarkStart w:id="122" w:name="_Toc144974553"/>
      <w:bookmarkStart w:id="123" w:name="_Toc152045586"/>
      <w:bookmarkStart w:id="124" w:name="_Toc152042363"/>
      <w:bookmarkStart w:id="125" w:name="_Toc179632604"/>
      <w:r>
        <w:rPr>
          <w:rFonts w:hint="eastAsia"/>
        </w:rPr>
        <w:t>附表六：确认通知</w:t>
      </w:r>
      <w:bookmarkEnd w:id="122"/>
      <w:bookmarkEnd w:id="123"/>
      <w:bookmarkEnd w:id="124"/>
      <w:bookmarkEnd w:id="125"/>
    </w:p>
    <w:p w14:paraId="411147BD">
      <w:pPr>
        <w:spacing w:line="400" w:lineRule="exact"/>
      </w:pPr>
    </w:p>
    <w:p w14:paraId="459CE545">
      <w:pPr>
        <w:spacing w:line="400" w:lineRule="exact"/>
        <w:jc w:val="center"/>
        <w:rPr>
          <w:rFonts w:ascii="黑体" w:eastAsia="黑体"/>
          <w:sz w:val="28"/>
          <w:szCs w:val="28"/>
        </w:rPr>
      </w:pPr>
      <w:r>
        <w:rPr>
          <w:rFonts w:hint="eastAsia" w:ascii="黑体" w:eastAsia="黑体"/>
          <w:sz w:val="28"/>
          <w:szCs w:val="28"/>
        </w:rPr>
        <w:t>确认通知</w:t>
      </w:r>
    </w:p>
    <w:p w14:paraId="0780F05A">
      <w:pPr>
        <w:spacing w:line="400" w:lineRule="exact"/>
      </w:pPr>
    </w:p>
    <w:p w14:paraId="25EC8BB0">
      <w:pPr>
        <w:spacing w:line="440" w:lineRule="exact"/>
        <w:rPr>
          <w:szCs w:val="21"/>
        </w:rPr>
      </w:pPr>
      <w:r>
        <w:rPr>
          <w:szCs w:val="21"/>
        </w:rPr>
        <w:t>（</w:t>
      </w:r>
      <w:r>
        <w:rPr>
          <w:rFonts w:hint="eastAsia"/>
          <w:szCs w:val="21"/>
          <w:lang w:eastAsia="zh-CN"/>
        </w:rPr>
        <w:t>采购人</w:t>
      </w:r>
      <w:r>
        <w:rPr>
          <w:szCs w:val="21"/>
        </w:rPr>
        <w:t>名称）：</w:t>
      </w:r>
    </w:p>
    <w:p w14:paraId="4DD302F2">
      <w:pPr>
        <w:spacing w:line="440" w:lineRule="exact"/>
        <w:rPr>
          <w:szCs w:val="21"/>
        </w:rPr>
      </w:pPr>
      <w:r>
        <w:rPr>
          <w:szCs w:val="21"/>
        </w:rPr>
        <w:t>　　</w:t>
      </w:r>
    </w:p>
    <w:p w14:paraId="72A88C22">
      <w:pPr>
        <w:spacing w:line="440" w:lineRule="exact"/>
        <w:rPr>
          <w:szCs w:val="21"/>
        </w:rPr>
      </w:pPr>
      <w:r>
        <w:rPr>
          <w:szCs w:val="21"/>
        </w:rPr>
        <w:t>　　我方已接到你方年月日发出的（项目名称）标段关于的通知，我方已于年月日收到。</w:t>
      </w:r>
    </w:p>
    <w:p w14:paraId="11323EAE">
      <w:pPr>
        <w:spacing w:line="440" w:lineRule="exact"/>
        <w:rPr>
          <w:szCs w:val="21"/>
        </w:rPr>
      </w:pPr>
      <w:r>
        <w:rPr>
          <w:szCs w:val="21"/>
        </w:rPr>
        <w:t>　　特此确认。</w:t>
      </w:r>
    </w:p>
    <w:p w14:paraId="1D6AC66D">
      <w:pPr>
        <w:spacing w:line="440" w:lineRule="exact"/>
        <w:rPr>
          <w:szCs w:val="21"/>
        </w:rPr>
      </w:pPr>
    </w:p>
    <w:p w14:paraId="2B4FCBB1">
      <w:pPr>
        <w:spacing w:line="440" w:lineRule="exact"/>
        <w:rPr>
          <w:szCs w:val="21"/>
        </w:rPr>
      </w:pPr>
    </w:p>
    <w:p w14:paraId="636B450B">
      <w:pPr>
        <w:spacing w:line="440" w:lineRule="exact"/>
        <w:jc w:val="right"/>
        <w:rPr>
          <w:szCs w:val="21"/>
        </w:rPr>
      </w:pPr>
      <w:r>
        <w:rPr>
          <w:rFonts w:hint="eastAsia"/>
          <w:szCs w:val="21"/>
          <w:lang w:eastAsia="zh-CN"/>
        </w:rPr>
        <w:t>供应商</w:t>
      </w:r>
      <w:r>
        <w:rPr>
          <w:szCs w:val="21"/>
        </w:rPr>
        <w:t xml:space="preserve">： </w:t>
      </w:r>
      <w:r>
        <w:rPr>
          <w:rFonts w:hint="eastAsia"/>
          <w:szCs w:val="21"/>
          <w:u w:val="single"/>
          <w:lang w:val="en-US" w:eastAsia="zh-CN"/>
        </w:rPr>
        <w:t xml:space="preserve">           </w:t>
      </w:r>
      <w:r>
        <w:rPr>
          <w:szCs w:val="21"/>
        </w:rPr>
        <w:t>（盖单位章）</w:t>
      </w:r>
    </w:p>
    <w:p w14:paraId="5E664334">
      <w:pPr>
        <w:spacing w:line="440" w:lineRule="exact"/>
        <w:jc w:val="right"/>
        <w:rPr>
          <w:szCs w:val="21"/>
        </w:rPr>
      </w:pPr>
    </w:p>
    <w:p w14:paraId="42DB6913">
      <w:pPr>
        <w:spacing w:line="440" w:lineRule="exact"/>
        <w:ind w:firstLine="210" w:firstLineChars="100"/>
        <w:jc w:val="right"/>
        <w:rPr>
          <w:szCs w:val="21"/>
        </w:rPr>
      </w:pPr>
      <w:r>
        <w:rPr>
          <w:szCs w:val="21"/>
        </w:rPr>
        <w:t>年</w:t>
      </w:r>
      <w:r>
        <w:rPr>
          <w:rFonts w:hint="eastAsia"/>
          <w:szCs w:val="21"/>
          <w:lang w:val="en-US" w:eastAsia="zh-CN"/>
        </w:rPr>
        <w:t xml:space="preserve">   </w:t>
      </w:r>
      <w:r>
        <w:rPr>
          <w:szCs w:val="21"/>
        </w:rPr>
        <w:t>月</w:t>
      </w:r>
      <w:r>
        <w:rPr>
          <w:rFonts w:hint="eastAsia"/>
          <w:szCs w:val="21"/>
          <w:lang w:val="en-US" w:eastAsia="zh-CN"/>
        </w:rPr>
        <w:t xml:space="preserve">   </w:t>
      </w:r>
      <w:r>
        <w:rPr>
          <w:szCs w:val="21"/>
        </w:rPr>
        <w:t>日</w:t>
      </w:r>
    </w:p>
    <w:p w14:paraId="7B066E50">
      <w:pPr>
        <w:rPr>
          <w:color w:val="000000" w:themeColor="text1"/>
          <w14:textFill>
            <w14:solidFill>
              <w14:schemeClr w14:val="tx1"/>
            </w14:solidFill>
          </w14:textFill>
        </w:rPr>
      </w:pPr>
      <w:r>
        <w:rPr>
          <w:color w:val="000000" w:themeColor="text1"/>
          <w14:textFill>
            <w14:solidFill>
              <w14:schemeClr w14:val="tx1"/>
            </w14:solidFill>
          </w14:textFill>
        </w:rPr>
        <w:br w:type="page"/>
      </w:r>
    </w:p>
    <w:p w14:paraId="4E6DB040">
      <w:pPr>
        <w:pStyle w:val="181"/>
        <w:numPr>
          <w:ilvl w:val="0"/>
          <w:numId w:val="34"/>
        </w:numPr>
        <w:jc w:val="center"/>
        <w:rPr>
          <w:rFonts w:ascii="Times New Roman" w:hAnsi="Times New Roman" w:eastAsia="宋体"/>
          <w:b/>
          <w:color w:val="000000" w:themeColor="text1"/>
          <w:sz w:val="36"/>
          <w:szCs w:val="36"/>
          <w14:textFill>
            <w14:solidFill>
              <w14:schemeClr w14:val="tx1"/>
            </w14:solidFill>
          </w14:textFill>
        </w:rPr>
      </w:pPr>
      <w:bookmarkStart w:id="126" w:name="_Toc29881"/>
      <w:r>
        <w:rPr>
          <w:rFonts w:hint="eastAsia" w:ascii="Times New Roman" w:hAnsi="Times New Roman" w:eastAsia="宋体"/>
          <w:b/>
          <w:color w:val="000000" w:themeColor="text1"/>
          <w:sz w:val="36"/>
          <w:szCs w:val="36"/>
          <w14:textFill>
            <w14:solidFill>
              <w14:schemeClr w14:val="tx1"/>
            </w14:solidFill>
          </w14:textFill>
        </w:rPr>
        <w:t>评标办法</w:t>
      </w:r>
      <w:bookmarkEnd w:id="101"/>
      <w:bookmarkEnd w:id="102"/>
      <w:bookmarkEnd w:id="103"/>
      <w:bookmarkEnd w:id="104"/>
      <w:bookmarkEnd w:id="105"/>
      <w:bookmarkEnd w:id="126"/>
      <w:bookmarkStart w:id="127" w:name="_Toc410648346"/>
      <w:bookmarkStart w:id="128" w:name="_Toc152045599"/>
      <w:bookmarkStart w:id="129" w:name="_Toc54097205"/>
      <w:bookmarkStart w:id="130" w:name="_Toc247085757"/>
      <w:bookmarkStart w:id="131" w:name="_Toc416528263"/>
      <w:bookmarkStart w:id="132" w:name="_Toc246996242"/>
      <w:bookmarkStart w:id="133" w:name="_Toc54258229"/>
      <w:bookmarkStart w:id="134" w:name="_Toc53569408"/>
      <w:bookmarkStart w:id="135" w:name="_Toc296602487"/>
      <w:bookmarkStart w:id="136" w:name="_Toc144974566"/>
      <w:bookmarkStart w:id="137" w:name="_Toc14588"/>
      <w:bookmarkStart w:id="138" w:name="_Toc469921617"/>
      <w:bookmarkStart w:id="139" w:name="_Toc246996985"/>
      <w:bookmarkStart w:id="140" w:name="_Toc152042376"/>
      <w:bookmarkStart w:id="141" w:name="_Toc179632617"/>
    </w:p>
    <w:p w14:paraId="0F5C0069">
      <w:pPr>
        <w:ind w:firstLine="643" w:firstLineChars="200"/>
        <w:jc w:val="center"/>
        <w:rPr>
          <w:b/>
          <w:sz w:val="32"/>
          <w:szCs w:val="32"/>
        </w:rPr>
      </w:pPr>
      <w:r>
        <w:rPr>
          <w:rFonts w:hint="eastAsia"/>
          <w:b/>
          <w:sz w:val="32"/>
          <w:szCs w:val="32"/>
        </w:rPr>
        <w:t>初步评审记录表</w:t>
      </w:r>
    </w:p>
    <w:tbl>
      <w:tblPr>
        <w:tblStyle w:val="88"/>
        <w:tblW w:w="992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20"/>
        <w:gridCol w:w="900"/>
        <w:gridCol w:w="2045"/>
        <w:gridCol w:w="6258"/>
      </w:tblGrid>
      <w:tr w14:paraId="028EDA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5" w:hRule="atLeast"/>
          <w:jc w:val="center"/>
        </w:trPr>
        <w:tc>
          <w:tcPr>
            <w:tcW w:w="1620" w:type="dxa"/>
            <w:gridSpan w:val="2"/>
            <w:tcBorders>
              <w:top w:val="single" w:color="auto" w:sz="4" w:space="0"/>
              <w:bottom w:val="single" w:color="auto" w:sz="4" w:space="0"/>
              <w:right w:val="single" w:color="auto" w:sz="4" w:space="0"/>
            </w:tcBorders>
            <w:noWrap/>
            <w:vAlign w:val="center"/>
          </w:tcPr>
          <w:p w14:paraId="0836E047">
            <w:pPr>
              <w:pStyle w:val="1902"/>
              <w:ind w:left="105" w:leftChars="50" w:right="105" w:rightChars="50"/>
              <w:contextualSpacing/>
              <w:jc w:val="center"/>
              <w:rPr>
                <w:b/>
                <w:bCs/>
              </w:rPr>
            </w:pPr>
            <w:r>
              <w:rPr>
                <w:rFonts w:hint="eastAsia"/>
                <w:b/>
                <w:bCs/>
              </w:rPr>
              <w:t>评审项</w:t>
            </w:r>
          </w:p>
        </w:tc>
        <w:tc>
          <w:tcPr>
            <w:tcW w:w="2045" w:type="dxa"/>
            <w:tcBorders>
              <w:top w:val="single" w:color="auto" w:sz="4" w:space="0"/>
              <w:left w:val="single" w:color="auto" w:sz="4" w:space="0"/>
              <w:bottom w:val="single" w:color="auto" w:sz="4" w:space="0"/>
              <w:right w:val="single" w:color="auto" w:sz="4" w:space="0"/>
            </w:tcBorders>
            <w:noWrap/>
            <w:vAlign w:val="center"/>
          </w:tcPr>
          <w:p w14:paraId="5E808EB1">
            <w:pPr>
              <w:pStyle w:val="1902"/>
              <w:ind w:left="105" w:leftChars="50" w:right="105" w:rightChars="50"/>
              <w:contextualSpacing/>
              <w:jc w:val="center"/>
              <w:rPr>
                <w:b/>
                <w:bCs/>
              </w:rPr>
            </w:pPr>
            <w:r>
              <w:rPr>
                <w:rFonts w:hint="eastAsia"/>
                <w:b/>
                <w:bCs/>
              </w:rPr>
              <w:t>评审因素</w:t>
            </w:r>
          </w:p>
        </w:tc>
        <w:tc>
          <w:tcPr>
            <w:tcW w:w="6258" w:type="dxa"/>
            <w:tcBorders>
              <w:top w:val="single" w:color="auto" w:sz="4" w:space="0"/>
              <w:left w:val="single" w:color="auto" w:sz="4" w:space="0"/>
              <w:bottom w:val="single" w:color="auto" w:sz="4" w:space="0"/>
              <w:right w:val="single" w:color="auto" w:sz="4" w:space="0"/>
            </w:tcBorders>
            <w:noWrap/>
            <w:vAlign w:val="center"/>
          </w:tcPr>
          <w:p w14:paraId="7AEE3D90">
            <w:pPr>
              <w:pStyle w:val="1902"/>
              <w:ind w:left="105" w:leftChars="50" w:right="105" w:rightChars="50"/>
              <w:contextualSpacing/>
              <w:jc w:val="center"/>
              <w:rPr>
                <w:b/>
                <w:bCs/>
              </w:rPr>
            </w:pPr>
            <w:r>
              <w:rPr>
                <w:rFonts w:hint="eastAsia"/>
                <w:b/>
                <w:bCs/>
              </w:rPr>
              <w:t>评审标准</w:t>
            </w:r>
          </w:p>
        </w:tc>
      </w:tr>
      <w:tr w14:paraId="3FDFCC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36" w:hRule="atLeast"/>
          <w:jc w:val="center"/>
        </w:trPr>
        <w:tc>
          <w:tcPr>
            <w:tcW w:w="720" w:type="dxa"/>
            <w:vMerge w:val="restart"/>
            <w:tcBorders>
              <w:top w:val="single" w:color="auto" w:sz="4" w:space="0"/>
              <w:right w:val="single" w:color="auto" w:sz="4" w:space="0"/>
            </w:tcBorders>
            <w:noWrap/>
            <w:vAlign w:val="center"/>
          </w:tcPr>
          <w:p w14:paraId="740B1C73">
            <w:pPr>
              <w:spacing w:line="360" w:lineRule="auto"/>
            </w:pPr>
          </w:p>
          <w:p w14:paraId="73BBD8BF">
            <w:pPr>
              <w:spacing w:line="360" w:lineRule="auto"/>
            </w:pPr>
          </w:p>
          <w:p w14:paraId="7FDFDA02">
            <w:pPr>
              <w:spacing w:line="360" w:lineRule="auto"/>
            </w:pPr>
          </w:p>
          <w:p w14:paraId="71A217B2">
            <w:pPr>
              <w:spacing w:line="360" w:lineRule="auto"/>
            </w:pPr>
          </w:p>
          <w:p w14:paraId="60C794B6">
            <w:pPr>
              <w:spacing w:line="360" w:lineRule="auto"/>
            </w:pPr>
          </w:p>
          <w:p w14:paraId="438760FC">
            <w:pPr>
              <w:spacing w:line="360" w:lineRule="auto"/>
            </w:pPr>
          </w:p>
          <w:p w14:paraId="70B0A694">
            <w:pPr>
              <w:spacing w:line="360" w:lineRule="auto"/>
            </w:pPr>
          </w:p>
          <w:p w14:paraId="67263533">
            <w:pPr>
              <w:spacing w:line="360" w:lineRule="auto"/>
            </w:pPr>
          </w:p>
          <w:p w14:paraId="38E6D536">
            <w:pPr>
              <w:spacing w:line="360" w:lineRule="auto"/>
            </w:pPr>
          </w:p>
          <w:p w14:paraId="123D145C">
            <w:pPr>
              <w:spacing w:line="360" w:lineRule="auto"/>
            </w:pPr>
          </w:p>
          <w:p w14:paraId="75838FA1">
            <w:pPr>
              <w:spacing w:line="360" w:lineRule="auto"/>
            </w:pPr>
          </w:p>
          <w:p w14:paraId="48C9A2F8">
            <w:pPr>
              <w:spacing w:line="360" w:lineRule="auto"/>
            </w:pPr>
          </w:p>
          <w:p w14:paraId="553905F4">
            <w:pPr>
              <w:spacing w:line="360" w:lineRule="auto"/>
            </w:pPr>
          </w:p>
          <w:p w14:paraId="6DA108F0">
            <w:pPr>
              <w:spacing w:line="360" w:lineRule="auto"/>
            </w:pPr>
          </w:p>
          <w:p w14:paraId="2351A749">
            <w:pPr>
              <w:spacing w:line="360" w:lineRule="auto"/>
            </w:pPr>
          </w:p>
          <w:p w14:paraId="736A1F40">
            <w:pPr>
              <w:spacing w:line="360" w:lineRule="auto"/>
            </w:pPr>
            <w:r>
              <w:rPr>
                <w:rFonts w:hint="eastAsia"/>
              </w:rPr>
              <w:t>初步评审</w:t>
            </w:r>
          </w:p>
          <w:p w14:paraId="5F4BCC31">
            <w:pPr>
              <w:pStyle w:val="87"/>
              <w:tabs>
                <w:tab w:val="left" w:pos="360"/>
              </w:tabs>
              <w:ind w:left="440"/>
              <w:rPr>
                <w:sz w:val="22"/>
                <w:szCs w:val="22"/>
              </w:rPr>
            </w:pPr>
          </w:p>
          <w:p w14:paraId="3964C9DF">
            <w:pPr>
              <w:pStyle w:val="87"/>
              <w:tabs>
                <w:tab w:val="left" w:pos="360"/>
              </w:tabs>
              <w:ind w:left="440"/>
              <w:rPr>
                <w:sz w:val="22"/>
                <w:szCs w:val="22"/>
              </w:rPr>
            </w:pPr>
          </w:p>
          <w:p w14:paraId="5C7B0ADC">
            <w:pPr>
              <w:pStyle w:val="87"/>
              <w:tabs>
                <w:tab w:val="left" w:pos="360"/>
              </w:tabs>
              <w:ind w:left="440"/>
              <w:rPr>
                <w:sz w:val="22"/>
                <w:szCs w:val="22"/>
              </w:rPr>
            </w:pPr>
          </w:p>
          <w:p w14:paraId="21B581BD">
            <w:pPr>
              <w:pStyle w:val="87"/>
              <w:tabs>
                <w:tab w:val="left" w:pos="360"/>
              </w:tabs>
              <w:ind w:left="440"/>
              <w:rPr>
                <w:sz w:val="22"/>
                <w:szCs w:val="22"/>
              </w:rPr>
            </w:pPr>
          </w:p>
          <w:p w14:paraId="6C7027B5">
            <w:pPr>
              <w:pStyle w:val="87"/>
              <w:tabs>
                <w:tab w:val="left" w:pos="360"/>
              </w:tabs>
              <w:ind w:left="440"/>
              <w:rPr>
                <w:sz w:val="22"/>
                <w:szCs w:val="22"/>
              </w:rPr>
            </w:pPr>
          </w:p>
          <w:p w14:paraId="24E5D374">
            <w:pPr>
              <w:pStyle w:val="87"/>
              <w:tabs>
                <w:tab w:val="left" w:pos="360"/>
              </w:tabs>
              <w:ind w:left="440"/>
              <w:rPr>
                <w:sz w:val="22"/>
                <w:szCs w:val="22"/>
              </w:rPr>
            </w:pPr>
          </w:p>
          <w:p w14:paraId="62CBA724">
            <w:pPr>
              <w:pStyle w:val="87"/>
              <w:tabs>
                <w:tab w:val="left" w:pos="360"/>
              </w:tabs>
              <w:ind w:left="440"/>
              <w:rPr>
                <w:sz w:val="22"/>
                <w:szCs w:val="22"/>
              </w:rPr>
            </w:pPr>
          </w:p>
          <w:p w14:paraId="74C889E7">
            <w:pPr>
              <w:pStyle w:val="87"/>
              <w:tabs>
                <w:tab w:val="left" w:pos="360"/>
              </w:tabs>
              <w:ind w:left="440"/>
              <w:rPr>
                <w:sz w:val="22"/>
                <w:szCs w:val="22"/>
              </w:rPr>
            </w:pPr>
          </w:p>
          <w:p w14:paraId="6D87AB85">
            <w:pPr>
              <w:pStyle w:val="87"/>
              <w:tabs>
                <w:tab w:val="left" w:pos="360"/>
              </w:tabs>
              <w:ind w:left="440"/>
              <w:rPr>
                <w:sz w:val="22"/>
                <w:szCs w:val="22"/>
              </w:rPr>
            </w:pPr>
          </w:p>
          <w:p w14:paraId="20F90292">
            <w:pPr>
              <w:pStyle w:val="87"/>
              <w:tabs>
                <w:tab w:val="left" w:pos="360"/>
              </w:tabs>
              <w:ind w:left="440"/>
              <w:rPr>
                <w:sz w:val="22"/>
                <w:szCs w:val="22"/>
              </w:rPr>
            </w:pPr>
          </w:p>
          <w:p w14:paraId="2BA2B96C">
            <w:pPr>
              <w:pStyle w:val="87"/>
              <w:tabs>
                <w:tab w:val="left" w:pos="360"/>
              </w:tabs>
              <w:ind w:left="440"/>
              <w:rPr>
                <w:sz w:val="22"/>
                <w:szCs w:val="22"/>
              </w:rPr>
            </w:pPr>
          </w:p>
          <w:p w14:paraId="63A9F2D7">
            <w:pPr>
              <w:pStyle w:val="87"/>
              <w:tabs>
                <w:tab w:val="left" w:pos="360"/>
              </w:tabs>
              <w:ind w:left="440"/>
              <w:rPr>
                <w:sz w:val="22"/>
                <w:szCs w:val="22"/>
              </w:rPr>
            </w:pPr>
          </w:p>
          <w:p w14:paraId="7D7DB9A8">
            <w:pPr>
              <w:pStyle w:val="87"/>
              <w:tabs>
                <w:tab w:val="left" w:pos="360"/>
              </w:tabs>
              <w:ind w:left="440"/>
              <w:rPr>
                <w:sz w:val="22"/>
                <w:szCs w:val="22"/>
              </w:rPr>
            </w:pPr>
          </w:p>
          <w:p w14:paraId="7603D215">
            <w:pPr>
              <w:pStyle w:val="87"/>
              <w:tabs>
                <w:tab w:val="left" w:pos="360"/>
              </w:tabs>
              <w:ind w:left="440"/>
              <w:rPr>
                <w:sz w:val="22"/>
                <w:szCs w:val="22"/>
              </w:rPr>
            </w:pPr>
          </w:p>
          <w:p w14:paraId="6608CBC8">
            <w:pPr>
              <w:pStyle w:val="87"/>
              <w:tabs>
                <w:tab w:val="left" w:pos="360"/>
              </w:tabs>
              <w:ind w:left="440"/>
              <w:rPr>
                <w:sz w:val="22"/>
                <w:szCs w:val="22"/>
              </w:rPr>
            </w:pPr>
          </w:p>
          <w:p w14:paraId="483CDBAF">
            <w:pPr>
              <w:pStyle w:val="87"/>
              <w:tabs>
                <w:tab w:val="left" w:pos="360"/>
              </w:tabs>
              <w:ind w:left="440"/>
              <w:rPr>
                <w:sz w:val="22"/>
                <w:szCs w:val="22"/>
              </w:rPr>
            </w:pPr>
          </w:p>
          <w:p w14:paraId="26AC6829">
            <w:pPr>
              <w:pStyle w:val="87"/>
              <w:tabs>
                <w:tab w:val="left" w:pos="360"/>
              </w:tabs>
              <w:ind w:left="440"/>
              <w:rPr>
                <w:sz w:val="22"/>
                <w:szCs w:val="22"/>
              </w:rPr>
            </w:pPr>
          </w:p>
          <w:p w14:paraId="329F3758">
            <w:pPr>
              <w:pStyle w:val="87"/>
              <w:tabs>
                <w:tab w:val="left" w:pos="360"/>
              </w:tabs>
              <w:ind w:left="440"/>
              <w:rPr>
                <w:sz w:val="22"/>
                <w:szCs w:val="22"/>
              </w:rPr>
            </w:pPr>
          </w:p>
          <w:p w14:paraId="00270E13">
            <w:pPr>
              <w:spacing w:line="360" w:lineRule="auto"/>
            </w:pPr>
          </w:p>
          <w:p w14:paraId="728B7595">
            <w:pPr>
              <w:spacing w:line="360" w:lineRule="auto"/>
            </w:pPr>
          </w:p>
          <w:p w14:paraId="55DD3508">
            <w:pPr>
              <w:spacing w:line="360" w:lineRule="auto"/>
            </w:pPr>
          </w:p>
          <w:p w14:paraId="0220CC56">
            <w:pPr>
              <w:spacing w:line="360" w:lineRule="auto"/>
            </w:pPr>
          </w:p>
          <w:p w14:paraId="41BCA09C">
            <w:pPr>
              <w:spacing w:line="360" w:lineRule="auto"/>
            </w:pPr>
          </w:p>
          <w:p w14:paraId="04DD2248">
            <w:pPr>
              <w:spacing w:line="360" w:lineRule="auto"/>
            </w:pPr>
          </w:p>
          <w:p w14:paraId="148041CE">
            <w:pPr>
              <w:spacing w:line="360" w:lineRule="auto"/>
            </w:pPr>
          </w:p>
          <w:p w14:paraId="6B3F37E9">
            <w:pPr>
              <w:spacing w:line="360" w:lineRule="auto"/>
            </w:pPr>
          </w:p>
          <w:p w14:paraId="1910D457">
            <w:pPr>
              <w:spacing w:line="360" w:lineRule="auto"/>
            </w:pPr>
            <w:r>
              <w:rPr>
                <w:rFonts w:hint="eastAsia"/>
              </w:rPr>
              <w:t>初步评审</w:t>
            </w:r>
          </w:p>
          <w:p w14:paraId="1C83CFC3">
            <w:pPr>
              <w:spacing w:line="360" w:lineRule="auto"/>
              <w:jc w:val="center"/>
            </w:pPr>
          </w:p>
        </w:tc>
        <w:tc>
          <w:tcPr>
            <w:tcW w:w="900" w:type="dxa"/>
            <w:vMerge w:val="restart"/>
            <w:tcBorders>
              <w:top w:val="single" w:color="auto" w:sz="4" w:space="0"/>
              <w:bottom w:val="single" w:color="auto" w:sz="4" w:space="0"/>
              <w:right w:val="single" w:color="auto" w:sz="4" w:space="0"/>
            </w:tcBorders>
            <w:noWrap/>
            <w:vAlign w:val="center"/>
          </w:tcPr>
          <w:p w14:paraId="6F646380">
            <w:pPr>
              <w:spacing w:line="360" w:lineRule="auto"/>
              <w:jc w:val="center"/>
            </w:pPr>
            <w:r>
              <w:rPr>
                <w:rFonts w:hint="eastAsia"/>
              </w:rPr>
              <w:t>形式评审标准</w:t>
            </w:r>
          </w:p>
        </w:tc>
        <w:tc>
          <w:tcPr>
            <w:tcW w:w="2045" w:type="dxa"/>
            <w:tcBorders>
              <w:top w:val="single" w:color="auto" w:sz="4" w:space="0"/>
              <w:left w:val="single" w:color="auto" w:sz="4" w:space="0"/>
              <w:bottom w:val="single" w:color="auto" w:sz="4" w:space="0"/>
              <w:right w:val="single" w:color="auto" w:sz="4" w:space="0"/>
            </w:tcBorders>
            <w:noWrap/>
            <w:vAlign w:val="center"/>
          </w:tcPr>
          <w:p w14:paraId="115F4FF1">
            <w:pPr>
              <w:autoSpaceDE w:val="0"/>
              <w:autoSpaceDN w:val="0"/>
              <w:adjustRightInd w:val="0"/>
              <w:snapToGrid w:val="0"/>
              <w:jc w:val="center"/>
              <w:rPr>
                <w:bCs/>
                <w:szCs w:val="21"/>
                <w:lang w:val="zh-CN"/>
              </w:rPr>
            </w:pPr>
            <w:r>
              <w:rPr>
                <w:rFonts w:hint="eastAsia"/>
                <w:bCs/>
                <w:szCs w:val="21"/>
                <w:lang w:val="zh-CN"/>
              </w:rPr>
              <w:t>供应商名称</w:t>
            </w:r>
          </w:p>
        </w:tc>
        <w:tc>
          <w:tcPr>
            <w:tcW w:w="6258" w:type="dxa"/>
            <w:tcBorders>
              <w:top w:val="single" w:color="auto" w:sz="4" w:space="0"/>
              <w:left w:val="single" w:color="auto" w:sz="4" w:space="0"/>
              <w:bottom w:val="single" w:color="auto" w:sz="4" w:space="0"/>
              <w:right w:val="single" w:color="auto" w:sz="4" w:space="0"/>
            </w:tcBorders>
            <w:noWrap/>
            <w:vAlign w:val="center"/>
          </w:tcPr>
          <w:p w14:paraId="03728FC3">
            <w:pPr>
              <w:autoSpaceDE w:val="0"/>
              <w:autoSpaceDN w:val="0"/>
              <w:adjustRightInd w:val="0"/>
              <w:snapToGrid w:val="0"/>
              <w:rPr>
                <w:sz w:val="24"/>
              </w:rPr>
            </w:pPr>
            <w:r>
              <w:rPr>
                <w:rFonts w:hint="eastAsia"/>
                <w:bCs/>
                <w:szCs w:val="21"/>
                <w:lang w:val="zh-CN"/>
              </w:rPr>
              <w:t>与营业执照一致。</w:t>
            </w:r>
          </w:p>
        </w:tc>
      </w:tr>
      <w:tr w14:paraId="6DB2BA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27" w:hRule="atLeast"/>
          <w:jc w:val="center"/>
        </w:trPr>
        <w:tc>
          <w:tcPr>
            <w:tcW w:w="720" w:type="dxa"/>
            <w:vMerge w:val="continue"/>
            <w:tcBorders>
              <w:right w:val="single" w:color="auto" w:sz="4" w:space="0"/>
            </w:tcBorders>
            <w:noWrap/>
            <w:vAlign w:val="center"/>
          </w:tcPr>
          <w:p w14:paraId="531856B4">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6B67B173">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0F34F43E">
            <w:pPr>
              <w:autoSpaceDE w:val="0"/>
              <w:autoSpaceDN w:val="0"/>
              <w:adjustRightInd w:val="0"/>
              <w:snapToGrid w:val="0"/>
              <w:jc w:val="center"/>
              <w:rPr>
                <w:bCs/>
                <w:szCs w:val="21"/>
                <w:lang w:val="zh-CN"/>
              </w:rPr>
            </w:pPr>
            <w:r>
              <w:rPr>
                <w:rFonts w:hint="eastAsia"/>
                <w:bCs/>
                <w:szCs w:val="21"/>
                <w:lang w:val="zh-CN"/>
              </w:rPr>
              <w:t>投标函签字盖章</w:t>
            </w:r>
          </w:p>
        </w:tc>
        <w:tc>
          <w:tcPr>
            <w:tcW w:w="6258" w:type="dxa"/>
            <w:tcBorders>
              <w:top w:val="single" w:color="auto" w:sz="4" w:space="0"/>
              <w:left w:val="single" w:color="auto" w:sz="4" w:space="0"/>
              <w:bottom w:val="single" w:color="auto" w:sz="4" w:space="0"/>
              <w:right w:val="single" w:color="auto" w:sz="4" w:space="0"/>
            </w:tcBorders>
            <w:noWrap/>
            <w:vAlign w:val="center"/>
          </w:tcPr>
          <w:p w14:paraId="14788361">
            <w:pPr>
              <w:autoSpaceDE w:val="0"/>
              <w:autoSpaceDN w:val="0"/>
              <w:adjustRightInd w:val="0"/>
              <w:snapToGrid w:val="0"/>
              <w:rPr>
                <w:bCs/>
                <w:szCs w:val="21"/>
                <w:lang w:val="zh-CN"/>
              </w:rPr>
            </w:pPr>
            <w:r>
              <w:rPr>
                <w:rFonts w:hint="eastAsia"/>
                <w:bCs/>
                <w:szCs w:val="21"/>
                <w:lang w:val="zh-CN"/>
              </w:rPr>
              <w:t>有法定代表人或其委托代理人签字并加盖单位章。由法定代表人签字的，应附法定代表人身份证明，由代理人签字的，应附授权委托书，身份证明或授权委托书应符合第八章“响应文件格式”的规定。</w:t>
            </w:r>
          </w:p>
        </w:tc>
      </w:tr>
      <w:tr w14:paraId="1338B3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74" w:hRule="atLeast"/>
          <w:jc w:val="center"/>
        </w:trPr>
        <w:tc>
          <w:tcPr>
            <w:tcW w:w="720" w:type="dxa"/>
            <w:vMerge w:val="continue"/>
            <w:tcBorders>
              <w:right w:val="single" w:color="auto" w:sz="4" w:space="0"/>
            </w:tcBorders>
            <w:noWrap/>
            <w:vAlign w:val="center"/>
          </w:tcPr>
          <w:p w14:paraId="3BE94AB2">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4A39AAE3">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61AD1659">
            <w:pPr>
              <w:autoSpaceDE w:val="0"/>
              <w:autoSpaceDN w:val="0"/>
              <w:adjustRightInd w:val="0"/>
              <w:snapToGrid w:val="0"/>
              <w:jc w:val="center"/>
              <w:rPr>
                <w:bCs/>
                <w:szCs w:val="21"/>
                <w:lang w:val="zh-CN"/>
              </w:rPr>
            </w:pPr>
            <w:r>
              <w:rPr>
                <w:rFonts w:hint="eastAsia"/>
                <w:bCs/>
                <w:szCs w:val="21"/>
                <w:lang w:val="zh-CN"/>
              </w:rPr>
              <w:t>响应文件格式</w:t>
            </w:r>
          </w:p>
        </w:tc>
        <w:tc>
          <w:tcPr>
            <w:tcW w:w="6258" w:type="dxa"/>
            <w:tcBorders>
              <w:top w:val="single" w:color="auto" w:sz="4" w:space="0"/>
              <w:left w:val="single" w:color="auto" w:sz="4" w:space="0"/>
              <w:bottom w:val="single" w:color="auto" w:sz="4" w:space="0"/>
              <w:right w:val="single" w:color="auto" w:sz="4" w:space="0"/>
            </w:tcBorders>
            <w:noWrap/>
            <w:vAlign w:val="center"/>
          </w:tcPr>
          <w:p w14:paraId="6AB3FF3D">
            <w:pPr>
              <w:autoSpaceDE w:val="0"/>
              <w:autoSpaceDN w:val="0"/>
              <w:adjustRightInd w:val="0"/>
              <w:snapToGrid w:val="0"/>
              <w:rPr>
                <w:bCs/>
                <w:szCs w:val="21"/>
                <w:lang w:val="zh-CN"/>
              </w:rPr>
            </w:pPr>
            <w:r>
              <w:rPr>
                <w:rFonts w:hint="eastAsia"/>
                <w:bCs/>
                <w:szCs w:val="21"/>
                <w:lang w:val="zh-CN"/>
              </w:rPr>
              <w:t>符合第八章“响应文件格式”的规定。</w:t>
            </w:r>
          </w:p>
        </w:tc>
      </w:tr>
      <w:tr w14:paraId="245804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78" w:hRule="atLeast"/>
          <w:jc w:val="center"/>
        </w:trPr>
        <w:tc>
          <w:tcPr>
            <w:tcW w:w="720" w:type="dxa"/>
            <w:vMerge w:val="continue"/>
            <w:tcBorders>
              <w:right w:val="single" w:color="auto" w:sz="4" w:space="0"/>
            </w:tcBorders>
            <w:noWrap/>
            <w:vAlign w:val="center"/>
          </w:tcPr>
          <w:p w14:paraId="101E6C00">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5F4BF562">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5980DA3">
            <w:pPr>
              <w:autoSpaceDE w:val="0"/>
              <w:autoSpaceDN w:val="0"/>
              <w:adjustRightInd w:val="0"/>
              <w:snapToGrid w:val="0"/>
              <w:jc w:val="center"/>
              <w:rPr>
                <w:bCs/>
                <w:szCs w:val="21"/>
                <w:lang w:val="zh-CN"/>
              </w:rPr>
            </w:pPr>
            <w:r>
              <w:rPr>
                <w:rFonts w:hint="eastAsia"/>
                <w:bCs/>
                <w:szCs w:val="21"/>
                <w:lang w:val="zh-CN"/>
              </w:rPr>
              <w:t>备选投标方案</w:t>
            </w:r>
          </w:p>
        </w:tc>
        <w:tc>
          <w:tcPr>
            <w:tcW w:w="6258" w:type="dxa"/>
            <w:tcBorders>
              <w:top w:val="single" w:color="auto" w:sz="4" w:space="0"/>
              <w:left w:val="single" w:color="auto" w:sz="4" w:space="0"/>
              <w:bottom w:val="single" w:color="auto" w:sz="4" w:space="0"/>
              <w:right w:val="single" w:color="auto" w:sz="4" w:space="0"/>
            </w:tcBorders>
            <w:noWrap/>
            <w:vAlign w:val="center"/>
          </w:tcPr>
          <w:p w14:paraId="130FCA01">
            <w:pPr>
              <w:autoSpaceDE w:val="0"/>
              <w:autoSpaceDN w:val="0"/>
              <w:adjustRightInd w:val="0"/>
              <w:snapToGrid w:val="0"/>
              <w:rPr>
                <w:bCs/>
                <w:szCs w:val="21"/>
                <w:lang w:val="zh-CN"/>
              </w:rPr>
            </w:pPr>
            <w:r>
              <w:rPr>
                <w:rFonts w:hint="eastAsia"/>
                <w:bCs/>
                <w:szCs w:val="21"/>
                <w:lang w:val="zh-CN"/>
              </w:rPr>
              <w:t>供应商不得提交备选投标方案 。</w:t>
            </w:r>
          </w:p>
        </w:tc>
      </w:tr>
      <w:tr w14:paraId="5EFED8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56" w:hRule="atLeast"/>
          <w:jc w:val="center"/>
        </w:trPr>
        <w:tc>
          <w:tcPr>
            <w:tcW w:w="720" w:type="dxa"/>
            <w:vMerge w:val="continue"/>
            <w:tcBorders>
              <w:right w:val="single" w:color="auto" w:sz="4" w:space="0"/>
            </w:tcBorders>
            <w:noWrap/>
            <w:vAlign w:val="center"/>
          </w:tcPr>
          <w:p w14:paraId="65382FB1">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68DADB8D">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61048059">
            <w:pPr>
              <w:autoSpaceDE w:val="0"/>
              <w:autoSpaceDN w:val="0"/>
              <w:adjustRightInd w:val="0"/>
              <w:snapToGrid w:val="0"/>
              <w:jc w:val="center"/>
              <w:rPr>
                <w:bCs/>
                <w:szCs w:val="21"/>
                <w:lang w:val="zh-CN"/>
              </w:rPr>
            </w:pPr>
            <w:r>
              <w:rPr>
                <w:rFonts w:hint="eastAsia"/>
                <w:bCs/>
                <w:szCs w:val="21"/>
                <w:lang w:val="zh-CN"/>
              </w:rPr>
              <w:t>报价唯一</w:t>
            </w:r>
          </w:p>
        </w:tc>
        <w:tc>
          <w:tcPr>
            <w:tcW w:w="6258" w:type="dxa"/>
            <w:tcBorders>
              <w:top w:val="single" w:color="auto" w:sz="4" w:space="0"/>
              <w:left w:val="single" w:color="auto" w:sz="4" w:space="0"/>
              <w:bottom w:val="single" w:color="auto" w:sz="4" w:space="0"/>
              <w:right w:val="single" w:color="auto" w:sz="4" w:space="0"/>
            </w:tcBorders>
            <w:noWrap/>
            <w:vAlign w:val="center"/>
          </w:tcPr>
          <w:p w14:paraId="6CEA7BEE">
            <w:pPr>
              <w:autoSpaceDE w:val="0"/>
              <w:autoSpaceDN w:val="0"/>
              <w:adjustRightInd w:val="0"/>
              <w:snapToGrid w:val="0"/>
              <w:rPr>
                <w:bCs/>
                <w:szCs w:val="21"/>
                <w:lang w:val="zh-CN"/>
              </w:rPr>
            </w:pPr>
            <w:r>
              <w:rPr>
                <w:rFonts w:hint="eastAsia"/>
                <w:bCs/>
                <w:szCs w:val="21"/>
                <w:lang w:val="zh-CN"/>
              </w:rPr>
              <w:t>只能有一个有效报价。</w:t>
            </w:r>
          </w:p>
        </w:tc>
      </w:tr>
      <w:tr w14:paraId="0673AA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77" w:hRule="atLeast"/>
          <w:jc w:val="center"/>
        </w:trPr>
        <w:tc>
          <w:tcPr>
            <w:tcW w:w="720" w:type="dxa"/>
            <w:vMerge w:val="continue"/>
            <w:tcBorders>
              <w:right w:val="single" w:color="auto" w:sz="4" w:space="0"/>
            </w:tcBorders>
            <w:noWrap/>
            <w:vAlign w:val="center"/>
          </w:tcPr>
          <w:p w14:paraId="3CDE20A8">
            <w:pPr>
              <w:spacing w:line="360" w:lineRule="auto"/>
              <w:jc w:val="center"/>
            </w:pPr>
          </w:p>
        </w:tc>
        <w:tc>
          <w:tcPr>
            <w:tcW w:w="900" w:type="dxa"/>
            <w:vMerge w:val="restart"/>
            <w:tcBorders>
              <w:top w:val="single" w:color="auto" w:sz="4" w:space="0"/>
              <w:right w:val="single" w:color="auto" w:sz="4" w:space="0"/>
            </w:tcBorders>
            <w:noWrap/>
            <w:vAlign w:val="center"/>
          </w:tcPr>
          <w:p w14:paraId="69EFFBE9">
            <w:pPr>
              <w:spacing w:line="360" w:lineRule="auto"/>
              <w:jc w:val="center"/>
            </w:pPr>
          </w:p>
          <w:p w14:paraId="16B116A6">
            <w:pPr>
              <w:spacing w:line="360" w:lineRule="auto"/>
              <w:jc w:val="center"/>
            </w:pPr>
          </w:p>
          <w:p w14:paraId="451C12FF">
            <w:pPr>
              <w:spacing w:line="360" w:lineRule="auto"/>
              <w:jc w:val="center"/>
            </w:pPr>
          </w:p>
          <w:p w14:paraId="57B75A2E">
            <w:pPr>
              <w:spacing w:line="360" w:lineRule="auto"/>
              <w:jc w:val="center"/>
            </w:pPr>
          </w:p>
          <w:p w14:paraId="46CCAA70">
            <w:pPr>
              <w:spacing w:line="360" w:lineRule="auto"/>
              <w:jc w:val="center"/>
            </w:pPr>
          </w:p>
          <w:p w14:paraId="5877B40A">
            <w:pPr>
              <w:spacing w:line="360" w:lineRule="auto"/>
              <w:jc w:val="center"/>
            </w:pPr>
          </w:p>
          <w:p w14:paraId="6D41F7C5">
            <w:pPr>
              <w:spacing w:line="360" w:lineRule="auto"/>
              <w:jc w:val="center"/>
            </w:pPr>
          </w:p>
          <w:p w14:paraId="545A4B4F">
            <w:pPr>
              <w:spacing w:line="360" w:lineRule="auto"/>
              <w:jc w:val="center"/>
            </w:pPr>
          </w:p>
          <w:p w14:paraId="6BF0532E">
            <w:pPr>
              <w:spacing w:line="360" w:lineRule="auto"/>
              <w:jc w:val="center"/>
            </w:pPr>
          </w:p>
          <w:p w14:paraId="0260FD5B">
            <w:pPr>
              <w:spacing w:line="360" w:lineRule="auto"/>
              <w:jc w:val="center"/>
            </w:pPr>
          </w:p>
          <w:p w14:paraId="1AE42A5A">
            <w:pPr>
              <w:spacing w:line="360" w:lineRule="auto"/>
              <w:jc w:val="center"/>
            </w:pPr>
          </w:p>
          <w:p w14:paraId="1876A6FC">
            <w:pPr>
              <w:spacing w:line="360" w:lineRule="auto"/>
              <w:jc w:val="center"/>
            </w:pPr>
            <w:r>
              <w:rPr>
                <w:rFonts w:hint="eastAsia"/>
              </w:rPr>
              <w:t>资格评审标准</w:t>
            </w:r>
          </w:p>
          <w:p w14:paraId="08AB529C">
            <w:pPr>
              <w:spacing w:line="360" w:lineRule="auto"/>
              <w:jc w:val="center"/>
            </w:pPr>
          </w:p>
          <w:p w14:paraId="2E5F5701">
            <w:pPr>
              <w:spacing w:line="360" w:lineRule="auto"/>
              <w:jc w:val="center"/>
            </w:pPr>
          </w:p>
          <w:p w14:paraId="2FA85166">
            <w:pPr>
              <w:spacing w:line="360" w:lineRule="auto"/>
              <w:jc w:val="center"/>
            </w:pPr>
          </w:p>
          <w:p w14:paraId="0FC751D5">
            <w:pPr>
              <w:spacing w:line="360" w:lineRule="auto"/>
              <w:jc w:val="center"/>
            </w:pPr>
          </w:p>
          <w:p w14:paraId="4FD34A7E">
            <w:pPr>
              <w:spacing w:line="360" w:lineRule="auto"/>
              <w:jc w:val="center"/>
            </w:pPr>
          </w:p>
          <w:p w14:paraId="195109FB">
            <w:pPr>
              <w:spacing w:line="360" w:lineRule="auto"/>
              <w:jc w:val="center"/>
            </w:pPr>
          </w:p>
          <w:p w14:paraId="0971602B">
            <w:pPr>
              <w:spacing w:line="360" w:lineRule="auto"/>
              <w:jc w:val="center"/>
            </w:pPr>
          </w:p>
          <w:p w14:paraId="73E98F74">
            <w:pPr>
              <w:spacing w:line="360" w:lineRule="auto"/>
              <w:jc w:val="center"/>
            </w:pPr>
          </w:p>
          <w:p w14:paraId="589B0A3E">
            <w:pPr>
              <w:spacing w:line="360" w:lineRule="auto"/>
              <w:jc w:val="center"/>
            </w:pPr>
          </w:p>
          <w:p w14:paraId="31A9C1AB">
            <w:pPr>
              <w:spacing w:line="360" w:lineRule="auto"/>
            </w:pPr>
          </w:p>
        </w:tc>
        <w:tc>
          <w:tcPr>
            <w:tcW w:w="2045" w:type="dxa"/>
            <w:tcBorders>
              <w:top w:val="single" w:color="auto" w:sz="4" w:space="0"/>
              <w:left w:val="single" w:color="auto" w:sz="4" w:space="0"/>
              <w:right w:val="single" w:color="auto" w:sz="4" w:space="0"/>
            </w:tcBorders>
            <w:noWrap/>
            <w:vAlign w:val="center"/>
          </w:tcPr>
          <w:p w14:paraId="7553D2FA">
            <w:pPr>
              <w:pStyle w:val="1902"/>
              <w:ind w:left="105" w:leftChars="50" w:right="105" w:rightChars="50"/>
              <w:contextualSpacing/>
              <w:jc w:val="center"/>
            </w:pPr>
            <w:r>
              <w:rPr>
                <w:rFonts w:hint="eastAsia"/>
              </w:rPr>
              <w:t>营业执照</w:t>
            </w:r>
          </w:p>
        </w:tc>
        <w:tc>
          <w:tcPr>
            <w:tcW w:w="6258" w:type="dxa"/>
            <w:tcBorders>
              <w:top w:val="single" w:color="auto" w:sz="4" w:space="0"/>
              <w:left w:val="single" w:color="auto" w:sz="4" w:space="0"/>
              <w:bottom w:val="single" w:color="auto" w:sz="4" w:space="0"/>
              <w:right w:val="single" w:color="auto" w:sz="4" w:space="0"/>
            </w:tcBorders>
            <w:noWrap/>
            <w:vAlign w:val="center"/>
          </w:tcPr>
          <w:p w14:paraId="686A10A3">
            <w:pPr>
              <w:pStyle w:val="1902"/>
              <w:ind w:right="105" w:rightChars="50"/>
              <w:contextualSpacing/>
            </w:pPr>
            <w:r>
              <w:rPr>
                <w:rFonts w:hint="eastAsia"/>
                <w:lang w:val="zh-CN"/>
              </w:rPr>
              <w:t>本次磋商要求供应商具备有效的营业执照。提供营业执照（副本）原件或加盖公章复印件，标书内附营业执照（副本）复印件加盖公章。</w:t>
            </w:r>
          </w:p>
        </w:tc>
      </w:tr>
      <w:tr w14:paraId="1F0507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803" w:hRule="atLeast"/>
          <w:jc w:val="center"/>
        </w:trPr>
        <w:tc>
          <w:tcPr>
            <w:tcW w:w="720" w:type="dxa"/>
            <w:vMerge w:val="continue"/>
            <w:tcBorders>
              <w:right w:val="single" w:color="auto" w:sz="4" w:space="0"/>
            </w:tcBorders>
            <w:noWrap/>
            <w:vAlign w:val="center"/>
          </w:tcPr>
          <w:p w14:paraId="244C7C50">
            <w:pPr>
              <w:spacing w:line="360" w:lineRule="auto"/>
              <w:jc w:val="center"/>
            </w:pPr>
          </w:p>
        </w:tc>
        <w:tc>
          <w:tcPr>
            <w:tcW w:w="900" w:type="dxa"/>
            <w:vMerge w:val="continue"/>
            <w:tcBorders>
              <w:right w:val="single" w:color="auto" w:sz="4" w:space="0"/>
            </w:tcBorders>
            <w:noWrap/>
            <w:vAlign w:val="center"/>
          </w:tcPr>
          <w:p w14:paraId="1256DD1A">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1041D665">
            <w:pPr>
              <w:pStyle w:val="1902"/>
              <w:ind w:left="105" w:leftChars="50" w:right="105" w:rightChars="50"/>
              <w:contextualSpacing/>
              <w:jc w:val="center"/>
            </w:pPr>
            <w:r>
              <w:rPr>
                <w:rFonts w:hint="eastAsia" w:ascii="宋体" w:hAnsi="宋体" w:cs="宋体"/>
                <w:bCs/>
                <w:szCs w:val="21"/>
                <w:lang w:val="zh-CN"/>
              </w:rPr>
              <w:t>资质等级</w:t>
            </w:r>
          </w:p>
        </w:tc>
        <w:tc>
          <w:tcPr>
            <w:tcW w:w="6258" w:type="dxa"/>
            <w:tcBorders>
              <w:top w:val="single" w:color="auto" w:sz="4" w:space="0"/>
              <w:left w:val="single" w:color="auto" w:sz="4" w:space="0"/>
              <w:bottom w:val="single" w:color="auto" w:sz="4" w:space="0"/>
              <w:right w:val="single" w:color="auto" w:sz="4" w:space="0"/>
            </w:tcBorders>
            <w:noWrap/>
            <w:vAlign w:val="center"/>
          </w:tcPr>
          <w:p w14:paraId="26091297">
            <w:pPr>
              <w:pStyle w:val="1902"/>
              <w:ind w:right="105" w:rightChars="50"/>
              <w:contextualSpacing/>
              <w:rPr>
                <w:szCs w:val="21"/>
              </w:rPr>
            </w:pPr>
            <w:r>
              <w:rPr>
                <w:rFonts w:hint="eastAsia"/>
                <w:szCs w:val="21"/>
                <w:lang w:val="zh-CN"/>
              </w:rPr>
              <w:t>投标申请人须具备建设行政主管部门核发的</w:t>
            </w:r>
            <w:r>
              <w:rPr>
                <w:rFonts w:hint="eastAsia"/>
                <w:szCs w:val="21"/>
              </w:rPr>
              <w:t>市政公用工程施工总承包</w:t>
            </w:r>
            <w:r>
              <w:rPr>
                <w:rFonts w:hint="eastAsia"/>
                <w:szCs w:val="21"/>
                <w:highlight w:val="none"/>
                <w:lang w:eastAsia="zh-CN"/>
              </w:rPr>
              <w:t>贰</w:t>
            </w:r>
            <w:r>
              <w:rPr>
                <w:rFonts w:hint="eastAsia"/>
                <w:szCs w:val="21"/>
                <w:highlight w:val="none"/>
              </w:rPr>
              <w:t>级或公路工程施工总承包</w:t>
            </w:r>
            <w:r>
              <w:rPr>
                <w:rFonts w:hint="eastAsia"/>
                <w:szCs w:val="21"/>
                <w:highlight w:val="none"/>
                <w:lang w:eastAsia="zh-CN"/>
              </w:rPr>
              <w:t>贰</w:t>
            </w:r>
            <w:r>
              <w:rPr>
                <w:rFonts w:hint="eastAsia"/>
                <w:szCs w:val="21"/>
              </w:rPr>
              <w:t>级</w:t>
            </w:r>
            <w:r>
              <w:rPr>
                <w:rFonts w:hint="eastAsia"/>
                <w:szCs w:val="21"/>
                <w:lang w:val="zh-CN"/>
              </w:rPr>
              <w:t>及以上资质并具备有效的安全生产许可证</w:t>
            </w:r>
            <w:r>
              <w:rPr>
                <w:rFonts w:hint="eastAsia"/>
                <w:szCs w:val="21"/>
              </w:rPr>
              <w:t>的法人或其他组织</w:t>
            </w:r>
            <w:r>
              <w:rPr>
                <w:rFonts w:hint="eastAsia"/>
                <w:szCs w:val="21"/>
                <w:lang w:val="zh-CN"/>
              </w:rPr>
              <w:t>，在人员、设备、资金等方面具有相应的施工能力。标书内附复印件加盖公章。</w:t>
            </w:r>
          </w:p>
        </w:tc>
      </w:tr>
      <w:tr w14:paraId="163CAA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97" w:hRule="atLeast"/>
          <w:jc w:val="center"/>
        </w:trPr>
        <w:tc>
          <w:tcPr>
            <w:tcW w:w="720" w:type="dxa"/>
            <w:vMerge w:val="continue"/>
            <w:tcBorders>
              <w:right w:val="single" w:color="auto" w:sz="4" w:space="0"/>
            </w:tcBorders>
            <w:noWrap/>
            <w:vAlign w:val="center"/>
          </w:tcPr>
          <w:p w14:paraId="55DEAF19">
            <w:pPr>
              <w:spacing w:line="360" w:lineRule="auto"/>
              <w:jc w:val="center"/>
            </w:pPr>
          </w:p>
        </w:tc>
        <w:tc>
          <w:tcPr>
            <w:tcW w:w="900" w:type="dxa"/>
            <w:vMerge w:val="continue"/>
            <w:tcBorders>
              <w:right w:val="single" w:color="auto" w:sz="4" w:space="0"/>
            </w:tcBorders>
            <w:noWrap/>
            <w:vAlign w:val="center"/>
          </w:tcPr>
          <w:p w14:paraId="3BC241BF">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2EC3C10B">
            <w:pPr>
              <w:pStyle w:val="1902"/>
              <w:ind w:left="105" w:leftChars="50" w:right="105" w:rightChars="50"/>
              <w:contextualSpacing/>
              <w:jc w:val="center"/>
              <w:rPr>
                <w:rFonts w:ascii="宋体" w:hAnsi="宋体" w:cs="宋体"/>
                <w:bCs/>
                <w:szCs w:val="21"/>
                <w:lang w:val="zh-CN"/>
              </w:rPr>
            </w:pPr>
            <w:r>
              <w:rPr>
                <w:rFonts w:hint="eastAsia" w:ascii="宋体" w:hAnsi="宋体" w:cs="宋体"/>
                <w:bCs/>
                <w:szCs w:val="21"/>
                <w:lang w:val="zh-CN"/>
              </w:rPr>
              <w:t>项目经理负责人</w:t>
            </w:r>
          </w:p>
        </w:tc>
        <w:tc>
          <w:tcPr>
            <w:tcW w:w="6258" w:type="dxa"/>
            <w:tcBorders>
              <w:top w:val="single" w:color="auto" w:sz="4" w:space="0"/>
              <w:left w:val="single" w:color="auto" w:sz="4" w:space="0"/>
              <w:bottom w:val="single" w:color="auto" w:sz="4" w:space="0"/>
              <w:right w:val="single" w:color="auto" w:sz="4" w:space="0"/>
            </w:tcBorders>
            <w:noWrap/>
            <w:vAlign w:val="center"/>
          </w:tcPr>
          <w:p w14:paraId="7B00489D">
            <w:pPr>
              <w:pStyle w:val="1902"/>
              <w:ind w:right="105" w:rightChars="50"/>
              <w:contextualSpacing/>
              <w:rPr>
                <w:szCs w:val="21"/>
                <w:lang w:val="zh-CN"/>
              </w:rPr>
            </w:pPr>
            <w:r>
              <w:rPr>
                <w:rFonts w:hint="eastAsia"/>
                <w:szCs w:val="21"/>
                <w:lang w:eastAsia="zh-CN"/>
              </w:rPr>
              <w:t>供应商</w:t>
            </w:r>
            <w:r>
              <w:rPr>
                <w:rFonts w:hint="eastAsia"/>
                <w:szCs w:val="21"/>
              </w:rPr>
              <w:t>拟派出的项目经理须具备市政公用工程专业二级或公路工程专业二级及以上注册建造师资格，具备有效的安全生产考核合格证书，且无在建工程。</w:t>
            </w:r>
          </w:p>
        </w:tc>
      </w:tr>
      <w:tr w14:paraId="5E103A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98" w:hRule="atLeast"/>
          <w:jc w:val="center"/>
        </w:trPr>
        <w:tc>
          <w:tcPr>
            <w:tcW w:w="720" w:type="dxa"/>
            <w:vMerge w:val="continue"/>
            <w:tcBorders>
              <w:right w:val="single" w:color="auto" w:sz="4" w:space="0"/>
            </w:tcBorders>
            <w:noWrap/>
            <w:vAlign w:val="center"/>
          </w:tcPr>
          <w:p w14:paraId="6A723705">
            <w:pPr>
              <w:spacing w:line="360" w:lineRule="auto"/>
              <w:jc w:val="center"/>
            </w:pPr>
          </w:p>
        </w:tc>
        <w:tc>
          <w:tcPr>
            <w:tcW w:w="900" w:type="dxa"/>
            <w:vMerge w:val="continue"/>
            <w:tcBorders>
              <w:right w:val="single" w:color="auto" w:sz="4" w:space="0"/>
            </w:tcBorders>
            <w:noWrap/>
            <w:vAlign w:val="center"/>
          </w:tcPr>
          <w:p w14:paraId="1DA5E306">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74433C4D">
            <w:pPr>
              <w:autoSpaceDE w:val="0"/>
              <w:autoSpaceDN w:val="0"/>
              <w:adjustRightInd w:val="0"/>
              <w:snapToGrid w:val="0"/>
              <w:jc w:val="center"/>
              <w:rPr>
                <w:rFonts w:ascii="宋体" w:hAnsi="宋体" w:cs="宋体"/>
                <w:bCs/>
                <w:szCs w:val="21"/>
                <w:lang w:val="zh-CN"/>
              </w:rPr>
            </w:pPr>
            <w:r>
              <w:rPr>
                <w:rFonts w:hint="eastAsia" w:ascii="宋体" w:hAnsi="宋体" w:cs="宋体"/>
                <w:bCs/>
                <w:szCs w:val="21"/>
                <w:lang w:val="zh-CN"/>
              </w:rPr>
              <w:t>安全生产许可证</w:t>
            </w:r>
          </w:p>
        </w:tc>
        <w:tc>
          <w:tcPr>
            <w:tcW w:w="6258" w:type="dxa"/>
            <w:tcBorders>
              <w:top w:val="single" w:color="auto" w:sz="4" w:space="0"/>
              <w:left w:val="single" w:color="auto" w:sz="4" w:space="0"/>
              <w:bottom w:val="single" w:color="auto" w:sz="4" w:space="0"/>
              <w:right w:val="single" w:color="auto" w:sz="4" w:space="0"/>
            </w:tcBorders>
            <w:noWrap/>
            <w:vAlign w:val="center"/>
          </w:tcPr>
          <w:p w14:paraId="504524DC">
            <w:pPr>
              <w:autoSpaceDE w:val="0"/>
              <w:autoSpaceDN w:val="0"/>
              <w:adjustRightInd w:val="0"/>
              <w:snapToGrid w:val="0"/>
              <w:rPr>
                <w:rFonts w:ascii="宋体" w:hAnsi="宋体" w:cs="宋体"/>
                <w:bCs/>
                <w:szCs w:val="21"/>
                <w:lang w:val="zh-CN"/>
              </w:rPr>
            </w:pPr>
            <w:r>
              <w:rPr>
                <w:rFonts w:hint="eastAsia" w:ascii="宋体" w:hAnsi="宋体" w:cs="宋体"/>
                <w:bCs/>
                <w:szCs w:val="21"/>
                <w:lang w:val="zh-CN"/>
              </w:rPr>
              <w:t>具备有效的安全生产许可证，提供安全生产许可证（副本）原件</w:t>
            </w:r>
            <w:r>
              <w:rPr>
                <w:rFonts w:hint="eastAsia"/>
                <w:lang w:val="zh-CN"/>
              </w:rPr>
              <w:t>或加盖公章复印件</w:t>
            </w:r>
            <w:r>
              <w:rPr>
                <w:rFonts w:hint="eastAsia" w:ascii="宋体" w:hAnsi="宋体" w:cs="宋体"/>
                <w:bCs/>
                <w:szCs w:val="21"/>
                <w:lang w:val="zh-CN"/>
              </w:rPr>
              <w:t>，标书内附复印件加盖公章。</w:t>
            </w:r>
          </w:p>
        </w:tc>
      </w:tr>
      <w:tr w14:paraId="0FAD9C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63" w:hRule="atLeast"/>
          <w:jc w:val="center"/>
        </w:trPr>
        <w:tc>
          <w:tcPr>
            <w:tcW w:w="720" w:type="dxa"/>
            <w:vMerge w:val="continue"/>
            <w:tcBorders>
              <w:right w:val="single" w:color="auto" w:sz="4" w:space="0"/>
            </w:tcBorders>
            <w:noWrap/>
            <w:vAlign w:val="center"/>
          </w:tcPr>
          <w:p w14:paraId="12B83056">
            <w:pPr>
              <w:spacing w:line="360" w:lineRule="auto"/>
              <w:jc w:val="center"/>
            </w:pPr>
          </w:p>
        </w:tc>
        <w:tc>
          <w:tcPr>
            <w:tcW w:w="900" w:type="dxa"/>
            <w:vMerge w:val="continue"/>
            <w:tcBorders>
              <w:right w:val="single" w:color="auto" w:sz="4" w:space="0"/>
            </w:tcBorders>
            <w:noWrap/>
            <w:vAlign w:val="center"/>
          </w:tcPr>
          <w:p w14:paraId="335F7865">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B8F8E61">
            <w:pPr>
              <w:pStyle w:val="1902"/>
              <w:ind w:left="105" w:leftChars="50" w:right="105" w:rightChars="50"/>
              <w:contextualSpacing/>
              <w:jc w:val="center"/>
            </w:pPr>
            <w:r>
              <w:rPr>
                <w:rFonts w:hint="eastAsia"/>
              </w:rPr>
              <w:t>业绩要求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3FE3D924">
            <w:pPr>
              <w:pStyle w:val="1902"/>
              <w:ind w:right="105" w:rightChars="50"/>
              <w:contextualSpacing/>
            </w:pPr>
            <w:r>
              <w:rPr>
                <w:rFonts w:hint="eastAsia" w:ascii="宋体" w:hAnsi="宋体" w:cs="宋体"/>
                <w:bCs/>
                <w:szCs w:val="21"/>
                <w:lang w:val="zh-CN"/>
              </w:rPr>
              <w:t>近三年（20</w:t>
            </w:r>
            <w:r>
              <w:rPr>
                <w:rFonts w:hint="eastAsia" w:ascii="宋体" w:hAnsi="宋体" w:cs="宋体"/>
                <w:bCs/>
                <w:szCs w:val="21"/>
              </w:rPr>
              <w:t>2</w:t>
            </w:r>
            <w:r>
              <w:rPr>
                <w:rFonts w:hint="eastAsia" w:ascii="宋体" w:hAnsi="宋体" w:cs="宋体"/>
                <w:bCs/>
                <w:szCs w:val="21"/>
                <w:lang w:val="en-US" w:eastAsia="zh-CN"/>
              </w:rPr>
              <w:t>2</w:t>
            </w:r>
            <w:r>
              <w:rPr>
                <w:rFonts w:hint="eastAsia" w:ascii="宋体" w:hAnsi="宋体" w:cs="宋体"/>
                <w:bCs/>
                <w:szCs w:val="21"/>
                <w:lang w:val="zh-CN"/>
              </w:rPr>
              <w:t>至今）完成过至少1项同类或类似业绩；提供成交通知书或合同（原件</w:t>
            </w:r>
            <w:r>
              <w:rPr>
                <w:rFonts w:hint="eastAsia"/>
                <w:lang w:val="zh-CN"/>
              </w:rPr>
              <w:t>或加盖公章复印件</w:t>
            </w:r>
            <w:r>
              <w:rPr>
                <w:rFonts w:hint="eastAsia" w:ascii="宋体" w:hAnsi="宋体" w:cs="宋体"/>
                <w:bCs/>
                <w:szCs w:val="21"/>
                <w:lang w:val="zh-CN"/>
              </w:rPr>
              <w:t>），标书内附成交通知书或合同复印件并加盖公章。</w:t>
            </w:r>
          </w:p>
        </w:tc>
      </w:tr>
      <w:tr w14:paraId="4D525D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716" w:hRule="atLeast"/>
          <w:jc w:val="center"/>
        </w:trPr>
        <w:tc>
          <w:tcPr>
            <w:tcW w:w="720" w:type="dxa"/>
            <w:vMerge w:val="continue"/>
            <w:tcBorders>
              <w:right w:val="single" w:color="auto" w:sz="4" w:space="0"/>
            </w:tcBorders>
            <w:noWrap/>
            <w:vAlign w:val="center"/>
          </w:tcPr>
          <w:p w14:paraId="7AC7BE3E">
            <w:pPr>
              <w:spacing w:line="360" w:lineRule="auto"/>
              <w:jc w:val="center"/>
            </w:pPr>
          </w:p>
        </w:tc>
        <w:tc>
          <w:tcPr>
            <w:tcW w:w="900" w:type="dxa"/>
            <w:vMerge w:val="continue"/>
            <w:tcBorders>
              <w:right w:val="single" w:color="auto" w:sz="4" w:space="0"/>
            </w:tcBorders>
            <w:noWrap/>
            <w:vAlign w:val="center"/>
          </w:tcPr>
          <w:p w14:paraId="0CC1ED94">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28F5572">
            <w:pPr>
              <w:pStyle w:val="1902"/>
              <w:ind w:left="105" w:leftChars="50" w:right="105" w:rightChars="50"/>
              <w:contextualSpacing/>
              <w:jc w:val="center"/>
            </w:pPr>
            <w:r>
              <w:rPr>
                <w:rFonts w:hint="eastAsia"/>
                <w:bCs/>
                <w:szCs w:val="21"/>
                <w:lang w:val="zh-CN"/>
              </w:rPr>
              <w:t>财务要求</w:t>
            </w:r>
          </w:p>
        </w:tc>
        <w:tc>
          <w:tcPr>
            <w:tcW w:w="6258" w:type="dxa"/>
            <w:tcBorders>
              <w:top w:val="single" w:color="auto" w:sz="4" w:space="0"/>
              <w:left w:val="single" w:color="auto" w:sz="4" w:space="0"/>
              <w:right w:val="single" w:color="auto" w:sz="4" w:space="0"/>
            </w:tcBorders>
            <w:noWrap/>
            <w:vAlign w:val="center"/>
          </w:tcPr>
          <w:p w14:paraId="05C3A4BE">
            <w:pPr>
              <w:pStyle w:val="1902"/>
              <w:ind w:right="105" w:rightChars="50"/>
              <w:contextualSpacing/>
            </w:pPr>
            <w:r>
              <w:rPr>
                <w:rFonts w:hint="eastAsia"/>
                <w:lang w:val="zh-CN"/>
              </w:rPr>
              <w:t>提供近三年（</w:t>
            </w:r>
            <w:r>
              <w:rPr>
                <w:rFonts w:hint="eastAsia"/>
              </w:rPr>
              <w:t>202</w:t>
            </w:r>
            <w:r>
              <w:rPr>
                <w:rFonts w:hint="eastAsia"/>
                <w:lang w:val="en-US" w:eastAsia="zh-CN"/>
              </w:rPr>
              <w:t>1</w:t>
            </w:r>
            <w:r>
              <w:rPr>
                <w:rFonts w:hint="eastAsia"/>
              </w:rPr>
              <w:t>-202</w:t>
            </w:r>
            <w:r>
              <w:rPr>
                <w:rFonts w:hint="eastAsia"/>
                <w:lang w:val="en-US" w:eastAsia="zh-CN"/>
              </w:rPr>
              <w:t>3</w:t>
            </w:r>
            <w:r>
              <w:rPr>
                <w:rFonts w:hint="eastAsia"/>
                <w:lang w:val="zh-CN"/>
              </w:rPr>
              <w:t>年）经会计师事务所或审计机构审计的财务会计报表，包括资产负债表、现金流量表、利润表和财务情况说明书的复印件；供应商成立不足三年的，提供自成立年份-20</w:t>
            </w:r>
            <w:r>
              <w:rPr>
                <w:rFonts w:hint="eastAsia"/>
              </w:rPr>
              <w:t>2</w:t>
            </w:r>
            <w:r>
              <w:rPr>
                <w:rFonts w:hint="eastAsia"/>
                <w:lang w:val="en-US" w:eastAsia="zh-CN"/>
              </w:rPr>
              <w:t>3</w:t>
            </w:r>
            <w:r>
              <w:rPr>
                <w:rFonts w:hint="eastAsia"/>
                <w:lang w:val="zh-CN"/>
              </w:rPr>
              <w:t>年的财务报告或财务报表，供应商在20</w:t>
            </w:r>
            <w:r>
              <w:rPr>
                <w:rFonts w:hint="eastAsia"/>
              </w:rPr>
              <w:t>2</w:t>
            </w:r>
            <w:r>
              <w:rPr>
                <w:rFonts w:hint="eastAsia"/>
                <w:lang w:val="en-US" w:eastAsia="zh-CN"/>
              </w:rPr>
              <w:t>4</w:t>
            </w:r>
            <w:r>
              <w:rPr>
                <w:rFonts w:hint="eastAsia"/>
                <w:lang w:val="zh-CN"/>
              </w:rPr>
              <w:t>年之后成立的，无财务状况报告的，提供基本账户开户银行的资信证明</w:t>
            </w:r>
          </w:p>
        </w:tc>
      </w:tr>
      <w:tr w14:paraId="7F5932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058" w:hRule="atLeast"/>
          <w:jc w:val="center"/>
        </w:trPr>
        <w:tc>
          <w:tcPr>
            <w:tcW w:w="720" w:type="dxa"/>
            <w:vMerge w:val="continue"/>
            <w:tcBorders>
              <w:right w:val="single" w:color="auto" w:sz="4" w:space="0"/>
            </w:tcBorders>
            <w:noWrap/>
            <w:vAlign w:val="center"/>
          </w:tcPr>
          <w:p w14:paraId="50B04B96">
            <w:pPr>
              <w:spacing w:line="360" w:lineRule="auto"/>
              <w:jc w:val="center"/>
            </w:pPr>
          </w:p>
        </w:tc>
        <w:tc>
          <w:tcPr>
            <w:tcW w:w="900" w:type="dxa"/>
            <w:vMerge w:val="continue"/>
            <w:tcBorders>
              <w:right w:val="single" w:color="auto" w:sz="4" w:space="0"/>
            </w:tcBorders>
            <w:noWrap/>
            <w:vAlign w:val="center"/>
          </w:tcPr>
          <w:p w14:paraId="36C9D0F7">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974AA02">
            <w:pPr>
              <w:pStyle w:val="1902"/>
              <w:ind w:left="105" w:leftChars="50" w:right="105" w:rightChars="50"/>
              <w:contextualSpacing/>
              <w:jc w:val="center"/>
            </w:pPr>
            <w:r>
              <w:rPr>
                <w:rFonts w:hint="eastAsia"/>
              </w:rPr>
              <w:t>信誉要求</w:t>
            </w:r>
          </w:p>
        </w:tc>
        <w:tc>
          <w:tcPr>
            <w:tcW w:w="6258" w:type="dxa"/>
            <w:tcBorders>
              <w:top w:val="single" w:color="auto" w:sz="4" w:space="0"/>
              <w:left w:val="single" w:color="auto" w:sz="4" w:space="0"/>
              <w:right w:val="single" w:color="auto" w:sz="4" w:space="0"/>
            </w:tcBorders>
            <w:noWrap/>
            <w:vAlign w:val="center"/>
          </w:tcPr>
          <w:p w14:paraId="72F4AA8F">
            <w:pPr>
              <w:pStyle w:val="1902"/>
              <w:ind w:right="105" w:rightChars="50"/>
              <w:contextualSpacing/>
              <w:rPr>
                <w:szCs w:val="21"/>
              </w:rPr>
            </w:pPr>
            <w:r>
              <w:rPr>
                <w:rFonts w:hint="eastAsia"/>
                <w:bCs/>
                <w:lang w:val="zh-CN"/>
              </w:rPr>
              <w:t>①拒绝列入政府取消投标资格记录期间的企业或个人投标</w:t>
            </w:r>
            <w:r>
              <w:rPr>
                <w:rFonts w:hint="eastAsia"/>
                <w:szCs w:val="21"/>
              </w:rPr>
              <w:t>。</w:t>
            </w:r>
          </w:p>
          <w:p w14:paraId="33498D4F">
            <w:pPr>
              <w:pStyle w:val="1902"/>
              <w:ind w:right="105" w:rightChars="50"/>
              <w:contextualSpacing/>
              <w:rPr>
                <w:lang w:val="zh-CN"/>
              </w:rPr>
            </w:pPr>
            <w:r>
              <w:rPr>
                <w:bCs/>
                <w:lang w:val="zh-CN"/>
              </w:rPr>
              <w:t>②</w:t>
            </w:r>
            <w:r>
              <w:rPr>
                <w:rFonts w:hint="eastAsia"/>
              </w:rPr>
              <w:t>近三年内，在经营活动中没有重大违法记录</w:t>
            </w:r>
            <w:r>
              <w:rPr>
                <w:rFonts w:hint="eastAsia"/>
                <w:lang w:val="zh-CN"/>
              </w:rPr>
              <w:t>。</w:t>
            </w:r>
          </w:p>
          <w:p w14:paraId="193A6B7C">
            <w:pPr>
              <w:pStyle w:val="1902"/>
              <w:ind w:right="105" w:rightChars="50"/>
              <w:contextualSpacing/>
              <w:rPr>
                <w:rFonts w:ascii="宋体" w:hAnsi="宋体" w:cs="宋体"/>
                <w:bCs/>
                <w:szCs w:val="21"/>
                <w:lang w:val="zh-CN"/>
              </w:rPr>
            </w:pPr>
            <w:r>
              <w:rPr>
                <w:bCs/>
                <w:lang w:val="zh-CN"/>
              </w:rPr>
              <w:t>③</w:t>
            </w:r>
            <w:r>
              <w:rPr>
                <w:rFonts w:hint="eastAsia" w:ascii="宋体" w:hAnsi="宋体" w:cs="宋体"/>
                <w:bCs/>
                <w:szCs w:val="21"/>
                <w:lang w:val="zh-CN"/>
              </w:rPr>
              <w:t>未</w:t>
            </w:r>
            <w:r>
              <w:rPr>
                <w:rFonts w:hint="eastAsia"/>
                <w:bCs/>
                <w:lang w:val="zh-CN"/>
              </w:rPr>
              <w:t>被</w:t>
            </w:r>
            <w:r>
              <w:rPr>
                <w:rFonts w:hint="eastAsia"/>
                <w:bCs/>
                <w:lang w:val="zh-CN" w:eastAsia="zh-CN"/>
              </w:rPr>
              <w:t>市场监督管理部门</w:t>
            </w:r>
            <w:r>
              <w:rPr>
                <w:rFonts w:hint="eastAsia"/>
                <w:bCs/>
                <w:lang w:val="zh-CN"/>
              </w:rPr>
              <w:t>在全国企业信</w:t>
            </w:r>
            <w:r>
              <w:rPr>
                <w:rFonts w:hint="eastAsia" w:ascii="宋体" w:hAnsi="宋体" w:cs="宋体"/>
                <w:bCs/>
                <w:szCs w:val="21"/>
                <w:lang w:val="zh-CN"/>
              </w:rPr>
              <w:t>用信息公示系统（www.gsxt.gov.cn）中列入严重违法失信企业名单；未被最高人民法院在“信用中国”网站（www.creditchina.gov.cn）或各级信用信息共享平台中列入失信被执行人名单；在近三年（20</w:t>
            </w:r>
            <w:r>
              <w:rPr>
                <w:rFonts w:hint="eastAsia" w:ascii="宋体" w:hAnsi="宋体" w:cs="宋体"/>
                <w:bCs/>
                <w:szCs w:val="21"/>
              </w:rPr>
              <w:t>2</w:t>
            </w:r>
            <w:r>
              <w:rPr>
                <w:rFonts w:hint="eastAsia" w:ascii="宋体" w:hAnsi="宋体" w:cs="宋体"/>
                <w:bCs/>
                <w:szCs w:val="21"/>
                <w:lang w:val="en-US" w:eastAsia="zh-CN"/>
              </w:rPr>
              <w:t>2</w:t>
            </w:r>
            <w:r>
              <w:rPr>
                <w:rFonts w:hint="eastAsia" w:ascii="宋体" w:hAnsi="宋体" w:cs="宋体"/>
                <w:bCs/>
                <w:szCs w:val="21"/>
                <w:lang w:val="zh-CN"/>
              </w:rPr>
              <w:t>年1月1日-投标截止时间前）内供应商或其法定代表人、拟委任的项目负责人未在“中国裁判文书网 ”（wenshu.court.gov.cn）上有行贿犯罪行为</w:t>
            </w:r>
          </w:p>
          <w:p w14:paraId="7C4B4C0B">
            <w:pPr>
              <w:pStyle w:val="1902"/>
              <w:ind w:right="105" w:rightChars="50"/>
              <w:contextualSpacing/>
              <w:rPr>
                <w:lang w:val="zh-CN"/>
              </w:rPr>
            </w:pPr>
            <w:r>
              <w:rPr>
                <w:rFonts w:hint="eastAsia"/>
                <w:lang w:val="zh-CN"/>
              </w:rPr>
              <w:t>标书内提供由法定代表人签字并加盖公章的承诺书。</w:t>
            </w:r>
          </w:p>
        </w:tc>
      </w:tr>
      <w:tr w14:paraId="681CBC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74" w:hRule="atLeast"/>
          <w:jc w:val="center"/>
        </w:trPr>
        <w:tc>
          <w:tcPr>
            <w:tcW w:w="720" w:type="dxa"/>
            <w:vMerge w:val="continue"/>
            <w:tcBorders>
              <w:right w:val="single" w:color="auto" w:sz="4" w:space="0"/>
            </w:tcBorders>
            <w:noWrap/>
            <w:vAlign w:val="center"/>
          </w:tcPr>
          <w:p w14:paraId="51F9AC65">
            <w:pPr>
              <w:spacing w:line="360" w:lineRule="auto"/>
              <w:jc w:val="center"/>
            </w:pPr>
          </w:p>
        </w:tc>
        <w:tc>
          <w:tcPr>
            <w:tcW w:w="900" w:type="dxa"/>
            <w:vMerge w:val="continue"/>
            <w:tcBorders>
              <w:right w:val="single" w:color="auto" w:sz="4" w:space="0"/>
            </w:tcBorders>
            <w:noWrap/>
            <w:vAlign w:val="center"/>
          </w:tcPr>
          <w:p w14:paraId="4971D5D0">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8AF9365">
            <w:pPr>
              <w:pStyle w:val="1902"/>
              <w:ind w:left="105" w:leftChars="50" w:right="105" w:rightChars="50"/>
              <w:contextualSpacing/>
              <w:jc w:val="center"/>
            </w:pPr>
            <w:r>
              <w:rPr>
                <w:rFonts w:hint="eastAsia"/>
              </w:rPr>
              <w:t>其他要求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74701B6C">
            <w:pPr>
              <w:pStyle w:val="1902"/>
              <w:ind w:right="105" w:rightChars="50"/>
              <w:contextualSpacing/>
            </w:pPr>
            <w:r>
              <w:rPr>
                <w:rFonts w:hint="eastAsia"/>
                <w:lang w:eastAsia="zh-CN"/>
              </w:rPr>
              <w:t>供应商</w:t>
            </w:r>
            <w:r>
              <w:rPr>
                <w:rFonts w:hint="eastAsia"/>
              </w:rPr>
              <w:t>不得存在下列情形之一：</w:t>
            </w:r>
          </w:p>
          <w:p w14:paraId="300D5513">
            <w:pPr>
              <w:keepLines/>
              <w:rPr>
                <w:bCs/>
                <w:spacing w:val="-2"/>
                <w:szCs w:val="21"/>
              </w:rPr>
            </w:pPr>
            <w:r>
              <w:rPr>
                <w:bCs/>
                <w:spacing w:val="-2"/>
                <w:szCs w:val="21"/>
              </w:rPr>
              <w:t>（1）与</w:t>
            </w:r>
            <w:r>
              <w:rPr>
                <w:rFonts w:hint="eastAsia"/>
                <w:bCs/>
                <w:spacing w:val="-2"/>
                <w:szCs w:val="21"/>
                <w:lang w:eastAsia="zh-CN"/>
              </w:rPr>
              <w:t>采购人</w:t>
            </w:r>
            <w:r>
              <w:rPr>
                <w:bCs/>
                <w:spacing w:val="-2"/>
                <w:szCs w:val="21"/>
              </w:rPr>
              <w:t>存在利害关系且可能影响</w:t>
            </w:r>
            <w:r>
              <w:rPr>
                <w:rFonts w:hint="eastAsia"/>
                <w:bCs/>
                <w:spacing w:val="-2"/>
                <w:szCs w:val="21"/>
                <w:lang w:eastAsia="zh-CN"/>
              </w:rPr>
              <w:t>磋商</w:t>
            </w:r>
            <w:r>
              <w:rPr>
                <w:bCs/>
                <w:spacing w:val="-2"/>
                <w:szCs w:val="21"/>
              </w:rPr>
              <w:t>公正性；</w:t>
            </w:r>
          </w:p>
          <w:p w14:paraId="55029A06">
            <w:pPr>
              <w:keepLines/>
              <w:rPr>
                <w:bCs/>
                <w:spacing w:val="-2"/>
                <w:szCs w:val="21"/>
              </w:rPr>
            </w:pPr>
            <w:r>
              <w:rPr>
                <w:bCs/>
                <w:spacing w:val="-2"/>
                <w:szCs w:val="21"/>
              </w:rPr>
              <w:t>（2）与本</w:t>
            </w:r>
            <w:r>
              <w:rPr>
                <w:rFonts w:hint="eastAsia"/>
                <w:bCs/>
                <w:spacing w:val="-2"/>
                <w:szCs w:val="21"/>
                <w:lang w:eastAsia="zh-CN"/>
              </w:rPr>
              <w:t>磋商</w:t>
            </w:r>
            <w:r>
              <w:rPr>
                <w:bCs/>
                <w:spacing w:val="-2"/>
                <w:szCs w:val="21"/>
              </w:rPr>
              <w:t>项目的其他</w:t>
            </w:r>
            <w:r>
              <w:rPr>
                <w:rFonts w:hint="eastAsia"/>
                <w:bCs/>
                <w:spacing w:val="-2"/>
                <w:szCs w:val="21"/>
                <w:lang w:eastAsia="zh-CN"/>
              </w:rPr>
              <w:t>供应商</w:t>
            </w:r>
            <w:r>
              <w:rPr>
                <w:bCs/>
                <w:spacing w:val="-2"/>
                <w:szCs w:val="21"/>
              </w:rPr>
              <w:t>为同一个单位负责人；</w:t>
            </w:r>
          </w:p>
          <w:p w14:paraId="4E77163B">
            <w:pPr>
              <w:keepLines/>
              <w:rPr>
                <w:bCs/>
                <w:spacing w:val="-2"/>
                <w:szCs w:val="21"/>
              </w:rPr>
            </w:pPr>
            <w:r>
              <w:rPr>
                <w:bCs/>
                <w:spacing w:val="-2"/>
                <w:szCs w:val="21"/>
              </w:rPr>
              <w:t>（3）与本</w:t>
            </w:r>
            <w:r>
              <w:rPr>
                <w:rFonts w:hint="eastAsia"/>
                <w:bCs/>
                <w:spacing w:val="-2"/>
                <w:szCs w:val="21"/>
                <w:lang w:eastAsia="zh-CN"/>
              </w:rPr>
              <w:t>磋商</w:t>
            </w:r>
            <w:r>
              <w:rPr>
                <w:bCs/>
                <w:spacing w:val="-2"/>
                <w:szCs w:val="21"/>
              </w:rPr>
              <w:t>项目的其他</w:t>
            </w:r>
            <w:r>
              <w:rPr>
                <w:rFonts w:hint="eastAsia"/>
                <w:bCs/>
                <w:spacing w:val="-2"/>
                <w:szCs w:val="21"/>
                <w:lang w:eastAsia="zh-CN"/>
              </w:rPr>
              <w:t>供应商</w:t>
            </w:r>
            <w:r>
              <w:rPr>
                <w:bCs/>
                <w:spacing w:val="-2"/>
                <w:szCs w:val="21"/>
              </w:rPr>
              <w:t>存在控股、管理关系；</w:t>
            </w:r>
          </w:p>
          <w:p w14:paraId="6C4B2C67">
            <w:pPr>
              <w:keepLines/>
              <w:rPr>
                <w:bCs/>
                <w:spacing w:val="-2"/>
                <w:szCs w:val="21"/>
              </w:rPr>
            </w:pPr>
            <w:r>
              <w:rPr>
                <w:bCs/>
                <w:spacing w:val="-2"/>
                <w:szCs w:val="21"/>
              </w:rPr>
              <w:t>（4）为本工程项目存在隶属关系或者其他利害关系；</w:t>
            </w:r>
          </w:p>
          <w:p w14:paraId="69692584">
            <w:pPr>
              <w:keepLines/>
              <w:rPr>
                <w:bCs/>
                <w:spacing w:val="-2"/>
                <w:szCs w:val="21"/>
              </w:rPr>
            </w:pPr>
            <w:r>
              <w:rPr>
                <w:bCs/>
                <w:spacing w:val="-2"/>
                <w:szCs w:val="21"/>
              </w:rPr>
              <w:t>（</w:t>
            </w:r>
            <w:r>
              <w:rPr>
                <w:rFonts w:hint="eastAsia"/>
                <w:bCs/>
                <w:spacing w:val="-2"/>
                <w:szCs w:val="21"/>
              </w:rPr>
              <w:t>5</w:t>
            </w:r>
            <w:r>
              <w:rPr>
                <w:bCs/>
                <w:spacing w:val="-2"/>
                <w:szCs w:val="21"/>
              </w:rPr>
              <w:t>）为本</w:t>
            </w:r>
            <w:r>
              <w:rPr>
                <w:rFonts w:hint="eastAsia"/>
                <w:bCs/>
                <w:spacing w:val="-2"/>
                <w:szCs w:val="21"/>
                <w:lang w:eastAsia="zh-CN"/>
              </w:rPr>
              <w:t>磋商</w:t>
            </w:r>
            <w:r>
              <w:rPr>
                <w:bCs/>
                <w:spacing w:val="-2"/>
                <w:szCs w:val="21"/>
              </w:rPr>
              <w:t>项目的</w:t>
            </w:r>
            <w:r>
              <w:rPr>
                <w:rFonts w:hint="eastAsia"/>
                <w:bCs/>
                <w:spacing w:val="-2"/>
                <w:szCs w:val="21"/>
                <w:lang w:eastAsia="zh-CN"/>
              </w:rPr>
              <w:t>采购代理机构</w:t>
            </w:r>
            <w:r>
              <w:rPr>
                <w:bCs/>
                <w:spacing w:val="-2"/>
                <w:szCs w:val="21"/>
              </w:rPr>
              <w:t>；</w:t>
            </w:r>
          </w:p>
          <w:p w14:paraId="65D7D1C0">
            <w:pPr>
              <w:keepLines/>
              <w:rPr>
                <w:bCs/>
                <w:spacing w:val="-2"/>
                <w:szCs w:val="21"/>
              </w:rPr>
            </w:pPr>
            <w:r>
              <w:rPr>
                <w:bCs/>
                <w:spacing w:val="-2"/>
                <w:szCs w:val="21"/>
              </w:rPr>
              <w:t>（</w:t>
            </w:r>
            <w:r>
              <w:rPr>
                <w:rFonts w:hint="eastAsia"/>
                <w:bCs/>
                <w:spacing w:val="-2"/>
                <w:szCs w:val="21"/>
              </w:rPr>
              <w:t>6</w:t>
            </w:r>
            <w:r>
              <w:rPr>
                <w:bCs/>
                <w:spacing w:val="-2"/>
                <w:szCs w:val="21"/>
              </w:rPr>
              <w:t>）被依法暂停或者取消投标资格；</w:t>
            </w:r>
          </w:p>
          <w:p w14:paraId="38BFD706">
            <w:pPr>
              <w:keepLines/>
              <w:rPr>
                <w:bCs/>
                <w:spacing w:val="-2"/>
                <w:szCs w:val="21"/>
              </w:rPr>
            </w:pPr>
            <w:r>
              <w:rPr>
                <w:bCs/>
                <w:spacing w:val="-2"/>
                <w:szCs w:val="21"/>
              </w:rPr>
              <w:t>（</w:t>
            </w:r>
            <w:r>
              <w:rPr>
                <w:rFonts w:hint="eastAsia"/>
                <w:bCs/>
                <w:spacing w:val="-2"/>
                <w:szCs w:val="21"/>
              </w:rPr>
              <w:t>7</w:t>
            </w:r>
            <w:r>
              <w:rPr>
                <w:bCs/>
                <w:spacing w:val="-2"/>
                <w:szCs w:val="21"/>
              </w:rPr>
              <w:t>）被责令停产停业、暂扣或者吊销许可证、暂扣或者吊销执照；</w:t>
            </w:r>
          </w:p>
          <w:p w14:paraId="7A4D91EA">
            <w:pPr>
              <w:keepLines/>
              <w:rPr>
                <w:bCs/>
                <w:spacing w:val="-2"/>
                <w:szCs w:val="21"/>
              </w:rPr>
            </w:pPr>
            <w:r>
              <w:rPr>
                <w:bCs/>
                <w:spacing w:val="-2"/>
                <w:szCs w:val="21"/>
              </w:rPr>
              <w:t>（</w:t>
            </w:r>
            <w:r>
              <w:rPr>
                <w:rFonts w:hint="eastAsia"/>
                <w:bCs/>
                <w:spacing w:val="-2"/>
                <w:szCs w:val="21"/>
              </w:rPr>
              <w:t>8</w:t>
            </w:r>
            <w:r>
              <w:rPr>
                <w:bCs/>
                <w:spacing w:val="-2"/>
                <w:szCs w:val="21"/>
              </w:rPr>
              <w:t>）进入清算程序，或被宣告破产，或其他丧失履约能力的情形；</w:t>
            </w:r>
          </w:p>
          <w:p w14:paraId="393C5EBB">
            <w:pPr>
              <w:keepLines/>
              <w:rPr>
                <w:bCs/>
                <w:spacing w:val="-2"/>
                <w:szCs w:val="21"/>
              </w:rPr>
            </w:pPr>
            <w:r>
              <w:rPr>
                <w:bCs/>
                <w:spacing w:val="-2"/>
                <w:szCs w:val="21"/>
              </w:rPr>
              <w:t>（</w:t>
            </w:r>
            <w:r>
              <w:rPr>
                <w:rFonts w:hint="eastAsia"/>
                <w:bCs/>
                <w:spacing w:val="-2"/>
                <w:szCs w:val="21"/>
              </w:rPr>
              <w:t>9</w:t>
            </w:r>
            <w:r>
              <w:rPr>
                <w:bCs/>
                <w:spacing w:val="-2"/>
                <w:szCs w:val="21"/>
              </w:rPr>
              <w:t>）在最近三年内发生重大产品质量问题（以相关行业主管部门的行政处罚决定或司法机关出具的有关法律文书为准）；</w:t>
            </w:r>
          </w:p>
          <w:p w14:paraId="689AFBB7">
            <w:pPr>
              <w:keepLines/>
              <w:rPr>
                <w:bCs/>
                <w:spacing w:val="-2"/>
                <w:szCs w:val="21"/>
              </w:rPr>
            </w:pPr>
            <w:r>
              <w:rPr>
                <w:bCs/>
                <w:spacing w:val="-2"/>
                <w:szCs w:val="21"/>
              </w:rPr>
              <w:t>（</w:t>
            </w:r>
            <w:r>
              <w:rPr>
                <w:rFonts w:hint="eastAsia"/>
                <w:bCs/>
                <w:spacing w:val="-2"/>
                <w:szCs w:val="21"/>
              </w:rPr>
              <w:t>10</w:t>
            </w:r>
            <w:r>
              <w:rPr>
                <w:bCs/>
                <w:spacing w:val="-2"/>
                <w:szCs w:val="21"/>
              </w:rPr>
              <w:t>）被</w:t>
            </w:r>
            <w:r>
              <w:rPr>
                <w:rFonts w:hint="eastAsia" w:ascii="宋体" w:hAnsi="宋体"/>
                <w:sz w:val="21"/>
                <w:szCs w:val="21"/>
                <w:highlight w:val="none"/>
                <w:lang w:val="zh-CN" w:eastAsia="zh-CN"/>
              </w:rPr>
              <w:t>市场监督管理部门</w:t>
            </w:r>
            <w:r>
              <w:rPr>
                <w:bCs/>
                <w:spacing w:val="-2"/>
                <w:szCs w:val="21"/>
              </w:rPr>
              <w:t>在全国企业信用信息公示系统中列入严重违法失信企业名单；</w:t>
            </w:r>
          </w:p>
          <w:p w14:paraId="2F4D5CFF">
            <w:pPr>
              <w:keepLines/>
              <w:wordWrap w:val="0"/>
              <w:rPr>
                <w:bCs/>
                <w:spacing w:val="-2"/>
                <w:szCs w:val="21"/>
              </w:rPr>
            </w:pPr>
            <w:r>
              <w:rPr>
                <w:bCs/>
                <w:spacing w:val="-2"/>
                <w:szCs w:val="21"/>
              </w:rPr>
              <w:t>（</w:t>
            </w:r>
            <w:r>
              <w:rPr>
                <w:rFonts w:hint="eastAsia"/>
                <w:bCs/>
                <w:spacing w:val="-2"/>
                <w:szCs w:val="21"/>
              </w:rPr>
              <w:t>11</w:t>
            </w:r>
            <w:r>
              <w:rPr>
                <w:bCs/>
                <w:spacing w:val="-2"/>
                <w:szCs w:val="21"/>
              </w:rPr>
              <w:t>）被最高人民法院在“信用中国”网站（www.creditchina.gov.cn）或各级信用信息共享平台中列入失信被执行人名单；</w:t>
            </w:r>
          </w:p>
          <w:p w14:paraId="0661FB97">
            <w:pPr>
              <w:keepLines/>
              <w:rPr>
                <w:bCs/>
                <w:spacing w:val="-2"/>
                <w:szCs w:val="21"/>
              </w:rPr>
            </w:pPr>
            <w:r>
              <w:rPr>
                <w:bCs/>
                <w:spacing w:val="-2"/>
                <w:szCs w:val="21"/>
              </w:rPr>
              <w:t>（1</w:t>
            </w:r>
            <w:r>
              <w:rPr>
                <w:rFonts w:hint="eastAsia"/>
                <w:bCs/>
                <w:spacing w:val="-2"/>
                <w:szCs w:val="21"/>
              </w:rPr>
              <w:t>2</w:t>
            </w:r>
            <w:r>
              <w:rPr>
                <w:bCs/>
                <w:spacing w:val="-2"/>
                <w:szCs w:val="21"/>
              </w:rPr>
              <w:t>）在近三年内</w:t>
            </w:r>
            <w:r>
              <w:rPr>
                <w:rFonts w:hint="eastAsia"/>
                <w:bCs/>
                <w:spacing w:val="-2"/>
                <w:szCs w:val="21"/>
                <w:lang w:eastAsia="zh-CN"/>
              </w:rPr>
              <w:t>供应商</w:t>
            </w:r>
            <w:r>
              <w:rPr>
                <w:bCs/>
                <w:spacing w:val="-2"/>
                <w:szCs w:val="21"/>
              </w:rPr>
              <w:t>或其法定代表人有行贿犯罪行为的；</w:t>
            </w:r>
          </w:p>
          <w:p w14:paraId="3AAD6DE4">
            <w:pPr>
              <w:pStyle w:val="1902"/>
              <w:ind w:right="105" w:rightChars="50"/>
              <w:contextualSpacing/>
            </w:pPr>
            <w:r>
              <w:rPr>
                <w:bCs/>
                <w:spacing w:val="-2"/>
                <w:szCs w:val="21"/>
              </w:rPr>
              <w:t>（13）</w:t>
            </w:r>
            <w:r>
              <w:rPr>
                <w:rFonts w:hint="eastAsia"/>
                <w:bCs/>
                <w:spacing w:val="-2"/>
                <w:szCs w:val="21"/>
              </w:rPr>
              <w:t>与</w:t>
            </w:r>
            <w:r>
              <w:rPr>
                <w:rFonts w:hint="eastAsia"/>
                <w:bCs/>
                <w:spacing w:val="-2"/>
                <w:szCs w:val="21"/>
                <w:lang w:eastAsia="zh-CN"/>
              </w:rPr>
              <w:t>采购人</w:t>
            </w:r>
            <w:r>
              <w:rPr>
                <w:rFonts w:hint="eastAsia"/>
                <w:bCs/>
                <w:spacing w:val="-2"/>
                <w:szCs w:val="21"/>
              </w:rPr>
              <w:t>存在利害关系可能影响</w:t>
            </w:r>
            <w:r>
              <w:rPr>
                <w:rFonts w:hint="eastAsia"/>
                <w:bCs/>
                <w:spacing w:val="-2"/>
                <w:szCs w:val="21"/>
                <w:lang w:eastAsia="zh-CN"/>
              </w:rPr>
              <w:t>磋商</w:t>
            </w:r>
            <w:r>
              <w:rPr>
                <w:rFonts w:hint="eastAsia"/>
                <w:bCs/>
                <w:spacing w:val="-2"/>
                <w:szCs w:val="21"/>
              </w:rPr>
              <w:t>公正性的法人、其他组织或者个人，不得参加投标；单位负责人为同一人或者存在控股、管理关系的不同单位，不得参加同一标段投标或者未划分标段的同一</w:t>
            </w:r>
            <w:r>
              <w:rPr>
                <w:rFonts w:hint="eastAsia"/>
                <w:bCs/>
                <w:spacing w:val="-2"/>
                <w:szCs w:val="21"/>
                <w:lang w:eastAsia="zh-CN"/>
              </w:rPr>
              <w:t>磋商</w:t>
            </w:r>
            <w:r>
              <w:rPr>
                <w:rFonts w:hint="eastAsia"/>
                <w:bCs/>
                <w:spacing w:val="-2"/>
                <w:szCs w:val="21"/>
              </w:rPr>
              <w:t>项目投标。</w:t>
            </w:r>
          </w:p>
          <w:p w14:paraId="07571969">
            <w:pPr>
              <w:pStyle w:val="1902"/>
              <w:ind w:right="105" w:rightChars="50"/>
              <w:contextualSpacing/>
            </w:pPr>
            <w:r>
              <w:rPr>
                <w:rFonts w:hint="eastAsia"/>
                <w:lang w:val="zh-CN"/>
              </w:rPr>
              <w:t>标书内附由法定代表人签字并加盖公章的承诺书。</w:t>
            </w:r>
          </w:p>
        </w:tc>
      </w:tr>
      <w:tr w14:paraId="1413D8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56" w:hRule="atLeast"/>
          <w:jc w:val="center"/>
        </w:trPr>
        <w:tc>
          <w:tcPr>
            <w:tcW w:w="720" w:type="dxa"/>
            <w:vMerge w:val="continue"/>
            <w:tcBorders>
              <w:right w:val="single" w:color="auto" w:sz="4" w:space="0"/>
            </w:tcBorders>
            <w:noWrap/>
            <w:vAlign w:val="center"/>
          </w:tcPr>
          <w:p w14:paraId="032D0356">
            <w:pPr>
              <w:spacing w:line="360" w:lineRule="auto"/>
              <w:jc w:val="center"/>
            </w:pPr>
          </w:p>
        </w:tc>
        <w:tc>
          <w:tcPr>
            <w:tcW w:w="900" w:type="dxa"/>
            <w:vMerge w:val="continue"/>
            <w:tcBorders>
              <w:right w:val="single" w:color="auto" w:sz="4" w:space="0"/>
            </w:tcBorders>
            <w:noWrap/>
            <w:vAlign w:val="center"/>
          </w:tcPr>
          <w:p w14:paraId="3F005EEA">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7D9996B0">
            <w:pPr>
              <w:pStyle w:val="1902"/>
              <w:ind w:left="105" w:leftChars="50" w:right="105" w:rightChars="50"/>
              <w:contextualSpacing/>
              <w:jc w:val="center"/>
            </w:pPr>
            <w:r>
              <w:rPr>
                <w:rFonts w:hint="eastAsia"/>
              </w:rPr>
              <w:t>网站查询截图</w:t>
            </w:r>
          </w:p>
        </w:tc>
        <w:tc>
          <w:tcPr>
            <w:tcW w:w="6258" w:type="dxa"/>
            <w:tcBorders>
              <w:top w:val="single" w:color="auto" w:sz="4" w:space="0"/>
              <w:left w:val="single" w:color="auto" w:sz="4" w:space="0"/>
              <w:bottom w:val="single" w:color="auto" w:sz="4" w:space="0"/>
              <w:right w:val="single" w:color="auto" w:sz="4" w:space="0"/>
            </w:tcBorders>
            <w:noWrap/>
            <w:vAlign w:val="center"/>
          </w:tcPr>
          <w:p w14:paraId="4D199E75">
            <w:pPr>
              <w:pStyle w:val="1902"/>
              <w:ind w:right="105" w:rightChars="50"/>
              <w:contextualSpacing/>
            </w:pPr>
            <w:r>
              <w:rPr>
                <w:rFonts w:hint="eastAsia"/>
              </w:rPr>
              <w:t>（1）“信用中国”网站中未列入失信被执行人和重大税收违法案件当事人名单的信用信息查询记录网络截图；</w:t>
            </w:r>
          </w:p>
          <w:p w14:paraId="28F6ABB9">
            <w:pPr>
              <w:pStyle w:val="1902"/>
              <w:ind w:right="105" w:rightChars="50"/>
              <w:contextualSpacing/>
            </w:pPr>
            <w:r>
              <w:rPr>
                <w:rFonts w:hint="eastAsia"/>
              </w:rPr>
              <w:t>（2）“中国政府采购网”政府采购严重违法失信行为记录名单中未被财政部门禁止参加政府采购活动的信用信息查询记录网络截图；</w:t>
            </w:r>
          </w:p>
          <w:p w14:paraId="2DB68327">
            <w:pPr>
              <w:pStyle w:val="1902"/>
              <w:ind w:right="105" w:rightChars="50"/>
              <w:contextualSpacing/>
              <w:rPr>
                <w:highlight w:val="none"/>
              </w:rPr>
            </w:pPr>
            <w:r>
              <w:rPr>
                <w:rFonts w:hint="eastAsia"/>
                <w:highlight w:val="none"/>
              </w:rPr>
              <w:t>（3）</w:t>
            </w:r>
            <w:r>
              <w:rPr>
                <w:rFonts w:hint="eastAsia"/>
                <w:highlight w:val="none"/>
                <w:lang w:val="zh-CN"/>
              </w:rPr>
              <w:t>在近三年（20</w:t>
            </w:r>
            <w:r>
              <w:rPr>
                <w:rFonts w:hint="eastAsia"/>
                <w:highlight w:val="none"/>
                <w:lang w:val="en-US" w:eastAsia="zh-CN"/>
              </w:rPr>
              <w:t>22</w:t>
            </w:r>
            <w:r>
              <w:rPr>
                <w:rFonts w:hint="eastAsia"/>
                <w:highlight w:val="none"/>
                <w:lang w:val="zh-CN"/>
              </w:rPr>
              <w:t>年1月1日-投标截止时间前）内供应商或其法定代表人、拟委任的项目负责人未在“中国裁判文书网 ”（wenshu.court.gov.cn）上有行贿犯罪行为</w:t>
            </w:r>
          </w:p>
          <w:p w14:paraId="2750DB43">
            <w:pPr>
              <w:pStyle w:val="1902"/>
              <w:ind w:right="105" w:rightChars="50"/>
              <w:contextualSpacing/>
            </w:pPr>
            <w:r>
              <w:rPr>
                <w:rFonts w:hint="eastAsia"/>
              </w:rPr>
              <w:t>标书内附网站查询截图复印件并加盖公章。</w:t>
            </w:r>
          </w:p>
        </w:tc>
      </w:tr>
      <w:tr w14:paraId="69915F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77" w:hRule="atLeast"/>
          <w:jc w:val="center"/>
        </w:trPr>
        <w:tc>
          <w:tcPr>
            <w:tcW w:w="720" w:type="dxa"/>
            <w:vMerge w:val="continue"/>
            <w:tcBorders>
              <w:right w:val="single" w:color="auto" w:sz="4" w:space="0"/>
            </w:tcBorders>
            <w:noWrap/>
            <w:vAlign w:val="center"/>
          </w:tcPr>
          <w:p w14:paraId="397B6D81">
            <w:pPr>
              <w:spacing w:line="360" w:lineRule="auto"/>
              <w:jc w:val="center"/>
            </w:pPr>
          </w:p>
        </w:tc>
        <w:tc>
          <w:tcPr>
            <w:tcW w:w="900" w:type="dxa"/>
            <w:vMerge w:val="continue"/>
            <w:tcBorders>
              <w:right w:val="single" w:color="auto" w:sz="4" w:space="0"/>
            </w:tcBorders>
            <w:noWrap/>
            <w:vAlign w:val="center"/>
          </w:tcPr>
          <w:p w14:paraId="6ECF6D10">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21622404">
            <w:pPr>
              <w:autoSpaceDE w:val="0"/>
              <w:autoSpaceDN w:val="0"/>
              <w:adjustRightInd w:val="0"/>
              <w:jc w:val="center"/>
            </w:pPr>
            <w:r>
              <w:rPr>
                <w:rFonts w:hint="eastAsia"/>
                <w:bCs/>
                <w:szCs w:val="21"/>
                <w:lang w:val="zh-CN"/>
              </w:rPr>
              <w:t>供应商不参与涉黑涉恶承诺书</w:t>
            </w:r>
          </w:p>
        </w:tc>
        <w:tc>
          <w:tcPr>
            <w:tcW w:w="6258" w:type="dxa"/>
            <w:tcBorders>
              <w:top w:val="single" w:color="auto" w:sz="4" w:space="0"/>
              <w:left w:val="single" w:color="auto" w:sz="4" w:space="0"/>
              <w:bottom w:val="single" w:color="auto" w:sz="4" w:space="0"/>
              <w:right w:val="single" w:color="auto" w:sz="4" w:space="0"/>
            </w:tcBorders>
            <w:noWrap/>
            <w:vAlign w:val="center"/>
          </w:tcPr>
          <w:p w14:paraId="5D26A13E">
            <w:pPr>
              <w:autoSpaceDE w:val="0"/>
              <w:autoSpaceDN w:val="0"/>
              <w:adjustRightInd w:val="0"/>
            </w:pPr>
            <w:r>
              <w:rPr>
                <w:rFonts w:hint="eastAsia"/>
                <w:bCs/>
                <w:szCs w:val="21"/>
                <w:lang w:val="zh-CN"/>
              </w:rPr>
              <w:t>标书内提供由法定代表人签字或加盖公章的《供应商不参与涉黑涉恶承诺书》。</w:t>
            </w:r>
          </w:p>
        </w:tc>
      </w:tr>
      <w:tr w14:paraId="75C71C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98" w:hRule="atLeast"/>
          <w:jc w:val="center"/>
        </w:trPr>
        <w:tc>
          <w:tcPr>
            <w:tcW w:w="720" w:type="dxa"/>
            <w:vMerge w:val="continue"/>
            <w:tcBorders>
              <w:right w:val="single" w:color="auto" w:sz="4" w:space="0"/>
            </w:tcBorders>
            <w:noWrap/>
            <w:vAlign w:val="center"/>
          </w:tcPr>
          <w:p w14:paraId="6CD9AB60">
            <w:pPr>
              <w:spacing w:line="360" w:lineRule="auto"/>
              <w:jc w:val="center"/>
            </w:pPr>
          </w:p>
        </w:tc>
        <w:tc>
          <w:tcPr>
            <w:tcW w:w="900" w:type="dxa"/>
            <w:vMerge w:val="continue"/>
            <w:tcBorders>
              <w:right w:val="single" w:color="auto" w:sz="4" w:space="0"/>
            </w:tcBorders>
            <w:noWrap/>
            <w:vAlign w:val="center"/>
          </w:tcPr>
          <w:p w14:paraId="3C92768B">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380D0288">
            <w:pPr>
              <w:pStyle w:val="1902"/>
              <w:ind w:left="105" w:leftChars="50" w:right="105" w:rightChars="50"/>
              <w:contextualSpacing/>
              <w:jc w:val="center"/>
            </w:pPr>
            <w:r>
              <w:rPr>
                <w:rFonts w:hint="eastAsia"/>
                <w:lang w:val="zh-CN"/>
              </w:rPr>
              <w:t>法人授权委托书</w:t>
            </w:r>
          </w:p>
        </w:tc>
        <w:tc>
          <w:tcPr>
            <w:tcW w:w="6258" w:type="dxa"/>
            <w:tcBorders>
              <w:top w:val="single" w:color="auto" w:sz="4" w:space="0"/>
              <w:left w:val="single" w:color="auto" w:sz="4" w:space="0"/>
              <w:bottom w:val="single" w:color="auto" w:sz="4" w:space="0"/>
              <w:right w:val="single" w:color="auto" w:sz="4" w:space="0"/>
            </w:tcBorders>
            <w:noWrap/>
            <w:vAlign w:val="center"/>
          </w:tcPr>
          <w:p w14:paraId="773C6804">
            <w:pPr>
              <w:pStyle w:val="1902"/>
              <w:ind w:right="105" w:rightChars="50"/>
              <w:contextualSpacing/>
            </w:pPr>
            <w:r>
              <w:rPr>
                <w:rFonts w:hint="eastAsia"/>
                <w:lang w:val="zh-CN"/>
              </w:rPr>
              <w:t>由法定代表人及委托代理人签字并加盖公章（原件）。</w:t>
            </w:r>
          </w:p>
        </w:tc>
      </w:tr>
      <w:tr w14:paraId="4FB1E8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31" w:hRule="atLeast"/>
          <w:jc w:val="center"/>
        </w:trPr>
        <w:tc>
          <w:tcPr>
            <w:tcW w:w="720" w:type="dxa"/>
            <w:vMerge w:val="continue"/>
            <w:tcBorders>
              <w:right w:val="single" w:color="auto" w:sz="4" w:space="0"/>
            </w:tcBorders>
            <w:noWrap/>
            <w:vAlign w:val="center"/>
          </w:tcPr>
          <w:p w14:paraId="0915F0E7">
            <w:pPr>
              <w:spacing w:line="360" w:lineRule="auto"/>
              <w:jc w:val="center"/>
            </w:pPr>
          </w:p>
        </w:tc>
        <w:tc>
          <w:tcPr>
            <w:tcW w:w="900" w:type="dxa"/>
            <w:vMerge w:val="restart"/>
            <w:tcBorders>
              <w:top w:val="single" w:color="auto" w:sz="4" w:space="0"/>
              <w:right w:val="single" w:color="auto" w:sz="4" w:space="0"/>
            </w:tcBorders>
            <w:noWrap/>
            <w:vAlign w:val="center"/>
          </w:tcPr>
          <w:p w14:paraId="6B8E7047">
            <w:pPr>
              <w:spacing w:line="360" w:lineRule="auto"/>
              <w:jc w:val="center"/>
            </w:pPr>
          </w:p>
          <w:p w14:paraId="6B13007D">
            <w:pPr>
              <w:spacing w:line="360" w:lineRule="auto"/>
              <w:jc w:val="center"/>
            </w:pPr>
            <w:r>
              <w:rPr>
                <w:rFonts w:hint="eastAsia"/>
              </w:rPr>
              <w:t>响应性</w:t>
            </w:r>
          </w:p>
          <w:p w14:paraId="34CE9D3D">
            <w:pPr>
              <w:spacing w:line="360" w:lineRule="auto"/>
              <w:jc w:val="center"/>
            </w:pPr>
            <w:r>
              <w:rPr>
                <w:rFonts w:hint="eastAsia"/>
              </w:rPr>
              <w:t>评审</w:t>
            </w:r>
          </w:p>
          <w:p w14:paraId="0C9D90EE">
            <w:pPr>
              <w:spacing w:line="360" w:lineRule="auto"/>
              <w:jc w:val="center"/>
            </w:pPr>
            <w:r>
              <w:rPr>
                <w:rFonts w:hint="eastAsia"/>
              </w:rPr>
              <w:t>标准</w:t>
            </w:r>
          </w:p>
          <w:p w14:paraId="1B814CB8">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717C1DA1">
            <w:pPr>
              <w:autoSpaceDE w:val="0"/>
              <w:autoSpaceDN w:val="0"/>
              <w:adjustRightInd w:val="0"/>
              <w:snapToGrid w:val="0"/>
              <w:jc w:val="center"/>
              <w:rPr>
                <w:bCs/>
                <w:szCs w:val="21"/>
                <w:lang w:val="zh-CN"/>
              </w:rPr>
            </w:pPr>
            <w:r>
              <w:rPr>
                <w:rFonts w:hint="eastAsia"/>
                <w:bCs/>
                <w:szCs w:val="21"/>
                <w:lang w:val="zh-CN"/>
              </w:rPr>
              <w:t>投标内容</w:t>
            </w:r>
          </w:p>
        </w:tc>
        <w:tc>
          <w:tcPr>
            <w:tcW w:w="6258" w:type="dxa"/>
            <w:tcBorders>
              <w:top w:val="single" w:color="auto" w:sz="4" w:space="0"/>
              <w:left w:val="single" w:color="auto" w:sz="4" w:space="0"/>
              <w:bottom w:val="single" w:color="auto" w:sz="4" w:space="0"/>
              <w:right w:val="single" w:color="auto" w:sz="4" w:space="0"/>
            </w:tcBorders>
            <w:noWrap/>
            <w:vAlign w:val="center"/>
          </w:tcPr>
          <w:p w14:paraId="0F261776">
            <w:pPr>
              <w:autoSpaceDE w:val="0"/>
              <w:autoSpaceDN w:val="0"/>
              <w:adjustRightInd w:val="0"/>
              <w:snapToGrid w:val="0"/>
              <w:rPr>
                <w:bCs/>
                <w:szCs w:val="21"/>
                <w:lang w:val="zh-CN"/>
              </w:rPr>
            </w:pPr>
            <w:r>
              <w:rPr>
                <w:rFonts w:hint="eastAsia"/>
                <w:bCs/>
                <w:szCs w:val="21"/>
                <w:lang w:val="zh-CN"/>
              </w:rPr>
              <w:t>符合第二章“供应商须知”规定。</w:t>
            </w:r>
          </w:p>
        </w:tc>
      </w:tr>
      <w:tr w14:paraId="59ABA7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2" w:hRule="atLeast"/>
          <w:jc w:val="center"/>
        </w:trPr>
        <w:tc>
          <w:tcPr>
            <w:tcW w:w="720" w:type="dxa"/>
            <w:vMerge w:val="continue"/>
            <w:tcBorders>
              <w:right w:val="single" w:color="auto" w:sz="4" w:space="0"/>
            </w:tcBorders>
            <w:noWrap/>
            <w:vAlign w:val="center"/>
          </w:tcPr>
          <w:p w14:paraId="55A7507E">
            <w:pPr>
              <w:spacing w:line="360" w:lineRule="auto"/>
              <w:jc w:val="center"/>
            </w:pPr>
          </w:p>
        </w:tc>
        <w:tc>
          <w:tcPr>
            <w:tcW w:w="900" w:type="dxa"/>
            <w:vMerge w:val="continue"/>
            <w:tcBorders>
              <w:right w:val="single" w:color="auto" w:sz="4" w:space="0"/>
            </w:tcBorders>
            <w:noWrap/>
            <w:vAlign w:val="center"/>
          </w:tcPr>
          <w:p w14:paraId="1AEB7494">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2B547CF">
            <w:pPr>
              <w:autoSpaceDE w:val="0"/>
              <w:autoSpaceDN w:val="0"/>
              <w:adjustRightInd w:val="0"/>
              <w:snapToGrid w:val="0"/>
              <w:jc w:val="center"/>
              <w:rPr>
                <w:bCs/>
                <w:szCs w:val="21"/>
                <w:lang w:val="zh-CN"/>
              </w:rPr>
            </w:pPr>
            <w:r>
              <w:rPr>
                <w:rFonts w:hint="eastAsia" w:ascii="宋体" w:hAnsi="宋体" w:cs="宋体"/>
                <w:szCs w:val="21"/>
              </w:rPr>
              <w:t>计划工期</w:t>
            </w:r>
          </w:p>
        </w:tc>
        <w:tc>
          <w:tcPr>
            <w:tcW w:w="6258" w:type="dxa"/>
            <w:tcBorders>
              <w:top w:val="single" w:color="auto" w:sz="4" w:space="0"/>
              <w:left w:val="single" w:color="auto" w:sz="4" w:space="0"/>
              <w:bottom w:val="single" w:color="auto" w:sz="4" w:space="0"/>
              <w:right w:val="single" w:color="auto" w:sz="4" w:space="0"/>
            </w:tcBorders>
            <w:noWrap/>
            <w:vAlign w:val="center"/>
          </w:tcPr>
          <w:p w14:paraId="4FE15A8C">
            <w:pPr>
              <w:autoSpaceDE w:val="0"/>
              <w:autoSpaceDN w:val="0"/>
              <w:adjustRightInd w:val="0"/>
              <w:snapToGrid w:val="0"/>
              <w:rPr>
                <w:bCs/>
                <w:szCs w:val="21"/>
                <w:lang w:val="zh-CN"/>
              </w:rPr>
            </w:pPr>
            <w:r>
              <w:rPr>
                <w:rFonts w:hint="eastAsia"/>
                <w:bCs/>
                <w:szCs w:val="21"/>
                <w:lang w:val="zh-CN"/>
              </w:rPr>
              <w:t>符合第二章“供应商须知”规定。</w:t>
            </w:r>
          </w:p>
        </w:tc>
      </w:tr>
      <w:tr w14:paraId="67CBF6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02" w:hRule="atLeast"/>
          <w:jc w:val="center"/>
        </w:trPr>
        <w:tc>
          <w:tcPr>
            <w:tcW w:w="720" w:type="dxa"/>
            <w:vMerge w:val="continue"/>
            <w:tcBorders>
              <w:right w:val="single" w:color="auto" w:sz="4" w:space="0"/>
            </w:tcBorders>
            <w:noWrap/>
            <w:vAlign w:val="center"/>
          </w:tcPr>
          <w:p w14:paraId="52CECC1A">
            <w:pPr>
              <w:spacing w:line="360" w:lineRule="auto"/>
              <w:jc w:val="center"/>
            </w:pPr>
          </w:p>
        </w:tc>
        <w:tc>
          <w:tcPr>
            <w:tcW w:w="900" w:type="dxa"/>
            <w:vMerge w:val="continue"/>
            <w:tcBorders>
              <w:right w:val="single" w:color="auto" w:sz="4" w:space="0"/>
            </w:tcBorders>
            <w:noWrap/>
            <w:vAlign w:val="center"/>
          </w:tcPr>
          <w:p w14:paraId="2933A971">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2F0384AF">
            <w:pPr>
              <w:autoSpaceDE w:val="0"/>
              <w:autoSpaceDN w:val="0"/>
              <w:adjustRightInd w:val="0"/>
              <w:snapToGrid w:val="0"/>
              <w:jc w:val="center"/>
              <w:rPr>
                <w:bCs/>
                <w:szCs w:val="21"/>
                <w:lang w:val="zh-CN"/>
              </w:rPr>
            </w:pPr>
            <w:r>
              <w:rPr>
                <w:rFonts w:hint="eastAsia"/>
                <w:bCs/>
                <w:szCs w:val="21"/>
                <w:lang w:val="zh-CN"/>
              </w:rPr>
              <w:t>质量要求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79AF558F">
            <w:pPr>
              <w:autoSpaceDE w:val="0"/>
              <w:autoSpaceDN w:val="0"/>
              <w:adjustRightInd w:val="0"/>
              <w:snapToGrid w:val="0"/>
              <w:rPr>
                <w:bCs/>
                <w:szCs w:val="21"/>
                <w:lang w:val="zh-CN"/>
              </w:rPr>
            </w:pPr>
            <w:r>
              <w:rPr>
                <w:rFonts w:hint="eastAsia"/>
                <w:bCs/>
                <w:szCs w:val="21"/>
                <w:lang w:val="zh-CN"/>
              </w:rPr>
              <w:t>符合第二章“供应商须知”规定。</w:t>
            </w:r>
          </w:p>
        </w:tc>
      </w:tr>
      <w:tr w14:paraId="62621A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83" w:hRule="atLeast"/>
          <w:jc w:val="center"/>
        </w:trPr>
        <w:tc>
          <w:tcPr>
            <w:tcW w:w="720" w:type="dxa"/>
            <w:vMerge w:val="continue"/>
            <w:tcBorders>
              <w:right w:val="single" w:color="auto" w:sz="4" w:space="0"/>
            </w:tcBorders>
            <w:noWrap/>
            <w:vAlign w:val="center"/>
          </w:tcPr>
          <w:p w14:paraId="6CB609B3">
            <w:pPr>
              <w:spacing w:line="360" w:lineRule="auto"/>
              <w:jc w:val="center"/>
            </w:pPr>
          </w:p>
        </w:tc>
        <w:tc>
          <w:tcPr>
            <w:tcW w:w="900" w:type="dxa"/>
            <w:vMerge w:val="continue"/>
            <w:tcBorders>
              <w:right w:val="single" w:color="auto" w:sz="4" w:space="0"/>
            </w:tcBorders>
            <w:noWrap/>
            <w:vAlign w:val="center"/>
          </w:tcPr>
          <w:p w14:paraId="4B512211">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3F109C3A">
            <w:pPr>
              <w:autoSpaceDE w:val="0"/>
              <w:autoSpaceDN w:val="0"/>
              <w:adjustRightInd w:val="0"/>
              <w:snapToGrid w:val="0"/>
              <w:jc w:val="center"/>
              <w:rPr>
                <w:bCs/>
                <w:szCs w:val="21"/>
                <w:lang w:val="zh-CN"/>
              </w:rPr>
            </w:pPr>
            <w:r>
              <w:rPr>
                <w:rFonts w:hint="eastAsia"/>
                <w:bCs/>
                <w:szCs w:val="21"/>
                <w:lang w:val="zh-CN"/>
              </w:rPr>
              <w:t>投标有效期</w:t>
            </w:r>
          </w:p>
        </w:tc>
        <w:tc>
          <w:tcPr>
            <w:tcW w:w="6258" w:type="dxa"/>
            <w:tcBorders>
              <w:top w:val="single" w:color="auto" w:sz="4" w:space="0"/>
              <w:left w:val="single" w:color="auto" w:sz="4" w:space="0"/>
              <w:bottom w:val="single" w:color="auto" w:sz="4" w:space="0"/>
              <w:right w:val="single" w:color="auto" w:sz="4" w:space="0"/>
            </w:tcBorders>
            <w:noWrap/>
            <w:vAlign w:val="center"/>
          </w:tcPr>
          <w:p w14:paraId="2D41A7DA">
            <w:pPr>
              <w:autoSpaceDE w:val="0"/>
              <w:autoSpaceDN w:val="0"/>
              <w:adjustRightInd w:val="0"/>
              <w:snapToGrid w:val="0"/>
              <w:rPr>
                <w:bCs/>
                <w:szCs w:val="21"/>
                <w:lang w:val="zh-CN"/>
              </w:rPr>
            </w:pPr>
            <w:r>
              <w:rPr>
                <w:rFonts w:hint="eastAsia"/>
                <w:bCs/>
                <w:szCs w:val="21"/>
                <w:lang w:val="zh-CN"/>
              </w:rPr>
              <w:t>符合第二章“供应商须知”规定。</w:t>
            </w:r>
          </w:p>
        </w:tc>
      </w:tr>
      <w:tr w14:paraId="0971A7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25" w:hRule="atLeast"/>
          <w:jc w:val="center"/>
        </w:trPr>
        <w:tc>
          <w:tcPr>
            <w:tcW w:w="720" w:type="dxa"/>
            <w:vMerge w:val="continue"/>
            <w:tcBorders>
              <w:right w:val="single" w:color="auto" w:sz="4" w:space="0"/>
            </w:tcBorders>
            <w:noWrap/>
            <w:vAlign w:val="center"/>
          </w:tcPr>
          <w:p w14:paraId="44AF918D">
            <w:pPr>
              <w:spacing w:line="360" w:lineRule="auto"/>
              <w:jc w:val="center"/>
            </w:pPr>
          </w:p>
        </w:tc>
        <w:tc>
          <w:tcPr>
            <w:tcW w:w="900" w:type="dxa"/>
            <w:vMerge w:val="continue"/>
            <w:tcBorders>
              <w:right w:val="single" w:color="auto" w:sz="4" w:space="0"/>
            </w:tcBorders>
            <w:noWrap/>
            <w:vAlign w:val="center"/>
          </w:tcPr>
          <w:p w14:paraId="1931BA77">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00357ECD">
            <w:pPr>
              <w:autoSpaceDE w:val="0"/>
              <w:autoSpaceDN w:val="0"/>
              <w:adjustRightInd w:val="0"/>
              <w:snapToGrid w:val="0"/>
              <w:jc w:val="center"/>
              <w:rPr>
                <w:bCs/>
                <w:szCs w:val="21"/>
                <w:lang w:val="zh-CN"/>
              </w:rPr>
            </w:pPr>
            <w:r>
              <w:rPr>
                <w:rFonts w:hint="eastAsia"/>
                <w:bCs/>
                <w:szCs w:val="21"/>
                <w:lang w:val="zh-CN"/>
              </w:rPr>
              <w:t>投标报价</w:t>
            </w:r>
          </w:p>
        </w:tc>
        <w:tc>
          <w:tcPr>
            <w:tcW w:w="6258" w:type="dxa"/>
            <w:tcBorders>
              <w:top w:val="single" w:color="auto" w:sz="4" w:space="0"/>
              <w:left w:val="single" w:color="auto" w:sz="4" w:space="0"/>
              <w:bottom w:val="single" w:color="auto" w:sz="4" w:space="0"/>
              <w:right w:val="single" w:color="auto" w:sz="4" w:space="0"/>
            </w:tcBorders>
            <w:noWrap/>
            <w:vAlign w:val="center"/>
          </w:tcPr>
          <w:p w14:paraId="27FE85D6">
            <w:pPr>
              <w:autoSpaceDE w:val="0"/>
              <w:autoSpaceDN w:val="0"/>
              <w:adjustRightInd w:val="0"/>
              <w:snapToGrid w:val="0"/>
              <w:rPr>
                <w:bCs/>
                <w:szCs w:val="21"/>
                <w:lang w:val="zh-CN"/>
              </w:rPr>
            </w:pPr>
            <w:r>
              <w:rPr>
                <w:rFonts w:hint="eastAsia"/>
                <w:bCs/>
                <w:szCs w:val="21"/>
                <w:lang w:val="zh-CN"/>
              </w:rPr>
              <w:t>各标段投标报价不得超过各标段工程控制价，超出各标段工程控制价的投标将被否决。</w:t>
            </w:r>
          </w:p>
        </w:tc>
      </w:tr>
      <w:tr w14:paraId="2F75E7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1" w:hRule="atLeast"/>
          <w:jc w:val="center"/>
        </w:trPr>
        <w:tc>
          <w:tcPr>
            <w:tcW w:w="720" w:type="dxa"/>
            <w:vMerge w:val="continue"/>
            <w:tcBorders>
              <w:right w:val="single" w:color="auto" w:sz="4" w:space="0"/>
            </w:tcBorders>
            <w:noWrap/>
            <w:vAlign w:val="center"/>
          </w:tcPr>
          <w:p w14:paraId="1A4347C1">
            <w:pPr>
              <w:spacing w:line="360" w:lineRule="auto"/>
              <w:jc w:val="center"/>
            </w:pPr>
          </w:p>
        </w:tc>
        <w:tc>
          <w:tcPr>
            <w:tcW w:w="900" w:type="dxa"/>
            <w:vMerge w:val="continue"/>
            <w:tcBorders>
              <w:right w:val="single" w:color="auto" w:sz="4" w:space="0"/>
            </w:tcBorders>
            <w:noWrap/>
            <w:vAlign w:val="center"/>
          </w:tcPr>
          <w:p w14:paraId="3B85E5A6">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8CF5AA8">
            <w:pPr>
              <w:autoSpaceDE w:val="0"/>
              <w:autoSpaceDN w:val="0"/>
              <w:adjustRightInd w:val="0"/>
              <w:snapToGrid w:val="0"/>
              <w:jc w:val="center"/>
              <w:rPr>
                <w:bCs/>
                <w:szCs w:val="21"/>
                <w:lang w:val="zh-CN"/>
              </w:rPr>
            </w:pPr>
            <w:r>
              <w:rPr>
                <w:rFonts w:hint="eastAsia"/>
                <w:bCs/>
                <w:szCs w:val="21"/>
                <w:lang w:val="zh-CN"/>
              </w:rPr>
              <w:t>磋商保证金</w:t>
            </w:r>
          </w:p>
        </w:tc>
        <w:tc>
          <w:tcPr>
            <w:tcW w:w="6258" w:type="dxa"/>
            <w:tcBorders>
              <w:top w:val="single" w:color="auto" w:sz="4" w:space="0"/>
              <w:left w:val="single" w:color="auto" w:sz="4" w:space="0"/>
              <w:bottom w:val="single" w:color="auto" w:sz="4" w:space="0"/>
              <w:right w:val="single" w:color="auto" w:sz="4" w:space="0"/>
            </w:tcBorders>
            <w:noWrap/>
            <w:vAlign w:val="center"/>
          </w:tcPr>
          <w:p w14:paraId="43D62D61">
            <w:pPr>
              <w:autoSpaceDE w:val="0"/>
              <w:autoSpaceDN w:val="0"/>
              <w:adjustRightInd w:val="0"/>
              <w:snapToGrid w:val="0"/>
              <w:rPr>
                <w:bCs/>
                <w:szCs w:val="21"/>
                <w:lang w:val="zh-CN"/>
              </w:rPr>
            </w:pPr>
            <w:r>
              <w:rPr>
                <w:rFonts w:hint="eastAsia"/>
                <w:bCs/>
                <w:szCs w:val="21"/>
                <w:lang w:val="zh-CN"/>
              </w:rPr>
              <w:t>符合第二章“供应商须知”规定。</w:t>
            </w:r>
          </w:p>
        </w:tc>
      </w:tr>
      <w:tr w14:paraId="18E13C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019" w:hRule="atLeast"/>
          <w:jc w:val="center"/>
        </w:trPr>
        <w:tc>
          <w:tcPr>
            <w:tcW w:w="720" w:type="dxa"/>
            <w:vMerge w:val="continue"/>
            <w:tcBorders>
              <w:right w:val="single" w:color="auto" w:sz="4" w:space="0"/>
            </w:tcBorders>
            <w:noWrap/>
            <w:vAlign w:val="center"/>
          </w:tcPr>
          <w:p w14:paraId="0836D684">
            <w:pPr>
              <w:spacing w:line="360" w:lineRule="auto"/>
              <w:jc w:val="center"/>
            </w:pPr>
          </w:p>
        </w:tc>
        <w:tc>
          <w:tcPr>
            <w:tcW w:w="900" w:type="dxa"/>
            <w:vMerge w:val="continue"/>
            <w:tcBorders>
              <w:right w:val="single" w:color="auto" w:sz="4" w:space="0"/>
            </w:tcBorders>
            <w:noWrap/>
            <w:vAlign w:val="center"/>
          </w:tcPr>
          <w:p w14:paraId="202308D9">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60AF4C0F">
            <w:pPr>
              <w:snapToGrid w:val="0"/>
              <w:jc w:val="center"/>
              <w:rPr>
                <w:bCs/>
                <w:szCs w:val="21"/>
                <w:lang w:val="zh-CN"/>
              </w:rPr>
            </w:pPr>
            <w:r>
              <w:rPr>
                <w:rFonts w:hint="eastAsia" w:ascii="宋体" w:hAnsi="宋体" w:cs="宋体"/>
                <w:szCs w:val="21"/>
              </w:rPr>
              <w:t>已标价工程量清单</w:t>
            </w:r>
          </w:p>
        </w:tc>
        <w:tc>
          <w:tcPr>
            <w:tcW w:w="6258" w:type="dxa"/>
            <w:tcBorders>
              <w:top w:val="single" w:color="auto" w:sz="4" w:space="0"/>
              <w:left w:val="single" w:color="auto" w:sz="4" w:space="0"/>
              <w:bottom w:val="single" w:color="auto" w:sz="4" w:space="0"/>
              <w:right w:val="single" w:color="auto" w:sz="4" w:space="0"/>
            </w:tcBorders>
            <w:noWrap/>
            <w:vAlign w:val="center"/>
          </w:tcPr>
          <w:p w14:paraId="5D31DBE4">
            <w:pPr>
              <w:autoSpaceDE w:val="0"/>
              <w:autoSpaceDN w:val="0"/>
              <w:adjustRightInd w:val="0"/>
              <w:snapToGrid w:val="0"/>
              <w:rPr>
                <w:bCs/>
                <w:szCs w:val="21"/>
                <w:lang w:val="zh-CN"/>
              </w:rPr>
            </w:pPr>
            <w:r>
              <w:rPr>
                <w:rFonts w:hint="eastAsia"/>
                <w:bCs/>
                <w:szCs w:val="21"/>
                <w:lang w:val="zh-CN"/>
              </w:rPr>
              <w:t>与提供的工程量清单项目编码、项目名称、项目特征、计量单位、工程数量一致，经造价人员签字并加盖执业印章，并符合相关法律及采购文件规定。</w:t>
            </w:r>
          </w:p>
          <w:p w14:paraId="66105C21">
            <w:pPr>
              <w:autoSpaceDE w:val="0"/>
              <w:autoSpaceDN w:val="0"/>
              <w:adjustRightInd w:val="0"/>
              <w:snapToGrid w:val="0"/>
              <w:rPr>
                <w:bCs/>
                <w:szCs w:val="21"/>
                <w:lang w:val="zh-CN"/>
              </w:rPr>
            </w:pPr>
            <w:r>
              <w:rPr>
                <w:rFonts w:hint="eastAsia"/>
                <w:bCs/>
                <w:szCs w:val="21"/>
                <w:lang w:val="zh-CN"/>
              </w:rPr>
              <w:t>供应商委托造价咨询机构编制已标价工程量清单的，应当签署委托协议，并将协议复印件加盖公章附在响应文件内，不同供应商委托同一造价咨询机构编制已标价工程量清单的，投标将被否决。</w:t>
            </w:r>
          </w:p>
        </w:tc>
      </w:tr>
      <w:tr w14:paraId="3F76D2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3" w:hRule="atLeast"/>
          <w:jc w:val="center"/>
        </w:trPr>
        <w:tc>
          <w:tcPr>
            <w:tcW w:w="720" w:type="dxa"/>
            <w:vMerge w:val="continue"/>
            <w:tcBorders>
              <w:right w:val="single" w:color="auto" w:sz="4" w:space="0"/>
            </w:tcBorders>
            <w:noWrap/>
            <w:vAlign w:val="center"/>
          </w:tcPr>
          <w:p w14:paraId="4E7BC7C2">
            <w:pPr>
              <w:spacing w:line="360" w:lineRule="auto"/>
              <w:jc w:val="center"/>
            </w:pPr>
          </w:p>
        </w:tc>
        <w:tc>
          <w:tcPr>
            <w:tcW w:w="900" w:type="dxa"/>
            <w:vMerge w:val="continue"/>
            <w:tcBorders>
              <w:right w:val="single" w:color="auto" w:sz="4" w:space="0"/>
            </w:tcBorders>
            <w:noWrap/>
            <w:vAlign w:val="center"/>
          </w:tcPr>
          <w:p w14:paraId="46793522">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7149409C">
            <w:pPr>
              <w:autoSpaceDE w:val="0"/>
              <w:autoSpaceDN w:val="0"/>
              <w:adjustRightInd w:val="0"/>
              <w:snapToGrid w:val="0"/>
              <w:jc w:val="center"/>
              <w:rPr>
                <w:bCs/>
                <w:szCs w:val="21"/>
                <w:lang w:val="zh-CN"/>
              </w:rPr>
            </w:pPr>
            <w:r>
              <w:rPr>
                <w:rFonts w:hint="eastAsia"/>
                <w:bCs/>
                <w:szCs w:val="21"/>
                <w:lang w:val="zh-CN"/>
              </w:rPr>
              <w:t>其他要求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15185DD3">
            <w:pPr>
              <w:autoSpaceDE w:val="0"/>
              <w:autoSpaceDN w:val="0"/>
              <w:adjustRightInd w:val="0"/>
              <w:snapToGrid w:val="0"/>
              <w:rPr>
                <w:bCs/>
                <w:szCs w:val="21"/>
                <w:lang w:val="zh-CN"/>
              </w:rPr>
            </w:pPr>
            <w:r>
              <w:rPr>
                <w:rFonts w:hint="eastAsia"/>
                <w:bCs/>
                <w:szCs w:val="21"/>
                <w:lang w:val="zh-CN"/>
              </w:rPr>
              <w:t>竞争性磋商文件其他实质性要求。</w:t>
            </w:r>
          </w:p>
        </w:tc>
      </w:tr>
    </w:tbl>
    <w:p w14:paraId="79F47F1A">
      <w:pPr>
        <w:spacing w:beforeLines="100" w:line="360" w:lineRule="auto"/>
        <w:ind w:right="-496" w:rightChars="-236"/>
        <w:rPr>
          <w:b/>
          <w:bCs/>
          <w:sz w:val="18"/>
          <w:szCs w:val="18"/>
          <w:lang w:val="zh-CN"/>
        </w:rPr>
      </w:pPr>
      <w:r>
        <w:rPr>
          <w:rFonts w:hint="eastAsia"/>
          <w:b/>
          <w:bCs/>
          <w:sz w:val="18"/>
          <w:szCs w:val="18"/>
          <w:lang w:val="zh-CN"/>
        </w:rPr>
        <w:t>注：1、上述表中要求提供的证书、合同文件和相关证明文件等证件的复印件装订在响应文件中。</w:t>
      </w:r>
    </w:p>
    <w:p w14:paraId="6FD4C5CC">
      <w:pPr>
        <w:spacing w:line="360" w:lineRule="auto"/>
        <w:ind w:right="-496" w:rightChars="-236" w:firstLine="361" w:firstLineChars="200"/>
        <w:rPr>
          <w:b/>
          <w:bCs/>
          <w:sz w:val="18"/>
          <w:szCs w:val="18"/>
          <w:lang w:val="zh-CN"/>
        </w:rPr>
      </w:pPr>
      <w:r>
        <w:rPr>
          <w:rFonts w:hint="eastAsia"/>
          <w:b/>
          <w:bCs/>
          <w:sz w:val="18"/>
          <w:szCs w:val="18"/>
          <w:lang w:val="zh-CN"/>
        </w:rPr>
        <w:t>2、上述内容中如某一证件正在年检或换证，需年检或换证部门出具有效证明方可确认。</w:t>
      </w:r>
    </w:p>
    <w:p w14:paraId="7A6AE4E0">
      <w:pPr>
        <w:spacing w:line="360" w:lineRule="auto"/>
        <w:ind w:firstLine="360"/>
        <w:rPr>
          <w:b/>
          <w:bCs/>
          <w:sz w:val="18"/>
          <w:szCs w:val="18"/>
          <w:lang w:val="zh-CN"/>
        </w:rPr>
      </w:pPr>
      <w:r>
        <w:rPr>
          <w:rFonts w:hint="eastAsia"/>
          <w:b/>
          <w:bCs/>
          <w:sz w:val="18"/>
          <w:szCs w:val="18"/>
          <w:lang w:val="zh-CN"/>
        </w:rPr>
        <w:t>3、上述要求供应商有一项不合格的，视为未通过初步评审，将不再进入后续评标。</w:t>
      </w:r>
    </w:p>
    <w:p w14:paraId="614623AB">
      <w:pPr>
        <w:adjustRightInd w:val="0"/>
        <w:snapToGrid w:val="0"/>
        <w:jc w:val="center"/>
        <w:rPr>
          <w:szCs w:val="21"/>
        </w:rPr>
      </w:pPr>
    </w:p>
    <w:p w14:paraId="78DB6D0D">
      <w:pPr>
        <w:jc w:val="center"/>
        <w:rPr>
          <w:b/>
          <w:sz w:val="32"/>
          <w:szCs w:val="32"/>
        </w:rPr>
      </w:pPr>
      <w:r>
        <w:rPr>
          <w:rFonts w:hint="eastAsia"/>
          <w:b/>
          <w:sz w:val="32"/>
          <w:szCs w:val="32"/>
        </w:rPr>
        <w:br w:type="page"/>
      </w:r>
      <w:r>
        <w:rPr>
          <w:rFonts w:hint="eastAsia"/>
          <w:b/>
          <w:sz w:val="32"/>
          <w:szCs w:val="32"/>
        </w:rPr>
        <w:t>详细评审记录表</w:t>
      </w:r>
    </w:p>
    <w:p w14:paraId="349AB9BA">
      <w:pPr>
        <w:spacing w:line="312" w:lineRule="auto"/>
        <w:rPr>
          <w:b/>
          <w:szCs w:val="21"/>
        </w:rPr>
      </w:pPr>
    </w:p>
    <w:tbl>
      <w:tblPr>
        <w:tblStyle w:val="88"/>
        <w:tblW w:w="93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8"/>
        <w:gridCol w:w="2019"/>
        <w:gridCol w:w="5940"/>
      </w:tblGrid>
      <w:tr w14:paraId="2967D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44" w:hRule="atLeast"/>
        </w:trPr>
        <w:tc>
          <w:tcPr>
            <w:tcW w:w="3387" w:type="dxa"/>
            <w:gridSpan w:val="2"/>
            <w:noWrap/>
            <w:vAlign w:val="center"/>
          </w:tcPr>
          <w:p w14:paraId="6900F198">
            <w:pPr>
              <w:spacing w:line="288" w:lineRule="auto"/>
              <w:jc w:val="center"/>
              <w:rPr>
                <w:rFonts w:ascii="宋体" w:hAnsi="宋体" w:cs="宋体"/>
                <w:b/>
                <w:szCs w:val="21"/>
              </w:rPr>
            </w:pPr>
            <w:r>
              <w:rPr>
                <w:rFonts w:hint="eastAsia" w:ascii="宋体" w:hAnsi="宋体" w:cs="宋体"/>
                <w:b/>
                <w:szCs w:val="21"/>
              </w:rPr>
              <w:t>条款内容</w:t>
            </w:r>
          </w:p>
        </w:tc>
        <w:tc>
          <w:tcPr>
            <w:tcW w:w="5940" w:type="dxa"/>
            <w:noWrap/>
            <w:vAlign w:val="center"/>
          </w:tcPr>
          <w:p w14:paraId="2AE28D30">
            <w:pPr>
              <w:spacing w:line="288" w:lineRule="auto"/>
              <w:jc w:val="center"/>
              <w:rPr>
                <w:rFonts w:ascii="宋体" w:hAnsi="宋体" w:cs="宋体"/>
                <w:b/>
                <w:szCs w:val="21"/>
              </w:rPr>
            </w:pPr>
            <w:r>
              <w:rPr>
                <w:rFonts w:hint="eastAsia" w:ascii="宋体" w:hAnsi="宋体" w:cs="宋体"/>
                <w:b/>
                <w:szCs w:val="21"/>
              </w:rPr>
              <w:t>编列内容</w:t>
            </w:r>
          </w:p>
        </w:tc>
      </w:tr>
      <w:tr w14:paraId="238C2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4" w:hRule="atLeast"/>
        </w:trPr>
        <w:tc>
          <w:tcPr>
            <w:tcW w:w="3387" w:type="dxa"/>
            <w:gridSpan w:val="2"/>
            <w:noWrap/>
            <w:vAlign w:val="center"/>
          </w:tcPr>
          <w:p w14:paraId="56EF5164">
            <w:pPr>
              <w:jc w:val="center"/>
              <w:rPr>
                <w:rFonts w:ascii="宋体" w:hAnsi="宋体" w:cs="宋体"/>
                <w:szCs w:val="21"/>
              </w:rPr>
            </w:pPr>
            <w:r>
              <w:rPr>
                <w:rFonts w:hint="eastAsia" w:ascii="宋体" w:hAnsi="宋体" w:cs="宋体"/>
                <w:szCs w:val="21"/>
              </w:rPr>
              <w:t>分值构成</w:t>
            </w:r>
          </w:p>
          <w:p w14:paraId="3091B6EA">
            <w:pPr>
              <w:jc w:val="center"/>
              <w:rPr>
                <w:rFonts w:ascii="宋体" w:hAnsi="宋体" w:cs="宋体"/>
                <w:szCs w:val="21"/>
              </w:rPr>
            </w:pPr>
            <w:r>
              <w:rPr>
                <w:rFonts w:hint="eastAsia" w:ascii="宋体" w:hAnsi="宋体" w:cs="宋体"/>
                <w:szCs w:val="21"/>
              </w:rPr>
              <w:t>(总分100分)</w:t>
            </w:r>
          </w:p>
        </w:tc>
        <w:tc>
          <w:tcPr>
            <w:tcW w:w="5940" w:type="dxa"/>
            <w:noWrap/>
            <w:vAlign w:val="center"/>
          </w:tcPr>
          <w:p w14:paraId="5EB52B37">
            <w:pPr>
              <w:autoSpaceDE w:val="0"/>
              <w:autoSpaceDN w:val="0"/>
              <w:adjustRightInd w:val="0"/>
              <w:jc w:val="left"/>
              <w:rPr>
                <w:rFonts w:ascii="宋体" w:hAnsi="宋体" w:cs="宋体"/>
                <w:kern w:val="0"/>
                <w:szCs w:val="21"/>
              </w:rPr>
            </w:pPr>
            <w:r>
              <w:rPr>
                <w:rFonts w:hint="eastAsia" w:ascii="宋体" w:hAnsi="宋体" w:cs="宋体"/>
                <w:kern w:val="0"/>
                <w:szCs w:val="21"/>
              </w:rPr>
              <w:t>施工组织设计：</w:t>
            </w:r>
            <w:r>
              <w:rPr>
                <w:rFonts w:hint="eastAsia" w:ascii="宋体" w:hAnsi="宋体" w:cs="宋体"/>
                <w:kern w:val="0"/>
                <w:szCs w:val="21"/>
                <w:u w:val="single"/>
              </w:rPr>
              <w:t xml:space="preserve"> </w:t>
            </w:r>
            <w:r>
              <w:rPr>
                <w:rFonts w:hint="eastAsia" w:ascii="宋体" w:hAnsi="宋体" w:cs="宋体"/>
                <w:kern w:val="0"/>
                <w:szCs w:val="21"/>
                <w:u w:val="single"/>
                <w:lang w:val="en-US" w:eastAsia="zh-CN"/>
              </w:rPr>
              <w:t>4</w:t>
            </w:r>
            <w:r>
              <w:rPr>
                <w:rFonts w:hint="eastAsia" w:ascii="宋体" w:hAnsi="宋体" w:cs="宋体"/>
                <w:kern w:val="0"/>
                <w:szCs w:val="21"/>
                <w:u w:val="single"/>
              </w:rPr>
              <w:t xml:space="preserve">5 </w:t>
            </w:r>
            <w:r>
              <w:rPr>
                <w:rFonts w:hint="eastAsia" w:ascii="宋体" w:hAnsi="宋体" w:cs="宋体"/>
                <w:kern w:val="0"/>
                <w:szCs w:val="21"/>
              </w:rPr>
              <w:t>分</w:t>
            </w:r>
          </w:p>
          <w:p w14:paraId="163F9A11">
            <w:pPr>
              <w:autoSpaceDE w:val="0"/>
              <w:autoSpaceDN w:val="0"/>
              <w:adjustRightInd w:val="0"/>
              <w:jc w:val="left"/>
              <w:rPr>
                <w:rFonts w:ascii="宋体" w:hAnsi="宋体" w:cs="宋体"/>
                <w:kern w:val="0"/>
                <w:szCs w:val="21"/>
              </w:rPr>
            </w:pPr>
            <w:r>
              <w:rPr>
                <w:rFonts w:hint="eastAsia" w:ascii="宋体" w:hAnsi="宋体" w:cs="宋体"/>
                <w:kern w:val="0"/>
                <w:szCs w:val="21"/>
                <w:lang w:eastAsia="zh-CN"/>
              </w:rPr>
              <w:t>商务部分</w:t>
            </w:r>
            <w:r>
              <w:rPr>
                <w:rFonts w:hint="eastAsia" w:ascii="宋体" w:hAnsi="宋体" w:cs="宋体"/>
                <w:kern w:val="0"/>
                <w:szCs w:val="21"/>
              </w:rPr>
              <w:t>：</w:t>
            </w:r>
            <w:r>
              <w:rPr>
                <w:rFonts w:hint="eastAsia" w:ascii="宋体" w:hAnsi="宋体" w:cs="宋体"/>
                <w:kern w:val="0"/>
                <w:szCs w:val="21"/>
                <w:u w:val="single"/>
                <w:lang w:val="en-US" w:eastAsia="zh-CN"/>
              </w:rPr>
              <w:t>15</w:t>
            </w:r>
            <w:r>
              <w:rPr>
                <w:rFonts w:hint="eastAsia" w:ascii="宋体" w:hAnsi="宋体" w:cs="宋体"/>
                <w:kern w:val="0"/>
                <w:szCs w:val="21"/>
              </w:rPr>
              <w:t>分</w:t>
            </w:r>
          </w:p>
          <w:p w14:paraId="73F12B9D">
            <w:pPr>
              <w:rPr>
                <w:rFonts w:ascii="宋体" w:hAnsi="宋体" w:cs="宋体"/>
                <w:kern w:val="0"/>
                <w:szCs w:val="21"/>
              </w:rPr>
            </w:pPr>
            <w:r>
              <w:rPr>
                <w:rFonts w:hint="eastAsia" w:ascii="宋体" w:hAnsi="宋体" w:cs="宋体"/>
                <w:kern w:val="0"/>
                <w:szCs w:val="21"/>
              </w:rPr>
              <w:t>投标报价：</w:t>
            </w:r>
            <w:r>
              <w:rPr>
                <w:rFonts w:hint="eastAsia" w:ascii="宋体" w:hAnsi="宋体" w:cs="宋体"/>
                <w:kern w:val="0"/>
                <w:szCs w:val="21"/>
                <w:u w:val="single"/>
              </w:rPr>
              <w:t xml:space="preserve"> </w:t>
            </w:r>
            <w:r>
              <w:rPr>
                <w:rFonts w:hint="eastAsia" w:ascii="宋体" w:hAnsi="宋体" w:cs="宋体"/>
                <w:kern w:val="0"/>
                <w:szCs w:val="21"/>
                <w:u w:val="single"/>
                <w:lang w:val="en-US" w:eastAsia="zh-CN"/>
              </w:rPr>
              <w:t>3</w:t>
            </w:r>
            <w:r>
              <w:rPr>
                <w:rFonts w:hint="eastAsia" w:ascii="宋体" w:hAnsi="宋体" w:cs="宋体"/>
                <w:kern w:val="0"/>
                <w:szCs w:val="21"/>
                <w:u w:val="single"/>
              </w:rPr>
              <w:t xml:space="preserve">0 </w:t>
            </w:r>
            <w:r>
              <w:rPr>
                <w:rFonts w:hint="eastAsia" w:ascii="宋体" w:hAnsi="宋体" w:cs="宋体"/>
                <w:kern w:val="0"/>
                <w:szCs w:val="21"/>
              </w:rPr>
              <w:t>分</w:t>
            </w:r>
          </w:p>
          <w:p w14:paraId="3C55DD01">
            <w:pPr>
              <w:rPr>
                <w:rFonts w:ascii="宋体" w:hAnsi="宋体" w:cs="宋体"/>
                <w:szCs w:val="21"/>
              </w:rPr>
            </w:pPr>
            <w:r>
              <w:rPr>
                <w:rFonts w:hint="eastAsia" w:ascii="宋体" w:hAnsi="宋体" w:cs="宋体"/>
                <w:kern w:val="0"/>
                <w:szCs w:val="21"/>
              </w:rPr>
              <w:t>其它因素：</w:t>
            </w:r>
            <w:r>
              <w:rPr>
                <w:rFonts w:hint="eastAsia" w:ascii="宋体" w:hAnsi="宋体" w:cs="宋体"/>
                <w:kern w:val="0"/>
                <w:szCs w:val="21"/>
                <w:u w:val="single"/>
              </w:rPr>
              <w:t xml:space="preserve"> 10</w:t>
            </w:r>
            <w:r>
              <w:rPr>
                <w:rFonts w:hint="eastAsia" w:ascii="宋体" w:hAnsi="宋体" w:cs="宋体"/>
                <w:kern w:val="0"/>
                <w:szCs w:val="21"/>
              </w:rPr>
              <w:t>分</w:t>
            </w:r>
          </w:p>
        </w:tc>
      </w:tr>
      <w:tr w14:paraId="00A98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3387" w:type="dxa"/>
            <w:gridSpan w:val="2"/>
            <w:noWrap/>
            <w:vAlign w:val="center"/>
          </w:tcPr>
          <w:p w14:paraId="0A9ED8A0">
            <w:pPr>
              <w:spacing w:line="288" w:lineRule="auto"/>
              <w:jc w:val="center"/>
              <w:rPr>
                <w:rFonts w:ascii="宋体" w:hAnsi="宋体" w:cs="宋体"/>
                <w:b/>
                <w:szCs w:val="21"/>
              </w:rPr>
            </w:pPr>
            <w:r>
              <w:rPr>
                <w:rFonts w:hint="eastAsia" w:ascii="宋体" w:hAnsi="宋体" w:cs="宋体"/>
                <w:b/>
                <w:szCs w:val="21"/>
              </w:rPr>
              <w:t>评分因素</w:t>
            </w:r>
          </w:p>
        </w:tc>
        <w:tc>
          <w:tcPr>
            <w:tcW w:w="5940" w:type="dxa"/>
            <w:noWrap/>
            <w:vAlign w:val="center"/>
          </w:tcPr>
          <w:p w14:paraId="3324397E">
            <w:pPr>
              <w:spacing w:line="288" w:lineRule="auto"/>
              <w:jc w:val="center"/>
              <w:rPr>
                <w:rFonts w:ascii="宋体" w:hAnsi="宋体" w:cs="宋体"/>
                <w:szCs w:val="21"/>
              </w:rPr>
            </w:pPr>
            <w:r>
              <w:rPr>
                <w:rFonts w:hint="eastAsia" w:ascii="宋体" w:hAnsi="宋体" w:cs="宋体"/>
                <w:b/>
                <w:szCs w:val="21"/>
              </w:rPr>
              <w:t>评分标准</w:t>
            </w:r>
          </w:p>
        </w:tc>
      </w:tr>
      <w:tr w14:paraId="75D1C6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9" w:hRule="atLeast"/>
        </w:trPr>
        <w:tc>
          <w:tcPr>
            <w:tcW w:w="1368" w:type="dxa"/>
            <w:vMerge w:val="restart"/>
            <w:noWrap/>
            <w:vAlign w:val="center"/>
          </w:tcPr>
          <w:p w14:paraId="5D259510">
            <w:pPr>
              <w:spacing w:line="288" w:lineRule="auto"/>
              <w:rPr>
                <w:rFonts w:ascii="宋体" w:hAnsi="宋体" w:cs="宋体"/>
                <w:szCs w:val="21"/>
              </w:rPr>
            </w:pPr>
            <w:r>
              <w:rPr>
                <w:rFonts w:hint="eastAsia" w:ascii="宋体" w:hAnsi="宋体" w:cs="宋体"/>
                <w:szCs w:val="21"/>
              </w:rPr>
              <w:t>施工组织设计评分标准（</w:t>
            </w:r>
            <w:r>
              <w:rPr>
                <w:rFonts w:hint="eastAsia" w:ascii="宋体" w:hAnsi="宋体" w:cs="宋体"/>
                <w:szCs w:val="21"/>
                <w:lang w:val="en-US" w:eastAsia="zh-CN"/>
              </w:rPr>
              <w:t>45</w:t>
            </w:r>
            <w:r>
              <w:rPr>
                <w:rFonts w:hint="eastAsia" w:ascii="宋体" w:hAnsi="宋体" w:cs="宋体"/>
                <w:szCs w:val="21"/>
              </w:rPr>
              <w:t>分）</w:t>
            </w:r>
          </w:p>
        </w:tc>
        <w:tc>
          <w:tcPr>
            <w:tcW w:w="2019" w:type="dxa"/>
            <w:noWrap/>
            <w:vAlign w:val="center"/>
          </w:tcPr>
          <w:p w14:paraId="54B95A73">
            <w:pPr>
              <w:rPr>
                <w:rFonts w:ascii="宋体" w:hAnsi="宋体"/>
                <w:szCs w:val="21"/>
              </w:rPr>
            </w:pPr>
            <w:r>
              <w:rPr>
                <w:rFonts w:ascii="宋体" w:hAnsi="宋体"/>
                <w:szCs w:val="21"/>
              </w:rPr>
              <w:t>内容完整性和编制水平</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55F5AB32">
            <w:pPr>
              <w:jc w:val="left"/>
              <w:rPr>
                <w:rFonts w:ascii="宋体" w:hAnsi="宋体"/>
                <w:szCs w:val="21"/>
              </w:rPr>
            </w:pPr>
            <w:r>
              <w:rPr>
                <w:rFonts w:ascii="宋体" w:hAnsi="宋体"/>
                <w:szCs w:val="21"/>
              </w:rPr>
              <w:t>内容完整性和编制水平</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F184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trPr>
        <w:tc>
          <w:tcPr>
            <w:tcW w:w="1368" w:type="dxa"/>
            <w:vMerge w:val="continue"/>
            <w:noWrap/>
            <w:vAlign w:val="center"/>
          </w:tcPr>
          <w:p w14:paraId="4D5B339C">
            <w:pPr>
              <w:spacing w:line="288" w:lineRule="auto"/>
              <w:rPr>
                <w:rFonts w:ascii="宋体" w:hAnsi="宋体" w:cs="宋体"/>
                <w:szCs w:val="21"/>
              </w:rPr>
            </w:pPr>
          </w:p>
        </w:tc>
        <w:tc>
          <w:tcPr>
            <w:tcW w:w="2019" w:type="dxa"/>
            <w:noWrap/>
            <w:vAlign w:val="center"/>
          </w:tcPr>
          <w:p w14:paraId="1D93FFF3">
            <w:pPr>
              <w:rPr>
                <w:rFonts w:ascii="宋体" w:hAnsi="宋体"/>
                <w:szCs w:val="21"/>
              </w:rPr>
            </w:pPr>
            <w:r>
              <w:rPr>
                <w:rFonts w:ascii="宋体" w:hAnsi="宋体"/>
                <w:szCs w:val="21"/>
              </w:rPr>
              <w:t>施工方案与技术措施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138745AC">
            <w:pPr>
              <w:jc w:val="left"/>
              <w:rPr>
                <w:rFonts w:ascii="宋体" w:hAnsi="宋体"/>
                <w:szCs w:val="21"/>
              </w:rPr>
            </w:pPr>
            <w:r>
              <w:rPr>
                <w:rFonts w:ascii="宋体" w:hAnsi="宋体"/>
                <w:szCs w:val="21"/>
              </w:rPr>
              <w:t>施工方案与技术措施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7637A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trPr>
        <w:tc>
          <w:tcPr>
            <w:tcW w:w="1368" w:type="dxa"/>
            <w:vMerge w:val="continue"/>
            <w:noWrap/>
          </w:tcPr>
          <w:p w14:paraId="10694834">
            <w:pPr>
              <w:spacing w:line="288" w:lineRule="auto"/>
              <w:rPr>
                <w:rFonts w:ascii="宋体" w:hAnsi="宋体" w:cs="宋体"/>
                <w:szCs w:val="21"/>
              </w:rPr>
            </w:pPr>
          </w:p>
        </w:tc>
        <w:tc>
          <w:tcPr>
            <w:tcW w:w="2019" w:type="dxa"/>
            <w:noWrap/>
            <w:vAlign w:val="center"/>
          </w:tcPr>
          <w:p w14:paraId="475D03D0">
            <w:pPr>
              <w:rPr>
                <w:rFonts w:ascii="宋体" w:hAnsi="宋体"/>
                <w:szCs w:val="21"/>
              </w:rPr>
            </w:pPr>
            <w:r>
              <w:rPr>
                <w:rFonts w:ascii="宋体" w:hAnsi="宋体"/>
                <w:szCs w:val="21"/>
              </w:rPr>
              <w:t>质量管理体系与措施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507713AE">
            <w:pPr>
              <w:jc w:val="left"/>
              <w:rPr>
                <w:rFonts w:ascii="宋体" w:hAnsi="宋体"/>
                <w:szCs w:val="21"/>
              </w:rPr>
            </w:pPr>
            <w:r>
              <w:rPr>
                <w:rFonts w:ascii="宋体" w:hAnsi="宋体"/>
                <w:szCs w:val="21"/>
              </w:rPr>
              <w:t>质量管理体系与措施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0B576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trPr>
        <w:tc>
          <w:tcPr>
            <w:tcW w:w="1368" w:type="dxa"/>
            <w:vMerge w:val="continue"/>
            <w:noWrap/>
          </w:tcPr>
          <w:p w14:paraId="46855B22">
            <w:pPr>
              <w:spacing w:line="288" w:lineRule="auto"/>
              <w:rPr>
                <w:rFonts w:ascii="宋体" w:hAnsi="宋体" w:cs="宋体"/>
                <w:szCs w:val="21"/>
              </w:rPr>
            </w:pPr>
          </w:p>
        </w:tc>
        <w:tc>
          <w:tcPr>
            <w:tcW w:w="2019" w:type="dxa"/>
            <w:noWrap/>
          </w:tcPr>
          <w:p w14:paraId="48750967">
            <w:pPr>
              <w:rPr>
                <w:rFonts w:ascii="宋体" w:hAnsi="宋体"/>
                <w:szCs w:val="21"/>
              </w:rPr>
            </w:pPr>
            <w:r>
              <w:rPr>
                <w:rFonts w:ascii="宋体" w:hAnsi="宋体"/>
                <w:szCs w:val="21"/>
              </w:rPr>
              <w:t>安全管理体系与措施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37730651">
            <w:pPr>
              <w:jc w:val="left"/>
              <w:rPr>
                <w:rFonts w:ascii="宋体" w:hAnsi="宋体"/>
                <w:szCs w:val="21"/>
              </w:rPr>
            </w:pPr>
            <w:r>
              <w:rPr>
                <w:rFonts w:ascii="宋体" w:hAnsi="宋体"/>
                <w:szCs w:val="21"/>
              </w:rPr>
              <w:t>安全管理体系与措施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20A0B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trPr>
        <w:tc>
          <w:tcPr>
            <w:tcW w:w="1368" w:type="dxa"/>
            <w:vMerge w:val="continue"/>
            <w:noWrap/>
          </w:tcPr>
          <w:p w14:paraId="5AF4D811">
            <w:pPr>
              <w:spacing w:line="288" w:lineRule="auto"/>
              <w:rPr>
                <w:rFonts w:ascii="宋体" w:hAnsi="宋体" w:cs="宋体"/>
                <w:szCs w:val="21"/>
              </w:rPr>
            </w:pPr>
          </w:p>
        </w:tc>
        <w:tc>
          <w:tcPr>
            <w:tcW w:w="2019" w:type="dxa"/>
            <w:noWrap/>
            <w:vAlign w:val="center"/>
          </w:tcPr>
          <w:p w14:paraId="5DC55A72">
            <w:pPr>
              <w:rPr>
                <w:rFonts w:ascii="宋体" w:hAnsi="宋体"/>
                <w:szCs w:val="21"/>
              </w:rPr>
            </w:pPr>
            <w:r>
              <w:rPr>
                <w:rFonts w:hint="eastAsia" w:ascii="宋体" w:hAnsi="宋体"/>
                <w:szCs w:val="21"/>
              </w:rPr>
              <w:t>环境保护管理体系与措施（</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35A63304">
            <w:pPr>
              <w:jc w:val="left"/>
              <w:rPr>
                <w:rFonts w:ascii="宋体" w:hAnsi="宋体"/>
                <w:szCs w:val="21"/>
              </w:rPr>
            </w:pPr>
            <w:r>
              <w:rPr>
                <w:rFonts w:hint="eastAsia" w:ascii="宋体" w:hAnsi="宋体"/>
                <w:szCs w:val="21"/>
              </w:rPr>
              <w:t>环境保护管理体系与措施进行比较，内容完整、合理、可行；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7F8AD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trPr>
        <w:tc>
          <w:tcPr>
            <w:tcW w:w="1368" w:type="dxa"/>
            <w:vMerge w:val="continue"/>
            <w:noWrap/>
          </w:tcPr>
          <w:p w14:paraId="07B70B7A">
            <w:pPr>
              <w:spacing w:line="288" w:lineRule="auto"/>
              <w:rPr>
                <w:rFonts w:ascii="宋体" w:hAnsi="宋体" w:cs="宋体"/>
                <w:szCs w:val="21"/>
              </w:rPr>
            </w:pPr>
          </w:p>
        </w:tc>
        <w:tc>
          <w:tcPr>
            <w:tcW w:w="2019" w:type="dxa"/>
            <w:noWrap/>
          </w:tcPr>
          <w:p w14:paraId="2DFA3101">
            <w:pPr>
              <w:rPr>
                <w:rFonts w:ascii="宋体" w:hAnsi="宋体"/>
                <w:szCs w:val="21"/>
              </w:rPr>
            </w:pPr>
            <w:r>
              <w:rPr>
                <w:rFonts w:ascii="宋体" w:hAnsi="宋体"/>
                <w:szCs w:val="21"/>
              </w:rPr>
              <w:t>工程进度计划与措施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63C3022C">
            <w:pPr>
              <w:jc w:val="left"/>
              <w:rPr>
                <w:rFonts w:ascii="宋体" w:hAnsi="宋体"/>
                <w:szCs w:val="21"/>
              </w:rPr>
            </w:pPr>
            <w:r>
              <w:rPr>
                <w:rFonts w:ascii="宋体" w:hAnsi="宋体"/>
                <w:szCs w:val="21"/>
              </w:rPr>
              <w:t>工程进度计划与措施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44CECE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2" w:hRule="atLeast"/>
        </w:trPr>
        <w:tc>
          <w:tcPr>
            <w:tcW w:w="1368" w:type="dxa"/>
            <w:vMerge w:val="continue"/>
            <w:noWrap/>
          </w:tcPr>
          <w:p w14:paraId="2C720DB5">
            <w:pPr>
              <w:spacing w:line="288" w:lineRule="auto"/>
              <w:rPr>
                <w:rFonts w:ascii="宋体" w:hAnsi="宋体" w:cs="宋体"/>
                <w:szCs w:val="21"/>
              </w:rPr>
            </w:pPr>
          </w:p>
        </w:tc>
        <w:tc>
          <w:tcPr>
            <w:tcW w:w="2019" w:type="dxa"/>
            <w:noWrap/>
            <w:vAlign w:val="center"/>
          </w:tcPr>
          <w:p w14:paraId="7F768A1D">
            <w:pPr>
              <w:autoSpaceDE w:val="0"/>
              <w:autoSpaceDN w:val="0"/>
              <w:adjustRightInd w:val="0"/>
              <w:rPr>
                <w:rFonts w:ascii="宋体" w:hAnsi="宋体"/>
                <w:szCs w:val="21"/>
              </w:rPr>
            </w:pPr>
            <w:r>
              <w:rPr>
                <w:rFonts w:hint="eastAsia" w:ascii="宋体" w:hAnsi="宋体" w:cs="宋体"/>
                <w:szCs w:val="21"/>
              </w:rPr>
              <w:t>成品保护和工程保修工作的管理措施和承诺</w:t>
            </w: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6F209E14">
            <w:pPr>
              <w:autoSpaceDE w:val="0"/>
              <w:autoSpaceDN w:val="0"/>
              <w:adjustRightInd w:val="0"/>
              <w:rPr>
                <w:rFonts w:ascii="宋体" w:hAnsi="宋体"/>
                <w:szCs w:val="21"/>
              </w:rPr>
            </w:pPr>
            <w:r>
              <w:rPr>
                <w:rFonts w:hint="eastAsia" w:ascii="宋体" w:hAnsi="宋体" w:cs="宋体"/>
                <w:szCs w:val="21"/>
              </w:rPr>
              <w:t>成品保护和工程保修工作的管理措施和承诺</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1D823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trPr>
        <w:tc>
          <w:tcPr>
            <w:tcW w:w="1368" w:type="dxa"/>
            <w:vMerge w:val="continue"/>
            <w:noWrap/>
          </w:tcPr>
          <w:p w14:paraId="6135779A">
            <w:pPr>
              <w:spacing w:line="288" w:lineRule="auto"/>
              <w:rPr>
                <w:rFonts w:ascii="宋体" w:hAnsi="宋体" w:cs="宋体"/>
                <w:szCs w:val="21"/>
              </w:rPr>
            </w:pPr>
          </w:p>
        </w:tc>
        <w:tc>
          <w:tcPr>
            <w:tcW w:w="2019" w:type="dxa"/>
            <w:noWrap/>
            <w:vAlign w:val="center"/>
          </w:tcPr>
          <w:p w14:paraId="71F6ABEF">
            <w:pPr>
              <w:autoSpaceDE w:val="0"/>
              <w:autoSpaceDN w:val="0"/>
              <w:adjustRightInd w:val="0"/>
              <w:rPr>
                <w:rFonts w:ascii="宋体" w:hAnsi="宋体"/>
                <w:szCs w:val="21"/>
              </w:rPr>
            </w:pPr>
            <w:r>
              <w:rPr>
                <w:rFonts w:hint="eastAsia" w:ascii="宋体" w:hAnsi="宋体" w:cs="宋体"/>
                <w:szCs w:val="21"/>
              </w:rPr>
              <w:t>紧急情况的处理措施、预案以及抵抗风险的措施</w:t>
            </w: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7DD3A181">
            <w:pPr>
              <w:autoSpaceDE w:val="0"/>
              <w:autoSpaceDN w:val="0"/>
              <w:adjustRightInd w:val="0"/>
              <w:rPr>
                <w:rFonts w:ascii="宋体" w:hAnsi="宋体"/>
                <w:szCs w:val="21"/>
              </w:rPr>
            </w:pPr>
            <w:r>
              <w:rPr>
                <w:rFonts w:hint="eastAsia" w:ascii="宋体" w:hAnsi="宋体" w:cs="宋体"/>
                <w:szCs w:val="21"/>
              </w:rPr>
              <w:t>紧急情况的处理措施、预案以及抵抗风险的措施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67F69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trPr>
        <w:tc>
          <w:tcPr>
            <w:tcW w:w="1368" w:type="dxa"/>
            <w:vMerge w:val="continue"/>
            <w:noWrap/>
          </w:tcPr>
          <w:p w14:paraId="3FCF4834">
            <w:pPr>
              <w:spacing w:line="288" w:lineRule="auto"/>
              <w:rPr>
                <w:rFonts w:ascii="宋体" w:hAnsi="宋体" w:cs="宋体"/>
                <w:szCs w:val="21"/>
              </w:rPr>
            </w:pPr>
          </w:p>
        </w:tc>
        <w:tc>
          <w:tcPr>
            <w:tcW w:w="2019" w:type="dxa"/>
            <w:noWrap/>
            <w:vAlign w:val="center"/>
          </w:tcPr>
          <w:p w14:paraId="1F6FE6F1">
            <w:pPr>
              <w:autoSpaceDE w:val="0"/>
              <w:autoSpaceDN w:val="0"/>
              <w:adjustRightInd w:val="0"/>
              <w:rPr>
                <w:rFonts w:ascii="宋体" w:hAnsi="宋体" w:cs="宋体"/>
                <w:szCs w:val="21"/>
              </w:rPr>
            </w:pPr>
            <w:r>
              <w:rPr>
                <w:rFonts w:hint="eastAsia" w:ascii="宋体" w:hAnsi="宋体" w:cs="宋体"/>
                <w:szCs w:val="21"/>
              </w:rPr>
              <w:t>施工现场平面图</w:t>
            </w:r>
          </w:p>
          <w:p w14:paraId="5BBD4CDC">
            <w:pPr>
              <w:autoSpaceDE w:val="0"/>
              <w:autoSpaceDN w:val="0"/>
              <w:adjustRightInd w:val="0"/>
              <w:rPr>
                <w:rFonts w:ascii="宋体" w:hAnsi="宋体" w:cs="宋体"/>
                <w:szCs w:val="21"/>
              </w:rPr>
            </w:pP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536A40A4">
            <w:pPr>
              <w:autoSpaceDE w:val="0"/>
              <w:autoSpaceDN w:val="0"/>
              <w:adjustRightInd w:val="0"/>
              <w:rPr>
                <w:rFonts w:ascii="宋体" w:hAnsi="宋体" w:cs="宋体"/>
                <w:szCs w:val="21"/>
              </w:rPr>
            </w:pPr>
            <w:r>
              <w:rPr>
                <w:rFonts w:hint="eastAsia" w:ascii="宋体" w:hAnsi="宋体" w:cs="宋体"/>
                <w:szCs w:val="21"/>
              </w:rPr>
              <w:t>施工现场平面图进行比较，内容完整、合理、可行；优得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21E91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trPr>
        <w:tc>
          <w:tcPr>
            <w:tcW w:w="1368" w:type="dxa"/>
            <w:vMerge w:val="continue"/>
            <w:noWrap/>
          </w:tcPr>
          <w:p w14:paraId="3E62EA54">
            <w:pPr>
              <w:spacing w:line="288" w:lineRule="auto"/>
              <w:rPr>
                <w:rFonts w:ascii="宋体" w:hAnsi="宋体" w:cs="宋体"/>
                <w:szCs w:val="21"/>
              </w:rPr>
            </w:pPr>
          </w:p>
        </w:tc>
        <w:tc>
          <w:tcPr>
            <w:tcW w:w="2019" w:type="dxa"/>
            <w:noWrap/>
            <w:vAlign w:val="center"/>
          </w:tcPr>
          <w:p w14:paraId="139C8BA7">
            <w:pPr>
              <w:autoSpaceDE w:val="0"/>
              <w:autoSpaceDN w:val="0"/>
              <w:adjustRightInd w:val="0"/>
              <w:rPr>
                <w:rFonts w:ascii="宋体" w:hAnsi="宋体"/>
                <w:szCs w:val="21"/>
              </w:rPr>
            </w:pPr>
            <w:r>
              <w:rPr>
                <w:rFonts w:hint="eastAsia" w:ascii="宋体" w:hAnsi="宋体" w:cs="宋体"/>
                <w:bCs/>
                <w:szCs w:val="21"/>
                <w:lang w:val="zh-CN"/>
              </w:rPr>
              <w:t>施工进度计划横道图或网络图</w:t>
            </w: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491E4467">
            <w:pPr>
              <w:autoSpaceDE w:val="0"/>
              <w:autoSpaceDN w:val="0"/>
              <w:adjustRightInd w:val="0"/>
              <w:rPr>
                <w:rFonts w:ascii="宋体" w:hAnsi="宋体"/>
                <w:szCs w:val="21"/>
              </w:rPr>
            </w:pPr>
            <w:r>
              <w:rPr>
                <w:rFonts w:hint="eastAsia" w:ascii="宋体" w:hAnsi="宋体" w:cs="宋体"/>
                <w:bCs/>
                <w:szCs w:val="21"/>
                <w:lang w:val="zh-CN"/>
              </w:rPr>
              <w:t>施工进度计划横道图或网络图</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77DD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0" w:hRule="atLeast"/>
        </w:trPr>
        <w:tc>
          <w:tcPr>
            <w:tcW w:w="1368" w:type="dxa"/>
            <w:vMerge w:val="restart"/>
            <w:noWrap/>
            <w:vAlign w:val="center"/>
          </w:tcPr>
          <w:p w14:paraId="0809C6BA">
            <w:pPr>
              <w:spacing w:line="288" w:lineRule="auto"/>
              <w:jc w:val="center"/>
              <w:rPr>
                <w:rFonts w:ascii="宋体" w:hAnsi="宋体" w:cs="宋体"/>
                <w:b w:val="0"/>
                <w:bCs w:val="0"/>
                <w:color w:val="auto"/>
                <w:szCs w:val="21"/>
                <w:highlight w:val="none"/>
              </w:rPr>
            </w:pPr>
            <w:r>
              <w:rPr>
                <w:rFonts w:hint="eastAsia" w:ascii="宋体" w:hAnsi="宋体" w:cs="宋体"/>
                <w:b w:val="0"/>
                <w:bCs w:val="0"/>
                <w:color w:val="auto"/>
                <w:kern w:val="0"/>
                <w:szCs w:val="21"/>
                <w:highlight w:val="none"/>
                <w:lang w:eastAsia="zh-CN"/>
              </w:rPr>
              <w:t>商务部分评分标准</w:t>
            </w:r>
            <w:r>
              <w:rPr>
                <w:rFonts w:hint="eastAsia" w:ascii="宋体" w:hAnsi="宋体" w:cs="宋体"/>
                <w:b w:val="0"/>
                <w:bCs w:val="0"/>
                <w:color w:val="auto"/>
                <w:kern w:val="0"/>
                <w:szCs w:val="21"/>
                <w:highlight w:val="none"/>
              </w:rPr>
              <w:t>（</w:t>
            </w:r>
            <w:r>
              <w:rPr>
                <w:rFonts w:hint="eastAsia" w:ascii="宋体" w:hAnsi="宋体" w:cs="宋体"/>
                <w:b w:val="0"/>
                <w:bCs w:val="0"/>
                <w:color w:val="auto"/>
                <w:kern w:val="0"/>
                <w:szCs w:val="21"/>
                <w:highlight w:val="none"/>
                <w:lang w:val="en-US" w:eastAsia="zh-CN"/>
              </w:rPr>
              <w:t>15</w:t>
            </w:r>
            <w:r>
              <w:rPr>
                <w:rFonts w:hint="eastAsia" w:ascii="宋体" w:hAnsi="宋体" w:cs="宋体"/>
                <w:b w:val="0"/>
                <w:bCs w:val="0"/>
                <w:color w:val="auto"/>
                <w:kern w:val="0"/>
                <w:szCs w:val="21"/>
                <w:highlight w:val="none"/>
              </w:rPr>
              <w:t>分）</w:t>
            </w:r>
          </w:p>
        </w:tc>
        <w:tc>
          <w:tcPr>
            <w:tcW w:w="2019" w:type="dxa"/>
            <w:noWrap/>
            <w:vAlign w:val="center"/>
          </w:tcPr>
          <w:p w14:paraId="37FC223F">
            <w:pPr>
              <w:autoSpaceDE w:val="0"/>
              <w:autoSpaceDN w:val="0"/>
              <w:adjustRightInd w:val="0"/>
              <w:jc w:val="center"/>
              <w:rPr>
                <w:rFonts w:ascii="宋体" w:hAnsi="宋体" w:cs="宋体"/>
                <w:b w:val="0"/>
                <w:bCs w:val="0"/>
                <w:color w:val="auto"/>
                <w:szCs w:val="21"/>
                <w:highlight w:val="none"/>
                <w:lang w:val="zh-CN"/>
              </w:rPr>
            </w:pPr>
            <w:r>
              <w:rPr>
                <w:rFonts w:hint="eastAsia" w:ascii="宋体" w:hAnsi="宋体" w:cs="宋体"/>
                <w:b w:val="0"/>
                <w:bCs w:val="0"/>
                <w:color w:val="auto"/>
                <w:szCs w:val="21"/>
                <w:highlight w:val="none"/>
                <w:lang w:val="zh-CN"/>
              </w:rPr>
              <w:t>项目经理业绩（</w:t>
            </w:r>
            <w:r>
              <w:rPr>
                <w:rFonts w:hint="eastAsia" w:ascii="宋体" w:hAnsi="宋体" w:cs="宋体"/>
                <w:b w:val="0"/>
                <w:bCs w:val="0"/>
                <w:color w:val="auto"/>
                <w:szCs w:val="21"/>
                <w:highlight w:val="none"/>
                <w:lang w:val="en-US" w:eastAsia="zh-CN"/>
              </w:rPr>
              <w:t>2</w:t>
            </w:r>
            <w:r>
              <w:rPr>
                <w:rFonts w:hint="eastAsia" w:ascii="宋体" w:hAnsi="宋体" w:cs="宋体"/>
                <w:b w:val="0"/>
                <w:bCs w:val="0"/>
                <w:color w:val="auto"/>
                <w:szCs w:val="21"/>
                <w:highlight w:val="none"/>
              </w:rPr>
              <w:t>分</w:t>
            </w:r>
            <w:r>
              <w:rPr>
                <w:rFonts w:hint="eastAsia" w:ascii="宋体" w:hAnsi="宋体" w:cs="宋体"/>
                <w:b w:val="0"/>
                <w:bCs w:val="0"/>
                <w:color w:val="auto"/>
                <w:szCs w:val="21"/>
                <w:highlight w:val="none"/>
                <w:lang w:val="zh-CN"/>
              </w:rPr>
              <w:t>）</w:t>
            </w:r>
          </w:p>
        </w:tc>
        <w:tc>
          <w:tcPr>
            <w:tcW w:w="5940" w:type="dxa"/>
            <w:noWrap/>
            <w:vAlign w:val="center"/>
          </w:tcPr>
          <w:p w14:paraId="171A153A">
            <w:pPr>
              <w:autoSpaceDE w:val="0"/>
              <w:autoSpaceDN w:val="0"/>
              <w:adjustRightInd w:val="0"/>
              <w:rPr>
                <w:rFonts w:ascii="宋体" w:hAnsi="宋体" w:cs="宋体"/>
                <w:b w:val="0"/>
                <w:bCs w:val="0"/>
                <w:color w:val="auto"/>
                <w:szCs w:val="21"/>
                <w:highlight w:val="none"/>
              </w:rPr>
            </w:pPr>
            <w:r>
              <w:rPr>
                <w:rFonts w:hint="eastAsia"/>
                <w:b w:val="0"/>
                <w:bCs w:val="0"/>
                <w:color w:val="auto"/>
                <w:highlight w:val="none"/>
              </w:rPr>
              <w:t>项</w:t>
            </w:r>
            <w:r>
              <w:rPr>
                <w:rFonts w:hint="eastAsia" w:ascii="宋体" w:hAnsi="宋体" w:cs="宋体"/>
                <w:b w:val="0"/>
                <w:bCs w:val="0"/>
                <w:color w:val="auto"/>
                <w:szCs w:val="21"/>
                <w:highlight w:val="none"/>
              </w:rPr>
              <w:t>目</w:t>
            </w:r>
            <w:r>
              <w:rPr>
                <w:rFonts w:hint="eastAsia" w:ascii="宋体" w:hAnsi="宋体" w:cs="宋体"/>
                <w:b w:val="0"/>
                <w:bCs w:val="0"/>
                <w:color w:val="auto"/>
                <w:szCs w:val="21"/>
                <w:highlight w:val="none"/>
                <w:lang w:val="zh-CN"/>
              </w:rPr>
              <w:t>经理</w:t>
            </w:r>
            <w:r>
              <w:rPr>
                <w:rFonts w:hint="eastAsia" w:ascii="宋体" w:hAnsi="宋体" w:cs="宋体"/>
                <w:b w:val="0"/>
                <w:bCs w:val="0"/>
                <w:color w:val="auto"/>
                <w:szCs w:val="21"/>
                <w:highlight w:val="none"/>
              </w:rPr>
              <w:t>在20</w:t>
            </w:r>
            <w:r>
              <w:rPr>
                <w:rFonts w:hint="eastAsia" w:ascii="宋体" w:hAnsi="宋体" w:cs="宋体"/>
                <w:b w:val="0"/>
                <w:bCs w:val="0"/>
                <w:color w:val="auto"/>
                <w:szCs w:val="21"/>
                <w:highlight w:val="none"/>
                <w:lang w:val="en-US" w:eastAsia="zh-CN"/>
              </w:rPr>
              <w:t>22</w:t>
            </w:r>
            <w:r>
              <w:rPr>
                <w:rFonts w:hint="eastAsia" w:ascii="宋体" w:hAnsi="宋体" w:cs="宋体"/>
                <w:b w:val="0"/>
                <w:bCs w:val="0"/>
                <w:color w:val="auto"/>
                <w:szCs w:val="21"/>
                <w:highlight w:val="none"/>
              </w:rPr>
              <w:t>年至今具有以项目</w:t>
            </w:r>
            <w:r>
              <w:rPr>
                <w:rFonts w:hint="eastAsia" w:ascii="宋体" w:hAnsi="宋体" w:cs="宋体"/>
                <w:b w:val="0"/>
                <w:bCs w:val="0"/>
                <w:color w:val="auto"/>
                <w:szCs w:val="21"/>
                <w:highlight w:val="none"/>
                <w:lang w:val="zh-CN"/>
              </w:rPr>
              <w:t>经理</w:t>
            </w:r>
            <w:r>
              <w:rPr>
                <w:rFonts w:hint="eastAsia" w:ascii="宋体" w:hAnsi="宋体" w:cs="宋体"/>
                <w:b w:val="0"/>
                <w:bCs w:val="0"/>
                <w:color w:val="auto"/>
                <w:szCs w:val="21"/>
                <w:highlight w:val="none"/>
              </w:rPr>
              <w:t>身份主持或担任大、中型项目技术负责人的与本项目相类似的项目业绩，每有一项得1分，满分</w:t>
            </w:r>
            <w:r>
              <w:rPr>
                <w:rFonts w:hint="eastAsia" w:ascii="宋体" w:hAnsi="宋体" w:cs="宋体"/>
                <w:b w:val="0"/>
                <w:bCs w:val="0"/>
                <w:color w:val="auto"/>
                <w:szCs w:val="21"/>
                <w:highlight w:val="none"/>
                <w:lang w:val="en-US" w:eastAsia="zh-CN"/>
              </w:rPr>
              <w:t>2</w:t>
            </w:r>
            <w:r>
              <w:rPr>
                <w:rFonts w:hint="eastAsia" w:ascii="宋体" w:hAnsi="宋体" w:cs="宋体"/>
                <w:b w:val="0"/>
                <w:bCs w:val="0"/>
                <w:color w:val="auto"/>
                <w:szCs w:val="21"/>
                <w:highlight w:val="none"/>
              </w:rPr>
              <w:t>分。</w:t>
            </w:r>
          </w:p>
          <w:p w14:paraId="5BE1269A">
            <w:pPr>
              <w:autoSpaceDE w:val="0"/>
              <w:autoSpaceDN w:val="0"/>
              <w:adjustRightInd w:val="0"/>
              <w:rPr>
                <w:b w:val="0"/>
                <w:bCs w:val="0"/>
                <w:color w:val="auto"/>
                <w:highlight w:val="none"/>
                <w:lang w:val="zh-CN"/>
              </w:rPr>
            </w:pPr>
            <w:r>
              <w:rPr>
                <w:rFonts w:hint="eastAsia" w:ascii="宋体" w:hAnsi="宋体" w:cs="宋体"/>
                <w:b w:val="0"/>
                <w:bCs w:val="0"/>
                <w:color w:val="auto"/>
                <w:szCs w:val="21"/>
                <w:highlight w:val="none"/>
                <w:lang w:val="zh-CN"/>
              </w:rPr>
              <w:t>提供成交通知书或合同原件</w:t>
            </w:r>
            <w:r>
              <w:rPr>
                <w:rFonts w:hint="eastAsia"/>
                <w:b w:val="0"/>
                <w:bCs w:val="0"/>
                <w:color w:val="auto"/>
                <w:highlight w:val="none"/>
                <w:lang w:val="zh-CN"/>
              </w:rPr>
              <w:t>（或加盖公章复印件）</w:t>
            </w:r>
            <w:r>
              <w:rPr>
                <w:rFonts w:hint="eastAsia" w:ascii="宋体" w:hAnsi="宋体" w:cs="宋体"/>
                <w:b w:val="0"/>
                <w:bCs w:val="0"/>
                <w:color w:val="auto"/>
                <w:szCs w:val="21"/>
                <w:highlight w:val="none"/>
                <w:lang w:val="zh-CN"/>
              </w:rPr>
              <w:t>，标书内附成交通知书或合同复印件并加盖公章。</w:t>
            </w:r>
          </w:p>
        </w:tc>
      </w:tr>
      <w:tr w14:paraId="2777B1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0" w:hRule="atLeast"/>
        </w:trPr>
        <w:tc>
          <w:tcPr>
            <w:tcW w:w="1368" w:type="dxa"/>
            <w:vMerge w:val="continue"/>
            <w:noWrap/>
            <w:vAlign w:val="center"/>
          </w:tcPr>
          <w:p w14:paraId="3102BE3F">
            <w:pPr>
              <w:spacing w:line="288" w:lineRule="auto"/>
              <w:jc w:val="center"/>
              <w:rPr>
                <w:rFonts w:hint="eastAsia" w:ascii="宋体" w:hAnsi="宋体" w:cs="宋体"/>
                <w:kern w:val="0"/>
                <w:szCs w:val="21"/>
                <w:lang w:eastAsia="zh-CN"/>
              </w:rPr>
            </w:pPr>
          </w:p>
        </w:tc>
        <w:tc>
          <w:tcPr>
            <w:tcW w:w="2019" w:type="dxa"/>
            <w:noWrap/>
            <w:vAlign w:val="center"/>
          </w:tcPr>
          <w:p w14:paraId="4DFCB5A8">
            <w:pPr>
              <w:autoSpaceDE w:val="0"/>
              <w:autoSpaceDN w:val="0"/>
              <w:adjustRightInd w:val="0"/>
              <w:jc w:val="center"/>
              <w:rPr>
                <w:rFonts w:hint="eastAsia" w:ascii="宋体" w:hAnsi="宋体" w:cs="宋体"/>
                <w:bCs/>
                <w:szCs w:val="21"/>
                <w:highlight w:val="none"/>
                <w:lang w:val="zh-CN"/>
              </w:rPr>
            </w:pPr>
            <w:r>
              <w:rPr>
                <w:rFonts w:hint="eastAsia" w:ascii="宋体" w:hAnsi="宋体" w:cs="宋体"/>
                <w:szCs w:val="21"/>
                <w:highlight w:val="none"/>
                <w:lang w:val="zh-CN"/>
              </w:rPr>
              <w:t>类似项目业绩（</w:t>
            </w:r>
            <w:r>
              <w:rPr>
                <w:rFonts w:hint="eastAsia" w:ascii="宋体" w:hAnsi="宋体" w:cs="宋体"/>
                <w:szCs w:val="21"/>
                <w:highlight w:val="none"/>
                <w:lang w:val="en-US" w:eastAsia="zh-CN"/>
              </w:rPr>
              <w:t>8</w:t>
            </w:r>
            <w:r>
              <w:rPr>
                <w:rFonts w:hint="eastAsia" w:ascii="宋体" w:hAnsi="宋体" w:cs="宋体"/>
                <w:szCs w:val="21"/>
                <w:highlight w:val="none"/>
                <w:lang w:val="zh-CN"/>
              </w:rPr>
              <w:t>分）</w:t>
            </w:r>
          </w:p>
        </w:tc>
        <w:tc>
          <w:tcPr>
            <w:tcW w:w="5940" w:type="dxa"/>
            <w:noWrap/>
            <w:vAlign w:val="center"/>
          </w:tcPr>
          <w:p w14:paraId="41151A35">
            <w:pPr>
              <w:autoSpaceDE w:val="0"/>
              <w:autoSpaceDN w:val="0"/>
              <w:contextualSpacing/>
              <w:rPr>
                <w:rFonts w:ascii="宋体" w:hAnsi="宋体" w:cs="宋体"/>
                <w:bCs/>
                <w:szCs w:val="21"/>
                <w:highlight w:val="none"/>
                <w:lang w:val="zh-CN"/>
              </w:rPr>
            </w:pPr>
            <w:r>
              <w:rPr>
                <w:rFonts w:hint="eastAsia" w:ascii="宋体" w:hAnsi="宋体" w:cs="宋体"/>
                <w:bCs/>
                <w:szCs w:val="21"/>
                <w:highlight w:val="none"/>
                <w:lang w:val="zh-CN"/>
              </w:rPr>
              <w:t>供应商在20</w:t>
            </w:r>
            <w:r>
              <w:rPr>
                <w:rFonts w:hint="eastAsia" w:ascii="宋体" w:hAnsi="宋体" w:cs="宋体"/>
                <w:bCs/>
                <w:szCs w:val="21"/>
                <w:highlight w:val="none"/>
                <w:lang w:val="en-US" w:eastAsia="zh-CN"/>
              </w:rPr>
              <w:t>22</w:t>
            </w:r>
            <w:r>
              <w:rPr>
                <w:rFonts w:hint="eastAsia" w:ascii="宋体" w:hAnsi="宋体" w:cs="宋体"/>
                <w:bCs/>
                <w:szCs w:val="21"/>
                <w:highlight w:val="none"/>
                <w:lang w:val="zh-CN"/>
              </w:rPr>
              <w:t>年1月至今具有与本项目相类似的项目业绩，在一项的基础上，每有一项得</w:t>
            </w:r>
            <w:r>
              <w:rPr>
                <w:rFonts w:hint="eastAsia" w:ascii="宋体" w:hAnsi="宋体" w:cs="宋体"/>
                <w:bCs/>
                <w:szCs w:val="21"/>
                <w:highlight w:val="none"/>
                <w:lang w:val="en-US" w:eastAsia="zh-CN"/>
              </w:rPr>
              <w:t>2</w:t>
            </w:r>
            <w:r>
              <w:rPr>
                <w:rFonts w:hint="eastAsia" w:ascii="宋体" w:hAnsi="宋体" w:cs="宋体"/>
                <w:bCs/>
                <w:szCs w:val="21"/>
                <w:highlight w:val="none"/>
                <w:lang w:val="zh-CN"/>
              </w:rPr>
              <w:t>分，满分</w:t>
            </w:r>
            <w:r>
              <w:rPr>
                <w:rFonts w:hint="eastAsia" w:ascii="宋体" w:hAnsi="宋体" w:cs="宋体"/>
                <w:bCs/>
                <w:szCs w:val="21"/>
                <w:highlight w:val="none"/>
                <w:lang w:val="en-US" w:eastAsia="zh-CN"/>
              </w:rPr>
              <w:t>8</w:t>
            </w:r>
            <w:r>
              <w:rPr>
                <w:rFonts w:hint="eastAsia" w:ascii="宋体" w:hAnsi="宋体" w:cs="宋体"/>
                <w:bCs/>
                <w:szCs w:val="21"/>
                <w:highlight w:val="none"/>
                <w:lang w:val="zh-CN"/>
              </w:rPr>
              <w:t>分。</w:t>
            </w:r>
          </w:p>
          <w:p w14:paraId="16B8803C">
            <w:pPr>
              <w:autoSpaceDE w:val="0"/>
              <w:autoSpaceDN w:val="0"/>
              <w:contextualSpacing/>
              <w:rPr>
                <w:rFonts w:hint="eastAsia" w:ascii="宋体" w:hAnsi="宋体" w:cs="宋体"/>
                <w:szCs w:val="21"/>
                <w:highlight w:val="none"/>
                <w:lang w:val="zh-CN"/>
              </w:rPr>
            </w:pPr>
            <w:r>
              <w:rPr>
                <w:rFonts w:hint="eastAsia" w:ascii="宋体" w:hAnsi="宋体" w:cs="宋体"/>
                <w:bCs/>
                <w:szCs w:val="21"/>
                <w:highlight w:val="none"/>
                <w:lang w:val="zh-CN"/>
              </w:rPr>
              <w:t>提供成交通知书或合同的原件</w:t>
            </w:r>
            <w:r>
              <w:rPr>
                <w:rFonts w:hint="eastAsia"/>
                <w:highlight w:val="none"/>
                <w:lang w:val="zh-CN"/>
              </w:rPr>
              <w:t>（或加盖公章复印件）</w:t>
            </w:r>
            <w:r>
              <w:rPr>
                <w:rFonts w:hint="eastAsia" w:ascii="宋体" w:hAnsi="宋体" w:cs="宋体"/>
                <w:bCs/>
                <w:szCs w:val="21"/>
                <w:highlight w:val="none"/>
                <w:lang w:val="zh-CN"/>
              </w:rPr>
              <w:t>，标书内附成交通知书或合同的复印件并加盖公章。</w:t>
            </w:r>
          </w:p>
        </w:tc>
      </w:tr>
      <w:tr w14:paraId="4083B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8" w:hRule="atLeast"/>
        </w:trPr>
        <w:tc>
          <w:tcPr>
            <w:tcW w:w="1368" w:type="dxa"/>
            <w:vMerge w:val="continue"/>
            <w:noWrap/>
          </w:tcPr>
          <w:p w14:paraId="2FC9931A">
            <w:pPr>
              <w:spacing w:line="288" w:lineRule="auto"/>
              <w:jc w:val="center"/>
              <w:rPr>
                <w:rFonts w:ascii="宋体" w:hAnsi="宋体" w:cs="宋体"/>
                <w:szCs w:val="21"/>
              </w:rPr>
            </w:pPr>
          </w:p>
        </w:tc>
        <w:tc>
          <w:tcPr>
            <w:tcW w:w="2019" w:type="dxa"/>
            <w:noWrap/>
            <w:vAlign w:val="center"/>
          </w:tcPr>
          <w:p w14:paraId="49E24175">
            <w:pPr>
              <w:autoSpaceDE w:val="0"/>
              <w:autoSpaceDN w:val="0"/>
              <w:adjustRightInd w:val="0"/>
              <w:jc w:val="center"/>
              <w:rPr>
                <w:rFonts w:ascii="宋体" w:hAnsi="宋体" w:cs="宋体"/>
                <w:bCs/>
                <w:szCs w:val="21"/>
                <w:lang w:val="zh-CN"/>
              </w:rPr>
            </w:pPr>
            <w:r>
              <w:rPr>
                <w:rFonts w:hint="eastAsia" w:ascii="宋体" w:hAnsi="宋体" w:cs="宋体"/>
                <w:bCs/>
                <w:szCs w:val="21"/>
                <w:lang w:val="zh-CN"/>
              </w:rPr>
              <w:t>其他主要人员（</w:t>
            </w:r>
            <w:r>
              <w:rPr>
                <w:rFonts w:hint="eastAsia" w:ascii="宋体" w:hAnsi="宋体" w:cs="宋体"/>
                <w:bCs/>
                <w:szCs w:val="21"/>
                <w:lang w:val="en-US" w:eastAsia="zh-CN"/>
              </w:rPr>
              <w:t>5</w:t>
            </w:r>
            <w:r>
              <w:rPr>
                <w:rFonts w:hint="eastAsia" w:ascii="宋体" w:hAnsi="宋体" w:cs="宋体"/>
                <w:bCs/>
                <w:szCs w:val="21"/>
              </w:rPr>
              <w:t>分</w:t>
            </w:r>
            <w:r>
              <w:rPr>
                <w:rFonts w:hint="eastAsia" w:ascii="宋体" w:hAnsi="宋体" w:cs="宋体"/>
                <w:bCs/>
                <w:szCs w:val="21"/>
                <w:lang w:val="zh-CN"/>
              </w:rPr>
              <w:t>）</w:t>
            </w:r>
          </w:p>
        </w:tc>
        <w:tc>
          <w:tcPr>
            <w:tcW w:w="5940" w:type="dxa"/>
            <w:noWrap/>
            <w:vAlign w:val="center"/>
          </w:tcPr>
          <w:p w14:paraId="4E9B1EB0">
            <w:pPr>
              <w:autoSpaceDE w:val="0"/>
              <w:autoSpaceDN w:val="0"/>
              <w:adjustRightInd w:val="0"/>
              <w:rPr>
                <w:lang w:val="zh-CN"/>
              </w:rPr>
            </w:pPr>
            <w:r>
              <w:rPr>
                <w:rFonts w:hint="eastAsia"/>
                <w:lang w:val="zh-CN"/>
              </w:rPr>
              <w:t>其他主要人员配备齐全，人员有职称证书或岗位证书，满足施工要求，对人员配备情况进行比较，优得</w:t>
            </w:r>
            <w:r>
              <w:rPr>
                <w:rFonts w:hint="eastAsia"/>
                <w:lang w:val="en-US" w:eastAsia="zh-CN"/>
              </w:rPr>
              <w:t>5-4</w:t>
            </w:r>
            <w:r>
              <w:rPr>
                <w:rFonts w:hint="eastAsia"/>
                <w:lang w:val="zh-CN"/>
              </w:rPr>
              <w:t>分，良得</w:t>
            </w:r>
            <w:r>
              <w:rPr>
                <w:rFonts w:hint="eastAsia"/>
                <w:lang w:val="en-US" w:eastAsia="zh-CN"/>
              </w:rPr>
              <w:t>3-</w:t>
            </w:r>
            <w:r>
              <w:rPr>
                <w:rFonts w:hint="eastAsia"/>
              </w:rPr>
              <w:t>2</w:t>
            </w:r>
            <w:r>
              <w:rPr>
                <w:rFonts w:hint="eastAsia"/>
                <w:lang w:val="zh-CN"/>
              </w:rPr>
              <w:t>分，一般得</w:t>
            </w:r>
            <w:r>
              <w:rPr>
                <w:rFonts w:hint="eastAsia"/>
              </w:rPr>
              <w:t>1</w:t>
            </w:r>
            <w:r>
              <w:rPr>
                <w:rFonts w:hint="eastAsia"/>
                <w:lang w:val="zh-CN"/>
              </w:rPr>
              <w:t>分，无不得分。</w:t>
            </w:r>
          </w:p>
          <w:p w14:paraId="1CE9C3DA">
            <w:pPr>
              <w:autoSpaceDE w:val="0"/>
              <w:autoSpaceDN w:val="0"/>
              <w:adjustRightInd w:val="0"/>
              <w:rPr>
                <w:rFonts w:hAnsi="宋体" w:cs="宋体"/>
                <w:bCs/>
                <w:szCs w:val="21"/>
              </w:rPr>
            </w:pPr>
            <w:r>
              <w:rPr>
                <w:rFonts w:hint="eastAsia"/>
                <w:lang w:val="zh-CN"/>
              </w:rPr>
              <w:t>响应文件内附相应人员职称证书或岗位证书复印件加盖投标单位公章。</w:t>
            </w:r>
          </w:p>
        </w:tc>
      </w:tr>
      <w:tr w14:paraId="191D6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7" w:hRule="atLeast"/>
        </w:trPr>
        <w:tc>
          <w:tcPr>
            <w:tcW w:w="1368" w:type="dxa"/>
            <w:noWrap/>
            <w:vAlign w:val="center"/>
          </w:tcPr>
          <w:p w14:paraId="70C09708">
            <w:pPr>
              <w:spacing w:line="288" w:lineRule="auto"/>
              <w:jc w:val="center"/>
              <w:rPr>
                <w:rFonts w:ascii="宋体" w:hAnsi="宋体" w:cs="宋体"/>
                <w:szCs w:val="21"/>
              </w:rPr>
            </w:pPr>
            <w:r>
              <w:rPr>
                <w:rFonts w:hint="eastAsia" w:ascii="宋体" w:hAnsi="宋体" w:cs="宋体"/>
                <w:szCs w:val="21"/>
              </w:rPr>
              <w:t>投标报价评分标准（</w:t>
            </w:r>
            <w:r>
              <w:rPr>
                <w:rFonts w:hint="eastAsia" w:ascii="宋体" w:hAnsi="宋体" w:cs="宋体"/>
                <w:szCs w:val="21"/>
                <w:lang w:val="en-US" w:eastAsia="zh-CN"/>
              </w:rPr>
              <w:t>30</w:t>
            </w:r>
            <w:r>
              <w:rPr>
                <w:rFonts w:hint="eastAsia" w:ascii="宋体" w:hAnsi="宋体" w:cs="宋体"/>
                <w:szCs w:val="21"/>
              </w:rPr>
              <w:t>分）</w:t>
            </w:r>
          </w:p>
        </w:tc>
        <w:tc>
          <w:tcPr>
            <w:tcW w:w="2019" w:type="dxa"/>
            <w:noWrap/>
            <w:vAlign w:val="center"/>
          </w:tcPr>
          <w:p w14:paraId="58F6970A">
            <w:pPr>
              <w:autoSpaceDE w:val="0"/>
              <w:autoSpaceDN w:val="0"/>
              <w:adjustRightInd w:val="0"/>
              <w:jc w:val="center"/>
              <w:rPr>
                <w:rFonts w:ascii="宋体" w:hAnsi="宋体" w:cs="宋体"/>
                <w:bCs/>
                <w:szCs w:val="21"/>
                <w:lang w:val="zh-CN"/>
              </w:rPr>
            </w:pPr>
            <w:r>
              <w:rPr>
                <w:rFonts w:hint="eastAsia" w:ascii="宋体" w:hAnsi="宋体" w:cs="宋体"/>
                <w:bCs/>
                <w:szCs w:val="21"/>
                <w:lang w:val="zh-CN"/>
              </w:rPr>
              <w:t>评分标准</w:t>
            </w:r>
          </w:p>
          <w:p w14:paraId="11CFAA00">
            <w:pPr>
              <w:autoSpaceDE w:val="0"/>
              <w:autoSpaceDN w:val="0"/>
              <w:adjustRightInd w:val="0"/>
              <w:jc w:val="center"/>
              <w:rPr>
                <w:rFonts w:ascii="宋体" w:hAnsi="宋体" w:cs="宋体"/>
                <w:bCs/>
                <w:szCs w:val="21"/>
                <w:lang w:val="zh-CN"/>
              </w:rPr>
            </w:pPr>
            <w:r>
              <w:rPr>
                <w:rFonts w:hint="eastAsia" w:ascii="宋体" w:hAnsi="宋体" w:cs="宋体"/>
                <w:bCs/>
                <w:szCs w:val="21"/>
                <w:lang w:val="zh-CN"/>
              </w:rPr>
              <w:t>（</w:t>
            </w:r>
            <w:r>
              <w:rPr>
                <w:rFonts w:hint="eastAsia" w:ascii="宋体" w:hAnsi="宋体" w:cs="宋体"/>
                <w:bCs/>
                <w:szCs w:val="21"/>
                <w:lang w:val="en-US" w:eastAsia="zh-CN"/>
              </w:rPr>
              <w:t>30</w:t>
            </w:r>
            <w:r>
              <w:rPr>
                <w:rFonts w:hint="eastAsia" w:ascii="宋体" w:hAnsi="宋体" w:cs="宋体"/>
                <w:bCs/>
                <w:szCs w:val="21"/>
                <w:lang w:val="zh-CN"/>
              </w:rPr>
              <w:t>分）</w:t>
            </w:r>
          </w:p>
        </w:tc>
        <w:tc>
          <w:tcPr>
            <w:tcW w:w="5940" w:type="dxa"/>
            <w:noWrap/>
            <w:vAlign w:val="center"/>
          </w:tcPr>
          <w:p w14:paraId="2F7A2D92">
            <w:pPr>
              <w:rPr>
                <w:rFonts w:ascii="宋体" w:hAnsi="宋体"/>
                <w:szCs w:val="21"/>
              </w:rPr>
            </w:pPr>
            <w:r>
              <w:rPr>
                <w:rFonts w:hint="eastAsia" w:ascii="宋体" w:hAnsi="宋体"/>
                <w:szCs w:val="21"/>
              </w:rPr>
              <w:t>报价得分采用低价优先法计算，即满足磋商文件要求且最后报价最低的供应商的价格为磋商基准价</w:t>
            </w:r>
          </w:p>
          <w:p w14:paraId="25B90B28">
            <w:pPr>
              <w:rPr>
                <w:rFonts w:ascii="宋体" w:hAnsi="宋体"/>
                <w:szCs w:val="21"/>
              </w:rPr>
            </w:pPr>
            <w:r>
              <w:rPr>
                <w:rFonts w:hint="eastAsia" w:ascii="宋体" w:hAnsi="宋体"/>
                <w:szCs w:val="21"/>
              </w:rPr>
              <w:t>最终报价得分=（磋商基准价/最后报价）*价格权重*100，四舍五入保留小数点后两位有效数字。价格权重=</w:t>
            </w:r>
            <w:r>
              <w:rPr>
                <w:rFonts w:hint="eastAsia" w:ascii="宋体" w:hAnsi="宋体"/>
                <w:szCs w:val="21"/>
                <w:lang w:val="en-US" w:eastAsia="zh-CN"/>
              </w:rPr>
              <w:t>30</w:t>
            </w:r>
            <w:r>
              <w:rPr>
                <w:rFonts w:hint="eastAsia" w:ascii="宋体" w:hAnsi="宋体"/>
                <w:szCs w:val="21"/>
              </w:rPr>
              <w:t>%</w:t>
            </w:r>
          </w:p>
          <w:p w14:paraId="48F58620">
            <w:pPr>
              <w:rPr>
                <w:rFonts w:ascii="宋体" w:hAnsi="宋体"/>
                <w:szCs w:val="21"/>
              </w:rPr>
            </w:pPr>
            <w:r>
              <w:rPr>
                <w:rFonts w:hint="eastAsia" w:ascii="宋体" w:hAnsi="宋体"/>
                <w:szCs w:val="21"/>
              </w:rPr>
              <w:t>注:</w:t>
            </w:r>
          </w:p>
          <w:p w14:paraId="5FD88844">
            <w:pPr>
              <w:rPr>
                <w:rFonts w:ascii="宋体" w:hAnsi="宋体"/>
                <w:szCs w:val="21"/>
              </w:rPr>
            </w:pPr>
            <w:r>
              <w:rPr>
                <w:rFonts w:hint="eastAsia" w:ascii="宋体" w:hAnsi="宋体"/>
                <w:szCs w:val="21"/>
              </w:rPr>
              <w:t>1、对小型和微型企业的报价在进行报价评审时，对该单位报价给予3%的价格扣除作为评标价，以扣除后的评标价参与评审。（小、微企业须按照财库〔2020〕46号文件的规定在响应文件中附有《中小企业声明函》原件）。</w:t>
            </w:r>
          </w:p>
          <w:p w14:paraId="25E4C5A8">
            <w:pPr>
              <w:rPr>
                <w:rFonts w:ascii="宋体" w:hAnsi="宋体"/>
                <w:szCs w:val="21"/>
              </w:rPr>
            </w:pPr>
            <w:r>
              <w:rPr>
                <w:rFonts w:hint="eastAsia" w:ascii="宋体" w:hAnsi="宋体"/>
                <w:szCs w:val="21"/>
              </w:rPr>
              <w:t>2、对于供应商提供纳入财政部、国家发改委发布的《节能产品政府采购清单》的产品，对其报价给予3％的价格扣除，并按照扣除后的价格参与评审。</w:t>
            </w:r>
          </w:p>
          <w:p w14:paraId="27CB0FF7">
            <w:pPr>
              <w:rPr>
                <w:rFonts w:ascii="宋体" w:hAnsi="宋体"/>
                <w:szCs w:val="21"/>
              </w:rPr>
            </w:pPr>
            <w:r>
              <w:rPr>
                <w:rFonts w:hint="eastAsia" w:ascii="宋体" w:hAnsi="宋体"/>
                <w:szCs w:val="21"/>
              </w:rPr>
              <w:t>3、对于供应商提供纳入财政部、国家环保总局发布的《环境标志产品政府采购清单》的产品，对其报价给予3％的价格扣除，并按照扣除后的价格参与评审。</w:t>
            </w:r>
          </w:p>
          <w:p w14:paraId="51C53EF9">
            <w:pPr>
              <w:spacing w:line="300" w:lineRule="exact"/>
              <w:rPr>
                <w:rFonts w:ascii="宋体" w:hAnsi="宋体"/>
                <w:szCs w:val="21"/>
              </w:rPr>
            </w:pPr>
            <w:r>
              <w:rPr>
                <w:rFonts w:hint="eastAsia" w:ascii="宋体" w:hAnsi="宋体"/>
                <w:szCs w:val="21"/>
              </w:rPr>
              <w:t>4、提供的产品同时纳入节能产品政府采购清单、环境标志产品政府采购清单的，将上述规定的价格分加分比例分分别叠加后计算价格加分。</w:t>
            </w:r>
          </w:p>
          <w:p w14:paraId="65CB58D0">
            <w:pPr>
              <w:autoSpaceDE w:val="0"/>
              <w:autoSpaceDN w:val="0"/>
              <w:adjustRightInd w:val="0"/>
              <w:rPr>
                <w:rFonts w:ascii="宋体" w:hAnsi="宋体" w:cs="宋体"/>
                <w:bCs/>
                <w:szCs w:val="21"/>
                <w:lang w:val="zh-CN"/>
              </w:rPr>
            </w:pPr>
            <w:r>
              <w:rPr>
                <w:rFonts w:hint="eastAsia" w:ascii="宋体" w:hAnsi="宋体"/>
                <w:szCs w:val="21"/>
              </w:rPr>
              <w:t>（供应商须提供在有效期内的认证证书及相应证明材料）</w:t>
            </w:r>
          </w:p>
        </w:tc>
      </w:tr>
      <w:tr w14:paraId="4CD0D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trPr>
        <w:tc>
          <w:tcPr>
            <w:tcW w:w="1368" w:type="dxa"/>
            <w:vMerge w:val="restart"/>
            <w:noWrap/>
            <w:vAlign w:val="center"/>
          </w:tcPr>
          <w:p w14:paraId="29B0ECDD">
            <w:pPr>
              <w:spacing w:line="288" w:lineRule="auto"/>
              <w:jc w:val="center"/>
              <w:rPr>
                <w:rFonts w:ascii="宋体" w:hAnsi="宋体" w:cs="宋体"/>
                <w:szCs w:val="21"/>
              </w:rPr>
            </w:pPr>
            <w:r>
              <w:rPr>
                <w:rFonts w:hint="eastAsia" w:ascii="宋体" w:hAnsi="宋体" w:cs="宋体"/>
                <w:szCs w:val="21"/>
              </w:rPr>
              <w:t>其他因素评分标准（10分）</w:t>
            </w:r>
          </w:p>
        </w:tc>
        <w:tc>
          <w:tcPr>
            <w:tcW w:w="2019" w:type="dxa"/>
            <w:noWrap/>
            <w:vAlign w:val="center"/>
          </w:tcPr>
          <w:p w14:paraId="0F015D27">
            <w:pPr>
              <w:autoSpaceDE w:val="0"/>
              <w:autoSpaceDN w:val="0"/>
              <w:adjustRightInd w:val="0"/>
              <w:jc w:val="center"/>
              <w:rPr>
                <w:rFonts w:ascii="宋体" w:hAnsi="宋体" w:cs="宋体"/>
                <w:szCs w:val="21"/>
              </w:rPr>
            </w:pPr>
            <w:r>
              <w:rPr>
                <w:rFonts w:hint="eastAsia" w:ascii="宋体" w:hAnsi="宋体" w:cs="FangSong_GB2312"/>
                <w:kern w:val="0"/>
                <w:szCs w:val="21"/>
              </w:rPr>
              <w:t>优惠条件</w:t>
            </w:r>
            <w:r>
              <w:rPr>
                <w:rFonts w:hint="eastAsia" w:ascii="宋体" w:hAnsi="宋体"/>
                <w:szCs w:val="21"/>
              </w:rPr>
              <w:t>（5分）</w:t>
            </w:r>
          </w:p>
        </w:tc>
        <w:tc>
          <w:tcPr>
            <w:tcW w:w="5940" w:type="dxa"/>
            <w:noWrap/>
            <w:vAlign w:val="center"/>
          </w:tcPr>
          <w:p w14:paraId="218BE757">
            <w:pPr>
              <w:autoSpaceDE w:val="0"/>
              <w:autoSpaceDN w:val="0"/>
              <w:adjustRightInd w:val="0"/>
              <w:spacing w:line="300" w:lineRule="exact"/>
              <w:rPr>
                <w:rFonts w:ascii="宋体" w:hAnsi="宋体" w:eastAsia="宋体" w:cs="宋体"/>
                <w:kern w:val="2"/>
                <w:sz w:val="21"/>
                <w:szCs w:val="21"/>
                <w:lang w:val="en-US" w:eastAsia="zh-CN" w:bidi="ar-SA"/>
              </w:rPr>
            </w:pPr>
            <w:r>
              <w:rPr>
                <w:rFonts w:hint="eastAsia" w:ascii="宋体" w:hAnsi="宋体" w:cs="宋体"/>
                <w:szCs w:val="21"/>
              </w:rPr>
              <w:t>对</w:t>
            </w:r>
            <w:r>
              <w:rPr>
                <w:rFonts w:hint="eastAsia" w:ascii="宋体" w:hAnsi="宋体" w:cs="宋体"/>
                <w:szCs w:val="21"/>
                <w:lang w:eastAsia="zh-CN"/>
              </w:rPr>
              <w:t>供应商</w:t>
            </w:r>
            <w:r>
              <w:rPr>
                <w:rFonts w:hint="eastAsia" w:ascii="宋体" w:hAnsi="宋体" w:cs="宋体"/>
                <w:szCs w:val="21"/>
              </w:rPr>
              <w:t>提出的</w:t>
            </w:r>
            <w:r>
              <w:rPr>
                <w:rFonts w:hint="eastAsia" w:ascii="宋体" w:hAnsi="宋体" w:cs="FangSong_GB2312"/>
                <w:kern w:val="0"/>
                <w:szCs w:val="21"/>
              </w:rPr>
              <w:t>优惠条件</w:t>
            </w:r>
            <w:r>
              <w:rPr>
                <w:rFonts w:hint="eastAsia" w:ascii="宋体" w:hAnsi="宋体" w:cs="宋体"/>
                <w:szCs w:val="21"/>
              </w:rPr>
              <w:t>进行综合评价</w:t>
            </w:r>
            <w:r>
              <w:rPr>
                <w:rFonts w:hint="eastAsia" w:ascii="宋体" w:hAnsi="宋体"/>
                <w:szCs w:val="21"/>
              </w:rPr>
              <w:t>，</w:t>
            </w:r>
            <w:r>
              <w:rPr>
                <w:rFonts w:hint="eastAsia" w:ascii="宋体" w:hAnsi="宋体" w:cs="宋体"/>
                <w:szCs w:val="21"/>
              </w:rPr>
              <w:t>优得</w:t>
            </w:r>
            <w:r>
              <w:rPr>
                <w:rFonts w:hint="eastAsia" w:ascii="宋体" w:hAnsi="宋体"/>
                <w:szCs w:val="21"/>
              </w:rPr>
              <w:t>5分</w:t>
            </w:r>
            <w:r>
              <w:rPr>
                <w:rFonts w:hint="eastAsia" w:ascii="宋体" w:hAnsi="宋体" w:cs="宋体"/>
                <w:szCs w:val="21"/>
              </w:rPr>
              <w:t>，良得</w:t>
            </w:r>
            <w:r>
              <w:rPr>
                <w:rFonts w:hint="eastAsia" w:ascii="宋体" w:hAnsi="宋体"/>
                <w:szCs w:val="21"/>
              </w:rPr>
              <w:t>3分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F598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1368" w:type="dxa"/>
            <w:vMerge w:val="continue"/>
            <w:noWrap/>
            <w:vAlign w:val="center"/>
          </w:tcPr>
          <w:p w14:paraId="5801B386">
            <w:pPr>
              <w:spacing w:line="288" w:lineRule="auto"/>
              <w:jc w:val="center"/>
              <w:rPr>
                <w:rFonts w:ascii="宋体" w:hAnsi="宋体" w:cs="宋体"/>
                <w:szCs w:val="21"/>
              </w:rPr>
            </w:pPr>
          </w:p>
        </w:tc>
        <w:tc>
          <w:tcPr>
            <w:tcW w:w="2019" w:type="dxa"/>
            <w:noWrap/>
            <w:vAlign w:val="center"/>
          </w:tcPr>
          <w:p w14:paraId="715D88C4">
            <w:pPr>
              <w:autoSpaceDE w:val="0"/>
              <w:autoSpaceDN w:val="0"/>
              <w:adjustRightInd w:val="0"/>
              <w:spacing w:line="300" w:lineRule="exact"/>
              <w:jc w:val="center"/>
              <w:rPr>
                <w:rFonts w:ascii="宋体" w:hAnsi="宋体" w:cs="宋体"/>
                <w:szCs w:val="21"/>
                <w:lang w:val="zh-CN"/>
              </w:rPr>
            </w:pPr>
            <w:r>
              <w:rPr>
                <w:rFonts w:hint="eastAsia" w:ascii="宋体" w:hAnsi="宋体" w:cs="FangSong_GB2312"/>
                <w:kern w:val="0"/>
                <w:szCs w:val="21"/>
              </w:rPr>
              <w:t>服务承诺</w:t>
            </w:r>
            <w:r>
              <w:rPr>
                <w:rFonts w:hint="eastAsia" w:ascii="宋体" w:hAnsi="宋体"/>
                <w:szCs w:val="21"/>
              </w:rPr>
              <w:t>（5分）</w:t>
            </w:r>
          </w:p>
        </w:tc>
        <w:tc>
          <w:tcPr>
            <w:tcW w:w="5940" w:type="dxa"/>
            <w:noWrap/>
            <w:vAlign w:val="center"/>
          </w:tcPr>
          <w:p w14:paraId="3C9C60DE">
            <w:pPr>
              <w:autoSpaceDE w:val="0"/>
              <w:autoSpaceDN w:val="0"/>
              <w:adjustRightInd w:val="0"/>
              <w:spacing w:line="300" w:lineRule="exact"/>
              <w:rPr>
                <w:rFonts w:ascii="宋体" w:hAnsi="宋体" w:cs="宋体"/>
                <w:szCs w:val="21"/>
              </w:rPr>
            </w:pPr>
            <w:r>
              <w:rPr>
                <w:rFonts w:hint="eastAsia" w:ascii="宋体" w:hAnsi="宋体" w:cs="宋体"/>
                <w:szCs w:val="21"/>
              </w:rPr>
              <w:t>对</w:t>
            </w:r>
            <w:r>
              <w:rPr>
                <w:rFonts w:hint="eastAsia" w:ascii="宋体" w:hAnsi="宋体" w:cs="宋体"/>
                <w:szCs w:val="21"/>
                <w:lang w:eastAsia="zh-CN"/>
              </w:rPr>
              <w:t>供应商</w:t>
            </w:r>
            <w:r>
              <w:rPr>
                <w:rFonts w:hint="eastAsia" w:ascii="宋体" w:hAnsi="宋体" w:cs="宋体"/>
                <w:szCs w:val="21"/>
              </w:rPr>
              <w:t>提出的</w:t>
            </w:r>
            <w:r>
              <w:rPr>
                <w:rFonts w:hint="eastAsia" w:ascii="宋体" w:hAnsi="宋体" w:cs="FangSong_GB2312"/>
                <w:kern w:val="0"/>
                <w:szCs w:val="21"/>
              </w:rPr>
              <w:t>服务承诺</w:t>
            </w:r>
            <w:r>
              <w:rPr>
                <w:rFonts w:hint="eastAsia" w:ascii="宋体" w:hAnsi="宋体" w:cs="宋体"/>
                <w:szCs w:val="21"/>
              </w:rPr>
              <w:t>进行综合评价</w:t>
            </w:r>
            <w:r>
              <w:rPr>
                <w:rFonts w:hint="eastAsia" w:ascii="宋体" w:hAnsi="宋体"/>
                <w:szCs w:val="21"/>
              </w:rPr>
              <w:t>，</w:t>
            </w:r>
            <w:r>
              <w:rPr>
                <w:rFonts w:hint="eastAsia" w:ascii="宋体" w:hAnsi="宋体" w:cs="宋体"/>
                <w:szCs w:val="21"/>
              </w:rPr>
              <w:t>优得</w:t>
            </w:r>
            <w:r>
              <w:rPr>
                <w:rFonts w:hint="eastAsia" w:ascii="宋体" w:hAnsi="宋体"/>
                <w:szCs w:val="21"/>
              </w:rPr>
              <w:t>5分</w:t>
            </w:r>
            <w:r>
              <w:rPr>
                <w:rFonts w:hint="eastAsia" w:ascii="宋体" w:hAnsi="宋体" w:cs="宋体"/>
                <w:szCs w:val="21"/>
              </w:rPr>
              <w:t>，良得</w:t>
            </w:r>
            <w:r>
              <w:rPr>
                <w:rFonts w:hint="eastAsia" w:ascii="宋体" w:hAnsi="宋体"/>
                <w:szCs w:val="21"/>
              </w:rPr>
              <w:t>3分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tbl>
    <w:p w14:paraId="12D1A585">
      <w:pPr>
        <w:rPr>
          <w:color w:val="000000" w:themeColor="text1"/>
          <w:sz w:val="36"/>
          <w:szCs w:val="36"/>
          <w14:textFill>
            <w14:solidFill>
              <w14:schemeClr w14:val="tx1"/>
            </w14:solidFill>
          </w14:textFill>
        </w:rPr>
      </w:pPr>
      <w:bookmarkStart w:id="142" w:name="_Toc54258234"/>
      <w:r>
        <w:rPr>
          <w:rFonts w:hint="eastAsia"/>
          <w:color w:val="000000" w:themeColor="text1"/>
          <w:sz w:val="36"/>
          <w:szCs w:val="36"/>
          <w14:textFill>
            <w14:solidFill>
              <w14:schemeClr w14:val="tx1"/>
            </w14:solidFill>
          </w14:textFill>
        </w:rPr>
        <w:br w:type="page"/>
      </w:r>
    </w:p>
    <w:p w14:paraId="76CFC19C">
      <w:pPr>
        <w:pStyle w:val="5"/>
        <w:rPr>
          <w:rFonts w:ascii="宋体" w:hAnsi="宋体"/>
          <w:highlight w:val="none"/>
        </w:rPr>
      </w:pPr>
      <w:bookmarkStart w:id="143" w:name="_Toc23969"/>
      <w:r>
        <w:rPr>
          <w:rFonts w:hint="eastAsia" w:ascii="宋体" w:hAnsi="宋体"/>
          <w:highlight w:val="none"/>
        </w:rPr>
        <w:t>1、评审方法</w:t>
      </w:r>
      <w:bookmarkEnd w:id="143"/>
    </w:p>
    <w:p w14:paraId="794EE3F3">
      <w:pPr>
        <w:spacing w:line="360" w:lineRule="auto"/>
        <w:ind w:firstLine="420" w:firstLineChars="200"/>
        <w:rPr>
          <w:rFonts w:ascii="宋体" w:hAnsi="宋体"/>
          <w:szCs w:val="21"/>
          <w:highlight w:val="none"/>
        </w:rPr>
      </w:pPr>
      <w:r>
        <w:rPr>
          <w:rFonts w:hint="eastAsia" w:ascii="宋体" w:hAnsi="宋体" w:cs="宋体"/>
          <w:bCs/>
          <w:szCs w:val="21"/>
          <w:highlight w:val="none"/>
          <w:lang w:val="zh-CN"/>
        </w:rPr>
        <w:t>（1）</w:t>
      </w:r>
      <w:r>
        <w:rPr>
          <w:rFonts w:hint="eastAsia" w:ascii="宋体" w:hAnsi="宋体"/>
          <w:szCs w:val="21"/>
          <w:highlight w:val="none"/>
        </w:rPr>
        <w:t>本次评审办法采用综合评分法。磋商小组对满足磋商文件实质性要求的响应文件，按照本章第2.2 款规定的评分标准进行打分，并按得分由高到低顺序推荐成交候选人，或根据采购人授权直接确定</w:t>
      </w:r>
      <w:r>
        <w:rPr>
          <w:rFonts w:hint="eastAsia" w:ascii="宋体" w:hAnsi="宋体"/>
          <w:szCs w:val="21"/>
          <w:highlight w:val="none"/>
          <w:lang w:eastAsia="zh-CN"/>
        </w:rPr>
        <w:t>成交</w:t>
      </w:r>
      <w:r>
        <w:rPr>
          <w:rFonts w:hint="eastAsia" w:ascii="宋体" w:hAnsi="宋体"/>
          <w:szCs w:val="21"/>
          <w:highlight w:val="none"/>
        </w:rPr>
        <w:t>成交单位，但磋商报价低于其成本的除外。评审得分相同的，按照最后报价由低到高的顺序推荐。评审得分且最后报价相同的，按照技术指标优劣顺序推荐。</w:t>
      </w:r>
    </w:p>
    <w:p w14:paraId="72264741">
      <w:pPr>
        <w:autoSpaceDE w:val="0"/>
        <w:autoSpaceDN w:val="0"/>
        <w:adjustRightInd w:val="0"/>
        <w:spacing w:line="400" w:lineRule="exact"/>
        <w:ind w:firstLine="411" w:firstLineChars="196"/>
        <w:jc w:val="left"/>
        <w:rPr>
          <w:rFonts w:ascii="宋体" w:hAnsi="宋体" w:cs="宋体"/>
          <w:bCs/>
          <w:szCs w:val="21"/>
          <w:highlight w:val="none"/>
          <w:lang w:val="zh-CN"/>
        </w:rPr>
      </w:pPr>
      <w:r>
        <w:rPr>
          <w:rFonts w:hint="eastAsia" w:ascii="宋体" w:hAnsi="宋体" w:cs="宋体"/>
          <w:bCs/>
          <w:szCs w:val="21"/>
          <w:highlight w:val="none"/>
          <w:lang w:val="zh-CN"/>
        </w:rPr>
        <w:t>（2）对各项评分进行汇总，将所有评委的商务标和技术标打分进行汇总后，将各投标单位的得分的算术平均值做为投标单位的最后得分，拟定“评委打分汇总表”，按评分从高到低进行排序。评标委员会向</w:t>
      </w:r>
      <w:r>
        <w:rPr>
          <w:rFonts w:hint="eastAsia" w:ascii="宋体" w:hAnsi="宋体"/>
          <w:szCs w:val="21"/>
          <w:highlight w:val="none"/>
        </w:rPr>
        <w:t>采购人</w:t>
      </w:r>
      <w:r>
        <w:rPr>
          <w:rFonts w:hint="eastAsia" w:ascii="宋体" w:hAnsi="宋体" w:cs="宋体"/>
          <w:bCs/>
          <w:szCs w:val="21"/>
          <w:highlight w:val="none"/>
          <w:lang w:val="zh-CN"/>
        </w:rPr>
        <w:t>推荐3名成交候选人。</w:t>
      </w:r>
    </w:p>
    <w:p w14:paraId="43364804">
      <w:pPr>
        <w:pStyle w:val="5"/>
        <w:rPr>
          <w:rFonts w:ascii="宋体" w:hAnsi="宋体"/>
          <w:highlight w:val="none"/>
        </w:rPr>
      </w:pPr>
      <w:bookmarkStart w:id="144" w:name="_Toc184635094"/>
      <w:bookmarkStart w:id="145" w:name="_Toc26035"/>
      <w:r>
        <w:rPr>
          <w:rFonts w:hint="eastAsia" w:ascii="宋体" w:hAnsi="宋体"/>
          <w:highlight w:val="none"/>
        </w:rPr>
        <w:t>2、评审标准</w:t>
      </w:r>
      <w:bookmarkEnd w:id="144"/>
      <w:bookmarkEnd w:id="145"/>
    </w:p>
    <w:p w14:paraId="4BE46B6D">
      <w:pPr>
        <w:pStyle w:val="6"/>
        <w:rPr>
          <w:rFonts w:ascii="宋体" w:hAnsi="宋体" w:eastAsia="宋体"/>
          <w:highlight w:val="none"/>
        </w:rPr>
      </w:pPr>
      <w:r>
        <w:rPr>
          <w:rFonts w:hint="eastAsia" w:ascii="宋体" w:hAnsi="宋体" w:eastAsia="宋体"/>
          <w:highlight w:val="none"/>
        </w:rPr>
        <w:t>2.1 初步评审标准</w:t>
      </w:r>
    </w:p>
    <w:p w14:paraId="77783D42">
      <w:pPr>
        <w:spacing w:line="360" w:lineRule="auto"/>
        <w:ind w:firstLine="420" w:firstLineChars="200"/>
        <w:rPr>
          <w:rFonts w:ascii="宋体" w:hAnsi="宋体"/>
          <w:szCs w:val="21"/>
          <w:highlight w:val="none"/>
        </w:rPr>
      </w:pPr>
      <w:r>
        <w:rPr>
          <w:rFonts w:hint="eastAsia" w:ascii="宋体" w:hAnsi="宋体"/>
          <w:szCs w:val="21"/>
          <w:highlight w:val="none"/>
        </w:rPr>
        <w:t>2.1.2 资格评审标准：见评审办法前附表。</w:t>
      </w:r>
    </w:p>
    <w:p w14:paraId="017BCDE0">
      <w:pPr>
        <w:spacing w:line="360" w:lineRule="auto"/>
        <w:ind w:firstLine="420" w:firstLineChars="200"/>
        <w:rPr>
          <w:rFonts w:ascii="宋体" w:hAnsi="宋体"/>
          <w:szCs w:val="21"/>
          <w:highlight w:val="none"/>
        </w:rPr>
      </w:pPr>
      <w:r>
        <w:rPr>
          <w:rFonts w:hint="eastAsia" w:ascii="宋体" w:hAnsi="宋体"/>
          <w:szCs w:val="21"/>
          <w:highlight w:val="none"/>
        </w:rPr>
        <w:t>2.1.3响应性评审标准：见评审办法前附表。</w:t>
      </w:r>
    </w:p>
    <w:p w14:paraId="7959C098">
      <w:pPr>
        <w:pStyle w:val="6"/>
        <w:rPr>
          <w:rFonts w:ascii="宋体" w:hAnsi="宋体" w:eastAsia="宋体"/>
          <w:highlight w:val="none"/>
        </w:rPr>
      </w:pPr>
      <w:r>
        <w:rPr>
          <w:rFonts w:hint="eastAsia" w:ascii="宋体" w:hAnsi="宋体" w:eastAsia="宋体"/>
          <w:highlight w:val="none"/>
        </w:rPr>
        <w:t>2.2 分值构成与评分标准</w:t>
      </w:r>
    </w:p>
    <w:p w14:paraId="1DEF7780">
      <w:pPr>
        <w:spacing w:line="360" w:lineRule="auto"/>
        <w:ind w:firstLine="420" w:firstLineChars="200"/>
        <w:rPr>
          <w:rFonts w:ascii="宋体" w:hAnsi="宋体"/>
          <w:szCs w:val="21"/>
          <w:highlight w:val="none"/>
        </w:rPr>
      </w:pPr>
      <w:r>
        <w:rPr>
          <w:rFonts w:hint="eastAsia" w:ascii="宋体" w:hAnsi="宋体"/>
          <w:szCs w:val="21"/>
          <w:highlight w:val="none"/>
        </w:rPr>
        <w:t>2.2.1 分值构成</w:t>
      </w:r>
    </w:p>
    <w:p w14:paraId="32BAC3C5">
      <w:pPr>
        <w:spacing w:line="360" w:lineRule="auto"/>
        <w:ind w:firstLine="420" w:firstLineChars="200"/>
        <w:rPr>
          <w:rFonts w:ascii="宋体" w:hAnsi="宋体"/>
          <w:szCs w:val="21"/>
          <w:highlight w:val="none"/>
        </w:rPr>
      </w:pPr>
      <w:r>
        <w:rPr>
          <w:rFonts w:hint="eastAsia" w:ascii="宋体" w:hAnsi="宋体"/>
          <w:szCs w:val="21"/>
          <w:highlight w:val="none"/>
        </w:rPr>
        <w:t>(l）施工组织设计：见评审办法前附表；</w:t>
      </w:r>
    </w:p>
    <w:p w14:paraId="281B0B3B">
      <w:pPr>
        <w:spacing w:line="360" w:lineRule="auto"/>
        <w:ind w:firstLine="420" w:firstLineChars="200"/>
        <w:rPr>
          <w:rFonts w:ascii="宋体" w:hAnsi="宋体"/>
          <w:szCs w:val="21"/>
          <w:highlight w:val="none"/>
        </w:rPr>
      </w:pPr>
      <w:r>
        <w:rPr>
          <w:rFonts w:hint="eastAsia" w:ascii="宋体" w:hAnsi="宋体"/>
          <w:szCs w:val="21"/>
          <w:highlight w:val="none"/>
        </w:rPr>
        <w:t>(2）</w:t>
      </w:r>
      <w:r>
        <w:rPr>
          <w:rFonts w:hint="eastAsia" w:ascii="宋体" w:hAnsi="宋体"/>
          <w:szCs w:val="21"/>
          <w:highlight w:val="none"/>
          <w:lang w:val="en-US" w:eastAsia="zh-CN"/>
        </w:rPr>
        <w:t>商务评分标准</w:t>
      </w:r>
      <w:r>
        <w:rPr>
          <w:rFonts w:hint="eastAsia" w:ascii="宋体" w:hAnsi="宋体"/>
          <w:szCs w:val="21"/>
          <w:highlight w:val="none"/>
        </w:rPr>
        <w:t>：见评审办法前附表；</w:t>
      </w:r>
    </w:p>
    <w:p w14:paraId="0B6346DD">
      <w:pPr>
        <w:spacing w:line="360" w:lineRule="auto"/>
        <w:ind w:firstLine="420" w:firstLineChars="200"/>
        <w:rPr>
          <w:rFonts w:ascii="宋体" w:hAnsi="宋体"/>
          <w:szCs w:val="21"/>
          <w:highlight w:val="none"/>
        </w:rPr>
      </w:pPr>
      <w:r>
        <w:rPr>
          <w:rFonts w:hint="eastAsia" w:ascii="宋体" w:hAnsi="宋体"/>
          <w:szCs w:val="21"/>
          <w:highlight w:val="none"/>
        </w:rPr>
        <w:t>(3）</w:t>
      </w:r>
      <w:r>
        <w:rPr>
          <w:rFonts w:hint="eastAsia" w:ascii="宋体" w:hAnsi="宋体"/>
          <w:szCs w:val="21"/>
          <w:highlight w:val="none"/>
          <w:lang w:val="en-US" w:eastAsia="zh-CN"/>
        </w:rPr>
        <w:t>投标</w:t>
      </w:r>
      <w:r>
        <w:rPr>
          <w:rFonts w:hint="eastAsia" w:ascii="宋体" w:hAnsi="宋体"/>
          <w:szCs w:val="21"/>
          <w:highlight w:val="none"/>
        </w:rPr>
        <w:t>报价：见评审办法前附表；</w:t>
      </w:r>
    </w:p>
    <w:p w14:paraId="094FEA8E">
      <w:pPr>
        <w:spacing w:line="360" w:lineRule="auto"/>
        <w:ind w:firstLine="420" w:firstLineChars="200"/>
        <w:rPr>
          <w:rFonts w:ascii="宋体" w:hAnsi="宋体"/>
          <w:szCs w:val="21"/>
          <w:highlight w:val="none"/>
        </w:rPr>
      </w:pPr>
      <w:r>
        <w:rPr>
          <w:rFonts w:hint="eastAsia" w:ascii="宋体" w:hAnsi="宋体"/>
          <w:szCs w:val="21"/>
          <w:highlight w:val="none"/>
        </w:rPr>
        <w:t>(4）其他评分因素：见评审办法前附表。</w:t>
      </w:r>
    </w:p>
    <w:p w14:paraId="7AE228CF">
      <w:pPr>
        <w:spacing w:line="360" w:lineRule="auto"/>
        <w:ind w:firstLine="420" w:firstLineChars="200"/>
        <w:rPr>
          <w:rFonts w:ascii="宋体" w:hAnsi="宋体"/>
          <w:szCs w:val="21"/>
          <w:highlight w:val="none"/>
        </w:rPr>
      </w:pPr>
      <w:r>
        <w:rPr>
          <w:rFonts w:hint="eastAsia" w:ascii="宋体" w:hAnsi="宋体"/>
          <w:szCs w:val="21"/>
          <w:highlight w:val="none"/>
        </w:rPr>
        <w:t>2.2.2 评审基准价计算</w:t>
      </w:r>
    </w:p>
    <w:p w14:paraId="3C3EF3F1">
      <w:pPr>
        <w:spacing w:line="360" w:lineRule="auto"/>
        <w:ind w:firstLine="420" w:firstLineChars="200"/>
        <w:rPr>
          <w:rFonts w:ascii="宋体" w:hAnsi="宋体"/>
          <w:szCs w:val="21"/>
          <w:highlight w:val="none"/>
        </w:rPr>
      </w:pPr>
      <w:r>
        <w:rPr>
          <w:rFonts w:hint="eastAsia" w:ascii="宋体" w:hAnsi="宋体"/>
          <w:szCs w:val="21"/>
          <w:highlight w:val="none"/>
        </w:rPr>
        <w:t>评审基准价计算方法：见评审办法前附表。</w:t>
      </w:r>
    </w:p>
    <w:p w14:paraId="762B37B9">
      <w:pPr>
        <w:spacing w:line="360" w:lineRule="auto"/>
        <w:ind w:firstLine="420" w:firstLineChars="200"/>
        <w:rPr>
          <w:rFonts w:ascii="宋体" w:hAnsi="宋体"/>
          <w:szCs w:val="21"/>
          <w:highlight w:val="none"/>
        </w:rPr>
      </w:pPr>
      <w:r>
        <w:rPr>
          <w:rFonts w:hint="eastAsia" w:ascii="宋体" w:hAnsi="宋体"/>
          <w:szCs w:val="21"/>
          <w:highlight w:val="none"/>
        </w:rPr>
        <w:t>2.2.3 磋商报价计算公式</w:t>
      </w:r>
    </w:p>
    <w:p w14:paraId="0ECB0A92">
      <w:pPr>
        <w:spacing w:line="360" w:lineRule="auto"/>
        <w:ind w:firstLine="420" w:firstLineChars="200"/>
        <w:rPr>
          <w:rFonts w:ascii="宋体" w:hAnsi="宋体"/>
          <w:szCs w:val="21"/>
          <w:highlight w:val="none"/>
        </w:rPr>
      </w:pPr>
      <w:r>
        <w:rPr>
          <w:rFonts w:hint="eastAsia" w:ascii="宋体" w:hAnsi="宋体"/>
          <w:szCs w:val="21"/>
          <w:highlight w:val="none"/>
        </w:rPr>
        <w:t>磋商报价计算公式：见评审办法前附表。</w:t>
      </w:r>
    </w:p>
    <w:p w14:paraId="4974FE4B">
      <w:pPr>
        <w:spacing w:line="360" w:lineRule="auto"/>
        <w:ind w:firstLine="420" w:firstLineChars="200"/>
        <w:rPr>
          <w:rFonts w:ascii="宋体" w:hAnsi="宋体"/>
          <w:szCs w:val="21"/>
          <w:highlight w:val="none"/>
        </w:rPr>
      </w:pPr>
      <w:r>
        <w:rPr>
          <w:rFonts w:hint="eastAsia" w:ascii="宋体" w:hAnsi="宋体"/>
          <w:szCs w:val="21"/>
          <w:highlight w:val="none"/>
        </w:rPr>
        <w:t>2.2.4 评分标准</w:t>
      </w:r>
    </w:p>
    <w:p w14:paraId="06714B71">
      <w:pPr>
        <w:spacing w:line="360" w:lineRule="auto"/>
        <w:ind w:firstLine="420" w:firstLineChars="200"/>
        <w:rPr>
          <w:rFonts w:ascii="宋体" w:hAnsi="宋体"/>
          <w:szCs w:val="21"/>
          <w:highlight w:val="none"/>
        </w:rPr>
      </w:pPr>
      <w:r>
        <w:rPr>
          <w:rFonts w:hint="eastAsia" w:ascii="宋体" w:hAnsi="宋体"/>
          <w:szCs w:val="21"/>
          <w:highlight w:val="none"/>
        </w:rPr>
        <w:t>(1）施工组织设计评分标准：见评审办法前附表；</w:t>
      </w:r>
    </w:p>
    <w:p w14:paraId="0E0E992B">
      <w:pPr>
        <w:spacing w:line="360" w:lineRule="auto"/>
        <w:ind w:firstLine="420" w:firstLineChars="200"/>
        <w:rPr>
          <w:rFonts w:ascii="宋体" w:hAnsi="宋体"/>
          <w:szCs w:val="21"/>
          <w:highlight w:val="none"/>
        </w:rPr>
      </w:pPr>
      <w:r>
        <w:rPr>
          <w:rFonts w:hint="eastAsia" w:ascii="宋体" w:hAnsi="宋体"/>
          <w:szCs w:val="21"/>
          <w:highlight w:val="none"/>
        </w:rPr>
        <w:t>(2）</w:t>
      </w:r>
      <w:r>
        <w:rPr>
          <w:rFonts w:hint="eastAsia" w:ascii="宋体" w:hAnsi="宋体"/>
          <w:szCs w:val="21"/>
          <w:highlight w:val="none"/>
          <w:lang w:val="en-US" w:eastAsia="zh-CN"/>
        </w:rPr>
        <w:t>商务评分标准</w:t>
      </w:r>
      <w:r>
        <w:rPr>
          <w:rFonts w:hint="eastAsia" w:ascii="宋体" w:hAnsi="宋体"/>
          <w:szCs w:val="21"/>
          <w:highlight w:val="none"/>
        </w:rPr>
        <w:t>：见评审办法前附表；</w:t>
      </w:r>
    </w:p>
    <w:p w14:paraId="5E4C292D">
      <w:pPr>
        <w:spacing w:line="360" w:lineRule="auto"/>
        <w:ind w:firstLine="420" w:firstLineChars="200"/>
        <w:rPr>
          <w:rFonts w:ascii="宋体" w:hAnsi="宋体"/>
          <w:szCs w:val="21"/>
          <w:highlight w:val="none"/>
        </w:rPr>
      </w:pPr>
      <w:r>
        <w:rPr>
          <w:rFonts w:hint="eastAsia" w:ascii="宋体" w:hAnsi="宋体"/>
          <w:szCs w:val="21"/>
          <w:highlight w:val="none"/>
        </w:rPr>
        <w:t>(3）磋商报价评分标准：见评审办法前附表；</w:t>
      </w:r>
    </w:p>
    <w:p w14:paraId="0BBFF57B">
      <w:pPr>
        <w:spacing w:line="360" w:lineRule="auto"/>
        <w:ind w:firstLine="420" w:firstLineChars="200"/>
        <w:rPr>
          <w:rFonts w:ascii="宋体" w:hAnsi="宋体"/>
          <w:szCs w:val="21"/>
          <w:highlight w:val="none"/>
        </w:rPr>
      </w:pPr>
      <w:r>
        <w:rPr>
          <w:rFonts w:hint="eastAsia" w:ascii="宋体" w:hAnsi="宋体"/>
          <w:szCs w:val="21"/>
          <w:highlight w:val="none"/>
        </w:rPr>
        <w:t>(4）其他因素评分标准：见评审办法前附表。</w:t>
      </w:r>
    </w:p>
    <w:p w14:paraId="39452A7A">
      <w:pPr>
        <w:pStyle w:val="5"/>
        <w:rPr>
          <w:rFonts w:ascii="宋体" w:hAnsi="宋体"/>
          <w:highlight w:val="none"/>
        </w:rPr>
      </w:pPr>
      <w:bookmarkStart w:id="146" w:name="_Toc8834"/>
      <w:bookmarkStart w:id="147" w:name="_Toc184635095"/>
      <w:r>
        <w:rPr>
          <w:rFonts w:hint="eastAsia" w:ascii="宋体" w:hAnsi="宋体"/>
          <w:highlight w:val="none"/>
        </w:rPr>
        <w:t>3、评审工作程序</w:t>
      </w:r>
      <w:bookmarkEnd w:id="146"/>
      <w:bookmarkEnd w:id="147"/>
    </w:p>
    <w:p w14:paraId="00B184F6">
      <w:pPr>
        <w:pStyle w:val="6"/>
        <w:rPr>
          <w:rFonts w:ascii="宋体" w:hAnsi="宋体" w:eastAsia="宋体"/>
          <w:highlight w:val="none"/>
        </w:rPr>
      </w:pPr>
      <w:r>
        <w:rPr>
          <w:rFonts w:hint="eastAsia" w:ascii="宋体" w:hAnsi="宋体" w:eastAsia="宋体"/>
          <w:highlight w:val="none"/>
        </w:rPr>
        <w:t>3.1 初步评审</w:t>
      </w:r>
    </w:p>
    <w:p w14:paraId="494D51A1">
      <w:pPr>
        <w:spacing w:line="360" w:lineRule="auto"/>
        <w:ind w:firstLine="420" w:firstLineChars="200"/>
        <w:rPr>
          <w:rFonts w:ascii="宋体" w:hAnsi="宋体"/>
          <w:bCs/>
          <w:szCs w:val="21"/>
          <w:highlight w:val="none"/>
          <w:lang w:val="zh-CN"/>
        </w:rPr>
      </w:pPr>
      <w:r>
        <w:rPr>
          <w:rFonts w:ascii="宋体" w:hAnsi="宋体"/>
          <w:bCs/>
          <w:szCs w:val="21"/>
          <w:highlight w:val="none"/>
          <w:lang w:val="zh-CN"/>
        </w:rPr>
        <w:t>3.1.1</w:t>
      </w:r>
      <w:r>
        <w:rPr>
          <w:rFonts w:hint="eastAsia" w:ascii="宋体" w:hAnsi="宋体"/>
          <w:bCs/>
          <w:szCs w:val="21"/>
          <w:highlight w:val="none"/>
          <w:lang w:val="zh-CN"/>
        </w:rPr>
        <w:t xml:space="preserve"> 磋商小组可以要求供应商提交第二章</w:t>
      </w:r>
      <w:r>
        <w:rPr>
          <w:rFonts w:ascii="宋体" w:hAnsi="宋体"/>
          <w:bCs/>
          <w:szCs w:val="21"/>
          <w:highlight w:val="none"/>
          <w:lang w:val="zh-CN"/>
        </w:rPr>
        <w:t>“</w:t>
      </w:r>
      <w:r>
        <w:rPr>
          <w:rFonts w:hint="eastAsia" w:ascii="宋体" w:hAnsi="宋体"/>
          <w:bCs/>
          <w:szCs w:val="21"/>
          <w:highlight w:val="none"/>
          <w:lang w:val="zh-CN"/>
        </w:rPr>
        <w:t>供应商须知</w:t>
      </w:r>
      <w:r>
        <w:rPr>
          <w:rFonts w:ascii="宋体" w:hAnsi="宋体"/>
          <w:bCs/>
          <w:szCs w:val="21"/>
          <w:highlight w:val="none"/>
          <w:lang w:val="zh-CN"/>
        </w:rPr>
        <w:t>”</w:t>
      </w:r>
      <w:r>
        <w:rPr>
          <w:rFonts w:hint="eastAsia" w:ascii="宋体" w:hAnsi="宋体"/>
          <w:bCs/>
          <w:szCs w:val="21"/>
          <w:highlight w:val="none"/>
          <w:lang w:val="zh-CN"/>
        </w:rPr>
        <w:t>第</w:t>
      </w:r>
      <w:r>
        <w:rPr>
          <w:rFonts w:ascii="宋体" w:hAnsi="宋体"/>
          <w:bCs/>
          <w:szCs w:val="21"/>
          <w:highlight w:val="none"/>
          <w:lang w:val="zh-CN"/>
        </w:rPr>
        <w:t>3</w:t>
      </w:r>
      <w:r>
        <w:rPr>
          <w:rFonts w:hint="eastAsia" w:ascii="宋体" w:hAnsi="宋体"/>
          <w:bCs/>
          <w:szCs w:val="21"/>
          <w:highlight w:val="none"/>
          <w:lang w:val="zh-CN"/>
        </w:rPr>
        <w:t>.5.</w:t>
      </w:r>
      <w:r>
        <w:rPr>
          <w:rFonts w:ascii="宋体" w:hAnsi="宋体"/>
          <w:bCs/>
          <w:szCs w:val="21"/>
          <w:highlight w:val="none"/>
          <w:lang w:val="zh-CN"/>
        </w:rPr>
        <w:t>1</w:t>
      </w:r>
      <w:r>
        <w:rPr>
          <w:rFonts w:hint="eastAsia" w:ascii="宋体" w:hAnsi="宋体"/>
          <w:bCs/>
          <w:szCs w:val="21"/>
          <w:highlight w:val="none"/>
          <w:lang w:val="zh-CN"/>
        </w:rPr>
        <w:t>项至第</w:t>
      </w:r>
      <w:r>
        <w:rPr>
          <w:rFonts w:ascii="宋体" w:hAnsi="宋体"/>
          <w:bCs/>
          <w:szCs w:val="21"/>
          <w:highlight w:val="none"/>
          <w:lang w:val="zh-CN"/>
        </w:rPr>
        <w:t>3</w:t>
      </w:r>
      <w:r>
        <w:rPr>
          <w:rFonts w:hint="eastAsia" w:ascii="宋体" w:hAnsi="宋体"/>
          <w:bCs/>
          <w:szCs w:val="21"/>
          <w:highlight w:val="none"/>
          <w:lang w:val="zh-CN"/>
        </w:rPr>
        <w:t>.</w:t>
      </w:r>
      <w:r>
        <w:rPr>
          <w:rFonts w:ascii="宋体" w:hAnsi="宋体"/>
          <w:bCs/>
          <w:szCs w:val="21"/>
          <w:highlight w:val="none"/>
          <w:lang w:val="zh-CN"/>
        </w:rPr>
        <w:t>5</w:t>
      </w:r>
      <w:r>
        <w:rPr>
          <w:rFonts w:hint="eastAsia" w:ascii="宋体" w:hAnsi="宋体"/>
          <w:bCs/>
          <w:szCs w:val="21"/>
          <w:highlight w:val="none"/>
          <w:lang w:val="zh-CN"/>
        </w:rPr>
        <w:t>.5项规定的有关证明和证件，以便核验。磋商小组依据本章第</w:t>
      </w:r>
      <w:r>
        <w:rPr>
          <w:rFonts w:ascii="宋体" w:hAnsi="宋体"/>
          <w:bCs/>
          <w:szCs w:val="21"/>
          <w:highlight w:val="none"/>
          <w:lang w:val="zh-CN"/>
        </w:rPr>
        <w:t>2.1</w:t>
      </w:r>
      <w:r>
        <w:rPr>
          <w:rFonts w:hint="eastAsia" w:ascii="宋体" w:hAnsi="宋体"/>
          <w:bCs/>
          <w:szCs w:val="21"/>
          <w:highlight w:val="none"/>
          <w:lang w:val="zh-CN"/>
        </w:rPr>
        <w:t>款规定的标准对响应文件进行初步评审。有一项不符合评审标准的，磋商小组应当否决其投标，作废标处理。只有当通过初步评审的投标单位超过3家（包含3家）时，此次投标才能进入详细评审，否则视为具有竞争性投标单位不足3家，应当重新磋商。</w:t>
      </w:r>
    </w:p>
    <w:p w14:paraId="3DF248AC">
      <w:pPr>
        <w:spacing w:line="360" w:lineRule="auto"/>
        <w:ind w:firstLine="420" w:firstLineChars="200"/>
        <w:rPr>
          <w:rFonts w:ascii="宋体" w:hAnsi="宋体"/>
          <w:szCs w:val="21"/>
          <w:highlight w:val="none"/>
        </w:rPr>
      </w:pPr>
      <w:r>
        <w:rPr>
          <w:rFonts w:hint="eastAsia" w:ascii="宋体" w:hAnsi="宋体"/>
          <w:szCs w:val="21"/>
          <w:highlight w:val="none"/>
        </w:rPr>
        <w:t xml:space="preserve">3.1.2 </w:t>
      </w:r>
      <w:r>
        <w:rPr>
          <w:rFonts w:hint="eastAsia" w:ascii="宋体" w:hAnsi="宋体"/>
          <w:szCs w:val="21"/>
          <w:highlight w:val="none"/>
          <w:lang w:eastAsia="zh-CN"/>
        </w:rPr>
        <w:t>供应商</w:t>
      </w:r>
      <w:r>
        <w:rPr>
          <w:rFonts w:hint="eastAsia" w:ascii="宋体" w:hAnsi="宋体"/>
          <w:szCs w:val="21"/>
          <w:highlight w:val="none"/>
        </w:rPr>
        <w:t>有以下情形之一的，其投标作废标处理：</w:t>
      </w:r>
    </w:p>
    <w:p w14:paraId="75597150">
      <w:pPr>
        <w:spacing w:line="360" w:lineRule="auto"/>
        <w:ind w:firstLine="420" w:firstLineChars="200"/>
        <w:rPr>
          <w:rFonts w:ascii="宋体" w:hAnsi="宋体"/>
          <w:szCs w:val="21"/>
          <w:highlight w:val="none"/>
        </w:rPr>
      </w:pPr>
      <w:r>
        <w:rPr>
          <w:rFonts w:hint="eastAsia" w:ascii="宋体" w:hAnsi="宋体"/>
          <w:szCs w:val="21"/>
          <w:highlight w:val="none"/>
        </w:rPr>
        <w:t>(l）第二章“</w:t>
      </w:r>
      <w:r>
        <w:rPr>
          <w:rFonts w:hint="eastAsia" w:ascii="宋体" w:hAnsi="宋体"/>
          <w:szCs w:val="21"/>
          <w:highlight w:val="none"/>
          <w:lang w:eastAsia="zh-CN"/>
        </w:rPr>
        <w:t>供应商</w:t>
      </w:r>
      <w:r>
        <w:rPr>
          <w:rFonts w:hint="eastAsia" w:ascii="宋体" w:hAnsi="宋体"/>
          <w:szCs w:val="21"/>
          <w:highlight w:val="none"/>
        </w:rPr>
        <w:t>须知”第1.4.3 项规定的任何一种情形的：</w:t>
      </w:r>
    </w:p>
    <w:p w14:paraId="5A4F80B5">
      <w:pPr>
        <w:spacing w:line="360" w:lineRule="auto"/>
        <w:ind w:firstLine="420" w:firstLineChars="200"/>
        <w:rPr>
          <w:rFonts w:ascii="宋体" w:hAnsi="宋体"/>
          <w:szCs w:val="21"/>
          <w:highlight w:val="none"/>
        </w:rPr>
      </w:pPr>
      <w:r>
        <w:rPr>
          <w:rFonts w:hint="eastAsia" w:ascii="宋体" w:hAnsi="宋体"/>
          <w:szCs w:val="21"/>
          <w:highlight w:val="none"/>
        </w:rPr>
        <w:t>(2）串通投标或弄虚作假或有其他违法行为的；</w:t>
      </w:r>
    </w:p>
    <w:p w14:paraId="1FCFF48A">
      <w:pPr>
        <w:spacing w:line="360" w:lineRule="auto"/>
        <w:ind w:firstLine="420" w:firstLineChars="200"/>
        <w:rPr>
          <w:rFonts w:ascii="宋体" w:hAnsi="宋体"/>
          <w:szCs w:val="21"/>
          <w:highlight w:val="none"/>
        </w:rPr>
      </w:pPr>
      <w:r>
        <w:rPr>
          <w:rFonts w:hint="eastAsia" w:ascii="宋体" w:hAnsi="宋体"/>
          <w:szCs w:val="21"/>
          <w:highlight w:val="none"/>
        </w:rPr>
        <w:t>(3）不按磋商小组要求澄清、说明或补正的。</w:t>
      </w:r>
    </w:p>
    <w:p w14:paraId="54DD6DB4">
      <w:pPr>
        <w:spacing w:line="360" w:lineRule="auto"/>
        <w:ind w:firstLine="420" w:firstLineChars="200"/>
        <w:rPr>
          <w:rFonts w:ascii="宋体" w:hAnsi="宋体"/>
          <w:szCs w:val="21"/>
          <w:highlight w:val="none"/>
        </w:rPr>
      </w:pPr>
      <w:r>
        <w:rPr>
          <w:rFonts w:hint="eastAsia" w:ascii="宋体" w:hAnsi="宋体"/>
          <w:szCs w:val="21"/>
          <w:highlight w:val="none"/>
        </w:rPr>
        <w:t>3.1.3 磋商报价有算术错误的，磋商小组按以下原则对磋商报价进行修正，修正的价格经</w:t>
      </w:r>
      <w:r>
        <w:rPr>
          <w:rFonts w:hint="eastAsia" w:ascii="宋体" w:hAnsi="宋体"/>
          <w:szCs w:val="21"/>
          <w:highlight w:val="none"/>
          <w:lang w:eastAsia="zh-CN"/>
        </w:rPr>
        <w:t>供应商</w:t>
      </w:r>
      <w:r>
        <w:rPr>
          <w:rFonts w:hint="eastAsia" w:ascii="宋体" w:hAnsi="宋体"/>
          <w:szCs w:val="21"/>
          <w:highlight w:val="none"/>
        </w:rPr>
        <w:t>书面确认后具有约束力。</w:t>
      </w:r>
      <w:r>
        <w:rPr>
          <w:rFonts w:hint="eastAsia" w:ascii="宋体" w:hAnsi="宋体"/>
          <w:szCs w:val="21"/>
          <w:highlight w:val="none"/>
          <w:lang w:eastAsia="zh-CN"/>
        </w:rPr>
        <w:t>供应商</w:t>
      </w:r>
      <w:r>
        <w:rPr>
          <w:rFonts w:hint="eastAsia" w:ascii="宋体" w:hAnsi="宋体"/>
          <w:szCs w:val="21"/>
          <w:highlight w:val="none"/>
        </w:rPr>
        <w:t>不接受修正价格的，其投标作废标处理。</w:t>
      </w:r>
    </w:p>
    <w:p w14:paraId="5ADBEA7D">
      <w:pPr>
        <w:spacing w:line="360" w:lineRule="auto"/>
        <w:ind w:firstLine="420" w:firstLineChars="200"/>
        <w:rPr>
          <w:rFonts w:ascii="宋体" w:hAnsi="宋体"/>
          <w:szCs w:val="21"/>
          <w:highlight w:val="none"/>
        </w:rPr>
      </w:pPr>
      <w:r>
        <w:rPr>
          <w:rFonts w:hint="eastAsia" w:ascii="宋体" w:hAnsi="宋体"/>
          <w:szCs w:val="21"/>
          <w:highlight w:val="none"/>
        </w:rPr>
        <w:t>(1）响应文件中的大写金额与小写金额不一致的，以大写金额为准；</w:t>
      </w:r>
    </w:p>
    <w:p w14:paraId="43B57134">
      <w:pPr>
        <w:spacing w:line="360" w:lineRule="auto"/>
        <w:ind w:firstLine="420" w:firstLineChars="200"/>
        <w:rPr>
          <w:rFonts w:ascii="宋体" w:hAnsi="宋体"/>
          <w:szCs w:val="21"/>
          <w:highlight w:val="none"/>
        </w:rPr>
      </w:pPr>
      <w:r>
        <w:rPr>
          <w:rFonts w:hint="eastAsia" w:ascii="宋体" w:hAnsi="宋体"/>
          <w:szCs w:val="21"/>
          <w:highlight w:val="none"/>
        </w:rPr>
        <w:t>(2）总价金额与依据单价计算出的结果不一致的，以单价金额为准修正总价，但单价金额小数点有明显错误的除外。</w:t>
      </w:r>
    </w:p>
    <w:p w14:paraId="3CD70F15">
      <w:pPr>
        <w:pStyle w:val="6"/>
        <w:rPr>
          <w:rFonts w:ascii="宋体" w:hAnsi="宋体" w:eastAsia="宋体"/>
          <w:highlight w:val="none"/>
        </w:rPr>
      </w:pPr>
      <w:bookmarkStart w:id="148" w:name="_Toc447010080"/>
      <w:r>
        <w:rPr>
          <w:rFonts w:hint="eastAsia" w:ascii="宋体" w:hAnsi="宋体" w:eastAsia="宋体"/>
          <w:highlight w:val="none"/>
        </w:rPr>
        <w:t>3.</w:t>
      </w:r>
      <w:r>
        <w:rPr>
          <w:rFonts w:ascii="宋体" w:hAnsi="宋体" w:eastAsia="宋体"/>
          <w:highlight w:val="none"/>
        </w:rPr>
        <w:t>2</w:t>
      </w:r>
      <w:r>
        <w:rPr>
          <w:rFonts w:hint="eastAsia" w:ascii="宋体" w:hAnsi="宋体" w:eastAsia="宋体"/>
          <w:highlight w:val="none"/>
        </w:rPr>
        <w:t>响应文件的澄清</w:t>
      </w:r>
      <w:bookmarkEnd w:id="148"/>
    </w:p>
    <w:p w14:paraId="7E87CF04">
      <w:pPr>
        <w:spacing w:line="360" w:lineRule="auto"/>
        <w:ind w:firstLine="420" w:firstLineChars="200"/>
        <w:rPr>
          <w:rFonts w:ascii="宋体" w:hAnsi="宋体"/>
          <w:szCs w:val="21"/>
          <w:highlight w:val="none"/>
        </w:rPr>
      </w:pPr>
      <w:r>
        <w:rPr>
          <w:rFonts w:hint="eastAsia" w:ascii="宋体" w:hAnsi="宋体"/>
          <w:szCs w:val="21"/>
          <w:highlight w:val="none"/>
        </w:rPr>
        <w:t>在评审过程中，磋商小组可以书面形式，要求</w:t>
      </w:r>
      <w:r>
        <w:rPr>
          <w:rFonts w:hint="eastAsia" w:ascii="宋体" w:hAnsi="宋体"/>
          <w:szCs w:val="21"/>
          <w:highlight w:val="none"/>
          <w:lang w:eastAsia="zh-CN"/>
        </w:rPr>
        <w:t>供应商</w:t>
      </w:r>
      <w:r>
        <w:rPr>
          <w:rFonts w:hint="eastAsia" w:ascii="宋体" w:hAnsi="宋体"/>
          <w:szCs w:val="21"/>
          <w:highlight w:val="none"/>
        </w:rPr>
        <w:t>对所提交的响应文件中不明确的内容进行必要的澄清或说明。</w:t>
      </w:r>
      <w:r>
        <w:rPr>
          <w:rFonts w:hint="eastAsia" w:ascii="宋体" w:hAnsi="宋体"/>
          <w:szCs w:val="21"/>
          <w:highlight w:val="none"/>
          <w:lang w:eastAsia="zh-CN"/>
        </w:rPr>
        <w:t>供应商</w:t>
      </w:r>
      <w:r>
        <w:rPr>
          <w:rFonts w:hint="eastAsia" w:ascii="宋体" w:hAnsi="宋体"/>
          <w:szCs w:val="21"/>
          <w:highlight w:val="none"/>
        </w:rPr>
        <w:t>的澄清或说明采用书面形式，并不得改变响应文件的实质性内容。</w:t>
      </w:r>
      <w:r>
        <w:rPr>
          <w:rFonts w:hint="eastAsia" w:ascii="宋体" w:hAnsi="宋体"/>
          <w:szCs w:val="21"/>
          <w:highlight w:val="none"/>
          <w:lang w:eastAsia="zh-CN"/>
        </w:rPr>
        <w:t>供应商</w:t>
      </w:r>
      <w:r>
        <w:rPr>
          <w:rFonts w:hint="eastAsia" w:ascii="宋体" w:hAnsi="宋体"/>
          <w:szCs w:val="21"/>
          <w:highlight w:val="none"/>
        </w:rPr>
        <w:t>的澄清和说明内容属于响应文件的组成部分。采购人和磋商小组不接受</w:t>
      </w:r>
      <w:r>
        <w:rPr>
          <w:rFonts w:hint="eastAsia" w:ascii="宋体" w:hAnsi="宋体"/>
          <w:szCs w:val="21"/>
          <w:highlight w:val="none"/>
          <w:lang w:eastAsia="zh-CN"/>
        </w:rPr>
        <w:t>供应商</w:t>
      </w:r>
      <w:r>
        <w:rPr>
          <w:rFonts w:hint="eastAsia" w:ascii="宋体" w:hAnsi="宋体"/>
          <w:szCs w:val="21"/>
          <w:highlight w:val="none"/>
        </w:rPr>
        <w:t>主动提出的澄清或说明。</w:t>
      </w:r>
    </w:p>
    <w:p w14:paraId="31415C47">
      <w:pPr>
        <w:pStyle w:val="6"/>
        <w:rPr>
          <w:rFonts w:ascii="宋体" w:hAnsi="宋体" w:eastAsia="宋体"/>
          <w:highlight w:val="none"/>
        </w:rPr>
      </w:pPr>
      <w:r>
        <w:rPr>
          <w:rFonts w:hint="eastAsia" w:ascii="宋体" w:hAnsi="宋体" w:eastAsia="宋体"/>
          <w:highlight w:val="none"/>
        </w:rPr>
        <w:t>3.3详细评审</w:t>
      </w:r>
    </w:p>
    <w:p w14:paraId="4BFD4C82">
      <w:pPr>
        <w:spacing w:line="360" w:lineRule="auto"/>
        <w:ind w:firstLine="420" w:firstLineChars="200"/>
        <w:rPr>
          <w:rFonts w:ascii="宋体" w:hAnsi="宋体"/>
          <w:szCs w:val="21"/>
          <w:highlight w:val="none"/>
        </w:rPr>
      </w:pPr>
      <w:r>
        <w:rPr>
          <w:rFonts w:hint="eastAsia" w:ascii="宋体" w:hAnsi="宋体"/>
          <w:szCs w:val="21"/>
          <w:highlight w:val="none"/>
        </w:rPr>
        <w:t>3.3.1最后报价结束后，磋商小组依据本章第2.2款规定的标准，对提交最后报价的</w:t>
      </w:r>
      <w:r>
        <w:rPr>
          <w:rFonts w:hint="eastAsia" w:ascii="宋体" w:hAnsi="宋体"/>
          <w:szCs w:val="21"/>
          <w:highlight w:val="none"/>
          <w:lang w:eastAsia="zh-CN"/>
        </w:rPr>
        <w:t>供应商</w:t>
      </w:r>
      <w:r>
        <w:rPr>
          <w:rFonts w:hint="eastAsia" w:ascii="宋体" w:hAnsi="宋体"/>
          <w:szCs w:val="21"/>
          <w:highlight w:val="none"/>
        </w:rPr>
        <w:t>的响应文件和最后报价进行综合评分。</w:t>
      </w:r>
    </w:p>
    <w:p w14:paraId="51F11482">
      <w:pPr>
        <w:spacing w:line="360" w:lineRule="auto"/>
        <w:ind w:firstLine="420" w:firstLineChars="200"/>
        <w:rPr>
          <w:rFonts w:ascii="宋体" w:hAnsi="宋体"/>
          <w:szCs w:val="21"/>
          <w:highlight w:val="none"/>
        </w:rPr>
      </w:pPr>
      <w:r>
        <w:rPr>
          <w:rFonts w:hint="eastAsia" w:ascii="宋体" w:hAnsi="宋体"/>
          <w:szCs w:val="21"/>
          <w:highlight w:val="none"/>
        </w:rPr>
        <w:t>(1）按本章第2.2.4(1）目规定的评审因素和分值对施工组织设计计算出得分A ；</w:t>
      </w:r>
    </w:p>
    <w:p w14:paraId="17E1126B">
      <w:pPr>
        <w:spacing w:line="360" w:lineRule="auto"/>
        <w:ind w:firstLine="420" w:firstLineChars="200"/>
        <w:rPr>
          <w:rFonts w:ascii="宋体" w:hAnsi="宋体"/>
          <w:szCs w:val="21"/>
          <w:highlight w:val="none"/>
        </w:rPr>
      </w:pPr>
      <w:r>
        <w:rPr>
          <w:rFonts w:hint="eastAsia" w:ascii="宋体" w:hAnsi="宋体"/>
          <w:szCs w:val="21"/>
          <w:highlight w:val="none"/>
        </w:rPr>
        <w:t>(2）按本章第2.2.4(2）目规定的评审因素和分值对</w:t>
      </w:r>
      <w:r>
        <w:rPr>
          <w:rFonts w:hint="eastAsia" w:ascii="宋体" w:hAnsi="宋体"/>
          <w:szCs w:val="21"/>
          <w:highlight w:val="none"/>
          <w:lang w:val="en-US" w:eastAsia="zh-CN"/>
        </w:rPr>
        <w:t>商务评分标准</w:t>
      </w:r>
      <w:r>
        <w:rPr>
          <w:rFonts w:hint="eastAsia" w:ascii="宋体" w:hAnsi="宋体"/>
          <w:szCs w:val="21"/>
          <w:highlight w:val="none"/>
        </w:rPr>
        <w:t>计算出得分B；</w:t>
      </w:r>
    </w:p>
    <w:p w14:paraId="429504D3">
      <w:pPr>
        <w:spacing w:line="360" w:lineRule="auto"/>
        <w:ind w:firstLine="420" w:firstLineChars="200"/>
        <w:rPr>
          <w:rFonts w:ascii="宋体" w:hAnsi="宋体"/>
          <w:szCs w:val="21"/>
          <w:highlight w:val="none"/>
        </w:rPr>
      </w:pPr>
      <w:r>
        <w:rPr>
          <w:rFonts w:hint="eastAsia" w:ascii="宋体" w:hAnsi="宋体"/>
          <w:szCs w:val="21"/>
          <w:highlight w:val="none"/>
        </w:rPr>
        <w:t>(3）按本章第2.2.4(3）目规定的评审因素和分值对磋商报价计算出得分C；</w:t>
      </w:r>
    </w:p>
    <w:p w14:paraId="290CA451">
      <w:pPr>
        <w:spacing w:line="360" w:lineRule="auto"/>
        <w:ind w:firstLine="420" w:firstLineChars="200"/>
        <w:rPr>
          <w:rFonts w:ascii="宋体" w:hAnsi="宋体"/>
          <w:szCs w:val="21"/>
          <w:highlight w:val="none"/>
        </w:rPr>
      </w:pPr>
      <w:r>
        <w:rPr>
          <w:rFonts w:hint="eastAsia" w:ascii="宋体" w:hAnsi="宋体"/>
          <w:szCs w:val="21"/>
          <w:highlight w:val="none"/>
        </w:rPr>
        <w:t>(4）按本章第2.2.4(4）目规定的评审因素和分值对其他部分计算出得分D 。</w:t>
      </w:r>
    </w:p>
    <w:p w14:paraId="60347257">
      <w:pPr>
        <w:spacing w:line="360" w:lineRule="auto"/>
        <w:ind w:firstLine="420" w:firstLineChars="200"/>
        <w:rPr>
          <w:rFonts w:ascii="宋体" w:hAnsi="宋体"/>
          <w:szCs w:val="21"/>
          <w:highlight w:val="none"/>
        </w:rPr>
      </w:pPr>
      <w:r>
        <w:rPr>
          <w:rFonts w:hint="eastAsia" w:ascii="宋体" w:hAnsi="宋体"/>
          <w:szCs w:val="21"/>
          <w:highlight w:val="none"/>
        </w:rPr>
        <w:t>3.3.2 评分分值计算保留小数点后两位，小数点后第三位“四舍五入”。</w:t>
      </w:r>
    </w:p>
    <w:p w14:paraId="218C127A">
      <w:pPr>
        <w:spacing w:line="360" w:lineRule="auto"/>
        <w:ind w:firstLine="420" w:firstLineChars="200"/>
        <w:rPr>
          <w:rFonts w:ascii="宋体" w:hAnsi="宋体" w:cs="宋体"/>
          <w:bCs/>
          <w:szCs w:val="21"/>
          <w:highlight w:val="none"/>
          <w:lang w:val="zh-CN"/>
        </w:rPr>
      </w:pPr>
      <w:r>
        <w:rPr>
          <w:rFonts w:hint="eastAsia" w:ascii="宋体" w:hAnsi="宋体" w:cs="宋体"/>
          <w:bCs/>
          <w:szCs w:val="21"/>
          <w:highlight w:val="none"/>
          <w:lang w:val="zh-CN"/>
        </w:rPr>
        <w:t>3.2.3 得分汇总E=A+B+C+D。</w:t>
      </w:r>
    </w:p>
    <w:p w14:paraId="5D930534">
      <w:pPr>
        <w:spacing w:line="360" w:lineRule="auto"/>
        <w:ind w:firstLine="420" w:firstLineChars="200"/>
        <w:rPr>
          <w:rFonts w:ascii="宋体" w:hAnsi="宋体"/>
          <w:szCs w:val="21"/>
          <w:highlight w:val="none"/>
        </w:rPr>
      </w:pPr>
      <w:r>
        <w:rPr>
          <w:rFonts w:hint="eastAsia" w:ascii="宋体" w:hAnsi="宋体"/>
          <w:szCs w:val="21"/>
          <w:highlight w:val="none"/>
        </w:rPr>
        <w:t>3.3.4</w:t>
      </w:r>
      <w:r>
        <w:rPr>
          <w:rFonts w:hint="eastAsia" w:ascii="宋体" w:hAnsi="宋体"/>
          <w:szCs w:val="21"/>
          <w:highlight w:val="none"/>
          <w:lang w:eastAsia="zh-CN"/>
        </w:rPr>
        <w:t>供应商</w:t>
      </w:r>
      <w:r>
        <w:rPr>
          <w:rFonts w:hint="eastAsia" w:ascii="宋体" w:hAnsi="宋体"/>
          <w:szCs w:val="21"/>
          <w:highlight w:val="none"/>
        </w:rPr>
        <w:t>得分E=</w:t>
      </w:r>
      <w:r>
        <w:rPr>
          <w:rFonts w:hint="eastAsia" w:ascii="宋体" w:hAnsi="宋体" w:cs="宋体"/>
          <w:bCs/>
          <w:szCs w:val="21"/>
          <w:highlight w:val="none"/>
          <w:lang w:val="zh-CN"/>
        </w:rPr>
        <w:t>（E1+E2+E3 ）/3</w:t>
      </w:r>
      <w:r>
        <w:rPr>
          <w:rFonts w:hint="eastAsia" w:ascii="宋体" w:hAnsi="宋体"/>
          <w:szCs w:val="21"/>
          <w:highlight w:val="none"/>
        </w:rPr>
        <w:t>。</w:t>
      </w:r>
    </w:p>
    <w:p w14:paraId="720F51EA">
      <w:pPr>
        <w:spacing w:line="360" w:lineRule="auto"/>
        <w:ind w:firstLine="420" w:firstLineChars="200"/>
        <w:rPr>
          <w:rFonts w:ascii="宋体" w:hAnsi="宋体"/>
          <w:szCs w:val="21"/>
          <w:highlight w:val="none"/>
        </w:rPr>
      </w:pPr>
      <w:r>
        <w:rPr>
          <w:rFonts w:hint="eastAsia" w:ascii="宋体" w:hAnsi="宋体"/>
          <w:szCs w:val="21"/>
          <w:highlight w:val="none"/>
        </w:rPr>
        <w:t>3.3.5 磋商小组发现</w:t>
      </w:r>
      <w:r>
        <w:rPr>
          <w:rFonts w:hint="eastAsia" w:ascii="宋体" w:hAnsi="宋体"/>
          <w:szCs w:val="21"/>
          <w:highlight w:val="none"/>
          <w:lang w:eastAsia="zh-CN"/>
        </w:rPr>
        <w:t>供应商</w:t>
      </w:r>
      <w:r>
        <w:rPr>
          <w:rFonts w:hint="eastAsia" w:ascii="宋体" w:hAnsi="宋体"/>
          <w:szCs w:val="21"/>
          <w:highlight w:val="none"/>
        </w:rPr>
        <w:t>的报价明显低于其他磋商报价，或者在设有标底时明显低于标底，使得其磋商报价可能低于其个别成本的，应当要求该</w:t>
      </w:r>
      <w:r>
        <w:rPr>
          <w:rFonts w:hint="eastAsia" w:ascii="宋体" w:hAnsi="宋体"/>
          <w:szCs w:val="21"/>
          <w:highlight w:val="none"/>
          <w:lang w:eastAsia="zh-CN"/>
        </w:rPr>
        <w:t>供应商</w:t>
      </w:r>
      <w:r>
        <w:rPr>
          <w:rFonts w:hint="eastAsia" w:ascii="宋体" w:hAnsi="宋体"/>
          <w:szCs w:val="21"/>
          <w:highlight w:val="none"/>
        </w:rPr>
        <w:t>在评审现场合理的时间内作出书面说明，必要时提供相应的证明材料。</w:t>
      </w:r>
      <w:r>
        <w:rPr>
          <w:rFonts w:hint="eastAsia" w:ascii="宋体" w:hAnsi="宋体"/>
          <w:szCs w:val="21"/>
          <w:highlight w:val="none"/>
          <w:lang w:eastAsia="zh-CN"/>
        </w:rPr>
        <w:t>供应商</w:t>
      </w:r>
      <w:r>
        <w:rPr>
          <w:rFonts w:hint="eastAsia" w:ascii="宋体" w:hAnsi="宋体"/>
          <w:szCs w:val="21"/>
          <w:highlight w:val="none"/>
        </w:rPr>
        <w:t>不能合理说明或者不能提供相应证明材料的，由磋商小组认定该</w:t>
      </w:r>
      <w:r>
        <w:rPr>
          <w:rFonts w:hint="eastAsia" w:ascii="宋体" w:hAnsi="宋体"/>
          <w:szCs w:val="21"/>
          <w:highlight w:val="none"/>
          <w:lang w:eastAsia="zh-CN"/>
        </w:rPr>
        <w:t>供应商</w:t>
      </w:r>
      <w:r>
        <w:rPr>
          <w:rFonts w:hint="eastAsia" w:ascii="宋体" w:hAnsi="宋体"/>
          <w:szCs w:val="21"/>
          <w:highlight w:val="none"/>
        </w:rPr>
        <w:t>以低于成本报价竞标，其投标作废标处理。</w:t>
      </w:r>
    </w:p>
    <w:p w14:paraId="3AD22D05">
      <w:pPr>
        <w:pStyle w:val="6"/>
        <w:rPr>
          <w:rFonts w:ascii="宋体" w:hAnsi="宋体" w:eastAsia="宋体"/>
          <w:highlight w:val="none"/>
        </w:rPr>
      </w:pPr>
      <w:r>
        <w:rPr>
          <w:rFonts w:hint="eastAsia" w:ascii="宋体" w:hAnsi="宋体" w:eastAsia="宋体"/>
          <w:highlight w:val="none"/>
        </w:rPr>
        <w:t>3.4 评审结果</w:t>
      </w:r>
    </w:p>
    <w:p w14:paraId="073D3F64">
      <w:pPr>
        <w:spacing w:line="360" w:lineRule="auto"/>
        <w:ind w:firstLine="420" w:firstLineChars="200"/>
        <w:rPr>
          <w:rFonts w:ascii="宋体" w:hAnsi="宋体"/>
          <w:szCs w:val="21"/>
          <w:highlight w:val="none"/>
        </w:rPr>
      </w:pPr>
      <w:r>
        <w:rPr>
          <w:rFonts w:hint="eastAsia" w:ascii="宋体" w:hAnsi="宋体"/>
          <w:szCs w:val="21"/>
          <w:highlight w:val="none"/>
        </w:rPr>
        <w:t>3.4.1 除第二章“</w:t>
      </w:r>
      <w:r>
        <w:rPr>
          <w:rFonts w:hint="eastAsia" w:ascii="宋体" w:hAnsi="宋体"/>
          <w:szCs w:val="21"/>
          <w:highlight w:val="none"/>
          <w:lang w:eastAsia="zh-CN"/>
        </w:rPr>
        <w:t>供应商</w:t>
      </w:r>
      <w:r>
        <w:rPr>
          <w:rFonts w:hint="eastAsia" w:ascii="宋体" w:hAnsi="宋体"/>
          <w:szCs w:val="21"/>
          <w:highlight w:val="none"/>
        </w:rPr>
        <w:t>须知”前附表授权直接确定</w:t>
      </w:r>
      <w:r>
        <w:rPr>
          <w:rFonts w:hint="eastAsia" w:ascii="宋体" w:hAnsi="宋体"/>
          <w:szCs w:val="21"/>
          <w:highlight w:val="none"/>
          <w:lang w:eastAsia="zh-CN"/>
        </w:rPr>
        <w:t>成交</w:t>
      </w:r>
      <w:r>
        <w:rPr>
          <w:rFonts w:hint="eastAsia" w:ascii="宋体" w:hAnsi="宋体"/>
          <w:szCs w:val="21"/>
          <w:highlight w:val="none"/>
        </w:rPr>
        <w:t>成交单位外，磋商小组按照得分高到低的顺序推荐成交候选人。</w:t>
      </w:r>
    </w:p>
    <w:p w14:paraId="63921757">
      <w:pPr>
        <w:rPr>
          <w:rFonts w:hint="eastAsia" w:ascii="宋体" w:hAnsi="宋体" w:cs="宋体"/>
          <w:b/>
          <w:szCs w:val="21"/>
        </w:rPr>
      </w:pPr>
      <w:r>
        <w:rPr>
          <w:rFonts w:hint="eastAsia" w:ascii="宋体" w:hAnsi="宋体"/>
          <w:szCs w:val="21"/>
          <w:highlight w:val="none"/>
        </w:rPr>
        <w:t>3.4.2 磋商小组完成评审工作后，应当向采购人提交书面评审报告。</w:t>
      </w:r>
      <w:r>
        <w:rPr>
          <w:rFonts w:hint="eastAsia" w:ascii="宋体" w:hAnsi="宋体" w:cs="宋体"/>
          <w:b/>
          <w:szCs w:val="21"/>
        </w:rPr>
        <w:br w:type="page"/>
      </w:r>
    </w:p>
    <w:bookmarkEnd w:id="142"/>
    <w:p w14:paraId="102A5BD7">
      <w:pPr>
        <w:pStyle w:val="3"/>
        <w:jc w:val="center"/>
      </w:pPr>
      <w:bookmarkStart w:id="149" w:name="_Toc19580"/>
      <w:bookmarkStart w:id="150" w:name="_Toc54258235"/>
      <w:r>
        <w:rPr>
          <w:rFonts w:hint="eastAsia"/>
          <w:color w:val="000000" w:themeColor="text1"/>
          <w:sz w:val="36"/>
          <w:szCs w:val="36"/>
          <w14:textFill>
            <w14:solidFill>
              <w14:schemeClr w14:val="tx1"/>
            </w14:solidFill>
          </w14:textFill>
        </w:rPr>
        <w:t>第四章合同条款及格式</w:t>
      </w:r>
      <w:bookmarkEnd w:id="149"/>
    </w:p>
    <w:p w14:paraId="1307ADA9">
      <w:pPr>
        <w:pStyle w:val="5"/>
        <w:ind w:left="0" w:firstLine="0"/>
        <w:jc w:val="both"/>
      </w:pPr>
    </w:p>
    <w:p w14:paraId="3014DDA4"/>
    <w:p w14:paraId="7899F738">
      <w:pPr>
        <w:pStyle w:val="5"/>
      </w:pPr>
    </w:p>
    <w:p w14:paraId="786BA7DF"/>
    <w:p w14:paraId="3FEC45BE">
      <w:pPr>
        <w:pStyle w:val="5"/>
      </w:pPr>
    </w:p>
    <w:p w14:paraId="530D6C2A"/>
    <w:p w14:paraId="1DD6D92B">
      <w:pPr>
        <w:pStyle w:val="5"/>
      </w:pPr>
    </w:p>
    <w:p w14:paraId="692FAA97"/>
    <w:p w14:paraId="0FFEDEF4">
      <w:pPr>
        <w:pStyle w:val="5"/>
      </w:pPr>
    </w:p>
    <w:p w14:paraId="76C5F217"/>
    <w:p w14:paraId="193A941C">
      <w:pPr>
        <w:jc w:val="center"/>
        <w:rPr>
          <w:rFonts w:ascii="新宋体" w:eastAsia="新宋体"/>
          <w:b/>
          <w:color w:val="0F0F0F"/>
          <w:sz w:val="32"/>
          <w:szCs w:val="32"/>
        </w:rPr>
      </w:pPr>
    </w:p>
    <w:p w14:paraId="3CF0BB06">
      <w:pPr>
        <w:jc w:val="center"/>
        <w:rPr>
          <w:rFonts w:ascii="新宋体" w:eastAsia="新宋体"/>
          <w:b/>
          <w:color w:val="0F0F0F"/>
          <w:sz w:val="32"/>
          <w:szCs w:val="32"/>
        </w:rPr>
      </w:pPr>
    </w:p>
    <w:p w14:paraId="0700CE59">
      <w:pPr>
        <w:jc w:val="center"/>
        <w:rPr>
          <w:rFonts w:ascii="新宋体" w:eastAsia="新宋体"/>
          <w:b/>
          <w:color w:val="0F0F0F"/>
          <w:sz w:val="32"/>
          <w:szCs w:val="32"/>
        </w:rPr>
      </w:pPr>
    </w:p>
    <w:p w14:paraId="0C68A1BD">
      <w:pPr>
        <w:jc w:val="center"/>
        <w:rPr>
          <w:rFonts w:ascii="新宋体" w:eastAsia="新宋体"/>
          <w:b/>
          <w:color w:val="0F0F0F"/>
          <w:sz w:val="32"/>
          <w:szCs w:val="32"/>
        </w:rPr>
      </w:pPr>
    </w:p>
    <w:p w14:paraId="585D38BA">
      <w:pPr>
        <w:jc w:val="center"/>
        <w:rPr>
          <w:rFonts w:ascii="新宋体" w:eastAsia="新宋体"/>
          <w:b/>
          <w:color w:val="0F0F0F"/>
          <w:sz w:val="32"/>
          <w:szCs w:val="32"/>
        </w:rPr>
      </w:pPr>
    </w:p>
    <w:p w14:paraId="22639018">
      <w:pPr>
        <w:jc w:val="center"/>
        <w:rPr>
          <w:rFonts w:ascii="新宋体" w:eastAsia="新宋体"/>
          <w:b/>
          <w:color w:val="0F0F0F"/>
          <w:sz w:val="32"/>
          <w:szCs w:val="32"/>
        </w:rPr>
      </w:pPr>
    </w:p>
    <w:p w14:paraId="10A1F509">
      <w:pPr>
        <w:jc w:val="center"/>
        <w:rPr>
          <w:rFonts w:ascii="新宋体" w:eastAsia="新宋体"/>
          <w:b/>
          <w:color w:val="0F0F0F"/>
          <w:sz w:val="32"/>
          <w:szCs w:val="32"/>
        </w:rPr>
      </w:pPr>
    </w:p>
    <w:p w14:paraId="21FEE909">
      <w:pPr>
        <w:jc w:val="center"/>
        <w:rPr>
          <w:rFonts w:ascii="新宋体" w:eastAsia="新宋体"/>
          <w:b/>
          <w:color w:val="0F0F0F"/>
          <w:sz w:val="32"/>
          <w:szCs w:val="32"/>
        </w:rPr>
      </w:pPr>
    </w:p>
    <w:p w14:paraId="02A33F51">
      <w:pPr>
        <w:jc w:val="center"/>
        <w:rPr>
          <w:rFonts w:ascii="新宋体" w:eastAsia="新宋体"/>
          <w:b/>
          <w:color w:val="0F0F0F"/>
          <w:sz w:val="32"/>
          <w:szCs w:val="32"/>
        </w:rPr>
      </w:pPr>
    </w:p>
    <w:p w14:paraId="7B9996B7">
      <w:pPr>
        <w:jc w:val="center"/>
        <w:rPr>
          <w:rFonts w:ascii="新宋体" w:eastAsia="新宋体"/>
          <w:b/>
          <w:color w:val="0F0F0F"/>
          <w:sz w:val="32"/>
          <w:szCs w:val="32"/>
        </w:rPr>
      </w:pPr>
    </w:p>
    <w:p w14:paraId="3ABEAB3D">
      <w:pPr>
        <w:jc w:val="center"/>
        <w:rPr>
          <w:rFonts w:ascii="新宋体" w:eastAsia="新宋体"/>
          <w:b/>
          <w:color w:val="0F0F0F"/>
          <w:sz w:val="32"/>
          <w:szCs w:val="32"/>
        </w:rPr>
      </w:pPr>
    </w:p>
    <w:p w14:paraId="6FAF4C0C">
      <w:pPr>
        <w:jc w:val="center"/>
        <w:rPr>
          <w:rFonts w:ascii="新宋体" w:eastAsia="新宋体"/>
          <w:b/>
          <w:color w:val="0F0F0F"/>
          <w:sz w:val="32"/>
          <w:szCs w:val="32"/>
        </w:rPr>
      </w:pPr>
    </w:p>
    <w:p w14:paraId="5AEBF8F6">
      <w:pPr>
        <w:jc w:val="center"/>
        <w:rPr>
          <w:rFonts w:ascii="新宋体" w:eastAsia="新宋体"/>
          <w:b/>
          <w:color w:val="0F0F0F"/>
          <w:sz w:val="32"/>
          <w:szCs w:val="32"/>
        </w:rPr>
      </w:pPr>
    </w:p>
    <w:p w14:paraId="1F78DC55">
      <w:pPr>
        <w:jc w:val="center"/>
        <w:rPr>
          <w:rFonts w:ascii="新宋体" w:eastAsia="新宋体"/>
          <w:b/>
          <w:color w:val="0F0F0F"/>
          <w:sz w:val="32"/>
          <w:szCs w:val="32"/>
        </w:rPr>
      </w:pPr>
    </w:p>
    <w:p w14:paraId="61441CF6">
      <w:pPr>
        <w:jc w:val="center"/>
        <w:rPr>
          <w:rFonts w:ascii="新宋体" w:eastAsia="新宋体"/>
          <w:b/>
          <w:color w:val="0F0F0F"/>
          <w:sz w:val="32"/>
          <w:szCs w:val="32"/>
        </w:rPr>
      </w:pPr>
    </w:p>
    <w:p w14:paraId="13D50A1F">
      <w:pPr>
        <w:jc w:val="center"/>
        <w:rPr>
          <w:rFonts w:ascii="新宋体" w:eastAsia="新宋体"/>
          <w:b/>
          <w:color w:val="0F0F0F"/>
          <w:sz w:val="32"/>
          <w:szCs w:val="32"/>
        </w:rPr>
      </w:pPr>
    </w:p>
    <w:p w14:paraId="5763EFAE">
      <w:pPr>
        <w:jc w:val="center"/>
        <w:rPr>
          <w:rFonts w:ascii="新宋体" w:eastAsia="新宋体"/>
          <w:b/>
          <w:color w:val="0F0F0F"/>
          <w:sz w:val="32"/>
          <w:szCs w:val="32"/>
        </w:rPr>
      </w:pPr>
    </w:p>
    <w:p w14:paraId="0FF02C31">
      <w:pPr>
        <w:jc w:val="center"/>
        <w:rPr>
          <w:rFonts w:ascii="新宋体" w:eastAsia="新宋体"/>
          <w:b/>
          <w:color w:val="0F0F0F"/>
          <w:sz w:val="32"/>
          <w:szCs w:val="32"/>
        </w:rPr>
      </w:pPr>
    </w:p>
    <w:p w14:paraId="1BC3F341">
      <w:pPr>
        <w:jc w:val="center"/>
        <w:rPr>
          <w:rFonts w:ascii="新宋体" w:eastAsia="新宋体"/>
          <w:b/>
          <w:color w:val="0F0F0F"/>
          <w:sz w:val="32"/>
          <w:szCs w:val="32"/>
        </w:rPr>
      </w:pPr>
    </w:p>
    <w:p w14:paraId="4D52C676">
      <w:pPr>
        <w:jc w:val="center"/>
        <w:rPr>
          <w:rFonts w:hint="eastAsia" w:ascii="新宋体" w:eastAsia="新宋体"/>
          <w:b/>
          <w:color w:val="0F0F0F"/>
          <w:sz w:val="32"/>
          <w:szCs w:val="32"/>
        </w:rPr>
      </w:pPr>
    </w:p>
    <w:p w14:paraId="559A5063">
      <w:pPr>
        <w:jc w:val="center"/>
        <w:rPr>
          <w:rFonts w:hint="eastAsia" w:ascii="新宋体" w:eastAsia="新宋体"/>
          <w:b/>
          <w:color w:val="0F0F0F"/>
          <w:sz w:val="32"/>
          <w:szCs w:val="32"/>
        </w:rPr>
      </w:pPr>
    </w:p>
    <w:p w14:paraId="556B7745">
      <w:pPr>
        <w:jc w:val="center"/>
        <w:rPr>
          <w:rFonts w:hint="eastAsia" w:ascii="新宋体" w:eastAsia="新宋体"/>
          <w:b/>
          <w:color w:val="0F0F0F"/>
          <w:sz w:val="32"/>
          <w:szCs w:val="32"/>
        </w:rPr>
      </w:pPr>
    </w:p>
    <w:p w14:paraId="186A87B2">
      <w:pPr>
        <w:jc w:val="center"/>
        <w:rPr>
          <w:rFonts w:ascii="新宋体" w:eastAsia="新宋体"/>
          <w:b/>
          <w:color w:val="0F0F0F"/>
          <w:sz w:val="32"/>
          <w:szCs w:val="32"/>
        </w:rPr>
      </w:pPr>
      <w:r>
        <w:rPr>
          <w:rFonts w:hint="eastAsia" w:ascii="新宋体" w:eastAsia="新宋体"/>
          <w:b/>
          <w:color w:val="0F0F0F"/>
          <w:sz w:val="32"/>
          <w:szCs w:val="32"/>
        </w:rPr>
        <w:t>第一节 通用合同条款</w:t>
      </w:r>
    </w:p>
    <w:p w14:paraId="3597DFF7">
      <w:pPr>
        <w:spacing w:line="400" w:lineRule="exact"/>
        <w:rPr>
          <w:rFonts w:ascii="新宋体" w:eastAsia="新宋体"/>
          <w:color w:val="0F0F0F"/>
          <w:sz w:val="28"/>
          <w:szCs w:val="28"/>
        </w:rPr>
      </w:pPr>
      <w:r>
        <w:rPr>
          <w:rFonts w:hint="eastAsia" w:ascii="新宋体" w:eastAsia="新宋体"/>
          <w:color w:val="0F0F0F"/>
          <w:sz w:val="28"/>
          <w:szCs w:val="28"/>
        </w:rPr>
        <w:t>1. 一般约定</w:t>
      </w:r>
      <w:bookmarkStart w:id="151" w:name="_Toc152045612"/>
      <w:bookmarkStart w:id="152" w:name="_Toc179632630"/>
      <w:bookmarkStart w:id="153" w:name="_Toc144974580"/>
      <w:bookmarkStart w:id="154" w:name="_Toc152042390"/>
    </w:p>
    <w:p w14:paraId="093EDCDF">
      <w:pPr>
        <w:spacing w:line="400" w:lineRule="exact"/>
        <w:rPr>
          <w:rFonts w:ascii="新宋体" w:eastAsia="新宋体"/>
          <w:color w:val="0F0F0F"/>
          <w:sz w:val="24"/>
        </w:rPr>
      </w:pPr>
      <w:r>
        <w:rPr>
          <w:rFonts w:hint="eastAsia" w:ascii="新宋体" w:eastAsia="新宋体"/>
          <w:color w:val="0F0F0F"/>
          <w:sz w:val="24"/>
        </w:rPr>
        <w:t>1.1 词语定义</w:t>
      </w:r>
      <w:bookmarkEnd w:id="151"/>
      <w:bookmarkEnd w:id="152"/>
      <w:bookmarkEnd w:id="153"/>
      <w:bookmarkEnd w:id="154"/>
    </w:p>
    <w:p w14:paraId="2588E186">
      <w:pPr>
        <w:spacing w:line="400" w:lineRule="exact"/>
        <w:ind w:firstLine="420" w:firstLineChars="200"/>
        <w:rPr>
          <w:rFonts w:ascii="新宋体" w:eastAsia="新宋体"/>
          <w:color w:val="0F0F0F"/>
        </w:rPr>
      </w:pPr>
      <w:r>
        <w:rPr>
          <w:rFonts w:hint="eastAsia" w:ascii="新宋体" w:eastAsia="新宋体"/>
          <w:color w:val="0F0F0F"/>
        </w:rPr>
        <w:t>通用合同条款、专用合同条款中的下列词语应具有本款所赋予的含义。</w:t>
      </w:r>
    </w:p>
    <w:p w14:paraId="51FB0ECC">
      <w:pPr>
        <w:spacing w:line="400" w:lineRule="exact"/>
        <w:ind w:firstLine="420" w:firstLineChars="200"/>
        <w:rPr>
          <w:rFonts w:ascii="新宋体" w:eastAsia="新宋体"/>
          <w:color w:val="0F0F0F"/>
        </w:rPr>
      </w:pPr>
      <w:r>
        <w:rPr>
          <w:rFonts w:hint="eastAsia" w:ascii="新宋体" w:eastAsia="新宋体"/>
          <w:color w:val="0F0F0F"/>
        </w:rPr>
        <w:t>1.1.1 合同</w:t>
      </w:r>
    </w:p>
    <w:p w14:paraId="72FFA2E1">
      <w:pPr>
        <w:spacing w:line="400" w:lineRule="exact"/>
        <w:ind w:firstLine="630" w:firstLineChars="300"/>
        <w:rPr>
          <w:rFonts w:ascii="新宋体" w:eastAsia="新宋体"/>
          <w:color w:val="0F0F0F"/>
        </w:rPr>
      </w:pPr>
      <w:r>
        <w:rPr>
          <w:rFonts w:hint="eastAsia" w:ascii="新宋体" w:eastAsia="新宋体"/>
          <w:color w:val="0F0F0F"/>
        </w:rPr>
        <w:t>1.1.1.1 合同文件（或称合同）：指合同协议书、</w:t>
      </w:r>
      <w:r>
        <w:rPr>
          <w:rFonts w:hint="eastAsia" w:ascii="新宋体" w:eastAsia="新宋体"/>
          <w:color w:val="0F0F0F"/>
          <w:lang w:eastAsia="zh-CN"/>
        </w:rPr>
        <w:t>成交</w:t>
      </w:r>
      <w:r>
        <w:rPr>
          <w:rFonts w:hint="eastAsia" w:ascii="新宋体" w:eastAsia="新宋体"/>
          <w:color w:val="0F0F0F"/>
        </w:rPr>
        <w:t>通知书、投标函及投标函附录、专用合同条款、通用合同条款、技术标准和要求、图纸、已标价工程量清单，以及其他合同文件。</w:t>
      </w:r>
    </w:p>
    <w:p w14:paraId="681494DE">
      <w:pPr>
        <w:spacing w:line="400" w:lineRule="exact"/>
        <w:ind w:firstLine="630" w:firstLineChars="300"/>
        <w:rPr>
          <w:rFonts w:ascii="新宋体" w:eastAsia="新宋体"/>
          <w:color w:val="0F0F0F"/>
        </w:rPr>
      </w:pPr>
      <w:r>
        <w:rPr>
          <w:rFonts w:hint="eastAsia" w:ascii="新宋体" w:eastAsia="新宋体"/>
          <w:color w:val="0F0F0F"/>
        </w:rPr>
        <w:t>1.1.1.2 合同协议书：指第1.5款所指的合同协议书。</w:t>
      </w:r>
    </w:p>
    <w:p w14:paraId="26F8FED1">
      <w:pPr>
        <w:spacing w:line="400" w:lineRule="exact"/>
        <w:ind w:firstLine="630" w:firstLineChars="300"/>
        <w:rPr>
          <w:rFonts w:ascii="新宋体" w:eastAsia="新宋体"/>
          <w:color w:val="0F0F0F"/>
        </w:rPr>
      </w:pPr>
      <w:r>
        <w:rPr>
          <w:rFonts w:hint="eastAsia" w:ascii="新宋体" w:eastAsia="新宋体"/>
          <w:color w:val="0F0F0F"/>
        </w:rPr>
        <w:t xml:space="preserve">1.1.1.3 </w:t>
      </w:r>
      <w:r>
        <w:rPr>
          <w:rFonts w:hint="eastAsia" w:ascii="新宋体" w:eastAsia="新宋体"/>
          <w:color w:val="0F0F0F"/>
          <w:lang w:eastAsia="zh-CN"/>
        </w:rPr>
        <w:t>成交</w:t>
      </w:r>
      <w:r>
        <w:rPr>
          <w:rFonts w:hint="eastAsia" w:ascii="新宋体" w:eastAsia="新宋体"/>
          <w:color w:val="0F0F0F"/>
        </w:rPr>
        <w:t>通知书：指发包人通知承包人</w:t>
      </w:r>
      <w:r>
        <w:rPr>
          <w:rFonts w:hint="eastAsia" w:ascii="新宋体" w:eastAsia="新宋体"/>
          <w:color w:val="0F0F0F"/>
          <w:lang w:eastAsia="zh-CN"/>
        </w:rPr>
        <w:t>成交</w:t>
      </w:r>
      <w:r>
        <w:rPr>
          <w:rFonts w:hint="eastAsia" w:ascii="新宋体" w:eastAsia="新宋体"/>
          <w:color w:val="0F0F0F"/>
        </w:rPr>
        <w:t>的函件。</w:t>
      </w:r>
    </w:p>
    <w:p w14:paraId="4D5C84AF">
      <w:pPr>
        <w:spacing w:line="400" w:lineRule="exact"/>
        <w:ind w:firstLine="630" w:firstLineChars="300"/>
        <w:rPr>
          <w:rFonts w:ascii="新宋体" w:eastAsia="新宋体"/>
          <w:color w:val="0F0F0F"/>
        </w:rPr>
      </w:pPr>
      <w:r>
        <w:rPr>
          <w:rFonts w:hint="eastAsia" w:ascii="新宋体" w:eastAsia="新宋体"/>
          <w:color w:val="0F0F0F"/>
        </w:rPr>
        <w:t>1.1.1.4 投标函：指构成合同文件组成部分的由承包人填写并签署的投标函。</w:t>
      </w:r>
    </w:p>
    <w:p w14:paraId="32782826">
      <w:pPr>
        <w:spacing w:line="400" w:lineRule="exact"/>
        <w:ind w:firstLine="630" w:firstLineChars="300"/>
        <w:rPr>
          <w:rFonts w:ascii="新宋体" w:eastAsia="新宋体"/>
          <w:color w:val="0F0F0F"/>
        </w:rPr>
      </w:pPr>
      <w:r>
        <w:rPr>
          <w:rFonts w:hint="eastAsia" w:ascii="新宋体" w:eastAsia="新宋体"/>
          <w:color w:val="0F0F0F"/>
        </w:rPr>
        <w:t>1.1.1.5 投标函附录：指附在投标函后构成合同文件的投标函附录。</w:t>
      </w:r>
    </w:p>
    <w:p w14:paraId="271396B2">
      <w:pPr>
        <w:spacing w:line="400" w:lineRule="exact"/>
        <w:ind w:firstLine="630" w:firstLineChars="300"/>
        <w:rPr>
          <w:rFonts w:ascii="新宋体" w:eastAsia="新宋体"/>
          <w:color w:val="0F0F0F"/>
        </w:rPr>
      </w:pPr>
      <w:r>
        <w:rPr>
          <w:rFonts w:hint="eastAsia" w:ascii="新宋体" w:eastAsia="新宋体"/>
          <w:color w:val="0F0F0F"/>
        </w:rPr>
        <w:t>1.1.1.6 技术标准和要求：指构成合同文件组成部分的名为技术标准和要求的文件，包括合同双方当事人约定对其所作的修改或补充。</w:t>
      </w:r>
    </w:p>
    <w:p w14:paraId="06C99F48">
      <w:pPr>
        <w:spacing w:line="400" w:lineRule="exact"/>
        <w:ind w:firstLine="630" w:firstLineChars="300"/>
        <w:rPr>
          <w:rFonts w:ascii="新宋体" w:eastAsia="新宋体"/>
          <w:color w:val="0F0F0F"/>
        </w:rPr>
      </w:pPr>
      <w:r>
        <w:rPr>
          <w:rFonts w:hint="eastAsia" w:ascii="新宋体" w:eastAsia="新宋体"/>
          <w:color w:val="0F0F0F"/>
        </w:rPr>
        <w:t>1.1.1.7图纸：指包含在合同中的工程图纸，以及由发包人按合同约定提供的任何补充和修改的图纸，包括配套的说明。</w:t>
      </w:r>
    </w:p>
    <w:p w14:paraId="1645087F">
      <w:pPr>
        <w:spacing w:line="400" w:lineRule="exact"/>
        <w:ind w:firstLine="630" w:firstLineChars="300"/>
        <w:rPr>
          <w:rFonts w:ascii="新宋体" w:eastAsia="新宋体"/>
          <w:color w:val="0F0F0F"/>
        </w:rPr>
      </w:pPr>
      <w:r>
        <w:rPr>
          <w:rFonts w:hint="eastAsia" w:ascii="新宋体" w:eastAsia="新宋体"/>
          <w:color w:val="0F0F0F"/>
        </w:rPr>
        <w:t>1.1.1.8 已标价工程量清单：指构成合同文件组成部分的由承包人按照规定的格式和要求填写并标明价格的工程量清单。</w:t>
      </w:r>
    </w:p>
    <w:p w14:paraId="4F7B6798">
      <w:pPr>
        <w:spacing w:line="400" w:lineRule="exact"/>
        <w:ind w:firstLine="630" w:firstLineChars="300"/>
        <w:rPr>
          <w:rFonts w:ascii="新宋体" w:eastAsia="新宋体"/>
          <w:color w:val="0F0F0F"/>
        </w:rPr>
      </w:pPr>
      <w:r>
        <w:rPr>
          <w:rFonts w:hint="eastAsia" w:ascii="新宋体" w:eastAsia="新宋体"/>
          <w:color w:val="0F0F0F"/>
        </w:rPr>
        <w:t>1.1.1.9 其他合同文件：指经合同双方当事人确认构成合同文件的其他文件。</w:t>
      </w:r>
    </w:p>
    <w:p w14:paraId="61282BA2">
      <w:pPr>
        <w:spacing w:line="400" w:lineRule="exact"/>
        <w:ind w:firstLine="420" w:firstLineChars="200"/>
        <w:rPr>
          <w:rFonts w:ascii="新宋体" w:eastAsia="新宋体"/>
          <w:color w:val="0F0F0F"/>
        </w:rPr>
      </w:pPr>
      <w:r>
        <w:rPr>
          <w:rFonts w:hint="eastAsia" w:ascii="新宋体" w:eastAsia="新宋体"/>
          <w:color w:val="0F0F0F"/>
        </w:rPr>
        <w:t>1.1.2 合同当事人和人员</w:t>
      </w:r>
    </w:p>
    <w:p w14:paraId="6A1B64A0">
      <w:pPr>
        <w:spacing w:line="400" w:lineRule="exact"/>
        <w:ind w:firstLine="630" w:firstLineChars="300"/>
        <w:rPr>
          <w:rFonts w:ascii="新宋体" w:eastAsia="新宋体"/>
          <w:color w:val="0F0F0F"/>
        </w:rPr>
      </w:pPr>
      <w:r>
        <w:rPr>
          <w:rFonts w:hint="eastAsia" w:ascii="新宋体" w:eastAsia="新宋体"/>
          <w:color w:val="0F0F0F"/>
        </w:rPr>
        <w:t>1.1.2.1 合同当事人:指发包人和（或）承包人。</w:t>
      </w:r>
    </w:p>
    <w:p w14:paraId="7D40BB47">
      <w:pPr>
        <w:spacing w:line="400" w:lineRule="exact"/>
        <w:ind w:firstLine="630" w:firstLineChars="300"/>
        <w:rPr>
          <w:rFonts w:ascii="新宋体" w:eastAsia="新宋体"/>
          <w:color w:val="0F0F0F"/>
        </w:rPr>
      </w:pPr>
      <w:r>
        <w:rPr>
          <w:rFonts w:hint="eastAsia" w:ascii="新宋体" w:eastAsia="新宋体"/>
          <w:color w:val="0F0F0F"/>
        </w:rPr>
        <w:t>1.1.2.2 发包人：指专用合同条款中指明并与承包人在合同协议书中签字的当事人。</w:t>
      </w:r>
    </w:p>
    <w:p w14:paraId="7911DA03">
      <w:pPr>
        <w:spacing w:line="400" w:lineRule="exact"/>
        <w:ind w:firstLine="630" w:firstLineChars="300"/>
        <w:rPr>
          <w:rFonts w:ascii="新宋体" w:eastAsia="新宋体"/>
          <w:color w:val="0F0F0F"/>
        </w:rPr>
      </w:pPr>
      <w:r>
        <w:rPr>
          <w:rFonts w:hint="eastAsia" w:ascii="新宋体" w:eastAsia="新宋体"/>
          <w:color w:val="0F0F0F"/>
        </w:rPr>
        <w:t>1.1.2.3 承包人：指与发包人签订合同协议书的当事人。</w:t>
      </w:r>
    </w:p>
    <w:p w14:paraId="2E2DE15D">
      <w:pPr>
        <w:spacing w:line="400" w:lineRule="exact"/>
        <w:ind w:firstLine="630" w:firstLineChars="300"/>
        <w:rPr>
          <w:rFonts w:ascii="新宋体" w:eastAsia="新宋体"/>
          <w:color w:val="0F0F0F"/>
        </w:rPr>
      </w:pPr>
      <w:r>
        <w:rPr>
          <w:rFonts w:hint="eastAsia" w:ascii="新宋体" w:eastAsia="新宋体"/>
          <w:color w:val="0F0F0F"/>
        </w:rPr>
        <w:t>1.1.2.4 承包人项目经理：指承包人派驻施工场地的全权负责人。</w:t>
      </w:r>
    </w:p>
    <w:p w14:paraId="410F6835">
      <w:pPr>
        <w:spacing w:line="400" w:lineRule="exact"/>
        <w:ind w:firstLine="630" w:firstLineChars="300"/>
        <w:rPr>
          <w:rFonts w:ascii="新宋体" w:eastAsia="新宋体"/>
          <w:color w:val="0F0F0F"/>
        </w:rPr>
      </w:pPr>
      <w:r>
        <w:rPr>
          <w:rFonts w:hint="eastAsia" w:ascii="新宋体" w:eastAsia="新宋体"/>
          <w:color w:val="0F0F0F"/>
        </w:rPr>
        <w:t>1.1.2.5 分包人：指从承包人处分包合同中某一部分工程，并与其签订分包合同的分包人。</w:t>
      </w:r>
    </w:p>
    <w:p w14:paraId="6191AFEF">
      <w:pPr>
        <w:spacing w:line="400" w:lineRule="exact"/>
        <w:ind w:firstLine="630" w:firstLineChars="300"/>
        <w:rPr>
          <w:rFonts w:ascii="新宋体" w:eastAsia="新宋体"/>
          <w:color w:val="0F0F0F"/>
        </w:rPr>
      </w:pPr>
      <w:r>
        <w:rPr>
          <w:rFonts w:hint="eastAsia" w:ascii="新宋体" w:eastAsia="新宋体"/>
          <w:color w:val="0F0F0F"/>
        </w:rPr>
        <w:t>1.1.2.6 监理人：指在专用合同条款中指明的，受发包人委托对合同履行实施管理的法人或其他组织。</w:t>
      </w:r>
    </w:p>
    <w:p w14:paraId="16F97E0B">
      <w:pPr>
        <w:spacing w:line="400" w:lineRule="exact"/>
        <w:ind w:firstLine="630" w:firstLineChars="300"/>
        <w:rPr>
          <w:rFonts w:ascii="新宋体" w:eastAsia="新宋体"/>
          <w:color w:val="0F0F0F"/>
        </w:rPr>
      </w:pPr>
      <w:r>
        <w:rPr>
          <w:rFonts w:hint="eastAsia" w:ascii="新宋体" w:eastAsia="新宋体"/>
          <w:color w:val="0F0F0F"/>
        </w:rPr>
        <w:t>1.1.2.7 总监理工程师（总监）：指由监理人委派常驻施工场地对合同履行实施管理的全权负责人。</w:t>
      </w:r>
    </w:p>
    <w:p w14:paraId="7A6703F3">
      <w:pPr>
        <w:spacing w:line="400" w:lineRule="exact"/>
        <w:ind w:firstLine="630" w:firstLineChars="300"/>
        <w:rPr>
          <w:rFonts w:ascii="新宋体" w:eastAsia="新宋体"/>
          <w:color w:val="0F0F0F"/>
        </w:rPr>
      </w:pPr>
      <w:r>
        <w:rPr>
          <w:rFonts w:hint="eastAsia" w:ascii="新宋体" w:eastAsia="新宋体"/>
          <w:color w:val="0F0F0F"/>
        </w:rPr>
        <w:t>1.1.3 工程和设备</w:t>
      </w:r>
    </w:p>
    <w:p w14:paraId="350C2897">
      <w:pPr>
        <w:spacing w:line="400" w:lineRule="exact"/>
        <w:ind w:firstLine="630" w:firstLineChars="300"/>
        <w:rPr>
          <w:rFonts w:ascii="新宋体" w:eastAsia="新宋体"/>
          <w:color w:val="0F0F0F"/>
        </w:rPr>
      </w:pPr>
      <w:r>
        <w:rPr>
          <w:rFonts w:hint="eastAsia" w:ascii="新宋体" w:eastAsia="新宋体"/>
          <w:color w:val="0F0F0F"/>
        </w:rPr>
        <w:t>1.1.3.1 工程：指永久工程和（或）临时工程。</w:t>
      </w:r>
    </w:p>
    <w:p w14:paraId="624128F4">
      <w:pPr>
        <w:spacing w:line="400" w:lineRule="exact"/>
        <w:ind w:firstLine="630" w:firstLineChars="300"/>
        <w:rPr>
          <w:rFonts w:ascii="新宋体" w:eastAsia="新宋体"/>
          <w:color w:val="0F0F0F"/>
        </w:rPr>
      </w:pPr>
      <w:r>
        <w:rPr>
          <w:rFonts w:hint="eastAsia" w:ascii="新宋体" w:eastAsia="新宋体"/>
          <w:color w:val="0F0F0F"/>
        </w:rPr>
        <w:t>1.1.3.2 永久工程：指按合同约定建造并移交给发包人的工程，包括工程设备。</w:t>
      </w:r>
    </w:p>
    <w:p w14:paraId="50F3F8DE">
      <w:pPr>
        <w:spacing w:line="400" w:lineRule="exact"/>
        <w:ind w:firstLine="630" w:firstLineChars="300"/>
        <w:rPr>
          <w:rFonts w:ascii="新宋体" w:eastAsia="新宋体"/>
          <w:color w:val="0F0F0F"/>
        </w:rPr>
      </w:pPr>
      <w:r>
        <w:rPr>
          <w:rFonts w:hint="eastAsia" w:ascii="新宋体" w:eastAsia="新宋体"/>
          <w:color w:val="0F0F0F"/>
        </w:rPr>
        <w:t>1.1.3.3 临时工程：指为完成合同约定的永久工程所修建的各类临时性工程，不包括施工设备。</w:t>
      </w:r>
    </w:p>
    <w:p w14:paraId="18C3A3ED">
      <w:pPr>
        <w:spacing w:line="400" w:lineRule="exact"/>
        <w:ind w:firstLine="630" w:firstLineChars="300"/>
        <w:rPr>
          <w:rFonts w:ascii="新宋体" w:eastAsia="新宋体"/>
          <w:color w:val="0F0F0F"/>
        </w:rPr>
      </w:pPr>
      <w:r>
        <w:rPr>
          <w:rFonts w:hint="eastAsia" w:ascii="新宋体" w:eastAsia="新宋体"/>
          <w:color w:val="0F0F0F"/>
        </w:rPr>
        <w:t>1.1.3.4 单位工程：指专用合同条款中指明特定范围的永久工程。</w:t>
      </w:r>
    </w:p>
    <w:p w14:paraId="3567A300">
      <w:pPr>
        <w:spacing w:line="400" w:lineRule="exact"/>
        <w:ind w:firstLine="630" w:firstLineChars="300"/>
        <w:rPr>
          <w:rFonts w:ascii="新宋体" w:eastAsia="新宋体"/>
          <w:color w:val="0F0F0F"/>
        </w:rPr>
      </w:pPr>
      <w:r>
        <w:rPr>
          <w:rFonts w:hint="eastAsia" w:ascii="新宋体" w:eastAsia="新宋体"/>
          <w:color w:val="0F0F0F"/>
        </w:rPr>
        <w:t>1.1.3.5 工程设备：指构成或计划构成永久工程一部分的机电设备、金属结构设备、仪器装置及其他类似的设备和装置。</w:t>
      </w:r>
    </w:p>
    <w:p w14:paraId="15E7E67F">
      <w:pPr>
        <w:spacing w:line="400" w:lineRule="exact"/>
        <w:ind w:firstLine="630" w:firstLineChars="300"/>
        <w:rPr>
          <w:rFonts w:ascii="新宋体" w:eastAsia="新宋体"/>
          <w:color w:val="0F0F0F"/>
        </w:rPr>
      </w:pPr>
      <w:r>
        <w:rPr>
          <w:rFonts w:hint="eastAsia" w:ascii="新宋体" w:eastAsia="新宋体"/>
          <w:color w:val="0F0F0F"/>
        </w:rPr>
        <w:t>1.1.3.6 施工设备：指为完成合同约定的各项工作所需的设备、器具和其他物品，不包括临时工程和材料。</w:t>
      </w:r>
    </w:p>
    <w:p w14:paraId="11717ABB">
      <w:pPr>
        <w:spacing w:line="400" w:lineRule="exact"/>
        <w:ind w:firstLine="630" w:firstLineChars="300"/>
        <w:rPr>
          <w:rFonts w:ascii="新宋体" w:eastAsia="新宋体"/>
          <w:color w:val="0F0F0F"/>
        </w:rPr>
      </w:pPr>
      <w:r>
        <w:rPr>
          <w:rFonts w:hint="eastAsia" w:ascii="新宋体" w:eastAsia="新宋体"/>
          <w:color w:val="0F0F0F"/>
        </w:rPr>
        <w:t>1.1.3.7 临时设施：指为完成合同约定的各项工作所服务的临时性生产和生活设施。</w:t>
      </w:r>
    </w:p>
    <w:p w14:paraId="670B3F99">
      <w:pPr>
        <w:spacing w:line="400" w:lineRule="exact"/>
        <w:ind w:firstLine="630" w:firstLineChars="300"/>
        <w:rPr>
          <w:rFonts w:ascii="新宋体" w:eastAsia="新宋体"/>
          <w:color w:val="0F0F0F"/>
        </w:rPr>
      </w:pPr>
      <w:r>
        <w:rPr>
          <w:rFonts w:hint="eastAsia" w:ascii="新宋体" w:eastAsia="新宋体"/>
          <w:color w:val="0F0F0F"/>
        </w:rPr>
        <w:t>1.1.3.8 承包人设备：指承包人自带的施工设备。</w:t>
      </w:r>
    </w:p>
    <w:p w14:paraId="59A47E5E">
      <w:pPr>
        <w:spacing w:line="400" w:lineRule="exact"/>
        <w:ind w:firstLine="630" w:firstLineChars="300"/>
        <w:rPr>
          <w:rFonts w:ascii="新宋体" w:eastAsia="新宋体"/>
          <w:color w:val="0F0F0F"/>
        </w:rPr>
      </w:pPr>
      <w:r>
        <w:rPr>
          <w:rFonts w:hint="eastAsia" w:ascii="新宋体" w:eastAsia="新宋体"/>
          <w:color w:val="0F0F0F"/>
        </w:rPr>
        <w:t>1.1.3.9 施工场地（或称工地、现场）：指用于合同工程施工的场所，以及在合同中指定作为施工场地组成部分的其他场所，包括永久占地和临时占地。</w:t>
      </w:r>
    </w:p>
    <w:p w14:paraId="03C86505">
      <w:pPr>
        <w:spacing w:line="400" w:lineRule="exact"/>
        <w:ind w:firstLine="630" w:firstLineChars="300"/>
        <w:rPr>
          <w:rFonts w:ascii="新宋体" w:eastAsia="新宋体"/>
          <w:color w:val="0F0F0F"/>
        </w:rPr>
      </w:pPr>
      <w:r>
        <w:rPr>
          <w:rFonts w:hint="eastAsia" w:ascii="新宋体" w:eastAsia="新宋体"/>
          <w:color w:val="0F0F0F"/>
        </w:rPr>
        <w:t>1.1.3.10 永久占地：指专用合同条款中指明为实施合同工程需永久占用的土地。</w:t>
      </w:r>
    </w:p>
    <w:p w14:paraId="42C72ADB">
      <w:pPr>
        <w:spacing w:line="400" w:lineRule="exact"/>
        <w:ind w:firstLine="630" w:firstLineChars="300"/>
        <w:rPr>
          <w:rFonts w:ascii="新宋体" w:eastAsia="新宋体"/>
          <w:color w:val="0F0F0F"/>
        </w:rPr>
      </w:pPr>
      <w:r>
        <w:rPr>
          <w:rFonts w:hint="eastAsia" w:ascii="新宋体" w:eastAsia="新宋体"/>
          <w:color w:val="0F0F0F"/>
        </w:rPr>
        <w:t>1.1.3.11 临时占地：指专用合同条款中指明为实施合同工程需临时占用的土地。</w:t>
      </w:r>
    </w:p>
    <w:p w14:paraId="22491537">
      <w:pPr>
        <w:spacing w:line="400" w:lineRule="exact"/>
        <w:ind w:firstLine="420" w:firstLineChars="200"/>
        <w:rPr>
          <w:rFonts w:ascii="新宋体" w:eastAsia="新宋体"/>
          <w:color w:val="0F0F0F"/>
        </w:rPr>
      </w:pPr>
      <w:r>
        <w:rPr>
          <w:rFonts w:hint="eastAsia" w:ascii="新宋体" w:eastAsia="新宋体"/>
          <w:color w:val="0F0F0F"/>
        </w:rPr>
        <w:t>1.1.4 日期</w:t>
      </w:r>
    </w:p>
    <w:p w14:paraId="40C65A0A">
      <w:pPr>
        <w:spacing w:line="400" w:lineRule="exact"/>
        <w:ind w:firstLine="630" w:firstLineChars="300"/>
        <w:rPr>
          <w:rFonts w:ascii="新宋体" w:eastAsia="新宋体"/>
          <w:b/>
          <w:color w:val="0F0F0F"/>
        </w:rPr>
      </w:pPr>
      <w:r>
        <w:rPr>
          <w:rFonts w:hint="eastAsia" w:ascii="新宋体" w:eastAsia="新宋体"/>
          <w:color w:val="0F0F0F"/>
        </w:rPr>
        <w:t>1.1.4.1 开工通知：指监理人按第11.1款通知承包人开工的函件。</w:t>
      </w:r>
    </w:p>
    <w:p w14:paraId="33B7E6A0">
      <w:pPr>
        <w:spacing w:line="400" w:lineRule="exact"/>
        <w:ind w:firstLine="630" w:firstLineChars="300"/>
        <w:rPr>
          <w:rFonts w:ascii="新宋体" w:eastAsia="新宋体"/>
          <w:b/>
          <w:color w:val="0F0F0F"/>
        </w:rPr>
      </w:pPr>
      <w:r>
        <w:rPr>
          <w:rFonts w:hint="eastAsia" w:ascii="新宋体" w:eastAsia="新宋体"/>
          <w:color w:val="0F0F0F"/>
        </w:rPr>
        <w:t>1.1.4.2 开工日期：指监理人按第11.1款发出的开工通知中写明的开工日期。</w:t>
      </w:r>
    </w:p>
    <w:p w14:paraId="7732A129">
      <w:pPr>
        <w:spacing w:line="400" w:lineRule="exact"/>
        <w:ind w:firstLine="630" w:firstLineChars="300"/>
        <w:rPr>
          <w:rFonts w:ascii="新宋体" w:eastAsia="新宋体"/>
          <w:b/>
          <w:color w:val="0F0F0F"/>
        </w:rPr>
      </w:pPr>
      <w:r>
        <w:rPr>
          <w:rFonts w:hint="eastAsia" w:ascii="新宋体" w:eastAsia="新宋体"/>
          <w:color w:val="0F0F0F"/>
        </w:rPr>
        <w:t>1.1.4.3工期：指承包人在投标函中承诺的完成合同工程所需的期限，包括按第11.3款、第11.4款和第11.6款约定所作的变更。</w:t>
      </w:r>
    </w:p>
    <w:p w14:paraId="1503B6B7">
      <w:pPr>
        <w:spacing w:line="400" w:lineRule="exact"/>
        <w:ind w:firstLine="630" w:firstLineChars="300"/>
        <w:rPr>
          <w:rFonts w:ascii="新宋体" w:eastAsia="新宋体"/>
          <w:b/>
          <w:color w:val="0F0F0F"/>
        </w:rPr>
      </w:pPr>
      <w:r>
        <w:rPr>
          <w:rFonts w:hint="eastAsia" w:ascii="新宋体" w:eastAsia="新宋体"/>
          <w:color w:val="0F0F0F"/>
        </w:rPr>
        <w:t>1.1.4.4 竣工日期：指第1.1.4.3目约定工期届满时的日期。实际竣工日期以工程接收证书中写明的日期为准。</w:t>
      </w:r>
    </w:p>
    <w:p w14:paraId="54B2C3D0">
      <w:pPr>
        <w:spacing w:line="400" w:lineRule="exact"/>
        <w:ind w:firstLine="630" w:firstLineChars="300"/>
        <w:rPr>
          <w:rFonts w:ascii="新宋体" w:eastAsia="新宋体"/>
          <w:b/>
          <w:color w:val="0F0F0F"/>
        </w:rPr>
      </w:pPr>
      <w:r>
        <w:rPr>
          <w:rFonts w:hint="eastAsia" w:ascii="新宋体" w:eastAsia="新宋体"/>
          <w:color w:val="0F0F0F"/>
        </w:rPr>
        <w:t>1.1.4.5 缺陷责任期：指履行第19.2款约定的缺陷责任的期限，具体期限由专用合同条款约定，包括根据第19.3款约定所作的延长。</w:t>
      </w:r>
    </w:p>
    <w:p w14:paraId="20045B9F">
      <w:pPr>
        <w:spacing w:line="400" w:lineRule="exact"/>
        <w:ind w:firstLine="630" w:firstLineChars="300"/>
        <w:rPr>
          <w:rFonts w:ascii="新宋体" w:eastAsia="新宋体"/>
          <w:b/>
          <w:color w:val="0F0F0F"/>
        </w:rPr>
      </w:pPr>
      <w:r>
        <w:rPr>
          <w:rFonts w:hint="eastAsia" w:ascii="新宋体" w:eastAsia="新宋体"/>
          <w:color w:val="0F0F0F"/>
        </w:rPr>
        <w:t>1.1.4.6 基准日期：指投标截止时间前28天的日期。</w:t>
      </w:r>
    </w:p>
    <w:p w14:paraId="77D903CA">
      <w:pPr>
        <w:spacing w:line="400" w:lineRule="exact"/>
        <w:ind w:firstLine="630" w:firstLineChars="300"/>
        <w:rPr>
          <w:rFonts w:ascii="新宋体" w:eastAsia="新宋体"/>
          <w:b/>
          <w:color w:val="0F0F0F"/>
        </w:rPr>
      </w:pPr>
      <w:r>
        <w:rPr>
          <w:rFonts w:hint="eastAsia" w:ascii="新宋体" w:eastAsia="新宋体"/>
          <w:color w:val="0F0F0F"/>
        </w:rPr>
        <w:t>1.1.4.7 天：除特别指明外，指日历天。合同中按天计算时间的，开始当天不计入，从次日开始计算。期限最后一天的截止时间为当天24:00。</w:t>
      </w:r>
    </w:p>
    <w:p w14:paraId="2DDD0CD6">
      <w:pPr>
        <w:spacing w:line="400" w:lineRule="exact"/>
        <w:ind w:firstLine="420" w:firstLineChars="200"/>
        <w:rPr>
          <w:rFonts w:ascii="新宋体" w:eastAsia="新宋体"/>
          <w:color w:val="0F0F0F"/>
        </w:rPr>
      </w:pPr>
      <w:r>
        <w:rPr>
          <w:rFonts w:hint="eastAsia" w:ascii="新宋体" w:eastAsia="新宋体"/>
          <w:color w:val="0F0F0F"/>
        </w:rPr>
        <w:t>1.1.5 合同价格和费用</w:t>
      </w:r>
    </w:p>
    <w:p w14:paraId="1CDA2D9C">
      <w:pPr>
        <w:spacing w:line="400" w:lineRule="exact"/>
        <w:ind w:firstLine="630" w:firstLineChars="300"/>
        <w:rPr>
          <w:rFonts w:ascii="新宋体" w:eastAsia="新宋体"/>
          <w:b/>
          <w:color w:val="0F0F0F"/>
        </w:rPr>
      </w:pPr>
      <w:r>
        <w:rPr>
          <w:rFonts w:hint="eastAsia" w:ascii="新宋体" w:eastAsia="新宋体"/>
          <w:color w:val="0F0F0F"/>
        </w:rPr>
        <w:t>1.1.5.1 签约合同价：指签定合同时合同协议书中写明的，包括了暂列金额、暂估价的合同总金额。</w:t>
      </w:r>
    </w:p>
    <w:p w14:paraId="45F3DE05">
      <w:pPr>
        <w:spacing w:line="400" w:lineRule="exact"/>
        <w:ind w:firstLine="630" w:firstLineChars="300"/>
        <w:rPr>
          <w:rFonts w:ascii="新宋体" w:eastAsia="新宋体"/>
          <w:b/>
          <w:color w:val="0F0F0F"/>
        </w:rPr>
      </w:pPr>
      <w:r>
        <w:rPr>
          <w:rFonts w:hint="eastAsia" w:ascii="新宋体" w:eastAsia="新宋体"/>
          <w:color w:val="0F0F0F"/>
        </w:rPr>
        <w:t>1.1.5.2 合同价格：指承包人按合同约定完成了包括缺陷责任期内的全部承包工作后，发包人应付给承包人的金额，包括在履行合同过程中按合同约定进行的变更和调整。</w:t>
      </w:r>
    </w:p>
    <w:p w14:paraId="461E5F60">
      <w:pPr>
        <w:spacing w:line="400" w:lineRule="exact"/>
        <w:ind w:firstLine="630" w:firstLineChars="300"/>
        <w:rPr>
          <w:rFonts w:ascii="新宋体" w:eastAsia="新宋体"/>
          <w:b/>
          <w:color w:val="0F0F0F"/>
        </w:rPr>
      </w:pPr>
      <w:r>
        <w:rPr>
          <w:rFonts w:hint="eastAsia" w:ascii="新宋体" w:eastAsia="新宋体"/>
          <w:color w:val="0F0F0F"/>
        </w:rPr>
        <w:t>1.1.5.3 费用：指为履行合同所发生的或将要发生的所有合理开支，包括管理费和应分摊的其他费用，但不包括利润。</w:t>
      </w:r>
    </w:p>
    <w:p w14:paraId="25C8F743">
      <w:pPr>
        <w:spacing w:line="400" w:lineRule="exact"/>
        <w:ind w:firstLine="630" w:firstLineChars="300"/>
        <w:rPr>
          <w:rFonts w:ascii="新宋体" w:eastAsia="新宋体"/>
          <w:b/>
          <w:color w:val="0F0F0F"/>
        </w:rPr>
      </w:pPr>
      <w:r>
        <w:rPr>
          <w:rFonts w:hint="eastAsia" w:ascii="新宋体" w:eastAsia="新宋体"/>
          <w:color w:val="0F0F0F"/>
        </w:rPr>
        <w:t>1.1.5.4 暂列金额：指已标价工程量清单中所列的暂列金额，用于在签订协议书时尚未确定或不可预见变更的施工及其所需材料、工程设备、服务等的金额，包括以计日工方式支付的金额。</w:t>
      </w:r>
    </w:p>
    <w:p w14:paraId="4FA32E02">
      <w:pPr>
        <w:spacing w:line="400" w:lineRule="exact"/>
        <w:ind w:firstLine="630" w:firstLineChars="300"/>
        <w:rPr>
          <w:rFonts w:ascii="新宋体" w:eastAsia="新宋体"/>
          <w:b/>
          <w:color w:val="0F0F0F"/>
        </w:rPr>
      </w:pPr>
      <w:r>
        <w:rPr>
          <w:rFonts w:hint="eastAsia" w:ascii="新宋体" w:eastAsia="新宋体"/>
          <w:color w:val="0F0F0F"/>
        </w:rPr>
        <w:t>1.1.5.5暂估价：指发包人在工程量清单中给定的用于支付必然发生但暂时不能确定价格的材料、设备以及专业工程的金额。</w:t>
      </w:r>
    </w:p>
    <w:p w14:paraId="64F82B44">
      <w:pPr>
        <w:spacing w:line="400" w:lineRule="exact"/>
        <w:ind w:firstLine="630" w:firstLineChars="300"/>
        <w:rPr>
          <w:rFonts w:ascii="新宋体" w:eastAsia="新宋体"/>
          <w:b/>
          <w:color w:val="0F0F0F"/>
        </w:rPr>
      </w:pPr>
      <w:r>
        <w:rPr>
          <w:rFonts w:hint="eastAsia" w:ascii="新宋体" w:eastAsia="新宋体"/>
          <w:color w:val="0F0F0F"/>
        </w:rPr>
        <w:t>1.1.5.6 计日工：指对零星工作采取的一种计价方式，按合同中的计日工子目及其单价计价付款。</w:t>
      </w:r>
    </w:p>
    <w:p w14:paraId="14919C37">
      <w:pPr>
        <w:spacing w:line="400" w:lineRule="exact"/>
        <w:ind w:firstLine="630" w:firstLineChars="300"/>
        <w:rPr>
          <w:rFonts w:ascii="新宋体" w:eastAsia="新宋体"/>
          <w:b/>
          <w:color w:val="0F0F0F"/>
        </w:rPr>
      </w:pPr>
      <w:r>
        <w:rPr>
          <w:rFonts w:hint="eastAsia" w:ascii="新宋体" w:eastAsia="新宋体"/>
          <w:color w:val="0F0F0F"/>
        </w:rPr>
        <w:t>1.1.5.7 质量保证金（或称保留金）：指按第17.4.1项约定用于保证在缺陷责任期内履行缺陷修复义务的金额。</w:t>
      </w:r>
    </w:p>
    <w:p w14:paraId="2A853867">
      <w:pPr>
        <w:spacing w:line="400" w:lineRule="exact"/>
        <w:ind w:firstLine="420" w:firstLineChars="200"/>
        <w:rPr>
          <w:rFonts w:ascii="新宋体" w:eastAsia="新宋体"/>
          <w:color w:val="0F0F0F"/>
        </w:rPr>
      </w:pPr>
      <w:r>
        <w:rPr>
          <w:rFonts w:hint="eastAsia" w:ascii="新宋体" w:eastAsia="新宋体"/>
          <w:color w:val="0F0F0F"/>
        </w:rPr>
        <w:t>1.1.6 其他</w:t>
      </w:r>
    </w:p>
    <w:p w14:paraId="34735141">
      <w:pPr>
        <w:spacing w:line="400" w:lineRule="exact"/>
        <w:ind w:firstLine="420" w:firstLineChars="200"/>
        <w:rPr>
          <w:rFonts w:ascii="新宋体" w:eastAsia="新宋体"/>
          <w:color w:val="0F0F0F"/>
        </w:rPr>
      </w:pPr>
      <w:r>
        <w:rPr>
          <w:rFonts w:hint="eastAsia" w:ascii="新宋体" w:eastAsia="新宋体"/>
          <w:color w:val="0F0F0F"/>
        </w:rPr>
        <w:t>1.1.6.1 书面形式：指合同文件、信函、电报、传真等可以有形地表现所载内容的形式。</w:t>
      </w:r>
      <w:bookmarkStart w:id="155" w:name="_Toc152042391"/>
      <w:bookmarkStart w:id="156" w:name="_Toc152045613"/>
      <w:bookmarkStart w:id="157" w:name="_Toc144974581"/>
      <w:bookmarkStart w:id="158" w:name="_Toc179632631"/>
    </w:p>
    <w:p w14:paraId="70C499EF">
      <w:pPr>
        <w:spacing w:line="400" w:lineRule="exact"/>
        <w:rPr>
          <w:rFonts w:ascii="新宋体" w:eastAsia="新宋体"/>
          <w:b/>
          <w:color w:val="0F0F0F"/>
          <w:sz w:val="24"/>
        </w:rPr>
      </w:pPr>
      <w:r>
        <w:rPr>
          <w:rFonts w:hint="eastAsia" w:ascii="新宋体" w:eastAsia="新宋体"/>
          <w:color w:val="0F0F0F"/>
          <w:sz w:val="24"/>
        </w:rPr>
        <w:t>1.2 语言文字</w:t>
      </w:r>
      <w:bookmarkEnd w:id="155"/>
      <w:bookmarkEnd w:id="156"/>
      <w:bookmarkEnd w:id="157"/>
      <w:bookmarkEnd w:id="158"/>
    </w:p>
    <w:p w14:paraId="194E038E">
      <w:pPr>
        <w:spacing w:line="400" w:lineRule="exact"/>
        <w:ind w:firstLine="420" w:firstLineChars="200"/>
        <w:rPr>
          <w:rFonts w:ascii="新宋体" w:eastAsia="新宋体"/>
          <w:color w:val="0F0F0F"/>
        </w:rPr>
      </w:pPr>
      <w:r>
        <w:rPr>
          <w:rFonts w:hint="eastAsia" w:ascii="新宋体" w:eastAsia="新宋体"/>
          <w:color w:val="0F0F0F"/>
        </w:rPr>
        <w:t>除专用术语外，合同使用的语言文字为中文。必要时专用术语应附有中文注释。</w:t>
      </w:r>
      <w:bookmarkStart w:id="159" w:name="_Toc179632632"/>
      <w:bookmarkStart w:id="160" w:name="_Toc144974582"/>
      <w:bookmarkStart w:id="161" w:name="_Toc152045614"/>
      <w:bookmarkStart w:id="162" w:name="_Toc152042392"/>
    </w:p>
    <w:p w14:paraId="556C9059">
      <w:pPr>
        <w:spacing w:line="400" w:lineRule="exact"/>
        <w:rPr>
          <w:rFonts w:ascii="新宋体" w:eastAsia="新宋体"/>
          <w:color w:val="0F0F0F"/>
          <w:sz w:val="24"/>
        </w:rPr>
      </w:pPr>
      <w:r>
        <w:rPr>
          <w:rFonts w:hint="eastAsia" w:ascii="新宋体" w:eastAsia="新宋体"/>
          <w:color w:val="0F0F0F"/>
          <w:sz w:val="24"/>
        </w:rPr>
        <w:t>1.3 法律</w:t>
      </w:r>
      <w:bookmarkEnd w:id="159"/>
      <w:bookmarkEnd w:id="160"/>
      <w:bookmarkEnd w:id="161"/>
      <w:bookmarkEnd w:id="162"/>
    </w:p>
    <w:p w14:paraId="1DC86C4E">
      <w:pPr>
        <w:spacing w:line="400" w:lineRule="exact"/>
        <w:ind w:firstLine="420" w:firstLineChars="200"/>
        <w:rPr>
          <w:rFonts w:ascii="新宋体" w:eastAsia="新宋体"/>
          <w:color w:val="0F0F0F"/>
        </w:rPr>
      </w:pPr>
      <w:r>
        <w:rPr>
          <w:rFonts w:hint="eastAsia" w:ascii="新宋体" w:eastAsia="新宋体"/>
          <w:color w:val="0F0F0F"/>
        </w:rPr>
        <w:t>适用于合同的法律包括中华人民共和国法律、行政法规、部门规章，以及工程所在地的地方法规、自治条例、单行条例和地方政府规章。</w:t>
      </w:r>
      <w:bookmarkStart w:id="163" w:name="_Toc152045615"/>
      <w:bookmarkStart w:id="164" w:name="_Toc152042393"/>
      <w:bookmarkStart w:id="165" w:name="_Toc144974583"/>
      <w:bookmarkStart w:id="166" w:name="_Toc179632633"/>
    </w:p>
    <w:p w14:paraId="2239B16B">
      <w:pPr>
        <w:spacing w:line="400" w:lineRule="exact"/>
        <w:rPr>
          <w:rFonts w:ascii="新宋体" w:eastAsia="新宋体"/>
          <w:color w:val="0F0F0F"/>
          <w:sz w:val="24"/>
        </w:rPr>
      </w:pPr>
      <w:r>
        <w:rPr>
          <w:rFonts w:hint="eastAsia" w:ascii="新宋体" w:eastAsia="新宋体"/>
          <w:color w:val="0F0F0F"/>
          <w:sz w:val="24"/>
        </w:rPr>
        <w:t>1.4 合同文件的优先顺序</w:t>
      </w:r>
      <w:bookmarkEnd w:id="163"/>
      <w:bookmarkEnd w:id="164"/>
      <w:bookmarkEnd w:id="165"/>
      <w:bookmarkEnd w:id="166"/>
    </w:p>
    <w:p w14:paraId="152E53D8">
      <w:pPr>
        <w:spacing w:line="400" w:lineRule="exact"/>
        <w:ind w:firstLine="420" w:firstLineChars="200"/>
        <w:rPr>
          <w:rFonts w:ascii="新宋体" w:eastAsia="新宋体"/>
          <w:color w:val="0F0F0F"/>
        </w:rPr>
      </w:pPr>
      <w:r>
        <w:rPr>
          <w:rFonts w:hint="eastAsia" w:ascii="新宋体" w:eastAsia="新宋体"/>
          <w:color w:val="0F0F0F"/>
        </w:rPr>
        <w:t>组成合同的各项文件应互相解释，互为说明。除专用合同条款另有约定外，解释合同文件的优先顺序如下：</w:t>
      </w:r>
    </w:p>
    <w:p w14:paraId="2F9EC0CB">
      <w:pPr>
        <w:spacing w:line="400" w:lineRule="exact"/>
        <w:ind w:firstLine="359" w:firstLineChars="171"/>
        <w:rPr>
          <w:rFonts w:ascii="新宋体" w:eastAsia="新宋体"/>
          <w:color w:val="0F0F0F"/>
        </w:rPr>
      </w:pPr>
      <w:r>
        <w:rPr>
          <w:rFonts w:hint="eastAsia" w:ascii="新宋体" w:eastAsia="新宋体"/>
          <w:color w:val="0F0F0F"/>
        </w:rPr>
        <w:t>（1）合同协议书；</w:t>
      </w:r>
    </w:p>
    <w:p w14:paraId="6559C7D6">
      <w:pPr>
        <w:spacing w:line="400" w:lineRule="exact"/>
        <w:ind w:firstLine="359" w:firstLineChars="171"/>
        <w:rPr>
          <w:rFonts w:ascii="新宋体" w:eastAsia="新宋体"/>
          <w:color w:val="0F0F0F"/>
        </w:rPr>
      </w:pPr>
      <w:r>
        <w:rPr>
          <w:rFonts w:hint="eastAsia" w:ascii="新宋体" w:eastAsia="新宋体"/>
          <w:color w:val="0F0F0F"/>
        </w:rPr>
        <w:t>（2）</w:t>
      </w:r>
      <w:r>
        <w:rPr>
          <w:rFonts w:hint="eastAsia" w:ascii="新宋体" w:eastAsia="新宋体"/>
          <w:color w:val="0F0F0F"/>
          <w:lang w:eastAsia="zh-CN"/>
        </w:rPr>
        <w:t>成交</w:t>
      </w:r>
      <w:r>
        <w:rPr>
          <w:rFonts w:hint="eastAsia" w:ascii="新宋体" w:eastAsia="新宋体"/>
          <w:color w:val="0F0F0F"/>
        </w:rPr>
        <w:t>通知书；</w:t>
      </w:r>
    </w:p>
    <w:p w14:paraId="18202258">
      <w:pPr>
        <w:spacing w:line="400" w:lineRule="exact"/>
        <w:ind w:firstLine="359" w:firstLineChars="171"/>
        <w:rPr>
          <w:rFonts w:ascii="新宋体" w:eastAsia="新宋体"/>
          <w:color w:val="0F0F0F"/>
        </w:rPr>
      </w:pPr>
      <w:r>
        <w:rPr>
          <w:rFonts w:hint="eastAsia" w:ascii="新宋体" w:eastAsia="新宋体"/>
          <w:color w:val="0F0F0F"/>
        </w:rPr>
        <w:t>（3）投标函；</w:t>
      </w:r>
    </w:p>
    <w:p w14:paraId="0210A2D5">
      <w:pPr>
        <w:spacing w:line="400" w:lineRule="exact"/>
        <w:ind w:firstLine="359" w:firstLineChars="171"/>
        <w:rPr>
          <w:rFonts w:ascii="新宋体" w:eastAsia="新宋体"/>
          <w:color w:val="0F0F0F"/>
        </w:rPr>
      </w:pPr>
      <w:r>
        <w:rPr>
          <w:rFonts w:hint="eastAsia" w:ascii="新宋体" w:eastAsia="新宋体"/>
          <w:color w:val="0F0F0F"/>
        </w:rPr>
        <w:t>（4）专用合同条款；</w:t>
      </w:r>
    </w:p>
    <w:p w14:paraId="02D5C283">
      <w:pPr>
        <w:spacing w:line="400" w:lineRule="exact"/>
        <w:ind w:firstLine="359" w:firstLineChars="171"/>
        <w:rPr>
          <w:rFonts w:ascii="新宋体" w:eastAsia="新宋体"/>
          <w:color w:val="0F0F0F"/>
        </w:rPr>
      </w:pPr>
      <w:r>
        <w:rPr>
          <w:rFonts w:hint="eastAsia" w:ascii="新宋体" w:eastAsia="新宋体"/>
          <w:color w:val="0F0F0F"/>
        </w:rPr>
        <w:t>（5）通用合同条款；</w:t>
      </w:r>
    </w:p>
    <w:p w14:paraId="6D754518">
      <w:pPr>
        <w:spacing w:line="400" w:lineRule="exact"/>
        <w:ind w:firstLine="359" w:firstLineChars="171"/>
        <w:rPr>
          <w:rFonts w:ascii="新宋体" w:eastAsia="新宋体"/>
          <w:color w:val="0F0F0F"/>
        </w:rPr>
      </w:pPr>
      <w:r>
        <w:rPr>
          <w:rFonts w:hint="eastAsia" w:ascii="新宋体" w:eastAsia="新宋体"/>
          <w:color w:val="0F0F0F"/>
        </w:rPr>
        <w:t>（6）技术标准和要求；</w:t>
      </w:r>
    </w:p>
    <w:p w14:paraId="75230AA3">
      <w:pPr>
        <w:spacing w:line="400" w:lineRule="exact"/>
        <w:ind w:firstLine="359" w:firstLineChars="171"/>
        <w:rPr>
          <w:rFonts w:ascii="新宋体" w:eastAsia="新宋体"/>
          <w:color w:val="0F0F0F"/>
        </w:rPr>
      </w:pPr>
      <w:r>
        <w:rPr>
          <w:rFonts w:hint="eastAsia" w:ascii="新宋体" w:eastAsia="新宋体"/>
          <w:color w:val="0F0F0F"/>
        </w:rPr>
        <w:t>（7）图纸；</w:t>
      </w:r>
    </w:p>
    <w:p w14:paraId="3B414E11">
      <w:pPr>
        <w:spacing w:line="400" w:lineRule="exact"/>
        <w:ind w:firstLine="359" w:firstLineChars="171"/>
        <w:rPr>
          <w:rFonts w:ascii="新宋体" w:eastAsia="新宋体"/>
          <w:color w:val="0F0F0F"/>
        </w:rPr>
      </w:pPr>
      <w:r>
        <w:rPr>
          <w:rFonts w:hint="eastAsia" w:ascii="新宋体" w:eastAsia="新宋体"/>
          <w:color w:val="0F0F0F"/>
        </w:rPr>
        <w:t>（8）已标价工程量清单；</w:t>
      </w:r>
    </w:p>
    <w:p w14:paraId="07753276">
      <w:pPr>
        <w:spacing w:line="400" w:lineRule="exact"/>
        <w:ind w:firstLine="359" w:firstLineChars="171"/>
        <w:rPr>
          <w:rFonts w:ascii="新宋体" w:eastAsia="新宋体"/>
          <w:color w:val="0F0F0F"/>
        </w:rPr>
      </w:pPr>
      <w:r>
        <w:rPr>
          <w:rFonts w:hint="eastAsia" w:ascii="新宋体" w:eastAsia="新宋体"/>
          <w:color w:val="0F0F0F"/>
        </w:rPr>
        <w:t>（9）其他合同文件。</w:t>
      </w:r>
      <w:bookmarkStart w:id="167" w:name="_Toc152045616"/>
      <w:bookmarkStart w:id="168" w:name="_Toc144974584"/>
      <w:bookmarkStart w:id="169" w:name="_Toc179632634"/>
      <w:bookmarkStart w:id="170" w:name="_Toc152042394"/>
    </w:p>
    <w:p w14:paraId="6876EB1D">
      <w:pPr>
        <w:spacing w:line="400" w:lineRule="exact"/>
        <w:rPr>
          <w:rFonts w:ascii="新宋体" w:eastAsia="新宋体"/>
          <w:color w:val="0F0F0F"/>
          <w:sz w:val="24"/>
        </w:rPr>
      </w:pPr>
      <w:r>
        <w:rPr>
          <w:rFonts w:hint="eastAsia" w:ascii="新宋体" w:eastAsia="新宋体"/>
          <w:color w:val="0F0F0F"/>
          <w:sz w:val="24"/>
        </w:rPr>
        <w:t>1.5 合同协议书</w:t>
      </w:r>
      <w:bookmarkEnd w:id="167"/>
      <w:bookmarkEnd w:id="168"/>
      <w:bookmarkEnd w:id="169"/>
      <w:bookmarkEnd w:id="170"/>
    </w:p>
    <w:p w14:paraId="5E2ADCCE">
      <w:pPr>
        <w:spacing w:line="400" w:lineRule="exact"/>
        <w:ind w:firstLine="420" w:firstLineChars="200"/>
        <w:rPr>
          <w:rFonts w:ascii="新宋体" w:eastAsia="新宋体"/>
          <w:color w:val="0F0F0F"/>
        </w:rPr>
      </w:pPr>
      <w:r>
        <w:rPr>
          <w:rFonts w:hint="eastAsia" w:ascii="新宋体" w:eastAsia="新宋体"/>
          <w:color w:val="0F0F0F"/>
        </w:rPr>
        <w:t>承包人按</w:t>
      </w:r>
      <w:r>
        <w:rPr>
          <w:rFonts w:hint="eastAsia" w:ascii="新宋体" w:eastAsia="新宋体"/>
          <w:color w:val="0F0F0F"/>
          <w:lang w:eastAsia="zh-CN"/>
        </w:rPr>
        <w:t>成交</w:t>
      </w:r>
      <w:r>
        <w:rPr>
          <w:rFonts w:hint="eastAsia" w:ascii="新宋体" w:eastAsia="新宋体"/>
          <w:color w:val="0F0F0F"/>
        </w:rPr>
        <w:t>通知书规定的时间与发包人签订合同协议书。除法律另有规定或合同另有约定外，发包人和承包人的法定代表人或其委托代理人在合同协议书上签字并盖单位章后，合同生效。</w:t>
      </w:r>
      <w:bookmarkStart w:id="171" w:name="_Toc144974585"/>
      <w:bookmarkStart w:id="172" w:name="_Toc152045617"/>
      <w:bookmarkStart w:id="173" w:name="_Toc179632635"/>
      <w:bookmarkStart w:id="174" w:name="_Toc152042395"/>
    </w:p>
    <w:p w14:paraId="032E70DD">
      <w:pPr>
        <w:spacing w:line="400" w:lineRule="exact"/>
        <w:rPr>
          <w:rFonts w:ascii="新宋体" w:eastAsia="新宋体"/>
          <w:color w:val="0F0F0F"/>
          <w:sz w:val="24"/>
        </w:rPr>
      </w:pPr>
      <w:r>
        <w:rPr>
          <w:rFonts w:hint="eastAsia" w:ascii="新宋体" w:eastAsia="新宋体"/>
          <w:color w:val="0F0F0F"/>
          <w:sz w:val="24"/>
        </w:rPr>
        <w:t>1.6 图纸和承包人文件</w:t>
      </w:r>
      <w:bookmarkEnd w:id="171"/>
      <w:bookmarkEnd w:id="172"/>
      <w:bookmarkEnd w:id="173"/>
      <w:bookmarkEnd w:id="174"/>
    </w:p>
    <w:p w14:paraId="614F8AEF">
      <w:pPr>
        <w:spacing w:line="400" w:lineRule="exact"/>
        <w:ind w:firstLine="420" w:firstLineChars="200"/>
        <w:rPr>
          <w:rFonts w:ascii="新宋体" w:eastAsia="新宋体"/>
          <w:color w:val="0F0F0F"/>
        </w:rPr>
      </w:pPr>
      <w:r>
        <w:rPr>
          <w:rFonts w:hint="eastAsia" w:ascii="新宋体" w:eastAsia="新宋体"/>
          <w:color w:val="0F0F0F"/>
        </w:rPr>
        <w:t>1.6.1图纸的提供</w:t>
      </w:r>
    </w:p>
    <w:p w14:paraId="76BACD9E">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除专用合同条款另有约定外，图纸应在合理的期限内按照合同约定的数量提供给承包人。由于发包人未按时提供图纸造成工期延误的，按第11.3款的约定办理。</w:t>
      </w:r>
    </w:p>
    <w:p w14:paraId="4A5C77F9">
      <w:pPr>
        <w:spacing w:line="400" w:lineRule="exact"/>
        <w:ind w:firstLine="420" w:firstLineChars="200"/>
        <w:rPr>
          <w:rFonts w:ascii="新宋体" w:eastAsia="新宋体"/>
          <w:color w:val="0F0F0F"/>
        </w:rPr>
      </w:pPr>
      <w:r>
        <w:rPr>
          <w:rFonts w:hint="eastAsia" w:ascii="新宋体" w:eastAsia="新宋体"/>
          <w:color w:val="0F0F0F"/>
        </w:rPr>
        <w:t>1.6.2 承包人提供的文件</w:t>
      </w:r>
    </w:p>
    <w:p w14:paraId="3B795626">
      <w:pPr>
        <w:spacing w:line="400" w:lineRule="exact"/>
        <w:ind w:firstLine="420" w:firstLineChars="200"/>
        <w:rPr>
          <w:rFonts w:ascii="新宋体" w:eastAsia="新宋体"/>
          <w:b/>
          <w:color w:val="0F0F0F"/>
        </w:rPr>
      </w:pPr>
      <w:r>
        <w:rPr>
          <w:rFonts w:hint="eastAsia" w:ascii="新宋体" w:eastAsia="新宋体"/>
          <w:color w:val="0F0F0F"/>
        </w:rPr>
        <w:t>按专用合同条款约定由承包人提供的文件，包括部分工程的大样图、加工图等，承包人应按约定的数量和期限报送监理人。监理人应在专用合同条款约定的期限内批复。</w:t>
      </w:r>
    </w:p>
    <w:p w14:paraId="1E4C488A">
      <w:pPr>
        <w:spacing w:line="400" w:lineRule="exact"/>
        <w:ind w:firstLine="420" w:firstLineChars="200"/>
        <w:rPr>
          <w:rFonts w:ascii="新宋体" w:eastAsia="新宋体"/>
          <w:color w:val="0F0F0F"/>
        </w:rPr>
      </w:pPr>
      <w:r>
        <w:rPr>
          <w:rFonts w:hint="eastAsia" w:ascii="新宋体" w:eastAsia="新宋体"/>
          <w:color w:val="0F0F0F"/>
        </w:rPr>
        <w:t>1.6.3 图纸的修改</w:t>
      </w:r>
    </w:p>
    <w:p w14:paraId="22DB7D5D">
      <w:pPr>
        <w:spacing w:line="400" w:lineRule="exact"/>
        <w:ind w:firstLine="420" w:firstLineChars="200"/>
        <w:rPr>
          <w:rFonts w:ascii="新宋体" w:eastAsia="新宋体"/>
          <w:color w:val="0F0F0F"/>
        </w:rPr>
      </w:pPr>
      <w:r>
        <w:rPr>
          <w:rFonts w:hint="eastAsia" w:ascii="新宋体" w:eastAsia="新宋体"/>
          <w:color w:val="0F0F0F"/>
        </w:rPr>
        <w:t xml:space="preserve">图纸需要修改和补充的，应由监理人取得发包人同意后，在该工程或工程相应部位施工前的合理期限内签发图纸修改图给承包人，具体签发期限在专用合同条款中约定。承包人应按修改后的图纸施工。 </w:t>
      </w:r>
    </w:p>
    <w:p w14:paraId="68A5316D">
      <w:pPr>
        <w:spacing w:line="400" w:lineRule="exact"/>
        <w:ind w:firstLine="420" w:firstLineChars="200"/>
        <w:rPr>
          <w:rFonts w:ascii="新宋体" w:eastAsia="新宋体"/>
          <w:color w:val="0F0F0F"/>
        </w:rPr>
      </w:pPr>
      <w:r>
        <w:rPr>
          <w:rFonts w:hint="eastAsia" w:ascii="新宋体" w:eastAsia="新宋体"/>
          <w:color w:val="0F0F0F"/>
        </w:rPr>
        <w:t>1.6.4 图纸的错误</w:t>
      </w:r>
    </w:p>
    <w:p w14:paraId="0DC9B122">
      <w:pPr>
        <w:spacing w:line="400" w:lineRule="exact"/>
        <w:ind w:firstLine="420" w:firstLineChars="200"/>
        <w:rPr>
          <w:rFonts w:ascii="新宋体" w:eastAsia="新宋体"/>
          <w:color w:val="0F0F0F"/>
        </w:rPr>
      </w:pPr>
      <w:r>
        <w:rPr>
          <w:rFonts w:hint="eastAsia" w:ascii="新宋体" w:eastAsia="新宋体"/>
          <w:color w:val="0F0F0F"/>
        </w:rPr>
        <w:t>承包人发现发包人提供的图纸存在明显错误或疏忽，应及时通知监理人。</w:t>
      </w:r>
    </w:p>
    <w:p w14:paraId="18BB5D4D">
      <w:pPr>
        <w:spacing w:line="400" w:lineRule="exact"/>
        <w:ind w:firstLine="420" w:firstLineChars="200"/>
        <w:rPr>
          <w:rFonts w:ascii="新宋体" w:eastAsia="新宋体"/>
          <w:color w:val="0F0F0F"/>
        </w:rPr>
      </w:pPr>
      <w:r>
        <w:rPr>
          <w:rFonts w:hint="eastAsia" w:ascii="新宋体" w:eastAsia="新宋体"/>
          <w:color w:val="0F0F0F"/>
        </w:rPr>
        <w:t>1.6.5 图纸和承包人文件的保管</w:t>
      </w:r>
    </w:p>
    <w:p w14:paraId="2AE79DF8">
      <w:pPr>
        <w:spacing w:line="400" w:lineRule="exact"/>
        <w:ind w:firstLine="420" w:firstLineChars="200"/>
        <w:rPr>
          <w:rFonts w:ascii="新宋体" w:eastAsia="新宋体"/>
          <w:color w:val="0F0F0F"/>
        </w:rPr>
      </w:pPr>
      <w:r>
        <w:rPr>
          <w:rFonts w:hint="eastAsia" w:ascii="新宋体" w:eastAsia="新宋体"/>
          <w:color w:val="0F0F0F"/>
        </w:rPr>
        <w:t>监理人和承包人均应在施工场地各保存一套完整的包含第1.6.1项、第1.6.2项、第1.6.3项约定内容的图纸和承包人文件。</w:t>
      </w:r>
      <w:bookmarkStart w:id="175" w:name="_Toc152045618"/>
      <w:bookmarkStart w:id="176" w:name="_Toc179632636"/>
      <w:bookmarkStart w:id="177" w:name="_Toc144974586"/>
      <w:bookmarkStart w:id="178" w:name="_Toc152042396"/>
    </w:p>
    <w:p w14:paraId="0CECBD40">
      <w:pPr>
        <w:spacing w:line="400" w:lineRule="exact"/>
        <w:rPr>
          <w:rFonts w:ascii="新宋体" w:eastAsia="新宋体"/>
          <w:color w:val="0F0F0F"/>
          <w:sz w:val="24"/>
        </w:rPr>
      </w:pPr>
      <w:r>
        <w:rPr>
          <w:rFonts w:hint="eastAsia" w:ascii="新宋体" w:eastAsia="新宋体"/>
          <w:color w:val="0F0F0F"/>
          <w:sz w:val="24"/>
        </w:rPr>
        <w:t>1.7 联络</w:t>
      </w:r>
      <w:bookmarkEnd w:id="175"/>
      <w:bookmarkEnd w:id="176"/>
      <w:bookmarkEnd w:id="177"/>
      <w:bookmarkEnd w:id="178"/>
    </w:p>
    <w:p w14:paraId="25F700EB">
      <w:pPr>
        <w:spacing w:line="400" w:lineRule="exact"/>
        <w:ind w:firstLine="420" w:firstLineChars="200"/>
        <w:rPr>
          <w:rFonts w:ascii="新宋体" w:eastAsia="新宋体"/>
          <w:color w:val="0F0F0F"/>
        </w:rPr>
      </w:pPr>
      <w:r>
        <w:rPr>
          <w:rFonts w:hint="eastAsia" w:ascii="新宋体" w:eastAsia="新宋体"/>
          <w:color w:val="0F0F0F"/>
        </w:rPr>
        <w:t>1.7.1 与合同有关的通知、批准、证明、证书、指示、要求、请求、同意、意见、确定和决定等，均应采用书面形式。</w:t>
      </w:r>
    </w:p>
    <w:p w14:paraId="608F2275">
      <w:pPr>
        <w:spacing w:line="400" w:lineRule="exact"/>
        <w:ind w:firstLine="420" w:firstLineChars="200"/>
        <w:rPr>
          <w:rFonts w:ascii="新宋体" w:eastAsia="新宋体"/>
          <w:color w:val="0F0F0F"/>
        </w:rPr>
      </w:pPr>
      <w:r>
        <w:rPr>
          <w:rFonts w:hint="eastAsia" w:ascii="新宋体" w:eastAsia="新宋体"/>
          <w:color w:val="0F0F0F"/>
        </w:rPr>
        <w:t>1.7.2 第1.7.1项中的通知、批准、证明、证书、指示、要求、请求、同意、意见、确定和决定等来往函件，均应在合同约定的期限内送达指定地点和接收人，并办理签收手续。</w:t>
      </w:r>
      <w:bookmarkStart w:id="179" w:name="_Toc144974587"/>
      <w:bookmarkStart w:id="180" w:name="_Toc152042397"/>
      <w:bookmarkStart w:id="181" w:name="_Toc179632637"/>
      <w:bookmarkStart w:id="182" w:name="_Toc152045619"/>
    </w:p>
    <w:p w14:paraId="7822D0CB">
      <w:pPr>
        <w:spacing w:line="400" w:lineRule="exact"/>
        <w:rPr>
          <w:rFonts w:ascii="新宋体" w:eastAsia="新宋体"/>
          <w:color w:val="0F0F0F"/>
          <w:sz w:val="24"/>
        </w:rPr>
      </w:pPr>
      <w:r>
        <w:rPr>
          <w:rFonts w:hint="eastAsia" w:ascii="新宋体" w:eastAsia="新宋体"/>
          <w:color w:val="0F0F0F"/>
          <w:sz w:val="24"/>
        </w:rPr>
        <w:t>1.8 转让</w:t>
      </w:r>
      <w:bookmarkEnd w:id="179"/>
      <w:bookmarkEnd w:id="180"/>
      <w:bookmarkEnd w:id="181"/>
      <w:bookmarkEnd w:id="182"/>
    </w:p>
    <w:p w14:paraId="1C128E44">
      <w:pPr>
        <w:spacing w:line="400" w:lineRule="exact"/>
        <w:ind w:firstLine="420" w:firstLineChars="200"/>
        <w:rPr>
          <w:rFonts w:ascii="新宋体" w:eastAsia="新宋体"/>
          <w:color w:val="0F0F0F"/>
        </w:rPr>
      </w:pPr>
      <w:r>
        <w:rPr>
          <w:rFonts w:hint="eastAsia" w:ascii="新宋体" w:eastAsia="新宋体"/>
          <w:color w:val="0F0F0F"/>
        </w:rPr>
        <w:t>除合同另有约定外，未经对方当事人同意，一方当事人不得将合同权利全部或部分转让给第三人，也不得全部或部分转移合同义务。</w:t>
      </w:r>
      <w:bookmarkStart w:id="183" w:name="_Toc152045620"/>
      <w:bookmarkStart w:id="184" w:name="_Toc152042398"/>
      <w:bookmarkStart w:id="185" w:name="_Toc144974588"/>
      <w:bookmarkStart w:id="186" w:name="_Toc179632638"/>
    </w:p>
    <w:p w14:paraId="0D28460E">
      <w:pPr>
        <w:spacing w:line="400" w:lineRule="exact"/>
        <w:rPr>
          <w:rFonts w:ascii="新宋体" w:eastAsia="新宋体"/>
          <w:color w:val="0F0F0F"/>
          <w:sz w:val="24"/>
        </w:rPr>
      </w:pPr>
      <w:r>
        <w:rPr>
          <w:rFonts w:hint="eastAsia" w:ascii="新宋体" w:eastAsia="新宋体"/>
          <w:color w:val="0F0F0F"/>
          <w:sz w:val="24"/>
        </w:rPr>
        <w:t>1.9 严禁贿赂</w:t>
      </w:r>
      <w:bookmarkEnd w:id="183"/>
      <w:bookmarkEnd w:id="184"/>
      <w:bookmarkEnd w:id="185"/>
      <w:bookmarkEnd w:id="186"/>
    </w:p>
    <w:p w14:paraId="70350A92">
      <w:pPr>
        <w:spacing w:line="400" w:lineRule="exact"/>
        <w:ind w:firstLine="420" w:firstLineChars="200"/>
        <w:rPr>
          <w:rFonts w:ascii="新宋体" w:eastAsia="新宋体"/>
          <w:color w:val="0F0F0F"/>
        </w:rPr>
      </w:pPr>
      <w:r>
        <w:rPr>
          <w:rFonts w:hint="eastAsia" w:ascii="新宋体" w:eastAsia="新宋体"/>
          <w:color w:val="0F0F0F"/>
        </w:rPr>
        <w:t>合同双方当事人不得以贿赂或变相贿赂的方式，谋取不当利益或损害对方权益。因贿赂造成对方损失的，行为人应赔偿损失，并承担相应的法律责任。</w:t>
      </w:r>
      <w:bookmarkStart w:id="187" w:name="_Toc152045621"/>
      <w:bookmarkStart w:id="188" w:name="_Toc152042399"/>
      <w:bookmarkStart w:id="189" w:name="_Toc144974589"/>
      <w:bookmarkStart w:id="190" w:name="_Toc179632639"/>
    </w:p>
    <w:p w14:paraId="5EBDC2B3">
      <w:pPr>
        <w:spacing w:line="400" w:lineRule="exact"/>
        <w:rPr>
          <w:rFonts w:ascii="新宋体" w:eastAsia="新宋体"/>
          <w:color w:val="0F0F0F"/>
          <w:sz w:val="24"/>
        </w:rPr>
      </w:pPr>
      <w:r>
        <w:rPr>
          <w:rFonts w:hint="eastAsia" w:ascii="新宋体" w:eastAsia="新宋体"/>
          <w:color w:val="0F0F0F"/>
          <w:sz w:val="24"/>
        </w:rPr>
        <w:t>1.10 化石、文物</w:t>
      </w:r>
      <w:bookmarkEnd w:id="187"/>
      <w:bookmarkEnd w:id="188"/>
      <w:bookmarkEnd w:id="189"/>
      <w:bookmarkEnd w:id="190"/>
    </w:p>
    <w:p w14:paraId="0E2246E3">
      <w:pPr>
        <w:spacing w:line="400" w:lineRule="exact"/>
        <w:ind w:firstLine="420" w:firstLineChars="200"/>
        <w:rPr>
          <w:rFonts w:ascii="新宋体" w:eastAsia="新宋体"/>
          <w:color w:val="0F0F0F"/>
        </w:rPr>
      </w:pPr>
      <w:r>
        <w:rPr>
          <w:rFonts w:hint="eastAsia" w:ascii="新宋体" w:eastAsia="新宋体"/>
          <w:color w:val="0F0F0F"/>
        </w:rPr>
        <w:t>1.10.1 在施工场地发掘的所有文物、古迹以及具有地质研究或考古价值的其他遗迹、化石、钱币或物品属于国家所有。一旦发现上述文物，承包人应采取有效合理的保护措施，防止任何人员移动或损坏上述物品，并立即报告当地文物行政部门，同时通知监理人。发包人、监理人和承包人应按文物行政部门要求采取妥善保护措施，由此导致费用增加和（或）工期延误由发包人承担。</w:t>
      </w:r>
    </w:p>
    <w:p w14:paraId="4AADF8A1">
      <w:pPr>
        <w:spacing w:line="400" w:lineRule="exact"/>
        <w:ind w:firstLine="420" w:firstLineChars="200"/>
        <w:rPr>
          <w:rFonts w:ascii="新宋体" w:eastAsia="新宋体"/>
          <w:color w:val="0F0F0F"/>
        </w:rPr>
      </w:pPr>
      <w:r>
        <w:rPr>
          <w:rFonts w:hint="eastAsia" w:ascii="新宋体" w:eastAsia="新宋体"/>
          <w:color w:val="0F0F0F"/>
        </w:rPr>
        <w:t>1.10.2 承包人发现文物后不及时报告或隐瞒不报，致使文物丢失或损坏的，应赔偿损失，并承担相应的法律责任。</w:t>
      </w:r>
      <w:bookmarkStart w:id="191" w:name="_Toc152045622"/>
      <w:bookmarkStart w:id="192" w:name="_Toc179632640"/>
      <w:bookmarkStart w:id="193" w:name="_Toc152042400"/>
      <w:bookmarkStart w:id="194" w:name="_Toc144974590"/>
    </w:p>
    <w:p w14:paraId="2CE7FA3F">
      <w:pPr>
        <w:spacing w:line="400" w:lineRule="exact"/>
        <w:rPr>
          <w:rFonts w:ascii="新宋体" w:eastAsia="新宋体"/>
          <w:color w:val="0F0F0F"/>
          <w:sz w:val="24"/>
        </w:rPr>
      </w:pPr>
      <w:r>
        <w:rPr>
          <w:rFonts w:hint="eastAsia" w:ascii="新宋体" w:eastAsia="新宋体"/>
          <w:color w:val="0F0F0F"/>
          <w:sz w:val="24"/>
        </w:rPr>
        <w:t>1.11 专利技术</w:t>
      </w:r>
      <w:bookmarkEnd w:id="191"/>
      <w:bookmarkEnd w:id="192"/>
      <w:bookmarkEnd w:id="193"/>
      <w:bookmarkEnd w:id="194"/>
    </w:p>
    <w:p w14:paraId="713C664E">
      <w:pPr>
        <w:spacing w:line="400" w:lineRule="exact"/>
        <w:ind w:firstLine="420" w:firstLineChars="200"/>
        <w:rPr>
          <w:rFonts w:ascii="新宋体" w:eastAsia="新宋体"/>
          <w:color w:val="0F0F0F"/>
        </w:rPr>
      </w:pPr>
      <w:r>
        <w:rPr>
          <w:rFonts w:hint="eastAsia" w:ascii="新宋体" w:eastAsia="新宋体"/>
          <w:color w:val="0F0F0F"/>
        </w:rPr>
        <w:t>1.11.1 承包人在使用任何材料、承包人设备、工程设备或采用施工工艺时，因侵犯专利权或其他知识产权所引起的责任，由承包人承担，但由于遵照发包人提供的设计或技术标准和要求引起的除外。</w:t>
      </w:r>
    </w:p>
    <w:p w14:paraId="0D977AE5">
      <w:pPr>
        <w:spacing w:line="400" w:lineRule="exact"/>
        <w:ind w:firstLine="420" w:firstLineChars="200"/>
        <w:rPr>
          <w:rFonts w:ascii="新宋体" w:eastAsia="新宋体"/>
          <w:color w:val="0F0F0F"/>
        </w:rPr>
      </w:pPr>
      <w:r>
        <w:rPr>
          <w:rFonts w:hint="eastAsia" w:ascii="新宋体" w:eastAsia="新宋体"/>
          <w:color w:val="0F0F0F"/>
        </w:rPr>
        <w:t>1.11.2 承包人在响应文件中采用专利技术的，专利技术的使用费包含在投标报价内。</w:t>
      </w:r>
    </w:p>
    <w:p w14:paraId="1B9F6342">
      <w:pPr>
        <w:spacing w:line="400" w:lineRule="exact"/>
        <w:ind w:firstLine="420" w:firstLineChars="200"/>
        <w:rPr>
          <w:rFonts w:ascii="新宋体" w:eastAsia="新宋体"/>
          <w:color w:val="0F0F0F"/>
        </w:rPr>
      </w:pPr>
      <w:r>
        <w:rPr>
          <w:rFonts w:hint="eastAsia" w:ascii="新宋体" w:eastAsia="新宋体"/>
          <w:color w:val="0F0F0F"/>
        </w:rPr>
        <w:t>1.11.3 承包人的技术秘密和声明需要保密的资料和信息，发包人和监理人不得为合同以外的目的泄露给他人。</w:t>
      </w:r>
      <w:bookmarkStart w:id="195" w:name="_Toc152045623"/>
      <w:bookmarkStart w:id="196" w:name="_Toc179632641"/>
      <w:bookmarkStart w:id="197" w:name="_Toc144974591"/>
      <w:bookmarkStart w:id="198" w:name="_Toc152042401"/>
    </w:p>
    <w:p w14:paraId="74A5EA55">
      <w:pPr>
        <w:spacing w:line="400" w:lineRule="exact"/>
        <w:rPr>
          <w:rFonts w:ascii="新宋体" w:eastAsia="新宋体"/>
          <w:color w:val="0F0F0F"/>
          <w:sz w:val="24"/>
        </w:rPr>
      </w:pPr>
      <w:r>
        <w:rPr>
          <w:rFonts w:hint="eastAsia" w:ascii="新宋体" w:eastAsia="新宋体"/>
          <w:color w:val="0F0F0F"/>
          <w:sz w:val="24"/>
        </w:rPr>
        <w:t>1.12 图纸和文件的保密</w:t>
      </w:r>
      <w:bookmarkEnd w:id="195"/>
      <w:bookmarkEnd w:id="196"/>
      <w:bookmarkEnd w:id="197"/>
      <w:bookmarkEnd w:id="198"/>
    </w:p>
    <w:p w14:paraId="22577A56">
      <w:pPr>
        <w:spacing w:line="400" w:lineRule="exact"/>
        <w:ind w:firstLine="420" w:firstLineChars="200"/>
        <w:rPr>
          <w:rFonts w:ascii="新宋体" w:eastAsia="新宋体"/>
          <w:color w:val="0F0F0F"/>
        </w:rPr>
      </w:pPr>
      <w:r>
        <w:rPr>
          <w:rFonts w:hint="eastAsia" w:ascii="新宋体" w:eastAsia="新宋体"/>
          <w:color w:val="0F0F0F"/>
        </w:rPr>
        <w:t>1.12.1 发包人提供的图纸和文件，未经发包人同意，承包人不得为合同以外的目的泄露给他人或公开发表与引用。</w:t>
      </w:r>
    </w:p>
    <w:p w14:paraId="006CCA1E">
      <w:pPr>
        <w:spacing w:line="400" w:lineRule="exact"/>
        <w:ind w:firstLine="420" w:firstLineChars="200"/>
        <w:rPr>
          <w:rFonts w:ascii="新宋体" w:eastAsia="新宋体"/>
          <w:color w:val="0F0F0F"/>
        </w:rPr>
      </w:pPr>
      <w:r>
        <w:rPr>
          <w:rFonts w:hint="eastAsia" w:ascii="新宋体" w:eastAsia="新宋体"/>
          <w:color w:val="0F0F0F"/>
        </w:rPr>
        <w:t>1.12.2 承包人提供的文件，未经承包人同意，发包人和监理人不得为合同以外的目的泄露给他人或公开发表与引用。</w:t>
      </w:r>
      <w:bookmarkStart w:id="199" w:name="_Toc179632642"/>
      <w:bookmarkStart w:id="200" w:name="_Toc152042402"/>
      <w:bookmarkStart w:id="201" w:name="_Toc144974592"/>
      <w:bookmarkStart w:id="202" w:name="_Toc152045624"/>
    </w:p>
    <w:p w14:paraId="3B886604">
      <w:pPr>
        <w:spacing w:line="400" w:lineRule="exact"/>
        <w:rPr>
          <w:rFonts w:ascii="新宋体" w:eastAsia="新宋体"/>
          <w:color w:val="0F0F0F"/>
          <w:sz w:val="28"/>
          <w:szCs w:val="28"/>
        </w:rPr>
      </w:pPr>
      <w:r>
        <w:rPr>
          <w:rFonts w:hint="eastAsia" w:ascii="新宋体" w:eastAsia="新宋体"/>
          <w:color w:val="0F0F0F"/>
          <w:sz w:val="28"/>
          <w:szCs w:val="28"/>
        </w:rPr>
        <w:t>2. 发包人义务</w:t>
      </w:r>
      <w:bookmarkEnd w:id="199"/>
      <w:bookmarkEnd w:id="200"/>
      <w:bookmarkEnd w:id="201"/>
      <w:bookmarkEnd w:id="202"/>
      <w:bookmarkStart w:id="203" w:name="_Toc179632643"/>
      <w:bookmarkStart w:id="204" w:name="_Toc152045625"/>
      <w:bookmarkStart w:id="205" w:name="_Toc152042403"/>
      <w:bookmarkStart w:id="206" w:name="_Toc144974593"/>
    </w:p>
    <w:p w14:paraId="2F98207F">
      <w:pPr>
        <w:spacing w:line="400" w:lineRule="exact"/>
        <w:rPr>
          <w:rFonts w:ascii="新宋体" w:eastAsia="新宋体"/>
          <w:color w:val="0F0F0F"/>
          <w:sz w:val="24"/>
        </w:rPr>
      </w:pPr>
      <w:r>
        <w:rPr>
          <w:rFonts w:hint="eastAsia" w:ascii="新宋体" w:eastAsia="新宋体"/>
          <w:color w:val="0F0F0F"/>
          <w:sz w:val="24"/>
        </w:rPr>
        <w:t>2.1 遵守法律</w:t>
      </w:r>
      <w:bookmarkEnd w:id="203"/>
      <w:bookmarkEnd w:id="204"/>
      <w:bookmarkEnd w:id="205"/>
      <w:bookmarkEnd w:id="206"/>
    </w:p>
    <w:p w14:paraId="62DABEA4">
      <w:pPr>
        <w:spacing w:line="400" w:lineRule="exact"/>
        <w:ind w:firstLine="420" w:firstLineChars="200"/>
        <w:rPr>
          <w:rFonts w:ascii="新宋体" w:eastAsia="新宋体"/>
          <w:color w:val="0F0F0F"/>
        </w:rPr>
      </w:pPr>
      <w:r>
        <w:rPr>
          <w:rFonts w:hint="eastAsia" w:ascii="新宋体" w:eastAsia="新宋体"/>
          <w:color w:val="0F0F0F"/>
        </w:rPr>
        <w:t>发包人在履行合同过程中应遵守法律，并保证承包人免于承担因发包人违反法律而引起的任何责任。</w:t>
      </w:r>
      <w:bookmarkStart w:id="207" w:name="_Toc179632644"/>
      <w:bookmarkStart w:id="208" w:name="_Toc144974594"/>
      <w:bookmarkStart w:id="209" w:name="_Toc152045626"/>
      <w:bookmarkStart w:id="210" w:name="_Toc152042404"/>
    </w:p>
    <w:p w14:paraId="6F0D2AB8">
      <w:pPr>
        <w:spacing w:line="400" w:lineRule="exact"/>
        <w:rPr>
          <w:rFonts w:ascii="新宋体" w:eastAsia="新宋体"/>
          <w:color w:val="0F0F0F"/>
          <w:sz w:val="24"/>
        </w:rPr>
      </w:pPr>
      <w:r>
        <w:rPr>
          <w:rFonts w:hint="eastAsia" w:ascii="新宋体" w:eastAsia="新宋体"/>
          <w:color w:val="0F0F0F"/>
          <w:sz w:val="24"/>
        </w:rPr>
        <w:t>2.2 发出开工通知</w:t>
      </w:r>
      <w:bookmarkEnd w:id="207"/>
      <w:bookmarkEnd w:id="208"/>
      <w:bookmarkEnd w:id="209"/>
      <w:bookmarkEnd w:id="210"/>
    </w:p>
    <w:p w14:paraId="41ACCD52">
      <w:pPr>
        <w:spacing w:line="400" w:lineRule="exact"/>
        <w:ind w:firstLine="420" w:firstLineChars="200"/>
        <w:rPr>
          <w:rFonts w:ascii="新宋体" w:eastAsia="新宋体"/>
          <w:color w:val="0F0F0F"/>
        </w:rPr>
      </w:pPr>
      <w:r>
        <w:rPr>
          <w:rFonts w:hint="eastAsia" w:ascii="新宋体" w:eastAsia="新宋体"/>
          <w:color w:val="0F0F0F"/>
        </w:rPr>
        <w:t>发包人应委托监理人按第11.1款的约定向承包人发出开工通知。</w:t>
      </w:r>
      <w:bookmarkStart w:id="211" w:name="_Toc179632645"/>
      <w:bookmarkStart w:id="212" w:name="_Toc144974595"/>
      <w:bookmarkStart w:id="213" w:name="_Toc152042405"/>
      <w:bookmarkStart w:id="214" w:name="_Toc152045627"/>
    </w:p>
    <w:p w14:paraId="637A3B17">
      <w:pPr>
        <w:spacing w:line="400" w:lineRule="exact"/>
        <w:rPr>
          <w:rFonts w:ascii="新宋体" w:eastAsia="新宋体"/>
          <w:color w:val="0F0F0F"/>
          <w:sz w:val="24"/>
        </w:rPr>
      </w:pPr>
      <w:r>
        <w:rPr>
          <w:rFonts w:hint="eastAsia" w:ascii="新宋体" w:eastAsia="新宋体"/>
          <w:color w:val="0F0F0F"/>
          <w:sz w:val="24"/>
        </w:rPr>
        <w:t>2.3 提供施工场地</w:t>
      </w:r>
      <w:bookmarkEnd w:id="211"/>
      <w:bookmarkEnd w:id="212"/>
      <w:bookmarkEnd w:id="213"/>
      <w:bookmarkEnd w:id="214"/>
    </w:p>
    <w:p w14:paraId="0E6907C1">
      <w:pPr>
        <w:spacing w:line="400" w:lineRule="exact"/>
        <w:ind w:firstLine="420" w:firstLineChars="200"/>
        <w:rPr>
          <w:rFonts w:ascii="新宋体" w:eastAsia="新宋体"/>
          <w:color w:val="0F0F0F"/>
        </w:rPr>
      </w:pPr>
      <w:r>
        <w:rPr>
          <w:rFonts w:hint="eastAsia" w:ascii="新宋体" w:eastAsia="新宋体"/>
          <w:color w:val="0F0F0F"/>
        </w:rPr>
        <w:t>发包人应按专用合同条款约定向承包人提供施工场地，以及施工场地内地下管线和地下设施等有关资料，并保证资料的真实、准确、完整。</w:t>
      </w:r>
      <w:bookmarkStart w:id="215" w:name="_Toc179632646"/>
      <w:bookmarkStart w:id="216" w:name="_Toc152042406"/>
      <w:bookmarkStart w:id="217" w:name="_Toc144974596"/>
      <w:bookmarkStart w:id="218" w:name="_Toc152045628"/>
    </w:p>
    <w:p w14:paraId="3BC8B6AB">
      <w:pPr>
        <w:spacing w:line="400" w:lineRule="exact"/>
        <w:rPr>
          <w:rFonts w:ascii="新宋体" w:eastAsia="新宋体"/>
          <w:color w:val="0F0F0F"/>
          <w:sz w:val="24"/>
        </w:rPr>
      </w:pPr>
      <w:r>
        <w:rPr>
          <w:rFonts w:hint="eastAsia" w:ascii="新宋体" w:eastAsia="新宋体"/>
          <w:color w:val="0F0F0F"/>
          <w:sz w:val="24"/>
        </w:rPr>
        <w:t>2.4 协助承包人办理证件和批件</w:t>
      </w:r>
      <w:bookmarkEnd w:id="215"/>
      <w:bookmarkEnd w:id="216"/>
      <w:bookmarkEnd w:id="217"/>
      <w:bookmarkEnd w:id="218"/>
    </w:p>
    <w:p w14:paraId="1461AB94">
      <w:pPr>
        <w:spacing w:line="400" w:lineRule="exact"/>
        <w:ind w:firstLine="420" w:firstLineChars="200"/>
        <w:rPr>
          <w:rFonts w:ascii="新宋体" w:eastAsia="新宋体"/>
          <w:color w:val="0F0F0F"/>
        </w:rPr>
      </w:pPr>
      <w:r>
        <w:rPr>
          <w:rFonts w:hint="eastAsia" w:ascii="新宋体" w:eastAsia="新宋体"/>
          <w:color w:val="0F0F0F"/>
        </w:rPr>
        <w:t>发包人应协助承包人办理法律规定的有关施工证件和批件。</w:t>
      </w:r>
      <w:bookmarkStart w:id="219" w:name="_Toc179632647"/>
      <w:bookmarkStart w:id="220" w:name="_Toc152045629"/>
      <w:bookmarkStart w:id="221" w:name="_Toc152042407"/>
      <w:bookmarkStart w:id="222" w:name="_Toc144974597"/>
    </w:p>
    <w:p w14:paraId="7EF9DB7A">
      <w:pPr>
        <w:spacing w:line="400" w:lineRule="exact"/>
        <w:rPr>
          <w:rFonts w:ascii="新宋体" w:eastAsia="新宋体"/>
          <w:color w:val="0F0F0F"/>
          <w:sz w:val="24"/>
        </w:rPr>
      </w:pPr>
      <w:r>
        <w:rPr>
          <w:rFonts w:hint="eastAsia" w:ascii="新宋体" w:eastAsia="新宋体"/>
          <w:color w:val="0F0F0F"/>
          <w:sz w:val="24"/>
        </w:rPr>
        <w:t>2.5 组织设计交底</w:t>
      </w:r>
      <w:bookmarkEnd w:id="219"/>
      <w:bookmarkEnd w:id="220"/>
      <w:bookmarkEnd w:id="221"/>
      <w:bookmarkEnd w:id="222"/>
    </w:p>
    <w:p w14:paraId="2E77737F">
      <w:pPr>
        <w:spacing w:line="400" w:lineRule="exact"/>
        <w:ind w:firstLine="420" w:firstLineChars="200"/>
        <w:rPr>
          <w:rFonts w:ascii="新宋体" w:eastAsia="新宋体"/>
          <w:color w:val="0F0F0F"/>
        </w:rPr>
      </w:pPr>
      <w:r>
        <w:rPr>
          <w:rFonts w:hint="eastAsia" w:ascii="新宋体" w:eastAsia="新宋体"/>
          <w:color w:val="0F0F0F"/>
        </w:rPr>
        <w:t>发包人应根据合同进度计划，组织设计单位向承包人进行设计交底。</w:t>
      </w:r>
      <w:bookmarkStart w:id="223" w:name="_Toc152045630"/>
      <w:bookmarkStart w:id="224" w:name="_Toc152042408"/>
      <w:bookmarkStart w:id="225" w:name="_Toc179632648"/>
      <w:bookmarkStart w:id="226" w:name="_Toc144974598"/>
    </w:p>
    <w:p w14:paraId="710C60D5">
      <w:pPr>
        <w:spacing w:line="400" w:lineRule="exact"/>
        <w:rPr>
          <w:rFonts w:ascii="新宋体" w:eastAsia="新宋体"/>
          <w:color w:val="0F0F0F"/>
          <w:sz w:val="24"/>
        </w:rPr>
      </w:pPr>
      <w:r>
        <w:rPr>
          <w:rFonts w:hint="eastAsia" w:ascii="新宋体" w:eastAsia="新宋体"/>
          <w:color w:val="0F0F0F"/>
          <w:sz w:val="24"/>
        </w:rPr>
        <w:t>2.6 支付合同价款</w:t>
      </w:r>
      <w:bookmarkEnd w:id="223"/>
      <w:bookmarkEnd w:id="224"/>
      <w:bookmarkEnd w:id="225"/>
      <w:bookmarkEnd w:id="226"/>
    </w:p>
    <w:p w14:paraId="094FA401">
      <w:pPr>
        <w:spacing w:line="400" w:lineRule="exact"/>
        <w:ind w:firstLine="420" w:firstLineChars="200"/>
        <w:rPr>
          <w:rFonts w:ascii="新宋体" w:eastAsia="新宋体"/>
          <w:color w:val="0F0F0F"/>
        </w:rPr>
      </w:pPr>
      <w:r>
        <w:rPr>
          <w:rFonts w:hint="eastAsia" w:ascii="新宋体" w:eastAsia="新宋体"/>
          <w:color w:val="0F0F0F"/>
        </w:rPr>
        <w:t>发包人应按合同约定向承包人及时支付合同价款。</w:t>
      </w:r>
      <w:bookmarkStart w:id="227" w:name="_Toc152045631"/>
      <w:bookmarkStart w:id="228" w:name="_Toc179632649"/>
      <w:bookmarkStart w:id="229" w:name="_Toc152042409"/>
      <w:bookmarkStart w:id="230" w:name="_Toc144974599"/>
    </w:p>
    <w:p w14:paraId="7934AD64">
      <w:pPr>
        <w:spacing w:line="400" w:lineRule="exact"/>
        <w:rPr>
          <w:rFonts w:ascii="新宋体" w:eastAsia="新宋体"/>
          <w:color w:val="0F0F0F"/>
          <w:sz w:val="24"/>
        </w:rPr>
      </w:pPr>
      <w:r>
        <w:rPr>
          <w:rFonts w:hint="eastAsia" w:ascii="新宋体" w:eastAsia="新宋体"/>
          <w:color w:val="0F0F0F"/>
          <w:sz w:val="24"/>
        </w:rPr>
        <w:t>2.7 组织竣工验收</w:t>
      </w:r>
      <w:bookmarkEnd w:id="227"/>
      <w:bookmarkEnd w:id="228"/>
      <w:bookmarkEnd w:id="229"/>
      <w:bookmarkEnd w:id="230"/>
    </w:p>
    <w:p w14:paraId="5FC6BC19">
      <w:pPr>
        <w:spacing w:line="400" w:lineRule="exact"/>
        <w:ind w:firstLine="420" w:firstLineChars="200"/>
        <w:rPr>
          <w:rFonts w:ascii="新宋体" w:eastAsia="新宋体"/>
          <w:color w:val="0F0F0F"/>
        </w:rPr>
      </w:pPr>
      <w:r>
        <w:rPr>
          <w:rFonts w:hint="eastAsia" w:ascii="新宋体" w:eastAsia="新宋体"/>
          <w:color w:val="0F0F0F"/>
        </w:rPr>
        <w:t>发包人应按合同约定及时组织竣工验收。</w:t>
      </w:r>
      <w:bookmarkStart w:id="231" w:name="_Toc152042410"/>
      <w:bookmarkStart w:id="232" w:name="_Toc144974600"/>
      <w:bookmarkStart w:id="233" w:name="_Toc179632650"/>
      <w:bookmarkStart w:id="234" w:name="_Toc152045632"/>
    </w:p>
    <w:p w14:paraId="1CA8E2BC">
      <w:pPr>
        <w:spacing w:line="400" w:lineRule="exact"/>
        <w:rPr>
          <w:rFonts w:ascii="新宋体" w:eastAsia="新宋体"/>
          <w:color w:val="0F0F0F"/>
          <w:sz w:val="24"/>
        </w:rPr>
      </w:pPr>
      <w:r>
        <w:rPr>
          <w:rFonts w:hint="eastAsia" w:ascii="新宋体" w:eastAsia="新宋体"/>
          <w:color w:val="0F0F0F"/>
          <w:sz w:val="24"/>
        </w:rPr>
        <w:t>2.8 其他义务</w:t>
      </w:r>
      <w:bookmarkEnd w:id="231"/>
      <w:bookmarkEnd w:id="232"/>
      <w:bookmarkEnd w:id="233"/>
      <w:bookmarkEnd w:id="234"/>
    </w:p>
    <w:p w14:paraId="2D52B600">
      <w:pPr>
        <w:spacing w:line="400" w:lineRule="exact"/>
        <w:ind w:firstLine="420" w:firstLineChars="200"/>
        <w:rPr>
          <w:rFonts w:ascii="新宋体" w:eastAsia="新宋体"/>
          <w:color w:val="0F0F0F"/>
        </w:rPr>
      </w:pPr>
      <w:r>
        <w:rPr>
          <w:rFonts w:hint="eastAsia" w:ascii="新宋体" w:eastAsia="新宋体"/>
          <w:color w:val="0F0F0F"/>
        </w:rPr>
        <w:t>发包人应履行合同约定的其他义务。</w:t>
      </w:r>
      <w:bookmarkStart w:id="235" w:name="_Toc152045633"/>
      <w:bookmarkStart w:id="236" w:name="_Toc179632651"/>
      <w:bookmarkStart w:id="237" w:name="_Toc144974601"/>
      <w:bookmarkStart w:id="238" w:name="_Toc152042411"/>
    </w:p>
    <w:p w14:paraId="501DCC65">
      <w:pPr>
        <w:spacing w:line="400" w:lineRule="exact"/>
        <w:rPr>
          <w:rFonts w:ascii="新宋体" w:eastAsia="新宋体"/>
          <w:color w:val="0F0F0F"/>
          <w:sz w:val="28"/>
          <w:szCs w:val="28"/>
        </w:rPr>
      </w:pPr>
      <w:r>
        <w:rPr>
          <w:rFonts w:hint="eastAsia" w:ascii="新宋体" w:eastAsia="新宋体"/>
          <w:color w:val="0F0F0F"/>
          <w:sz w:val="28"/>
          <w:szCs w:val="28"/>
        </w:rPr>
        <w:t>3. 监理人</w:t>
      </w:r>
      <w:bookmarkEnd w:id="235"/>
      <w:bookmarkEnd w:id="236"/>
      <w:bookmarkEnd w:id="237"/>
      <w:bookmarkEnd w:id="238"/>
      <w:bookmarkStart w:id="239" w:name="_Toc152042412"/>
      <w:bookmarkStart w:id="240" w:name="_Toc144974602"/>
      <w:bookmarkStart w:id="241" w:name="_Toc179632652"/>
      <w:bookmarkStart w:id="242" w:name="_Toc152045634"/>
    </w:p>
    <w:p w14:paraId="0287E8FA">
      <w:pPr>
        <w:spacing w:line="400" w:lineRule="exact"/>
        <w:rPr>
          <w:rFonts w:ascii="新宋体" w:eastAsia="新宋体"/>
          <w:color w:val="0F0F0F"/>
          <w:sz w:val="24"/>
        </w:rPr>
      </w:pPr>
      <w:r>
        <w:rPr>
          <w:rFonts w:hint="eastAsia" w:ascii="新宋体" w:eastAsia="新宋体"/>
          <w:color w:val="0F0F0F"/>
          <w:sz w:val="24"/>
        </w:rPr>
        <w:t>3.1 监理人的职责和权力</w:t>
      </w:r>
      <w:bookmarkEnd w:id="239"/>
      <w:bookmarkEnd w:id="240"/>
      <w:bookmarkEnd w:id="241"/>
      <w:bookmarkEnd w:id="242"/>
    </w:p>
    <w:p w14:paraId="3A2D493D">
      <w:pPr>
        <w:spacing w:line="400" w:lineRule="exact"/>
        <w:ind w:firstLine="420" w:firstLineChars="200"/>
        <w:rPr>
          <w:rFonts w:ascii="新宋体" w:eastAsia="新宋体"/>
          <w:color w:val="0F0F0F"/>
        </w:rPr>
      </w:pPr>
      <w:r>
        <w:rPr>
          <w:rFonts w:hint="eastAsia" w:ascii="新宋体" w:eastAsia="新宋体"/>
          <w:color w:val="0F0F0F"/>
        </w:rPr>
        <w:t>3.1.1 监理人受发包人委托，享有合同约定的权力。监理人在行使某项权力前需要经发包人事先批准而通用合同条款没有指明的，应在专用合同条款中指明。</w:t>
      </w:r>
    </w:p>
    <w:p w14:paraId="5A5772A5">
      <w:pPr>
        <w:spacing w:line="400" w:lineRule="exact"/>
        <w:ind w:firstLine="420" w:firstLineChars="200"/>
        <w:rPr>
          <w:rFonts w:ascii="新宋体" w:eastAsia="新宋体"/>
          <w:color w:val="0F0F0F"/>
        </w:rPr>
      </w:pPr>
      <w:r>
        <w:rPr>
          <w:rFonts w:hint="eastAsia" w:ascii="新宋体" w:eastAsia="新宋体"/>
          <w:color w:val="0F0F0F"/>
        </w:rPr>
        <w:t>3.1.2 监理人发出的任何指示应视为已得到发包人的批准，但监理人无权免除或变更合同约定的发包人和承包人的权利、义务和责任。</w:t>
      </w:r>
    </w:p>
    <w:p w14:paraId="0F46136A">
      <w:pPr>
        <w:spacing w:line="400" w:lineRule="exact"/>
        <w:ind w:firstLine="420" w:firstLineChars="200"/>
        <w:rPr>
          <w:rFonts w:ascii="新宋体" w:eastAsia="新宋体"/>
          <w:color w:val="0F0F0F"/>
        </w:rPr>
      </w:pPr>
      <w:r>
        <w:rPr>
          <w:rFonts w:hint="eastAsia" w:ascii="新宋体" w:eastAsia="新宋体"/>
          <w:color w:val="0F0F0F"/>
        </w:rPr>
        <w:t>3.1.3 合同约定应由承包人承担的义务和责任，不因监理人对承包人提交文件的审查或批准，对工程、材料和设备的检查和检验，以及为实施监理作出的指示等职务行为而减轻或解除。</w:t>
      </w:r>
      <w:bookmarkStart w:id="243" w:name="_Toc152045635"/>
      <w:bookmarkStart w:id="244" w:name="_Toc179632653"/>
      <w:bookmarkStart w:id="245" w:name="_Toc144974603"/>
      <w:bookmarkStart w:id="246" w:name="_Toc152042413"/>
    </w:p>
    <w:p w14:paraId="026E5E0E">
      <w:pPr>
        <w:spacing w:line="400" w:lineRule="exact"/>
        <w:rPr>
          <w:rFonts w:ascii="新宋体" w:eastAsia="新宋体"/>
          <w:color w:val="0F0F0F"/>
          <w:sz w:val="24"/>
        </w:rPr>
      </w:pPr>
      <w:r>
        <w:rPr>
          <w:rFonts w:hint="eastAsia" w:ascii="新宋体" w:eastAsia="新宋体"/>
          <w:color w:val="0F0F0F"/>
          <w:sz w:val="24"/>
        </w:rPr>
        <w:t>3.2 总监理工程师</w:t>
      </w:r>
      <w:bookmarkEnd w:id="243"/>
      <w:bookmarkEnd w:id="244"/>
      <w:bookmarkEnd w:id="245"/>
      <w:bookmarkEnd w:id="246"/>
    </w:p>
    <w:p w14:paraId="53E487BE">
      <w:pPr>
        <w:spacing w:line="400" w:lineRule="exact"/>
        <w:ind w:firstLine="420" w:firstLineChars="200"/>
        <w:rPr>
          <w:rFonts w:ascii="新宋体" w:eastAsia="新宋体"/>
          <w:color w:val="0F0F0F"/>
        </w:rPr>
      </w:pPr>
      <w:r>
        <w:rPr>
          <w:rFonts w:hint="eastAsia" w:ascii="新宋体" w:eastAsia="新宋体"/>
          <w:color w:val="0F0F0F"/>
        </w:rPr>
        <w:t>发包人应在发出开工通知前将总监理工程师的任命通知承包人。总监理工程师更换时，应在调离14天前通知承包人。总监理工程师短期离开施工场地的，应委派代表代行其职责，并通知承包人。</w:t>
      </w:r>
      <w:bookmarkStart w:id="247" w:name="_Toc179632654"/>
      <w:bookmarkStart w:id="248" w:name="_Toc152042414"/>
      <w:bookmarkStart w:id="249" w:name="_Toc152045636"/>
      <w:bookmarkStart w:id="250" w:name="_Toc144974604"/>
    </w:p>
    <w:p w14:paraId="177E2FB6">
      <w:pPr>
        <w:spacing w:line="400" w:lineRule="exact"/>
        <w:rPr>
          <w:rFonts w:ascii="新宋体" w:eastAsia="新宋体"/>
          <w:color w:val="0F0F0F"/>
          <w:sz w:val="24"/>
        </w:rPr>
      </w:pPr>
      <w:r>
        <w:rPr>
          <w:rFonts w:hint="eastAsia" w:ascii="新宋体" w:eastAsia="新宋体"/>
          <w:color w:val="0F0F0F"/>
          <w:sz w:val="24"/>
        </w:rPr>
        <w:t>3.3 监理人员</w:t>
      </w:r>
      <w:bookmarkEnd w:id="247"/>
      <w:bookmarkEnd w:id="248"/>
      <w:bookmarkEnd w:id="249"/>
      <w:bookmarkEnd w:id="250"/>
    </w:p>
    <w:p w14:paraId="2C8C724D">
      <w:pPr>
        <w:spacing w:line="400" w:lineRule="exact"/>
        <w:ind w:firstLine="420" w:firstLineChars="200"/>
        <w:rPr>
          <w:rFonts w:ascii="新宋体" w:eastAsia="新宋体"/>
          <w:color w:val="0F0F0F"/>
        </w:rPr>
      </w:pPr>
      <w:r>
        <w:rPr>
          <w:rFonts w:hint="eastAsia" w:ascii="新宋体" w:eastAsia="新宋体"/>
          <w:color w:val="0F0F0F"/>
        </w:rPr>
        <w:t>3.3.1 总监理工程师可以授权其他监理人员负责执行其指派的一项或多项监理工作。总监理工程师应将被授权监理人员的姓名及其授权范围通知承包人。被授权的监理人员在授权范围内发出的指示视为已得到总监理工程师的同意，与总监理工程师发出的指示具有同等效力。总监理工程师撤销某项授权时，应将撤销授权的决定及时通知承包人。</w:t>
      </w:r>
    </w:p>
    <w:p w14:paraId="1D4C4C7E">
      <w:pPr>
        <w:spacing w:line="400" w:lineRule="exact"/>
        <w:ind w:firstLine="420" w:firstLineChars="200"/>
        <w:rPr>
          <w:rFonts w:ascii="新宋体" w:eastAsia="新宋体"/>
          <w:color w:val="0F0F0F"/>
        </w:rPr>
      </w:pPr>
      <w:r>
        <w:rPr>
          <w:rFonts w:hint="eastAsia" w:ascii="新宋体" w:eastAsia="新宋体"/>
          <w:color w:val="0F0F0F"/>
        </w:rPr>
        <w:t>3.3.2 监理人员对承包人的任何工作、工程或其采用的材料和工程设备未在约定的或合理的期限内提出否定意见的，视为已获批准，但不影响监理人在以后拒绝该项工作、工程、材料或工程设备的权利。</w:t>
      </w:r>
    </w:p>
    <w:p w14:paraId="34316B29">
      <w:pPr>
        <w:spacing w:line="400" w:lineRule="exact"/>
        <w:ind w:firstLine="420" w:firstLineChars="200"/>
        <w:rPr>
          <w:rFonts w:ascii="新宋体" w:eastAsia="新宋体"/>
          <w:color w:val="0F0F0F"/>
        </w:rPr>
      </w:pPr>
      <w:r>
        <w:rPr>
          <w:rFonts w:hint="eastAsia" w:ascii="新宋体" w:eastAsia="新宋体"/>
          <w:color w:val="0F0F0F"/>
        </w:rPr>
        <w:t>3.3.3 承包人对总监理工程师授权的监理人员发出的指示有疑问的，可向总监理工程师提出书面异议，总监理工程师应在48小时内对该指示予以确认、更改或撤销。</w:t>
      </w:r>
    </w:p>
    <w:p w14:paraId="22707E8B">
      <w:pPr>
        <w:spacing w:line="400" w:lineRule="exact"/>
        <w:ind w:firstLine="420" w:firstLineChars="200"/>
        <w:rPr>
          <w:rFonts w:ascii="新宋体" w:eastAsia="新宋体"/>
          <w:color w:val="0F0F0F"/>
        </w:rPr>
      </w:pPr>
      <w:r>
        <w:rPr>
          <w:rFonts w:hint="eastAsia" w:ascii="新宋体" w:eastAsia="新宋体"/>
          <w:color w:val="0F0F0F"/>
        </w:rPr>
        <w:t>3.3.4 除专用合同条款另有约定外，总监理工程师不应将第3.5款约定应由总监理工程师作出确定的权力授权或委托给其他监理人员。</w:t>
      </w:r>
      <w:bookmarkStart w:id="251" w:name="_Toc152042415"/>
      <w:bookmarkStart w:id="252" w:name="_Toc179632655"/>
      <w:bookmarkStart w:id="253" w:name="_Toc152045637"/>
      <w:bookmarkStart w:id="254" w:name="_Toc144974605"/>
    </w:p>
    <w:p w14:paraId="5395BCF6">
      <w:pPr>
        <w:spacing w:line="400" w:lineRule="exact"/>
        <w:rPr>
          <w:rFonts w:ascii="新宋体" w:eastAsia="新宋体"/>
          <w:color w:val="0F0F0F"/>
          <w:sz w:val="24"/>
        </w:rPr>
      </w:pPr>
      <w:r>
        <w:rPr>
          <w:rFonts w:hint="eastAsia" w:ascii="新宋体" w:eastAsia="新宋体"/>
          <w:color w:val="0F0F0F"/>
          <w:sz w:val="24"/>
        </w:rPr>
        <w:t>3.4 监理人的指示</w:t>
      </w:r>
      <w:bookmarkEnd w:id="251"/>
      <w:bookmarkEnd w:id="252"/>
      <w:bookmarkEnd w:id="253"/>
      <w:bookmarkEnd w:id="254"/>
    </w:p>
    <w:p w14:paraId="7F511B24">
      <w:pPr>
        <w:spacing w:line="400" w:lineRule="exact"/>
        <w:ind w:firstLine="420" w:firstLineChars="200"/>
        <w:rPr>
          <w:rFonts w:ascii="新宋体" w:eastAsia="新宋体"/>
          <w:color w:val="0F0F0F"/>
        </w:rPr>
      </w:pPr>
      <w:r>
        <w:rPr>
          <w:rFonts w:hint="eastAsia" w:ascii="新宋体" w:eastAsia="新宋体"/>
          <w:color w:val="0F0F0F"/>
        </w:rPr>
        <w:t>3.4.1 监理人应按第3.1款的约定向承包人发出指示，监理人的指示应盖有监理人授权的施工场地机构章，并由总监理工程师或总监理工程师按第3.3.1项约定授权的监理人员签字。</w:t>
      </w:r>
    </w:p>
    <w:p w14:paraId="095DC5BF">
      <w:pPr>
        <w:spacing w:line="400" w:lineRule="exact"/>
        <w:ind w:firstLine="420" w:firstLineChars="200"/>
        <w:rPr>
          <w:rFonts w:ascii="新宋体" w:eastAsia="新宋体"/>
          <w:color w:val="0F0F0F"/>
        </w:rPr>
      </w:pPr>
      <w:r>
        <w:rPr>
          <w:rFonts w:hint="eastAsia" w:ascii="新宋体" w:eastAsia="新宋体"/>
          <w:color w:val="0F0F0F"/>
        </w:rPr>
        <w:t>3.4.2 承包人收到监理人按第3.4.1项作出的指示后应遵照执行。指示构成变更的，应按第15条处理。</w:t>
      </w:r>
    </w:p>
    <w:p w14:paraId="1A748D4B">
      <w:pPr>
        <w:spacing w:line="400" w:lineRule="exact"/>
        <w:ind w:firstLine="420" w:firstLineChars="200"/>
        <w:rPr>
          <w:rFonts w:ascii="新宋体" w:eastAsia="新宋体"/>
          <w:color w:val="0F0F0F"/>
        </w:rPr>
      </w:pPr>
      <w:r>
        <w:rPr>
          <w:rFonts w:hint="eastAsia" w:ascii="新宋体" w:eastAsia="新宋体"/>
          <w:color w:val="0F0F0F"/>
        </w:rPr>
        <w:t>3.4.3 在紧急情况下，总监理工程师或被授权的监理人员可以当场签发临时书面指示，承包人应遵照执行。承包人应在收到上述临时书面指示后24小时内，向监理人发出书面确认函。监理人在收到书面确认函后24小时内未予答复的，该书面确认函应被视为监理人的正式指示。</w:t>
      </w:r>
    </w:p>
    <w:p w14:paraId="6B1DF764">
      <w:pPr>
        <w:spacing w:line="400" w:lineRule="exact"/>
        <w:ind w:firstLine="420" w:firstLineChars="200"/>
        <w:rPr>
          <w:rFonts w:ascii="新宋体" w:eastAsia="新宋体"/>
          <w:color w:val="0F0F0F"/>
        </w:rPr>
      </w:pPr>
      <w:r>
        <w:rPr>
          <w:rFonts w:hint="eastAsia" w:ascii="新宋体" w:eastAsia="新宋体"/>
          <w:color w:val="0F0F0F"/>
        </w:rPr>
        <w:t>3.4.4 除合同另有约定外，承包人只从总监理工程师或按第3.3.1项被授权的监理人员处取得指示。</w:t>
      </w:r>
    </w:p>
    <w:p w14:paraId="31B9B19C">
      <w:pPr>
        <w:spacing w:line="400" w:lineRule="exact"/>
        <w:ind w:firstLine="420" w:firstLineChars="200"/>
        <w:rPr>
          <w:rFonts w:ascii="新宋体" w:eastAsia="新宋体"/>
          <w:color w:val="0F0F0F"/>
        </w:rPr>
      </w:pPr>
      <w:r>
        <w:rPr>
          <w:rFonts w:hint="eastAsia" w:ascii="新宋体" w:eastAsia="新宋体"/>
          <w:color w:val="0F0F0F"/>
        </w:rPr>
        <w:t xml:space="preserve">3.4.5 由于监理人未能按合同约定发出指示、指示延误或指示错误而导致承包人费用增加和（或）工期延误的，由发包人承担赔偿责任。 </w:t>
      </w:r>
      <w:bookmarkStart w:id="255" w:name="_Toc152045638"/>
      <w:bookmarkStart w:id="256" w:name="_Toc179632656"/>
      <w:bookmarkStart w:id="257" w:name="_Toc144974606"/>
      <w:bookmarkStart w:id="258" w:name="_Toc152042416"/>
    </w:p>
    <w:p w14:paraId="35000667">
      <w:pPr>
        <w:spacing w:line="400" w:lineRule="exact"/>
        <w:rPr>
          <w:rFonts w:ascii="新宋体" w:eastAsia="新宋体"/>
          <w:color w:val="0F0F0F"/>
          <w:sz w:val="24"/>
        </w:rPr>
      </w:pPr>
      <w:r>
        <w:rPr>
          <w:rFonts w:hint="eastAsia" w:ascii="新宋体" w:eastAsia="新宋体"/>
          <w:color w:val="0F0F0F"/>
          <w:sz w:val="24"/>
        </w:rPr>
        <w:t>3.5 商定或确定</w:t>
      </w:r>
      <w:bookmarkEnd w:id="255"/>
      <w:bookmarkEnd w:id="256"/>
      <w:bookmarkEnd w:id="257"/>
      <w:bookmarkEnd w:id="258"/>
    </w:p>
    <w:p w14:paraId="6D11F9E1">
      <w:pPr>
        <w:spacing w:line="400" w:lineRule="exact"/>
        <w:ind w:firstLine="420" w:firstLineChars="200"/>
        <w:rPr>
          <w:rFonts w:ascii="新宋体" w:eastAsia="新宋体"/>
          <w:color w:val="0F0F0F"/>
        </w:rPr>
      </w:pPr>
      <w:r>
        <w:rPr>
          <w:rFonts w:hint="eastAsia" w:ascii="新宋体" w:eastAsia="新宋体"/>
          <w:color w:val="0F0F0F"/>
        </w:rPr>
        <w:t>3.5.1合同约定总监理工程师应按照本款对任何事项进行商定或确定时，总监理工程师应与合同当事人协商，尽量达成一致。不能达成一致的，总监理工程师应认真研究后审慎确定。</w:t>
      </w:r>
    </w:p>
    <w:p w14:paraId="7032973C">
      <w:pPr>
        <w:spacing w:line="400" w:lineRule="exact"/>
        <w:ind w:firstLine="420" w:firstLineChars="200"/>
        <w:rPr>
          <w:rFonts w:ascii="新宋体" w:eastAsia="新宋体"/>
          <w:color w:val="0F0F0F"/>
        </w:rPr>
      </w:pPr>
      <w:r>
        <w:rPr>
          <w:rFonts w:hint="eastAsia" w:ascii="新宋体" w:eastAsia="新宋体"/>
          <w:color w:val="0F0F0F"/>
        </w:rPr>
        <w:t>3.5.2 总监理工程师应将商定或确定的事项通知合同当事人，并附详细依据。对总监理工程师的确定有异议的，构成争议，按照第24条的约定处理。在争议解决前，双方应暂按总监理工程师的确定执行，按照第24条的约定对总监理工程师的确定作出修改的，按修改后的结果执行。</w:t>
      </w:r>
      <w:bookmarkStart w:id="259" w:name="_Toc144974607"/>
      <w:bookmarkStart w:id="260" w:name="_Toc179632657"/>
      <w:bookmarkStart w:id="261" w:name="_Toc152045639"/>
      <w:bookmarkStart w:id="262" w:name="_Toc152042417"/>
    </w:p>
    <w:p w14:paraId="718FBC1D">
      <w:pPr>
        <w:spacing w:line="400" w:lineRule="exact"/>
        <w:rPr>
          <w:rFonts w:ascii="新宋体" w:eastAsia="新宋体"/>
          <w:color w:val="0F0F0F"/>
          <w:sz w:val="28"/>
          <w:szCs w:val="28"/>
        </w:rPr>
      </w:pPr>
      <w:r>
        <w:rPr>
          <w:rFonts w:hint="eastAsia" w:ascii="新宋体" w:eastAsia="新宋体"/>
          <w:color w:val="0F0F0F"/>
          <w:sz w:val="28"/>
          <w:szCs w:val="28"/>
        </w:rPr>
        <w:t>4. 承包人</w:t>
      </w:r>
      <w:bookmarkEnd w:id="259"/>
      <w:bookmarkEnd w:id="260"/>
      <w:bookmarkEnd w:id="261"/>
      <w:bookmarkEnd w:id="262"/>
      <w:bookmarkStart w:id="263" w:name="_Toc179632658"/>
      <w:bookmarkStart w:id="264" w:name="_Toc152042418"/>
      <w:bookmarkStart w:id="265" w:name="_Toc152045640"/>
      <w:bookmarkStart w:id="266" w:name="_Toc144974608"/>
    </w:p>
    <w:p w14:paraId="062F779D">
      <w:pPr>
        <w:spacing w:line="400" w:lineRule="exact"/>
        <w:rPr>
          <w:rFonts w:ascii="新宋体" w:eastAsia="新宋体"/>
          <w:color w:val="0F0F0F"/>
          <w:sz w:val="24"/>
        </w:rPr>
      </w:pPr>
      <w:r>
        <w:rPr>
          <w:rFonts w:hint="eastAsia" w:ascii="新宋体" w:eastAsia="新宋体"/>
          <w:color w:val="0F0F0F"/>
          <w:sz w:val="24"/>
        </w:rPr>
        <w:t>4.1 承包人的一般义务</w:t>
      </w:r>
      <w:bookmarkEnd w:id="263"/>
      <w:bookmarkEnd w:id="264"/>
      <w:bookmarkEnd w:id="265"/>
      <w:bookmarkEnd w:id="266"/>
    </w:p>
    <w:p w14:paraId="14C4D643">
      <w:pPr>
        <w:spacing w:line="400" w:lineRule="exact"/>
        <w:ind w:firstLine="420" w:firstLineChars="200"/>
        <w:rPr>
          <w:rFonts w:ascii="新宋体" w:eastAsia="新宋体"/>
          <w:color w:val="0F0F0F"/>
        </w:rPr>
      </w:pPr>
      <w:r>
        <w:rPr>
          <w:rFonts w:hint="eastAsia" w:ascii="新宋体" w:eastAsia="新宋体"/>
          <w:color w:val="0F0F0F"/>
        </w:rPr>
        <w:t>4.1.1 遵守法律</w:t>
      </w:r>
    </w:p>
    <w:p w14:paraId="2BE81383">
      <w:pPr>
        <w:spacing w:line="400" w:lineRule="exact"/>
        <w:ind w:firstLine="420" w:firstLineChars="200"/>
        <w:rPr>
          <w:rFonts w:ascii="新宋体" w:eastAsia="新宋体"/>
          <w:color w:val="0F0F0F"/>
        </w:rPr>
      </w:pPr>
      <w:r>
        <w:rPr>
          <w:rFonts w:hint="eastAsia" w:ascii="新宋体" w:eastAsia="新宋体"/>
          <w:color w:val="0F0F0F"/>
        </w:rPr>
        <w:t>承包人在履行合同过程中应遵守法律，并保证发包人免于承担因承包人违反法律而引起的任何责任。</w:t>
      </w:r>
    </w:p>
    <w:p w14:paraId="71F5B889">
      <w:pPr>
        <w:spacing w:line="400" w:lineRule="exact"/>
        <w:ind w:firstLine="420" w:firstLineChars="200"/>
        <w:rPr>
          <w:rFonts w:ascii="新宋体" w:eastAsia="新宋体"/>
          <w:color w:val="0F0F0F"/>
        </w:rPr>
      </w:pPr>
      <w:r>
        <w:rPr>
          <w:rFonts w:hint="eastAsia" w:ascii="新宋体" w:eastAsia="新宋体"/>
          <w:color w:val="0F0F0F"/>
        </w:rPr>
        <w:t>4.1.2 依法纳税</w:t>
      </w:r>
    </w:p>
    <w:p w14:paraId="175711D3">
      <w:pPr>
        <w:spacing w:line="400" w:lineRule="exact"/>
        <w:ind w:firstLine="420" w:firstLineChars="200"/>
        <w:rPr>
          <w:rFonts w:ascii="新宋体" w:eastAsia="新宋体"/>
          <w:color w:val="0F0F0F"/>
        </w:rPr>
      </w:pPr>
      <w:r>
        <w:rPr>
          <w:rFonts w:hint="eastAsia" w:ascii="新宋体" w:eastAsia="新宋体"/>
          <w:color w:val="0F0F0F"/>
        </w:rPr>
        <w:t>承包人应按有关法律规定纳税，应缴纳的税金包括在合同价格内。</w:t>
      </w:r>
    </w:p>
    <w:p w14:paraId="51F632BC">
      <w:pPr>
        <w:spacing w:line="400" w:lineRule="exact"/>
        <w:ind w:firstLine="420" w:firstLineChars="200"/>
        <w:rPr>
          <w:rFonts w:ascii="新宋体" w:eastAsia="新宋体"/>
          <w:color w:val="0F0F0F"/>
        </w:rPr>
      </w:pPr>
      <w:r>
        <w:rPr>
          <w:rFonts w:hint="eastAsia" w:ascii="新宋体" w:eastAsia="新宋体"/>
          <w:color w:val="0F0F0F"/>
        </w:rPr>
        <w:t>4.1.3 完成各项承包工作</w:t>
      </w:r>
    </w:p>
    <w:p w14:paraId="6E2D25BF">
      <w:pPr>
        <w:spacing w:line="400" w:lineRule="exact"/>
        <w:ind w:firstLine="420" w:firstLineChars="200"/>
        <w:rPr>
          <w:rFonts w:ascii="新宋体" w:eastAsia="新宋体"/>
          <w:color w:val="0F0F0F"/>
        </w:rPr>
      </w:pPr>
      <w:r>
        <w:rPr>
          <w:rFonts w:hint="eastAsia" w:ascii="新宋体" w:eastAsia="新宋体"/>
          <w:color w:val="0F0F0F"/>
        </w:rPr>
        <w:t>承包人应按合同约定以及监理人根据第3.4款作出的指示，实施、完成全部工程，并修补工程中的任何缺陷。除专用合同条款另有约定外，承包人应提供为完成合同工作所需的劳务、材料、施工设备、工程设备和其他物品，并按合同约定负责临时设施的设计、建造、运行、维护、管理和拆除。</w:t>
      </w:r>
    </w:p>
    <w:p w14:paraId="59EFC9FA">
      <w:pPr>
        <w:spacing w:line="400" w:lineRule="exact"/>
        <w:ind w:firstLine="420" w:firstLineChars="200"/>
        <w:rPr>
          <w:rFonts w:ascii="新宋体" w:eastAsia="新宋体"/>
          <w:color w:val="0F0F0F"/>
        </w:rPr>
      </w:pPr>
      <w:r>
        <w:rPr>
          <w:rFonts w:hint="eastAsia" w:ascii="新宋体" w:eastAsia="新宋体"/>
          <w:color w:val="0F0F0F"/>
        </w:rPr>
        <w:t>4.1.4 对施工作业和施工方法的完备性负责</w:t>
      </w:r>
    </w:p>
    <w:p w14:paraId="137DE0C9">
      <w:pPr>
        <w:spacing w:line="400" w:lineRule="exact"/>
        <w:ind w:firstLine="420" w:firstLineChars="200"/>
        <w:rPr>
          <w:rFonts w:ascii="新宋体" w:eastAsia="新宋体"/>
          <w:color w:val="0F0F0F"/>
        </w:rPr>
      </w:pPr>
      <w:r>
        <w:rPr>
          <w:rFonts w:hint="eastAsia" w:ascii="新宋体" w:eastAsia="新宋体"/>
          <w:color w:val="0F0F0F"/>
        </w:rPr>
        <w:t>承包人应按合同约定的工作内容和施工进度要求，编制施工组织设计和施工措施计划，并对所有施工作业和施工方法的完备性和安全可靠性负责。</w:t>
      </w:r>
    </w:p>
    <w:p w14:paraId="307A994A">
      <w:pPr>
        <w:spacing w:line="400" w:lineRule="exact"/>
        <w:ind w:firstLine="420" w:firstLineChars="200"/>
        <w:rPr>
          <w:rFonts w:ascii="新宋体" w:eastAsia="新宋体"/>
          <w:color w:val="0F0F0F"/>
        </w:rPr>
      </w:pPr>
      <w:r>
        <w:rPr>
          <w:rFonts w:hint="eastAsia" w:ascii="新宋体" w:eastAsia="新宋体"/>
          <w:color w:val="0F0F0F"/>
        </w:rPr>
        <w:t>4.1.5 保证工程施工和人员的安全</w:t>
      </w:r>
    </w:p>
    <w:p w14:paraId="0B0BE904">
      <w:pPr>
        <w:spacing w:line="400" w:lineRule="exact"/>
        <w:ind w:firstLine="420" w:firstLineChars="200"/>
        <w:rPr>
          <w:rFonts w:ascii="新宋体" w:eastAsia="新宋体"/>
          <w:color w:val="0F0F0F"/>
        </w:rPr>
      </w:pPr>
      <w:r>
        <w:rPr>
          <w:rFonts w:hint="eastAsia" w:ascii="新宋体" w:eastAsia="新宋体"/>
          <w:color w:val="0F0F0F"/>
        </w:rPr>
        <w:t>承包人应按第9.2款约定采取施工安全措施，确保工程及其人员、材料、设备和设施的安全，防止因工程施工造成的人身伤害和财产损失。</w:t>
      </w:r>
    </w:p>
    <w:p w14:paraId="7316AEE5">
      <w:pPr>
        <w:spacing w:line="400" w:lineRule="exact"/>
        <w:ind w:firstLine="420" w:firstLineChars="200"/>
        <w:rPr>
          <w:rFonts w:ascii="新宋体" w:eastAsia="新宋体"/>
          <w:color w:val="0F0F0F"/>
        </w:rPr>
      </w:pPr>
      <w:r>
        <w:rPr>
          <w:rFonts w:hint="eastAsia" w:ascii="新宋体" w:eastAsia="新宋体"/>
          <w:color w:val="0F0F0F"/>
        </w:rPr>
        <w:t>4.1.6 负责施工场地及其周边环境与生态的保护工作</w:t>
      </w:r>
    </w:p>
    <w:p w14:paraId="3176A34A">
      <w:pPr>
        <w:spacing w:line="400" w:lineRule="exact"/>
        <w:ind w:firstLine="420" w:firstLineChars="200"/>
        <w:rPr>
          <w:rFonts w:ascii="新宋体" w:eastAsia="新宋体"/>
          <w:color w:val="0F0F0F"/>
        </w:rPr>
      </w:pPr>
      <w:r>
        <w:rPr>
          <w:rFonts w:hint="eastAsia" w:ascii="新宋体" w:eastAsia="新宋体"/>
          <w:color w:val="0F0F0F"/>
        </w:rPr>
        <w:t>承包人应按照第9.4款约定负责施工场地及其周边环境与生态的保护工作。</w:t>
      </w:r>
    </w:p>
    <w:p w14:paraId="4AE62215">
      <w:pPr>
        <w:spacing w:line="400" w:lineRule="exact"/>
        <w:ind w:firstLine="420" w:firstLineChars="200"/>
        <w:rPr>
          <w:rFonts w:ascii="新宋体" w:eastAsia="新宋体"/>
          <w:color w:val="0F0F0F"/>
        </w:rPr>
      </w:pPr>
      <w:r>
        <w:rPr>
          <w:rFonts w:hint="eastAsia" w:ascii="新宋体" w:eastAsia="新宋体"/>
          <w:color w:val="0F0F0F"/>
        </w:rPr>
        <w:t>4.1.7 避免施工对公众与他人的利益造成损害</w:t>
      </w:r>
    </w:p>
    <w:p w14:paraId="3E110861">
      <w:pPr>
        <w:spacing w:line="400" w:lineRule="exact"/>
        <w:ind w:firstLine="420" w:firstLineChars="200"/>
        <w:rPr>
          <w:rFonts w:ascii="新宋体" w:eastAsia="新宋体"/>
          <w:color w:val="0F0F0F"/>
        </w:rPr>
      </w:pPr>
      <w:r>
        <w:rPr>
          <w:rFonts w:hint="eastAsia" w:ascii="新宋体" w:eastAsia="新宋体"/>
          <w:color w:val="0F0F0F"/>
        </w:rPr>
        <w:t>承包人在进行合同约定的各项工作时，不得侵害发包人与他人使用公用道路、水源、市政管网等公共设施的权利，避免对邻近的公共设施产生干扰。承包人占用或使用他人的施工场地，影响他人作业或生活的，应承担相应责任。</w:t>
      </w:r>
    </w:p>
    <w:p w14:paraId="320A81CC">
      <w:pPr>
        <w:spacing w:line="400" w:lineRule="exact"/>
        <w:ind w:firstLine="420" w:firstLineChars="200"/>
        <w:rPr>
          <w:rFonts w:ascii="新宋体" w:eastAsia="新宋体"/>
          <w:color w:val="0F0F0F"/>
        </w:rPr>
      </w:pPr>
      <w:r>
        <w:rPr>
          <w:rFonts w:hint="eastAsia" w:ascii="新宋体" w:eastAsia="新宋体"/>
          <w:color w:val="0F0F0F"/>
        </w:rPr>
        <w:t>4.1.8 为他人提供方便</w:t>
      </w:r>
    </w:p>
    <w:p w14:paraId="5DA7D8F4">
      <w:pPr>
        <w:spacing w:line="400" w:lineRule="exact"/>
        <w:ind w:firstLine="420" w:firstLineChars="200"/>
        <w:rPr>
          <w:rFonts w:ascii="新宋体" w:eastAsia="新宋体"/>
          <w:color w:val="0F0F0F"/>
        </w:rPr>
      </w:pPr>
      <w:r>
        <w:rPr>
          <w:rFonts w:hint="eastAsia" w:ascii="新宋体" w:eastAsia="新宋体"/>
          <w:color w:val="0F0F0F"/>
        </w:rPr>
        <w:t>承包人应按监理人的指示为他人在施工场地或附近实施与工程有关的其他各项工作提供可能的条件。除合同另有约定外，提供有关条件的内容和可能发生的费用，由监理人按第3.5款商定或确定。</w:t>
      </w:r>
    </w:p>
    <w:p w14:paraId="1186F4C1">
      <w:pPr>
        <w:spacing w:line="400" w:lineRule="exact"/>
        <w:ind w:firstLine="420" w:firstLineChars="200"/>
        <w:rPr>
          <w:rFonts w:ascii="新宋体" w:eastAsia="新宋体"/>
          <w:color w:val="0F0F0F"/>
        </w:rPr>
      </w:pPr>
      <w:r>
        <w:rPr>
          <w:rFonts w:hint="eastAsia" w:ascii="新宋体" w:eastAsia="新宋体"/>
          <w:color w:val="0F0F0F"/>
        </w:rPr>
        <w:t>4.1.9 工程的维护和照管</w:t>
      </w:r>
    </w:p>
    <w:p w14:paraId="4D18EF5E">
      <w:pPr>
        <w:spacing w:line="400" w:lineRule="exact"/>
        <w:ind w:firstLine="420" w:firstLineChars="200"/>
        <w:rPr>
          <w:rFonts w:ascii="新宋体" w:eastAsia="新宋体"/>
          <w:color w:val="0F0F0F"/>
        </w:rPr>
      </w:pPr>
      <w:r>
        <w:rPr>
          <w:rFonts w:hint="eastAsia" w:ascii="新宋体" w:eastAsia="新宋体"/>
          <w:color w:val="0F0F0F"/>
        </w:rPr>
        <w:t>工程接收证书颁发前，承包人应负责照管和维护工程。工程接收证书颁发时尚有部分未竣工工程的，承包人还应负责该未竣工工程的照管和维护工作，直至竣工后移交给发包人为止。</w:t>
      </w:r>
    </w:p>
    <w:p w14:paraId="7424DB30">
      <w:pPr>
        <w:spacing w:line="400" w:lineRule="exact"/>
        <w:ind w:firstLine="420" w:firstLineChars="200"/>
        <w:rPr>
          <w:rFonts w:ascii="新宋体" w:eastAsia="新宋体"/>
          <w:color w:val="0F0F0F"/>
        </w:rPr>
      </w:pPr>
      <w:r>
        <w:rPr>
          <w:rFonts w:hint="eastAsia" w:ascii="新宋体" w:eastAsia="新宋体"/>
          <w:color w:val="0F0F0F"/>
        </w:rPr>
        <w:t>4.1.10 其他义务</w:t>
      </w:r>
    </w:p>
    <w:p w14:paraId="7E7D4BC8">
      <w:pPr>
        <w:spacing w:line="400" w:lineRule="exact"/>
        <w:ind w:firstLine="420" w:firstLineChars="200"/>
        <w:rPr>
          <w:rFonts w:ascii="新宋体" w:eastAsia="新宋体"/>
          <w:color w:val="0F0F0F"/>
          <w:u w:val="single"/>
        </w:rPr>
      </w:pPr>
      <w:r>
        <w:rPr>
          <w:rFonts w:hint="eastAsia" w:ascii="新宋体" w:eastAsia="新宋体"/>
          <w:color w:val="0F0F0F"/>
        </w:rPr>
        <w:t>承包人应履行合同约定的其他义务</w:t>
      </w:r>
      <w:bookmarkStart w:id="267" w:name="_Toc144974609"/>
      <w:bookmarkStart w:id="268" w:name="_Toc152042419"/>
      <w:bookmarkStart w:id="269" w:name="_Toc152045641"/>
      <w:bookmarkStart w:id="270" w:name="_Toc179632659"/>
      <w:r>
        <w:rPr>
          <w:rFonts w:hint="eastAsia" w:ascii="新宋体" w:eastAsia="新宋体"/>
          <w:color w:val="0F0F0F"/>
        </w:rPr>
        <w:t>：</w:t>
      </w:r>
    </w:p>
    <w:p w14:paraId="42A7B865">
      <w:pPr>
        <w:spacing w:line="400" w:lineRule="exact"/>
        <w:rPr>
          <w:rFonts w:ascii="新宋体" w:eastAsia="新宋体"/>
          <w:color w:val="0F0F0F"/>
          <w:sz w:val="24"/>
        </w:rPr>
      </w:pPr>
      <w:r>
        <w:rPr>
          <w:rFonts w:hint="eastAsia" w:ascii="新宋体" w:eastAsia="新宋体"/>
          <w:color w:val="0F0F0F"/>
          <w:sz w:val="24"/>
        </w:rPr>
        <w:t>4.2 履约担保</w:t>
      </w:r>
      <w:bookmarkEnd w:id="267"/>
      <w:bookmarkEnd w:id="268"/>
      <w:bookmarkEnd w:id="269"/>
      <w:bookmarkEnd w:id="270"/>
    </w:p>
    <w:p w14:paraId="63D009C1">
      <w:pPr>
        <w:spacing w:line="400" w:lineRule="exact"/>
        <w:ind w:firstLine="420" w:firstLineChars="200"/>
        <w:rPr>
          <w:rFonts w:ascii="新宋体" w:eastAsia="新宋体"/>
          <w:color w:val="0F0F0F"/>
        </w:rPr>
      </w:pPr>
      <w:r>
        <w:rPr>
          <w:rFonts w:hint="eastAsia" w:ascii="新宋体" w:eastAsia="新宋体"/>
          <w:color w:val="0F0F0F"/>
        </w:rPr>
        <w:t>承包人应保证其履约担保在发包人颁发工程接收证书前一直有效。发包人应在工程接收证书颁发后28天内把履约担保退还给承包人。</w:t>
      </w:r>
      <w:bookmarkStart w:id="271" w:name="_Toc152045642"/>
      <w:bookmarkStart w:id="272" w:name="_Toc144974610"/>
      <w:bookmarkStart w:id="273" w:name="_Toc152042420"/>
      <w:bookmarkStart w:id="274" w:name="_Toc179632660"/>
    </w:p>
    <w:p w14:paraId="30D802CC">
      <w:pPr>
        <w:spacing w:line="400" w:lineRule="exact"/>
        <w:rPr>
          <w:rFonts w:ascii="新宋体" w:eastAsia="新宋体"/>
          <w:color w:val="0F0F0F"/>
          <w:sz w:val="24"/>
        </w:rPr>
      </w:pPr>
      <w:r>
        <w:rPr>
          <w:rFonts w:hint="eastAsia" w:ascii="新宋体" w:eastAsia="新宋体"/>
          <w:color w:val="0F0F0F"/>
          <w:sz w:val="24"/>
        </w:rPr>
        <w:t>4.3 分包</w:t>
      </w:r>
      <w:bookmarkEnd w:id="271"/>
      <w:bookmarkEnd w:id="272"/>
      <w:bookmarkEnd w:id="273"/>
      <w:bookmarkEnd w:id="274"/>
    </w:p>
    <w:p w14:paraId="5DBB53FD">
      <w:pPr>
        <w:spacing w:line="400" w:lineRule="exact"/>
        <w:ind w:firstLine="420" w:firstLineChars="200"/>
        <w:rPr>
          <w:rFonts w:ascii="新宋体" w:eastAsia="新宋体"/>
          <w:color w:val="0F0F0F"/>
        </w:rPr>
      </w:pPr>
      <w:r>
        <w:rPr>
          <w:rFonts w:hint="eastAsia" w:ascii="新宋体" w:eastAsia="新宋体"/>
          <w:color w:val="0F0F0F"/>
        </w:rPr>
        <w:t>4.3.1 承包人不得将其承包的全部工程转包给第三人，或将其承包的全部工程肢解后以分包的名义转包给第三人。</w:t>
      </w:r>
    </w:p>
    <w:p w14:paraId="46242005">
      <w:pPr>
        <w:spacing w:line="400" w:lineRule="exact"/>
        <w:ind w:firstLine="420" w:firstLineChars="200"/>
        <w:rPr>
          <w:rFonts w:ascii="新宋体" w:eastAsia="新宋体"/>
          <w:color w:val="0F0F0F"/>
        </w:rPr>
      </w:pPr>
      <w:r>
        <w:rPr>
          <w:rFonts w:hint="eastAsia" w:ascii="新宋体" w:eastAsia="新宋体"/>
          <w:color w:val="0F0F0F"/>
        </w:rPr>
        <w:t>4.3.2 承包人不得将工程主体、关键性工作分包给第三人。除专用合同条款另有约定外，未经发包人同意，承包人不得将工程的其他部分或工作分包给第三人。</w:t>
      </w:r>
    </w:p>
    <w:p w14:paraId="22F65C4D">
      <w:pPr>
        <w:spacing w:line="400" w:lineRule="exact"/>
        <w:ind w:firstLine="420" w:firstLineChars="200"/>
        <w:rPr>
          <w:rFonts w:ascii="新宋体" w:eastAsia="新宋体"/>
          <w:color w:val="0F0F0F"/>
        </w:rPr>
      </w:pPr>
      <w:r>
        <w:rPr>
          <w:rFonts w:hint="eastAsia" w:ascii="新宋体" w:eastAsia="新宋体"/>
          <w:color w:val="0F0F0F"/>
        </w:rPr>
        <w:t>4.3.3 分包人的资格能力应与其分包工程的标准和规模相适应。</w:t>
      </w:r>
    </w:p>
    <w:p w14:paraId="1A959853">
      <w:pPr>
        <w:spacing w:line="400" w:lineRule="exact"/>
        <w:ind w:firstLine="420" w:firstLineChars="200"/>
        <w:rPr>
          <w:rFonts w:ascii="新宋体" w:eastAsia="新宋体"/>
          <w:color w:val="0F0F0F"/>
        </w:rPr>
      </w:pPr>
      <w:r>
        <w:rPr>
          <w:rFonts w:hint="eastAsia" w:ascii="新宋体" w:eastAsia="新宋体"/>
          <w:color w:val="0F0F0F"/>
        </w:rPr>
        <w:t>4.3.4 按投标函附录约定分包工程的，承包人应向发包人和监理人提交分包合同副本。</w:t>
      </w:r>
    </w:p>
    <w:p w14:paraId="6F5F51DA">
      <w:pPr>
        <w:spacing w:line="400" w:lineRule="exact"/>
        <w:ind w:firstLine="420" w:firstLineChars="200"/>
        <w:rPr>
          <w:rFonts w:ascii="新宋体" w:eastAsia="新宋体"/>
          <w:color w:val="0F0F0F"/>
        </w:rPr>
      </w:pPr>
      <w:r>
        <w:rPr>
          <w:rFonts w:hint="eastAsia" w:ascii="新宋体" w:eastAsia="新宋体"/>
          <w:color w:val="0F0F0F"/>
        </w:rPr>
        <w:t>4.3.5 承包人应与分包人就分包工程向发包人承担连带责任。</w:t>
      </w:r>
      <w:bookmarkStart w:id="275" w:name="_Toc152045643"/>
      <w:bookmarkStart w:id="276" w:name="_Toc144974611"/>
      <w:bookmarkStart w:id="277" w:name="_Toc152042421"/>
      <w:bookmarkStart w:id="278" w:name="_Toc179632661"/>
    </w:p>
    <w:p w14:paraId="76EA6F20">
      <w:pPr>
        <w:spacing w:line="400" w:lineRule="exact"/>
        <w:rPr>
          <w:rFonts w:ascii="新宋体" w:eastAsia="新宋体"/>
          <w:color w:val="0F0F0F"/>
          <w:sz w:val="24"/>
        </w:rPr>
      </w:pPr>
      <w:r>
        <w:rPr>
          <w:rFonts w:hint="eastAsia" w:ascii="新宋体" w:eastAsia="新宋体"/>
          <w:color w:val="0F0F0F"/>
          <w:sz w:val="24"/>
        </w:rPr>
        <w:t>4.4 联合体</w:t>
      </w:r>
      <w:bookmarkEnd w:id="275"/>
      <w:bookmarkEnd w:id="276"/>
      <w:bookmarkEnd w:id="277"/>
      <w:bookmarkEnd w:id="278"/>
    </w:p>
    <w:p w14:paraId="57AE6B01">
      <w:pPr>
        <w:spacing w:line="400" w:lineRule="exact"/>
        <w:ind w:firstLine="420" w:firstLineChars="200"/>
        <w:rPr>
          <w:rFonts w:ascii="新宋体" w:eastAsia="新宋体"/>
          <w:color w:val="0F0F0F"/>
        </w:rPr>
      </w:pPr>
      <w:r>
        <w:rPr>
          <w:rFonts w:hint="eastAsia" w:ascii="新宋体" w:eastAsia="新宋体"/>
          <w:color w:val="0F0F0F"/>
        </w:rPr>
        <w:t>4.4.1 联合体各方应共同与发包人签订合同协议书。联合体各方应为履行合同承担连带责任。</w:t>
      </w:r>
    </w:p>
    <w:p w14:paraId="50C6E1EC">
      <w:pPr>
        <w:spacing w:line="400" w:lineRule="exact"/>
        <w:ind w:firstLine="420" w:firstLineChars="200"/>
        <w:rPr>
          <w:rFonts w:ascii="新宋体" w:eastAsia="新宋体"/>
          <w:color w:val="0F0F0F"/>
        </w:rPr>
      </w:pPr>
      <w:r>
        <w:rPr>
          <w:rFonts w:hint="eastAsia" w:ascii="新宋体" w:eastAsia="新宋体"/>
          <w:color w:val="0F0F0F"/>
        </w:rPr>
        <w:t>4.4.2 联合体协议经发包人确认后作为合同附件。在履行合同过程中，未经发包人同意，不得修改联合体协议。</w:t>
      </w:r>
    </w:p>
    <w:p w14:paraId="027090B6">
      <w:pPr>
        <w:spacing w:line="400" w:lineRule="exact"/>
        <w:ind w:firstLine="420" w:firstLineChars="200"/>
        <w:rPr>
          <w:rFonts w:ascii="新宋体" w:eastAsia="新宋体"/>
          <w:color w:val="0F0F0F"/>
        </w:rPr>
      </w:pPr>
      <w:r>
        <w:rPr>
          <w:rFonts w:hint="eastAsia" w:ascii="新宋体" w:eastAsia="新宋体"/>
          <w:color w:val="0F0F0F"/>
        </w:rPr>
        <w:t>4.4.3 联合体牵头人负责与发包人和监理人联系，并接受指示，负责组织联合体各成员全面履行合同。</w:t>
      </w:r>
      <w:bookmarkStart w:id="279" w:name="_Toc152042422"/>
      <w:bookmarkStart w:id="280" w:name="_Toc144974612"/>
      <w:bookmarkStart w:id="281" w:name="_Toc152045644"/>
      <w:bookmarkStart w:id="282" w:name="_Toc179632662"/>
    </w:p>
    <w:p w14:paraId="4C5FA868">
      <w:pPr>
        <w:spacing w:line="400" w:lineRule="exact"/>
        <w:rPr>
          <w:rFonts w:ascii="新宋体" w:eastAsia="新宋体"/>
          <w:color w:val="0F0F0F"/>
          <w:sz w:val="24"/>
        </w:rPr>
      </w:pPr>
      <w:r>
        <w:rPr>
          <w:rFonts w:hint="eastAsia" w:ascii="新宋体" w:eastAsia="新宋体"/>
          <w:color w:val="0F0F0F"/>
          <w:sz w:val="24"/>
        </w:rPr>
        <w:t>4.5 承包人项目经理</w:t>
      </w:r>
      <w:bookmarkEnd w:id="279"/>
      <w:bookmarkEnd w:id="280"/>
      <w:bookmarkEnd w:id="281"/>
      <w:bookmarkEnd w:id="282"/>
    </w:p>
    <w:p w14:paraId="3706748F">
      <w:pPr>
        <w:spacing w:line="400" w:lineRule="exact"/>
        <w:ind w:firstLine="420" w:firstLineChars="200"/>
        <w:rPr>
          <w:rFonts w:ascii="新宋体" w:eastAsia="新宋体"/>
          <w:color w:val="0F0F0F"/>
        </w:rPr>
      </w:pPr>
      <w:r>
        <w:rPr>
          <w:rFonts w:hint="eastAsia" w:ascii="新宋体" w:eastAsia="新宋体"/>
          <w:color w:val="0F0F0F"/>
        </w:rPr>
        <w:t>4.5.1承包人应按合同约定指派项目经理，并在约定的期限内到职。承包人更换项目经理应事先征得发包人同意，并应在更换14天前通知发包人和监理人。承包人项目经理短期离开施工场地，应事先征得监理人同意，并委派代表代行其职责。</w:t>
      </w:r>
    </w:p>
    <w:p w14:paraId="0967DE02">
      <w:pPr>
        <w:spacing w:line="400" w:lineRule="exact"/>
        <w:ind w:firstLine="420" w:firstLineChars="200"/>
        <w:rPr>
          <w:rFonts w:ascii="新宋体" w:eastAsia="新宋体"/>
          <w:color w:val="0F0F0F"/>
        </w:rPr>
      </w:pPr>
      <w:r>
        <w:rPr>
          <w:rFonts w:hint="eastAsia" w:ascii="新宋体" w:eastAsia="新宋体"/>
          <w:color w:val="0F0F0F"/>
        </w:rPr>
        <w:t>4.5.2 承包人项目经理应按合同约定以及监理人按第3.4款作出的指示，负责组织合同工程的实施。在情况紧急且无法与监理人取得联系时，可采取保证工程和人员生命财产安全的紧急措施，并在采取措施后24小时内向监理人提交书面报告。</w:t>
      </w:r>
    </w:p>
    <w:p w14:paraId="2198EAA9">
      <w:pPr>
        <w:spacing w:line="400" w:lineRule="exact"/>
        <w:ind w:firstLine="420" w:firstLineChars="200"/>
        <w:rPr>
          <w:rFonts w:ascii="新宋体" w:eastAsia="新宋体"/>
          <w:color w:val="0F0F0F"/>
        </w:rPr>
      </w:pPr>
      <w:r>
        <w:rPr>
          <w:rFonts w:hint="eastAsia" w:ascii="新宋体" w:eastAsia="新宋体"/>
          <w:color w:val="0F0F0F"/>
        </w:rPr>
        <w:t>4.5.3承包人为履行合同发出的一切函件均应盖有承包人授权的施工场地管理机构章，并由承包人项目经理或其授权代表签字。</w:t>
      </w:r>
    </w:p>
    <w:p w14:paraId="3BC83E7B">
      <w:pPr>
        <w:spacing w:line="400" w:lineRule="exact"/>
        <w:ind w:firstLine="420" w:firstLineChars="200"/>
        <w:rPr>
          <w:rFonts w:ascii="新宋体" w:eastAsia="新宋体"/>
          <w:color w:val="0F0F0F"/>
        </w:rPr>
      </w:pPr>
      <w:r>
        <w:rPr>
          <w:rFonts w:hint="eastAsia" w:ascii="新宋体" w:eastAsia="新宋体"/>
          <w:color w:val="0F0F0F"/>
        </w:rPr>
        <w:t>4.5.4 承包人项目经理可以授权其下属人员履行其某项职责，但事先应将这些人员的姓名和授权范围通知监理人。</w:t>
      </w:r>
      <w:bookmarkStart w:id="283" w:name="_Toc152042423"/>
      <w:bookmarkStart w:id="284" w:name="_Toc144974613"/>
      <w:bookmarkStart w:id="285" w:name="_Toc179632663"/>
      <w:bookmarkStart w:id="286" w:name="_Toc152045645"/>
    </w:p>
    <w:p w14:paraId="5DBF1F23">
      <w:pPr>
        <w:spacing w:line="400" w:lineRule="exact"/>
        <w:rPr>
          <w:rFonts w:ascii="新宋体" w:eastAsia="新宋体"/>
          <w:color w:val="0F0F0F"/>
          <w:sz w:val="24"/>
        </w:rPr>
      </w:pPr>
      <w:r>
        <w:rPr>
          <w:rFonts w:hint="eastAsia" w:ascii="新宋体" w:eastAsia="新宋体"/>
          <w:color w:val="0F0F0F"/>
          <w:sz w:val="24"/>
        </w:rPr>
        <w:t>4.6 承包人人员的管理</w:t>
      </w:r>
      <w:bookmarkEnd w:id="283"/>
      <w:bookmarkEnd w:id="284"/>
      <w:bookmarkEnd w:id="285"/>
      <w:bookmarkEnd w:id="286"/>
    </w:p>
    <w:p w14:paraId="437A94B0">
      <w:pPr>
        <w:spacing w:line="400" w:lineRule="exact"/>
        <w:ind w:firstLine="420" w:firstLineChars="200"/>
        <w:rPr>
          <w:rFonts w:ascii="新宋体" w:eastAsia="新宋体"/>
          <w:color w:val="0F0F0F"/>
        </w:rPr>
      </w:pPr>
      <w:r>
        <w:rPr>
          <w:rFonts w:hint="eastAsia" w:ascii="新宋体" w:eastAsia="新宋体"/>
          <w:color w:val="0F0F0F"/>
        </w:rPr>
        <w:t>4.6.1 承包人应在接到开工通知后28天内，向监理人提交承包人在施工场地的管理机构以及人员安排的报告，其内容应包括管理机构的设置、各主要岗位的技术和管理人员名单及其资格，以及各工种技术工人的安排状况。承包人应向监理人提交施工场地人员变动情况的报告。</w:t>
      </w:r>
    </w:p>
    <w:p w14:paraId="4290D209">
      <w:pPr>
        <w:spacing w:line="400" w:lineRule="exact"/>
        <w:ind w:firstLine="420" w:firstLineChars="200"/>
        <w:rPr>
          <w:rFonts w:ascii="新宋体" w:eastAsia="新宋体"/>
          <w:color w:val="0F0F0F"/>
        </w:rPr>
      </w:pPr>
      <w:r>
        <w:rPr>
          <w:rFonts w:hint="eastAsia" w:ascii="新宋体" w:eastAsia="新宋体"/>
          <w:color w:val="0F0F0F"/>
        </w:rPr>
        <w:t>4.6.2 为完成合同约定的各项工作，承包人应向施工场地派遣或雇佣足够数量的下列人员：</w:t>
      </w:r>
    </w:p>
    <w:p w14:paraId="50E3F033">
      <w:pPr>
        <w:spacing w:line="400" w:lineRule="exact"/>
        <w:ind w:firstLine="420" w:firstLineChars="200"/>
        <w:rPr>
          <w:rFonts w:ascii="新宋体" w:eastAsia="新宋体"/>
          <w:color w:val="0F0F0F"/>
        </w:rPr>
      </w:pPr>
      <w:r>
        <w:rPr>
          <w:rFonts w:hint="eastAsia" w:ascii="新宋体" w:eastAsia="新宋体"/>
          <w:color w:val="0F0F0F"/>
        </w:rPr>
        <w:t>（1）具有相应资格的专业技工和合格的普工；</w:t>
      </w:r>
    </w:p>
    <w:p w14:paraId="3D0A0D15">
      <w:pPr>
        <w:spacing w:line="400" w:lineRule="exact"/>
        <w:ind w:firstLine="420" w:firstLineChars="200"/>
        <w:rPr>
          <w:rFonts w:ascii="新宋体" w:eastAsia="新宋体"/>
          <w:color w:val="0F0F0F"/>
        </w:rPr>
      </w:pPr>
      <w:r>
        <w:rPr>
          <w:rFonts w:hint="eastAsia" w:ascii="新宋体" w:eastAsia="新宋体"/>
          <w:color w:val="0F0F0F"/>
        </w:rPr>
        <w:t>（2）具有相应施工经验的技术人员；</w:t>
      </w:r>
    </w:p>
    <w:p w14:paraId="3D1B0317">
      <w:pPr>
        <w:spacing w:line="400" w:lineRule="exact"/>
        <w:ind w:firstLine="420" w:firstLineChars="200"/>
        <w:rPr>
          <w:rFonts w:ascii="新宋体" w:eastAsia="新宋体"/>
          <w:color w:val="0F0F0F"/>
        </w:rPr>
      </w:pPr>
      <w:r>
        <w:rPr>
          <w:rFonts w:hint="eastAsia" w:ascii="新宋体" w:eastAsia="新宋体"/>
          <w:color w:val="0F0F0F"/>
        </w:rPr>
        <w:t>（3）具有相应岗位资格的各级管理人员。</w:t>
      </w:r>
    </w:p>
    <w:p w14:paraId="5042AFCE">
      <w:pPr>
        <w:spacing w:line="400" w:lineRule="exact"/>
        <w:ind w:firstLine="420" w:firstLineChars="200"/>
        <w:rPr>
          <w:rFonts w:ascii="新宋体" w:eastAsia="新宋体"/>
          <w:color w:val="0F0F0F"/>
        </w:rPr>
      </w:pPr>
      <w:r>
        <w:rPr>
          <w:rFonts w:hint="eastAsia" w:ascii="新宋体" w:eastAsia="新宋体"/>
          <w:color w:val="0F0F0F"/>
        </w:rPr>
        <w:t>4.6.3 承包人安排在施工场地的主要管理人员和技术骨干应相对稳定。承包人更换主要管理人员和技术骨干时，应取得监理人的同意。</w:t>
      </w:r>
    </w:p>
    <w:p w14:paraId="7C751708">
      <w:pPr>
        <w:spacing w:line="400" w:lineRule="exact"/>
        <w:ind w:firstLine="420" w:firstLineChars="200"/>
        <w:rPr>
          <w:rFonts w:ascii="新宋体" w:eastAsia="新宋体"/>
          <w:color w:val="0F0F0F"/>
        </w:rPr>
      </w:pPr>
      <w:r>
        <w:rPr>
          <w:rFonts w:hint="eastAsia" w:ascii="新宋体" w:eastAsia="新宋体"/>
          <w:color w:val="0F0F0F"/>
        </w:rPr>
        <w:t>4.6.4 特殊岗位的工作人员均应持有相应的资格证明，监理人有权随时检查。监理人认为有必要时，可进行现场考核。</w:t>
      </w:r>
      <w:bookmarkStart w:id="287" w:name="_Toc152045646"/>
      <w:bookmarkStart w:id="288" w:name="_Toc144974614"/>
      <w:bookmarkStart w:id="289" w:name="_Toc179632664"/>
      <w:bookmarkStart w:id="290" w:name="_Toc152042424"/>
    </w:p>
    <w:p w14:paraId="790F0695">
      <w:pPr>
        <w:spacing w:line="400" w:lineRule="exact"/>
        <w:rPr>
          <w:rFonts w:ascii="新宋体" w:eastAsia="新宋体"/>
          <w:color w:val="0F0F0F"/>
          <w:sz w:val="24"/>
        </w:rPr>
      </w:pPr>
      <w:r>
        <w:rPr>
          <w:rFonts w:hint="eastAsia" w:ascii="新宋体" w:eastAsia="新宋体"/>
          <w:color w:val="0F0F0F"/>
          <w:sz w:val="24"/>
        </w:rPr>
        <w:t>4.7 撤换承包人项目经理和其他人员</w:t>
      </w:r>
      <w:bookmarkEnd w:id="287"/>
      <w:bookmarkEnd w:id="288"/>
      <w:bookmarkEnd w:id="289"/>
      <w:bookmarkEnd w:id="290"/>
    </w:p>
    <w:p w14:paraId="57A17754">
      <w:pPr>
        <w:spacing w:line="400" w:lineRule="exact"/>
        <w:ind w:firstLine="420" w:firstLineChars="200"/>
        <w:rPr>
          <w:rFonts w:ascii="新宋体" w:eastAsia="新宋体"/>
          <w:color w:val="0F0F0F"/>
        </w:rPr>
      </w:pPr>
      <w:r>
        <w:rPr>
          <w:rFonts w:hint="eastAsia" w:ascii="新宋体" w:eastAsia="新宋体"/>
          <w:color w:val="0F0F0F"/>
        </w:rPr>
        <w:t>承包人应对其项目经理和其他人员进行有效管理。监理人要求撤换不能胜任本职工作、行为不端或玩忽职守的承包人项目经理和其他人员的，承包人应予以撤换。</w:t>
      </w:r>
      <w:bookmarkStart w:id="291" w:name="_Toc152042425"/>
      <w:bookmarkStart w:id="292" w:name="_Toc179632665"/>
      <w:bookmarkStart w:id="293" w:name="_Toc152045647"/>
      <w:bookmarkStart w:id="294" w:name="_Toc144974615"/>
    </w:p>
    <w:p w14:paraId="05B86237">
      <w:pPr>
        <w:spacing w:line="400" w:lineRule="exact"/>
        <w:rPr>
          <w:rFonts w:ascii="新宋体" w:eastAsia="新宋体"/>
          <w:color w:val="0F0F0F"/>
          <w:sz w:val="24"/>
        </w:rPr>
      </w:pPr>
      <w:r>
        <w:rPr>
          <w:rFonts w:hint="eastAsia" w:ascii="新宋体" w:eastAsia="新宋体"/>
          <w:color w:val="0F0F0F"/>
          <w:sz w:val="24"/>
        </w:rPr>
        <w:t>4.8 保障承包人人员的合法权益</w:t>
      </w:r>
      <w:bookmarkEnd w:id="291"/>
      <w:bookmarkEnd w:id="292"/>
      <w:bookmarkEnd w:id="293"/>
      <w:bookmarkEnd w:id="294"/>
    </w:p>
    <w:p w14:paraId="06EB28AF">
      <w:pPr>
        <w:spacing w:line="400" w:lineRule="exact"/>
        <w:ind w:firstLine="420" w:firstLineChars="200"/>
        <w:rPr>
          <w:rFonts w:ascii="新宋体" w:eastAsia="新宋体"/>
          <w:color w:val="0F0F0F"/>
        </w:rPr>
      </w:pPr>
      <w:r>
        <w:rPr>
          <w:rFonts w:hint="eastAsia" w:ascii="新宋体" w:eastAsia="新宋体"/>
          <w:color w:val="0F0F0F"/>
        </w:rPr>
        <w:t>4.8.1 承包人应与其雇佣的人员签订劳动合同，并按时发放工资。</w:t>
      </w:r>
    </w:p>
    <w:p w14:paraId="28733422">
      <w:pPr>
        <w:spacing w:line="400" w:lineRule="exact"/>
        <w:ind w:firstLine="420" w:firstLineChars="200"/>
        <w:rPr>
          <w:rFonts w:ascii="新宋体" w:eastAsia="新宋体"/>
          <w:color w:val="0F0F0F"/>
        </w:rPr>
      </w:pPr>
      <w:r>
        <w:rPr>
          <w:rFonts w:hint="eastAsia" w:ascii="新宋体" w:eastAsia="新宋体"/>
          <w:color w:val="0F0F0F"/>
        </w:rPr>
        <w:t>4.8.2 承包人应按劳动法的规定安排工作时间，保证其雇佣人员享有休息和休假的权利。因工程施工的特殊需要占用休假日或延长工作时间的，应不超过法律规定的限度，并按法律规定给予补休或付酬。</w:t>
      </w:r>
    </w:p>
    <w:p w14:paraId="4F28095C">
      <w:pPr>
        <w:spacing w:line="400" w:lineRule="exact"/>
        <w:ind w:firstLine="420" w:firstLineChars="200"/>
        <w:rPr>
          <w:rFonts w:ascii="新宋体" w:eastAsia="新宋体"/>
          <w:color w:val="0F0F0F"/>
        </w:rPr>
      </w:pPr>
      <w:r>
        <w:rPr>
          <w:rFonts w:hint="eastAsia" w:ascii="新宋体" w:eastAsia="新宋体"/>
          <w:color w:val="0F0F0F"/>
        </w:rPr>
        <w:t>4.8.3 承包人应为其雇佣人员提供必要的食宿条件，以及符合环境保护和卫生要求的生活环境，在远离城镇的施工场地，还应配备必要的伤病防治和急救的医务人员与医疗设施。</w:t>
      </w:r>
    </w:p>
    <w:p w14:paraId="6B675303">
      <w:pPr>
        <w:spacing w:line="400" w:lineRule="exact"/>
        <w:ind w:firstLine="420" w:firstLineChars="200"/>
        <w:rPr>
          <w:rFonts w:ascii="新宋体" w:eastAsia="新宋体"/>
          <w:color w:val="0F0F0F"/>
        </w:rPr>
      </w:pPr>
      <w:r>
        <w:rPr>
          <w:rFonts w:hint="eastAsia" w:ascii="新宋体" w:eastAsia="新宋体"/>
          <w:color w:val="0F0F0F"/>
        </w:rPr>
        <w:t>4.8.4 承包人应按国家有关劳动保护的规定，采取有效的防止粉尘、降低噪声、控制有害气体和保障高温、高寒、高空作业安全等劳动保护措施。其雇佣人员在施工中受到伤害的，承包人应立即采取有效措施进行抢救和治疗。</w:t>
      </w:r>
    </w:p>
    <w:p w14:paraId="6AC650C8">
      <w:pPr>
        <w:spacing w:line="400" w:lineRule="exact"/>
        <w:ind w:firstLine="420" w:firstLineChars="200"/>
        <w:rPr>
          <w:rFonts w:ascii="新宋体" w:eastAsia="新宋体"/>
          <w:color w:val="0F0F0F"/>
        </w:rPr>
      </w:pPr>
      <w:r>
        <w:rPr>
          <w:rFonts w:hint="eastAsia" w:ascii="新宋体" w:eastAsia="新宋体"/>
          <w:color w:val="0F0F0F"/>
        </w:rPr>
        <w:t>4.8.5 承包人应按有关法律规定和合同约定，为其雇佣人员办理保险。</w:t>
      </w:r>
    </w:p>
    <w:p w14:paraId="21ED0E3C">
      <w:pPr>
        <w:spacing w:line="400" w:lineRule="exact"/>
        <w:ind w:firstLine="420" w:firstLineChars="200"/>
        <w:rPr>
          <w:rFonts w:ascii="新宋体" w:eastAsia="新宋体"/>
          <w:color w:val="0F0F0F"/>
        </w:rPr>
      </w:pPr>
      <w:r>
        <w:rPr>
          <w:rFonts w:hint="eastAsia" w:ascii="新宋体" w:eastAsia="新宋体"/>
          <w:color w:val="0F0F0F"/>
        </w:rPr>
        <w:t>4.8.6 承包人应负责处理其雇佣人员因工伤亡事故的善后事宜。</w:t>
      </w:r>
      <w:bookmarkStart w:id="295" w:name="_Toc179632666"/>
      <w:bookmarkStart w:id="296" w:name="_Toc152045648"/>
      <w:bookmarkStart w:id="297" w:name="_Toc152042426"/>
      <w:bookmarkStart w:id="298" w:name="_Toc144974616"/>
    </w:p>
    <w:p w14:paraId="74BEEC74">
      <w:pPr>
        <w:spacing w:line="400" w:lineRule="exact"/>
        <w:rPr>
          <w:rFonts w:ascii="新宋体" w:eastAsia="新宋体"/>
          <w:color w:val="0F0F0F"/>
          <w:sz w:val="24"/>
        </w:rPr>
      </w:pPr>
      <w:r>
        <w:rPr>
          <w:rFonts w:hint="eastAsia" w:ascii="新宋体" w:eastAsia="新宋体"/>
          <w:color w:val="0F0F0F"/>
          <w:sz w:val="24"/>
        </w:rPr>
        <w:t>4.9 工程价款应专款专用</w:t>
      </w:r>
      <w:bookmarkEnd w:id="295"/>
      <w:bookmarkEnd w:id="296"/>
      <w:bookmarkEnd w:id="297"/>
      <w:bookmarkEnd w:id="298"/>
    </w:p>
    <w:p w14:paraId="4F91848C">
      <w:pPr>
        <w:spacing w:line="400" w:lineRule="exact"/>
        <w:ind w:firstLine="420" w:firstLineChars="200"/>
        <w:rPr>
          <w:rFonts w:ascii="新宋体" w:eastAsia="新宋体"/>
          <w:color w:val="0F0F0F"/>
        </w:rPr>
      </w:pPr>
      <w:r>
        <w:rPr>
          <w:rFonts w:hint="eastAsia" w:ascii="新宋体" w:eastAsia="新宋体"/>
          <w:color w:val="0F0F0F"/>
        </w:rPr>
        <w:t>发包人按合同约定支付给承包人的各项价款应专用于合同工程。</w:t>
      </w:r>
      <w:bookmarkStart w:id="299" w:name="_Toc152042427"/>
      <w:bookmarkStart w:id="300" w:name="_Toc144974617"/>
      <w:bookmarkStart w:id="301" w:name="_Toc179632667"/>
      <w:bookmarkStart w:id="302" w:name="_Toc152045649"/>
    </w:p>
    <w:p w14:paraId="6A3F3B35">
      <w:pPr>
        <w:spacing w:line="400" w:lineRule="exact"/>
        <w:rPr>
          <w:rFonts w:ascii="新宋体" w:eastAsia="新宋体"/>
          <w:color w:val="0F0F0F"/>
          <w:sz w:val="24"/>
        </w:rPr>
      </w:pPr>
      <w:r>
        <w:rPr>
          <w:rFonts w:hint="eastAsia" w:ascii="新宋体" w:eastAsia="新宋体"/>
          <w:color w:val="0F0F0F"/>
          <w:sz w:val="24"/>
        </w:rPr>
        <w:t>4.10 承包人现场查勘</w:t>
      </w:r>
      <w:bookmarkEnd w:id="299"/>
      <w:bookmarkEnd w:id="300"/>
      <w:bookmarkEnd w:id="301"/>
      <w:bookmarkEnd w:id="302"/>
    </w:p>
    <w:p w14:paraId="1D2FBF14">
      <w:pPr>
        <w:spacing w:line="400" w:lineRule="exact"/>
        <w:ind w:firstLine="420" w:firstLineChars="200"/>
        <w:rPr>
          <w:rFonts w:ascii="新宋体" w:eastAsia="新宋体"/>
          <w:color w:val="0F0F0F"/>
        </w:rPr>
      </w:pPr>
      <w:r>
        <w:rPr>
          <w:rFonts w:hint="eastAsia" w:ascii="新宋体" w:eastAsia="新宋体"/>
          <w:color w:val="0F0F0F"/>
        </w:rPr>
        <w:t>4.10.1 发包人应将其持有的现场地质勘探资料、水文气象资料提供给承包人，并对其准确性负责。但承包人应对其阅读上述有关资料后所作出的解释和推断负责。</w:t>
      </w:r>
    </w:p>
    <w:p w14:paraId="032D0A7F">
      <w:pPr>
        <w:spacing w:line="400" w:lineRule="exact"/>
        <w:ind w:firstLine="420" w:firstLineChars="200"/>
        <w:rPr>
          <w:rFonts w:ascii="新宋体" w:eastAsia="新宋体"/>
          <w:color w:val="0F0F0F"/>
        </w:rPr>
      </w:pPr>
      <w:r>
        <w:rPr>
          <w:rFonts w:hint="eastAsia" w:ascii="新宋体" w:eastAsia="新宋体"/>
          <w:color w:val="0F0F0F"/>
        </w:rPr>
        <w:t>4.10.2 承包人应对施工场地和周围环境进行查勘，并收集有关地质、水文、气象条件、交通条件、风俗习惯以及其他为完成合同工作有关的当地资料。在全部合同工作中，应视为承包人已充分估计了应承担的责任和风险。</w:t>
      </w:r>
      <w:bookmarkStart w:id="303" w:name="_Toc144974618"/>
      <w:bookmarkStart w:id="304" w:name="_Toc152042428"/>
      <w:bookmarkStart w:id="305" w:name="_Toc152045650"/>
      <w:bookmarkStart w:id="306" w:name="_Toc179632668"/>
    </w:p>
    <w:p w14:paraId="7BAD2391">
      <w:pPr>
        <w:spacing w:line="400" w:lineRule="exact"/>
        <w:rPr>
          <w:rFonts w:ascii="新宋体" w:eastAsia="新宋体"/>
          <w:color w:val="0F0F0F"/>
          <w:sz w:val="24"/>
        </w:rPr>
      </w:pPr>
      <w:r>
        <w:rPr>
          <w:rFonts w:hint="eastAsia" w:ascii="新宋体" w:eastAsia="新宋体"/>
          <w:color w:val="0F0F0F"/>
          <w:sz w:val="24"/>
        </w:rPr>
        <w:t>4.11 不利物质条件</w:t>
      </w:r>
      <w:bookmarkEnd w:id="303"/>
      <w:bookmarkEnd w:id="304"/>
      <w:bookmarkEnd w:id="305"/>
      <w:bookmarkEnd w:id="306"/>
    </w:p>
    <w:p w14:paraId="58BD5770">
      <w:pPr>
        <w:spacing w:line="400" w:lineRule="exact"/>
        <w:ind w:firstLine="420" w:firstLineChars="200"/>
        <w:rPr>
          <w:rFonts w:ascii="新宋体" w:eastAsia="新宋体"/>
          <w:color w:val="0F0F0F"/>
        </w:rPr>
      </w:pPr>
      <w:r>
        <w:rPr>
          <w:rFonts w:hint="eastAsia" w:ascii="新宋体" w:eastAsia="新宋体"/>
          <w:color w:val="0F0F0F"/>
        </w:rPr>
        <w:t>4.11.1 不利物质条件，除专用合同条款另有约定外，是指承包人在施工场地遇到的不可预见的自然物质条件、非自然的物质障碍和污染物，包括地下和水文条件，但不包括气候条件。</w:t>
      </w:r>
    </w:p>
    <w:p w14:paraId="091E2003">
      <w:pPr>
        <w:spacing w:line="400" w:lineRule="exact"/>
        <w:ind w:firstLine="420" w:firstLineChars="200"/>
        <w:rPr>
          <w:rFonts w:ascii="新宋体" w:eastAsia="新宋体"/>
          <w:color w:val="0F0F0F"/>
        </w:rPr>
      </w:pPr>
      <w:r>
        <w:rPr>
          <w:rFonts w:hint="eastAsia" w:ascii="新宋体" w:eastAsia="新宋体"/>
          <w:color w:val="0F0F0F"/>
        </w:rPr>
        <w:t>4.11.2 承包人遇到不利物质条件时，应采取适应不利物质条件的合理措施继续施工，并及时通知监理人。监理人应当及时发出指示，指示构成变更的，按第15条约定办理。监理人没有发出指示的，承包人因采取合理措施而增加的费用和（或）工期延误，由发包人承担。</w:t>
      </w:r>
      <w:bookmarkStart w:id="307" w:name="_Toc152045651"/>
      <w:bookmarkStart w:id="308" w:name="_Toc152042429"/>
      <w:bookmarkStart w:id="309" w:name="_Toc179632669"/>
      <w:bookmarkStart w:id="310" w:name="_Toc144974619"/>
    </w:p>
    <w:p w14:paraId="4E4F993B">
      <w:pPr>
        <w:spacing w:line="400" w:lineRule="exact"/>
        <w:rPr>
          <w:rFonts w:ascii="新宋体" w:eastAsia="新宋体"/>
          <w:color w:val="0F0F0F"/>
          <w:sz w:val="28"/>
          <w:szCs w:val="28"/>
        </w:rPr>
      </w:pPr>
      <w:r>
        <w:rPr>
          <w:rFonts w:hint="eastAsia" w:ascii="新宋体" w:eastAsia="新宋体"/>
          <w:color w:val="0F0F0F"/>
          <w:sz w:val="28"/>
          <w:szCs w:val="28"/>
        </w:rPr>
        <w:t>5. 材料和工程设备</w:t>
      </w:r>
      <w:bookmarkEnd w:id="307"/>
      <w:bookmarkEnd w:id="308"/>
      <w:bookmarkEnd w:id="309"/>
      <w:bookmarkEnd w:id="310"/>
      <w:bookmarkStart w:id="311" w:name="_Toc179632670"/>
      <w:bookmarkStart w:id="312" w:name="_Toc144974620"/>
      <w:bookmarkStart w:id="313" w:name="_Toc152042430"/>
      <w:bookmarkStart w:id="314" w:name="_Toc152045652"/>
    </w:p>
    <w:p w14:paraId="017B608C">
      <w:pPr>
        <w:spacing w:line="400" w:lineRule="exact"/>
        <w:rPr>
          <w:rFonts w:ascii="新宋体" w:eastAsia="新宋体"/>
          <w:color w:val="0F0F0F"/>
          <w:sz w:val="24"/>
        </w:rPr>
      </w:pPr>
      <w:r>
        <w:rPr>
          <w:rFonts w:hint="eastAsia" w:ascii="新宋体" w:eastAsia="新宋体"/>
          <w:color w:val="0F0F0F"/>
          <w:sz w:val="24"/>
        </w:rPr>
        <w:t>5.1 承包人提供的材料和工程设备</w:t>
      </w:r>
      <w:bookmarkEnd w:id="311"/>
      <w:bookmarkEnd w:id="312"/>
      <w:bookmarkEnd w:id="313"/>
      <w:bookmarkEnd w:id="314"/>
    </w:p>
    <w:p w14:paraId="067BF4C7">
      <w:pPr>
        <w:spacing w:line="400" w:lineRule="exact"/>
        <w:ind w:firstLine="420" w:firstLineChars="200"/>
        <w:rPr>
          <w:rFonts w:ascii="新宋体" w:eastAsia="新宋体"/>
          <w:color w:val="0F0F0F"/>
        </w:rPr>
      </w:pPr>
      <w:r>
        <w:rPr>
          <w:rFonts w:hint="eastAsia" w:ascii="新宋体" w:eastAsia="新宋体"/>
          <w:color w:val="0F0F0F"/>
        </w:rPr>
        <w:t>5.1.1 除专用合同条款另有约定外，承包人提供的材料和工程设备均由承包人负责采购、运输和保管。承包人应对其采购的材料和工程设备负责。</w:t>
      </w:r>
    </w:p>
    <w:p w14:paraId="67FE353C">
      <w:pPr>
        <w:spacing w:line="400" w:lineRule="exact"/>
        <w:ind w:firstLine="420" w:firstLineChars="200"/>
        <w:rPr>
          <w:rFonts w:ascii="新宋体" w:eastAsia="新宋体"/>
          <w:color w:val="0F0F0F"/>
        </w:rPr>
      </w:pPr>
      <w:r>
        <w:rPr>
          <w:rFonts w:hint="eastAsia" w:ascii="新宋体" w:eastAsia="新宋体"/>
          <w:color w:val="0F0F0F"/>
        </w:rPr>
        <w:t>5.1.2 承包人应按专用合同条款的约定，将各项材料和工程设备的施工人及品种、规格、数量和施工时间等报送监理人审批。承包人应向监理人提交其负责提供的材料和工程设备的质量证明文件，并满足合同约定的质量标准。</w:t>
      </w:r>
    </w:p>
    <w:p w14:paraId="091D988A">
      <w:pPr>
        <w:spacing w:line="400" w:lineRule="exact"/>
        <w:ind w:firstLine="420" w:firstLineChars="200"/>
        <w:rPr>
          <w:rFonts w:ascii="新宋体" w:eastAsia="新宋体"/>
          <w:color w:val="0F0F0F"/>
        </w:rPr>
      </w:pPr>
      <w:r>
        <w:rPr>
          <w:rFonts w:hint="eastAsia" w:ascii="新宋体" w:eastAsia="新宋体"/>
          <w:color w:val="0F0F0F"/>
        </w:rPr>
        <w:t>5.1.3对承包人提供的材料和工程设备，承包人应会同监理人进行检验和交货验收，查验材料合格证明和产品合格证书，并按合同约定和监理人指示，进行材料的抽样检验和工程设备的检验测试，检验和测试结果应提交监理人，所需费用由承包人承担。</w:t>
      </w:r>
      <w:bookmarkStart w:id="315" w:name="_Toc152042431"/>
      <w:bookmarkStart w:id="316" w:name="_Toc152045653"/>
      <w:bookmarkStart w:id="317" w:name="_Toc179632671"/>
      <w:bookmarkStart w:id="318" w:name="_Toc144974621"/>
    </w:p>
    <w:p w14:paraId="76C4CC80">
      <w:pPr>
        <w:spacing w:line="400" w:lineRule="exact"/>
        <w:rPr>
          <w:rFonts w:ascii="新宋体" w:eastAsia="新宋体"/>
          <w:color w:val="0F0F0F"/>
          <w:sz w:val="24"/>
        </w:rPr>
      </w:pPr>
      <w:r>
        <w:rPr>
          <w:rFonts w:hint="eastAsia" w:ascii="新宋体" w:eastAsia="新宋体"/>
          <w:color w:val="0F0F0F"/>
          <w:sz w:val="24"/>
        </w:rPr>
        <w:t>5.2 发包人提供的材料和工程设备</w:t>
      </w:r>
      <w:bookmarkEnd w:id="315"/>
      <w:bookmarkEnd w:id="316"/>
      <w:bookmarkEnd w:id="317"/>
      <w:bookmarkEnd w:id="318"/>
    </w:p>
    <w:p w14:paraId="7AA1ED0A">
      <w:pPr>
        <w:spacing w:line="400" w:lineRule="exact"/>
        <w:ind w:firstLine="420" w:firstLineChars="200"/>
        <w:rPr>
          <w:rFonts w:ascii="新宋体" w:eastAsia="新宋体"/>
          <w:color w:val="0F0F0F"/>
        </w:rPr>
      </w:pPr>
      <w:r>
        <w:rPr>
          <w:rFonts w:hint="eastAsia" w:ascii="新宋体" w:eastAsia="新宋体"/>
          <w:color w:val="0F0F0F"/>
        </w:rPr>
        <w:t>5.2.1 发包人提供的材料和工程设备，应在专用合同条款中写明材料和工程设备的名称、规格、数量、价格、交货方式、交货地点和计划交货日期等。</w:t>
      </w:r>
    </w:p>
    <w:p w14:paraId="46CB03E8">
      <w:pPr>
        <w:spacing w:line="400" w:lineRule="exact"/>
        <w:ind w:firstLine="420" w:firstLineChars="200"/>
        <w:rPr>
          <w:rFonts w:ascii="新宋体" w:eastAsia="新宋体"/>
          <w:color w:val="0F0F0F"/>
        </w:rPr>
      </w:pPr>
      <w:r>
        <w:rPr>
          <w:rFonts w:hint="eastAsia" w:ascii="新宋体" w:eastAsia="新宋体"/>
          <w:color w:val="0F0F0F"/>
        </w:rPr>
        <w:t>5.2.2 承包人应根据合同进度计划的安排，向监理人报送要求发包人交货的日期计划。发包人应按照监理人与合同双方当事人商定的交货日期，向承包人提交材料和工程设备。</w:t>
      </w:r>
    </w:p>
    <w:p w14:paraId="4901D4FA">
      <w:pPr>
        <w:spacing w:line="400" w:lineRule="exact"/>
        <w:ind w:firstLine="420" w:firstLineChars="200"/>
        <w:rPr>
          <w:rFonts w:ascii="新宋体" w:eastAsia="新宋体"/>
          <w:color w:val="0F0F0F"/>
        </w:rPr>
      </w:pPr>
      <w:r>
        <w:rPr>
          <w:rFonts w:hint="eastAsia" w:ascii="新宋体" w:eastAsia="新宋体"/>
          <w:color w:val="0F0F0F"/>
        </w:rPr>
        <w:t>5.2.3 发包人应在材料和工程设备到货7天前通知承包人，承包人应会同监理人在约定的时间内，赴交货地点共同进行验收。除专用合同条款另有约定外，发包人提供的材料和工程设备验收后，由承包人负责接收、运输和保管。</w:t>
      </w:r>
    </w:p>
    <w:p w14:paraId="7259CB9A">
      <w:pPr>
        <w:spacing w:line="400" w:lineRule="exact"/>
        <w:ind w:firstLine="420" w:firstLineChars="200"/>
        <w:rPr>
          <w:rFonts w:ascii="新宋体" w:eastAsia="新宋体"/>
          <w:color w:val="0F0F0F"/>
        </w:rPr>
      </w:pPr>
      <w:r>
        <w:rPr>
          <w:rFonts w:hint="eastAsia" w:ascii="新宋体" w:eastAsia="新宋体"/>
          <w:color w:val="0F0F0F"/>
        </w:rPr>
        <w:t xml:space="preserve">5.2.4 发包人要求向承包人提前交货的，承包人不得拒绝，但发包人应承担承包人由此增加的费用。 </w:t>
      </w:r>
    </w:p>
    <w:p w14:paraId="775EA342">
      <w:pPr>
        <w:spacing w:line="400" w:lineRule="exact"/>
        <w:ind w:firstLine="420" w:firstLineChars="200"/>
        <w:rPr>
          <w:rFonts w:ascii="新宋体" w:eastAsia="新宋体"/>
          <w:color w:val="0F0F0F"/>
        </w:rPr>
      </w:pPr>
      <w:r>
        <w:rPr>
          <w:rFonts w:hint="eastAsia" w:ascii="新宋体" w:eastAsia="新宋体"/>
          <w:color w:val="0F0F0F"/>
        </w:rPr>
        <w:t xml:space="preserve">5.2.5 承包人要求更改交货日期或地点的，应事先报请监理人批准。由于承包人要求更改交货时间或地点所增加的费用和（或）工期延误由承包人承担。 </w:t>
      </w:r>
    </w:p>
    <w:p w14:paraId="3CBDDC06">
      <w:pPr>
        <w:spacing w:line="400" w:lineRule="exact"/>
        <w:ind w:firstLine="420" w:firstLineChars="200"/>
        <w:rPr>
          <w:rFonts w:ascii="新宋体" w:eastAsia="新宋体"/>
          <w:color w:val="0F0F0F"/>
        </w:rPr>
      </w:pPr>
      <w:r>
        <w:rPr>
          <w:rFonts w:hint="eastAsia" w:ascii="新宋体" w:eastAsia="新宋体"/>
          <w:color w:val="0F0F0F"/>
        </w:rPr>
        <w:t>5.2.6 发包人提供的材料和工程设备的规格、数量或质量不符合合同要求，或由于发包人原因发生交货日期延误及交货地点变更等情况的，发包人应承担由此增加的费用和（或）工期延误，并向承包人支付合理利润。</w:t>
      </w:r>
      <w:bookmarkStart w:id="319" w:name="_Toc179632672"/>
      <w:bookmarkStart w:id="320" w:name="_Toc152042432"/>
      <w:bookmarkStart w:id="321" w:name="_Toc144974622"/>
      <w:bookmarkStart w:id="322" w:name="_Toc152045654"/>
    </w:p>
    <w:p w14:paraId="4E258BF1">
      <w:pPr>
        <w:spacing w:line="400" w:lineRule="exact"/>
        <w:rPr>
          <w:rFonts w:ascii="新宋体" w:eastAsia="新宋体"/>
          <w:color w:val="0F0F0F"/>
          <w:sz w:val="24"/>
        </w:rPr>
      </w:pPr>
      <w:r>
        <w:rPr>
          <w:rFonts w:hint="eastAsia" w:ascii="新宋体" w:eastAsia="新宋体"/>
          <w:color w:val="0F0F0F"/>
          <w:sz w:val="24"/>
        </w:rPr>
        <w:t>5.3 材料和工程设备专用于合同工程</w:t>
      </w:r>
      <w:bookmarkEnd w:id="319"/>
      <w:bookmarkEnd w:id="320"/>
      <w:bookmarkEnd w:id="321"/>
      <w:bookmarkEnd w:id="322"/>
    </w:p>
    <w:p w14:paraId="4FE10A3A">
      <w:pPr>
        <w:spacing w:line="400" w:lineRule="exact"/>
        <w:ind w:firstLine="420" w:firstLineChars="200"/>
        <w:rPr>
          <w:rFonts w:ascii="新宋体" w:eastAsia="新宋体"/>
          <w:color w:val="0F0F0F"/>
        </w:rPr>
      </w:pPr>
      <w:r>
        <w:rPr>
          <w:rFonts w:hint="eastAsia" w:ascii="新宋体" w:eastAsia="新宋体"/>
          <w:color w:val="0F0F0F"/>
        </w:rPr>
        <w:t>5.3.1运入施工场地的材料、工程设备，包括备品备件、安装专用工器具与随机资料，必须专用于合同工程，未经监理人同意，承包人不得运出施工场地或挪作他用。</w:t>
      </w:r>
    </w:p>
    <w:p w14:paraId="454B777F">
      <w:pPr>
        <w:spacing w:line="400" w:lineRule="exact"/>
        <w:ind w:firstLine="420" w:firstLineChars="200"/>
        <w:rPr>
          <w:rFonts w:ascii="新宋体" w:eastAsia="新宋体"/>
          <w:color w:val="0F0F0F"/>
        </w:rPr>
      </w:pPr>
      <w:r>
        <w:rPr>
          <w:rFonts w:hint="eastAsia" w:ascii="新宋体" w:eastAsia="新宋体"/>
          <w:color w:val="0F0F0F"/>
        </w:rPr>
        <w:t>5.3.2 随同工程设备运入施工场地的备品备件、专用工器具与随机资料，应由承包人会同监理人按施工人的装箱单清点后共同封存，未经监理人同意不得启用。承包人因合同工作需要使用上述物品时，应向监理人提出申请。</w:t>
      </w:r>
      <w:bookmarkStart w:id="323" w:name="_Toc152042433"/>
      <w:bookmarkStart w:id="324" w:name="_Toc152045655"/>
      <w:bookmarkStart w:id="325" w:name="_Toc144974623"/>
      <w:bookmarkStart w:id="326" w:name="_Toc179632673"/>
    </w:p>
    <w:p w14:paraId="572FAC73">
      <w:pPr>
        <w:spacing w:line="400" w:lineRule="exact"/>
        <w:rPr>
          <w:rFonts w:ascii="新宋体" w:eastAsia="新宋体"/>
          <w:color w:val="0F0F0F"/>
          <w:sz w:val="24"/>
        </w:rPr>
      </w:pPr>
      <w:r>
        <w:rPr>
          <w:rFonts w:hint="eastAsia" w:ascii="新宋体" w:eastAsia="新宋体"/>
          <w:color w:val="0F0F0F"/>
          <w:sz w:val="24"/>
        </w:rPr>
        <w:t>5.4 禁止使用不合格的材料和工程设备</w:t>
      </w:r>
      <w:bookmarkEnd w:id="323"/>
      <w:bookmarkEnd w:id="324"/>
      <w:bookmarkEnd w:id="325"/>
      <w:bookmarkEnd w:id="326"/>
    </w:p>
    <w:p w14:paraId="58BC36A5">
      <w:pPr>
        <w:spacing w:line="400" w:lineRule="exact"/>
        <w:ind w:firstLine="420" w:firstLineChars="200"/>
        <w:rPr>
          <w:rFonts w:ascii="新宋体" w:eastAsia="新宋体"/>
          <w:color w:val="0F0F0F"/>
        </w:rPr>
      </w:pPr>
      <w:r>
        <w:rPr>
          <w:rFonts w:hint="eastAsia" w:ascii="新宋体" w:eastAsia="新宋体"/>
          <w:color w:val="0F0F0F"/>
        </w:rPr>
        <w:t>5.4.1 监理人有权拒绝承包人提供的不合格材料或工程设备，并要求承包人立即进行更换。监理人应在更换后再次进行检查和检验，由此增加的费用和（或）工期延误由承包人承担。</w:t>
      </w:r>
    </w:p>
    <w:p w14:paraId="4EE5052E">
      <w:pPr>
        <w:spacing w:line="400" w:lineRule="exact"/>
        <w:ind w:firstLine="420" w:firstLineChars="200"/>
        <w:rPr>
          <w:rFonts w:ascii="新宋体" w:eastAsia="新宋体"/>
          <w:color w:val="0F0F0F"/>
        </w:rPr>
      </w:pPr>
      <w:r>
        <w:rPr>
          <w:rFonts w:hint="eastAsia" w:ascii="新宋体" w:eastAsia="新宋体"/>
          <w:color w:val="0F0F0F"/>
        </w:rPr>
        <w:t>5.4.2 监理人发现承包人使用了不合格的材料和工程设备，应即时发出指示要求承包人立即改正，并禁止在工程中继续使用不合格的材料和工程设备。</w:t>
      </w:r>
    </w:p>
    <w:p w14:paraId="11C399D6">
      <w:pPr>
        <w:spacing w:line="400" w:lineRule="exact"/>
        <w:ind w:firstLine="420" w:firstLineChars="200"/>
        <w:rPr>
          <w:rFonts w:ascii="新宋体" w:eastAsia="新宋体"/>
          <w:color w:val="0F0F0F"/>
        </w:rPr>
      </w:pPr>
      <w:r>
        <w:rPr>
          <w:rFonts w:hint="eastAsia" w:ascii="新宋体" w:eastAsia="新宋体"/>
          <w:color w:val="0F0F0F"/>
        </w:rPr>
        <w:t>5.4.3 发包人提供的材料或工程设备不符合合同要求的，承包人有权拒绝，并可要求发包人更换，由此增加的费用和（或）工期延误由发包人承担。</w:t>
      </w:r>
      <w:bookmarkStart w:id="327" w:name="_Toc179632674"/>
      <w:bookmarkStart w:id="328" w:name="_Toc152045656"/>
      <w:bookmarkStart w:id="329" w:name="_Toc152042434"/>
      <w:bookmarkStart w:id="330" w:name="_Toc144974624"/>
    </w:p>
    <w:p w14:paraId="75CB02C7">
      <w:pPr>
        <w:spacing w:line="400" w:lineRule="exact"/>
        <w:rPr>
          <w:rFonts w:ascii="新宋体" w:eastAsia="新宋体"/>
          <w:color w:val="0F0F0F"/>
          <w:sz w:val="28"/>
          <w:szCs w:val="28"/>
        </w:rPr>
      </w:pPr>
      <w:r>
        <w:rPr>
          <w:rFonts w:hint="eastAsia" w:ascii="新宋体" w:eastAsia="新宋体"/>
          <w:color w:val="0F0F0F"/>
          <w:sz w:val="28"/>
          <w:szCs w:val="28"/>
        </w:rPr>
        <w:t>6. 施工设备和临时设施</w:t>
      </w:r>
      <w:bookmarkEnd w:id="327"/>
      <w:bookmarkEnd w:id="328"/>
      <w:bookmarkEnd w:id="329"/>
      <w:bookmarkEnd w:id="330"/>
      <w:bookmarkStart w:id="331" w:name="_Toc144974625"/>
      <w:bookmarkStart w:id="332" w:name="_Toc152042435"/>
      <w:bookmarkStart w:id="333" w:name="_Toc152045657"/>
      <w:bookmarkStart w:id="334" w:name="_Toc179632675"/>
    </w:p>
    <w:p w14:paraId="66D7B5A5">
      <w:pPr>
        <w:spacing w:line="400" w:lineRule="exact"/>
        <w:rPr>
          <w:rFonts w:ascii="新宋体" w:eastAsia="新宋体"/>
          <w:color w:val="0F0F0F"/>
          <w:sz w:val="24"/>
        </w:rPr>
      </w:pPr>
      <w:r>
        <w:rPr>
          <w:rFonts w:hint="eastAsia" w:ascii="新宋体" w:eastAsia="新宋体"/>
          <w:color w:val="0F0F0F"/>
          <w:sz w:val="24"/>
        </w:rPr>
        <w:t>6.1 承包人提供的施工设备和临时设施</w:t>
      </w:r>
      <w:bookmarkEnd w:id="331"/>
      <w:bookmarkEnd w:id="332"/>
      <w:bookmarkEnd w:id="333"/>
      <w:bookmarkEnd w:id="334"/>
    </w:p>
    <w:p w14:paraId="7748B1BD">
      <w:pPr>
        <w:spacing w:line="400" w:lineRule="exact"/>
        <w:ind w:firstLine="420" w:firstLineChars="200"/>
        <w:rPr>
          <w:rFonts w:ascii="新宋体" w:eastAsia="新宋体"/>
          <w:color w:val="0F0F0F"/>
        </w:rPr>
      </w:pPr>
      <w:r>
        <w:rPr>
          <w:rFonts w:hint="eastAsia" w:ascii="新宋体" w:eastAsia="新宋体"/>
          <w:color w:val="0F0F0F"/>
        </w:rPr>
        <w:t>6.1.1 承包人应按合同进度计划的要求，及时配置施工设备和修建临时设施。进入施工场地的承包人设备需经监理人核查后才能投入使用。承包人更换合同约定的承包人设备的，应报监理人批准。</w:t>
      </w:r>
    </w:p>
    <w:p w14:paraId="69897F99">
      <w:pPr>
        <w:spacing w:line="400" w:lineRule="exact"/>
        <w:ind w:firstLine="420" w:firstLineChars="200"/>
        <w:rPr>
          <w:rFonts w:ascii="新宋体" w:eastAsia="新宋体"/>
          <w:color w:val="0F0F0F"/>
        </w:rPr>
      </w:pPr>
      <w:r>
        <w:rPr>
          <w:rFonts w:hint="eastAsia" w:ascii="新宋体" w:eastAsia="新宋体"/>
          <w:color w:val="0F0F0F"/>
        </w:rPr>
        <w:t>6.1.2除专用合同条款另有约定外，承包人应自行承担修建临时设施的费用，需要临时占地的，应由发包人办理申请手续并承担相应费用。</w:t>
      </w:r>
      <w:bookmarkStart w:id="335" w:name="_Toc179632676"/>
      <w:bookmarkStart w:id="336" w:name="_Toc152042436"/>
      <w:bookmarkStart w:id="337" w:name="_Toc144974626"/>
      <w:bookmarkStart w:id="338" w:name="_Toc152045658"/>
    </w:p>
    <w:p w14:paraId="02071AA7">
      <w:pPr>
        <w:spacing w:line="400" w:lineRule="exact"/>
        <w:rPr>
          <w:rFonts w:ascii="新宋体" w:eastAsia="新宋体"/>
          <w:color w:val="0F0F0F"/>
          <w:sz w:val="24"/>
        </w:rPr>
      </w:pPr>
      <w:r>
        <w:rPr>
          <w:rFonts w:hint="eastAsia" w:ascii="新宋体" w:eastAsia="新宋体"/>
          <w:color w:val="0F0F0F"/>
          <w:sz w:val="24"/>
        </w:rPr>
        <w:t>6.2 发包人提供的施工设备和临时设施</w:t>
      </w:r>
      <w:bookmarkEnd w:id="335"/>
      <w:bookmarkEnd w:id="336"/>
      <w:bookmarkEnd w:id="337"/>
      <w:bookmarkEnd w:id="338"/>
    </w:p>
    <w:p w14:paraId="29BC3637">
      <w:pPr>
        <w:spacing w:line="400" w:lineRule="exact"/>
        <w:ind w:firstLine="420" w:firstLineChars="200"/>
        <w:rPr>
          <w:rFonts w:ascii="新宋体" w:eastAsia="新宋体"/>
          <w:color w:val="0F0F0F"/>
        </w:rPr>
      </w:pPr>
      <w:r>
        <w:rPr>
          <w:rFonts w:hint="eastAsia" w:ascii="新宋体" w:eastAsia="新宋体"/>
          <w:color w:val="0F0F0F"/>
        </w:rPr>
        <w:t>发包人提供的施工设备或临时设施在专用合同条款中约定。</w:t>
      </w:r>
      <w:bookmarkStart w:id="339" w:name="_Toc152042437"/>
      <w:bookmarkStart w:id="340" w:name="_Toc179632677"/>
      <w:bookmarkStart w:id="341" w:name="_Toc152045659"/>
      <w:bookmarkStart w:id="342" w:name="_Toc144974627"/>
    </w:p>
    <w:p w14:paraId="652215DA">
      <w:pPr>
        <w:spacing w:line="400" w:lineRule="exact"/>
        <w:rPr>
          <w:rFonts w:ascii="新宋体" w:eastAsia="新宋体"/>
          <w:color w:val="0F0F0F"/>
          <w:sz w:val="24"/>
        </w:rPr>
      </w:pPr>
      <w:r>
        <w:rPr>
          <w:rFonts w:hint="eastAsia" w:ascii="新宋体" w:eastAsia="新宋体"/>
          <w:color w:val="0F0F0F"/>
          <w:sz w:val="24"/>
        </w:rPr>
        <w:t>6.3 要求承包人增加或更换施工设备</w:t>
      </w:r>
      <w:bookmarkEnd w:id="339"/>
      <w:bookmarkEnd w:id="340"/>
      <w:bookmarkEnd w:id="341"/>
      <w:bookmarkEnd w:id="342"/>
    </w:p>
    <w:p w14:paraId="6DAC14D5">
      <w:pPr>
        <w:spacing w:line="400" w:lineRule="exact"/>
        <w:ind w:firstLine="420" w:firstLineChars="200"/>
        <w:rPr>
          <w:rFonts w:ascii="新宋体" w:eastAsia="新宋体"/>
          <w:color w:val="0F0F0F"/>
        </w:rPr>
      </w:pPr>
      <w:r>
        <w:rPr>
          <w:rFonts w:hint="eastAsia" w:ascii="新宋体" w:eastAsia="新宋体"/>
          <w:color w:val="0F0F0F"/>
        </w:rPr>
        <w:t>承包人使用的施工设备不能满足合同进度计划和（或）质量要求时，监理人有权要求承包人增加或更换施工设备，承包人应及时增加或更换，由此增加的费用和（或）工期延误由承包人承担。</w:t>
      </w:r>
      <w:bookmarkStart w:id="343" w:name="_Toc152045660"/>
      <w:bookmarkStart w:id="344" w:name="_Toc152042438"/>
      <w:bookmarkStart w:id="345" w:name="_Toc179632678"/>
      <w:bookmarkStart w:id="346" w:name="_Toc144974628"/>
    </w:p>
    <w:p w14:paraId="6071E462">
      <w:pPr>
        <w:spacing w:line="400" w:lineRule="exact"/>
        <w:rPr>
          <w:rFonts w:ascii="新宋体" w:eastAsia="新宋体"/>
          <w:color w:val="0F0F0F"/>
          <w:sz w:val="24"/>
        </w:rPr>
      </w:pPr>
      <w:r>
        <w:rPr>
          <w:rFonts w:hint="eastAsia" w:ascii="新宋体" w:eastAsia="新宋体"/>
          <w:color w:val="0F0F0F"/>
          <w:sz w:val="24"/>
        </w:rPr>
        <w:t>6.4 施工设备和临时设施专用于合同工程</w:t>
      </w:r>
      <w:bookmarkEnd w:id="343"/>
      <w:bookmarkEnd w:id="344"/>
      <w:bookmarkEnd w:id="345"/>
      <w:bookmarkEnd w:id="346"/>
    </w:p>
    <w:p w14:paraId="0E268979">
      <w:pPr>
        <w:spacing w:line="400" w:lineRule="exact"/>
        <w:ind w:firstLine="420" w:firstLineChars="200"/>
        <w:rPr>
          <w:rFonts w:ascii="新宋体" w:eastAsia="新宋体"/>
          <w:color w:val="0F0F0F"/>
        </w:rPr>
      </w:pPr>
      <w:r>
        <w:rPr>
          <w:rFonts w:hint="eastAsia" w:ascii="新宋体" w:eastAsia="新宋体"/>
          <w:color w:val="0F0F0F"/>
        </w:rPr>
        <w:t>6.4.1除合同另有约定外，运入施工场地的所有施工设备以及在施工场地建设的临时设施应专用于合同工程。未经监理人同意，不得将上述施工设备和临时设施中的任何部分运出施工场地或挪作他用。</w:t>
      </w:r>
    </w:p>
    <w:p w14:paraId="23B74948">
      <w:pPr>
        <w:spacing w:line="400" w:lineRule="exact"/>
        <w:ind w:firstLine="420" w:firstLineChars="200"/>
        <w:rPr>
          <w:rFonts w:ascii="新宋体" w:eastAsia="新宋体"/>
          <w:color w:val="0F0F0F"/>
        </w:rPr>
      </w:pPr>
      <w:r>
        <w:rPr>
          <w:rFonts w:hint="eastAsia" w:ascii="新宋体" w:eastAsia="新宋体"/>
          <w:color w:val="0F0F0F"/>
        </w:rPr>
        <w:t>6.4.2 经监理人同意，承包人可根据合同进度计划撤走闲置的施工设备。</w:t>
      </w:r>
      <w:bookmarkStart w:id="347" w:name="_Toc179632679"/>
      <w:bookmarkStart w:id="348" w:name="_Toc144974629"/>
      <w:bookmarkStart w:id="349" w:name="_Toc152042439"/>
      <w:bookmarkStart w:id="350" w:name="_Toc152045661"/>
    </w:p>
    <w:p w14:paraId="67792478">
      <w:pPr>
        <w:spacing w:line="400" w:lineRule="exact"/>
        <w:rPr>
          <w:rFonts w:ascii="新宋体" w:eastAsia="新宋体"/>
          <w:color w:val="0F0F0F"/>
          <w:sz w:val="28"/>
          <w:szCs w:val="28"/>
        </w:rPr>
      </w:pPr>
      <w:r>
        <w:rPr>
          <w:rFonts w:hint="eastAsia" w:ascii="新宋体" w:eastAsia="新宋体"/>
          <w:color w:val="0F0F0F"/>
          <w:sz w:val="28"/>
          <w:szCs w:val="28"/>
        </w:rPr>
        <w:t>7. 交通运输</w:t>
      </w:r>
      <w:bookmarkEnd w:id="347"/>
      <w:bookmarkEnd w:id="348"/>
      <w:bookmarkEnd w:id="349"/>
      <w:bookmarkEnd w:id="350"/>
      <w:bookmarkStart w:id="351" w:name="_Toc152042440"/>
      <w:bookmarkStart w:id="352" w:name="_Toc179632680"/>
      <w:bookmarkStart w:id="353" w:name="_Toc152045662"/>
      <w:bookmarkStart w:id="354" w:name="_Toc144974630"/>
    </w:p>
    <w:p w14:paraId="2488A9A4">
      <w:pPr>
        <w:spacing w:line="400" w:lineRule="exact"/>
        <w:rPr>
          <w:rFonts w:ascii="新宋体" w:eastAsia="新宋体"/>
          <w:color w:val="0F0F0F"/>
          <w:sz w:val="24"/>
        </w:rPr>
      </w:pPr>
      <w:r>
        <w:rPr>
          <w:rFonts w:hint="eastAsia" w:ascii="新宋体" w:eastAsia="新宋体"/>
          <w:color w:val="0F0F0F"/>
          <w:sz w:val="24"/>
        </w:rPr>
        <w:t>7.1 道路通行权和场外设施</w:t>
      </w:r>
      <w:bookmarkEnd w:id="351"/>
      <w:bookmarkEnd w:id="352"/>
      <w:bookmarkEnd w:id="353"/>
      <w:bookmarkEnd w:id="354"/>
    </w:p>
    <w:p w14:paraId="6903E399">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发包人应根据合同工程的施工需要，负责办理取得出入施工场地的专用和临时道路的通行权，以及取得为工程建设所需修建场外设施的权利，并承担有关费用。承包人应协助发包人办理上述手续。</w:t>
      </w:r>
      <w:bookmarkStart w:id="355" w:name="_Toc152042441"/>
      <w:bookmarkStart w:id="356" w:name="_Toc152045663"/>
      <w:bookmarkStart w:id="357" w:name="_Toc179632681"/>
      <w:bookmarkStart w:id="358" w:name="_Toc144974631"/>
    </w:p>
    <w:p w14:paraId="1D159B70">
      <w:pPr>
        <w:spacing w:line="400" w:lineRule="exact"/>
        <w:rPr>
          <w:rFonts w:ascii="新宋体" w:eastAsia="新宋体"/>
          <w:color w:val="0F0F0F"/>
          <w:sz w:val="24"/>
        </w:rPr>
      </w:pPr>
      <w:r>
        <w:rPr>
          <w:rFonts w:hint="eastAsia" w:ascii="新宋体" w:eastAsia="新宋体"/>
          <w:color w:val="0F0F0F"/>
          <w:sz w:val="24"/>
        </w:rPr>
        <w:t>7.2 场内施工道路</w:t>
      </w:r>
      <w:bookmarkEnd w:id="355"/>
      <w:bookmarkEnd w:id="356"/>
      <w:bookmarkEnd w:id="357"/>
      <w:bookmarkEnd w:id="358"/>
    </w:p>
    <w:p w14:paraId="3E2F60DD">
      <w:pPr>
        <w:spacing w:line="400" w:lineRule="exact"/>
        <w:ind w:firstLine="420" w:firstLineChars="200"/>
        <w:rPr>
          <w:rFonts w:ascii="新宋体" w:eastAsia="新宋体"/>
          <w:color w:val="0F0F0F"/>
        </w:rPr>
      </w:pPr>
      <w:r>
        <w:rPr>
          <w:rFonts w:hint="eastAsia" w:ascii="新宋体" w:eastAsia="新宋体"/>
          <w:color w:val="0F0F0F"/>
        </w:rPr>
        <w:t>7.2.1 除专用合同条款另有约定外，承包人应负责修建、维修、养护和管理施工所需的临时道路和交通设施，包括维修、养护和管理发包人提供的道路和交通设施，并承担相应费用。</w:t>
      </w:r>
    </w:p>
    <w:p w14:paraId="056C8FE5">
      <w:pPr>
        <w:spacing w:line="400" w:lineRule="exact"/>
        <w:ind w:firstLine="420" w:firstLineChars="200"/>
        <w:rPr>
          <w:rFonts w:ascii="新宋体" w:eastAsia="新宋体"/>
          <w:color w:val="0F0F0F"/>
        </w:rPr>
      </w:pPr>
      <w:r>
        <w:rPr>
          <w:rFonts w:hint="eastAsia" w:ascii="新宋体" w:eastAsia="新宋体"/>
          <w:color w:val="0F0F0F"/>
        </w:rPr>
        <w:t>7.2.2 除专用合同条款另有约定外，承包人修建的临时道路和交通设施应免费提供发包人和监理人使用。</w:t>
      </w:r>
      <w:bookmarkStart w:id="359" w:name="_Toc179632682"/>
      <w:bookmarkStart w:id="360" w:name="_Toc144974632"/>
      <w:bookmarkStart w:id="361" w:name="_Toc152042442"/>
      <w:bookmarkStart w:id="362" w:name="_Toc152045664"/>
    </w:p>
    <w:p w14:paraId="05184293">
      <w:pPr>
        <w:spacing w:line="400" w:lineRule="exact"/>
        <w:rPr>
          <w:rFonts w:ascii="新宋体" w:eastAsia="新宋体"/>
          <w:color w:val="0F0F0F"/>
          <w:sz w:val="24"/>
        </w:rPr>
      </w:pPr>
      <w:r>
        <w:rPr>
          <w:rFonts w:hint="eastAsia" w:ascii="新宋体" w:eastAsia="新宋体"/>
          <w:color w:val="0F0F0F"/>
          <w:sz w:val="24"/>
        </w:rPr>
        <w:t>7.3 场外交通</w:t>
      </w:r>
      <w:bookmarkEnd w:id="359"/>
      <w:bookmarkEnd w:id="360"/>
      <w:bookmarkEnd w:id="361"/>
      <w:bookmarkEnd w:id="362"/>
    </w:p>
    <w:p w14:paraId="03DC92BB">
      <w:pPr>
        <w:spacing w:line="400" w:lineRule="exact"/>
        <w:ind w:firstLine="420" w:firstLineChars="200"/>
        <w:rPr>
          <w:rFonts w:ascii="新宋体" w:eastAsia="新宋体"/>
          <w:color w:val="0F0F0F"/>
        </w:rPr>
      </w:pPr>
      <w:r>
        <w:rPr>
          <w:rFonts w:hint="eastAsia" w:ascii="新宋体" w:eastAsia="新宋体"/>
          <w:color w:val="0F0F0F"/>
        </w:rPr>
        <w:t>7.3.1 承包人车辆外出行驶所需的场外公共道路的通行费、养路费和税款等由承包人承担。</w:t>
      </w:r>
    </w:p>
    <w:p w14:paraId="17E0D887">
      <w:pPr>
        <w:spacing w:line="400" w:lineRule="exact"/>
        <w:ind w:firstLine="420" w:firstLineChars="200"/>
        <w:rPr>
          <w:rFonts w:ascii="新宋体" w:eastAsia="新宋体"/>
          <w:color w:val="0F0F0F"/>
        </w:rPr>
      </w:pPr>
      <w:r>
        <w:rPr>
          <w:rFonts w:hint="eastAsia" w:ascii="新宋体" w:eastAsia="新宋体"/>
          <w:color w:val="0F0F0F"/>
        </w:rPr>
        <w:t>7.3.2 承包人应遵守有关交通法规，严格按照道路和桥梁的限制荷重安全行驶，并服从交通管理部门的检查和监督。</w:t>
      </w:r>
      <w:bookmarkStart w:id="363" w:name="_Toc144974633"/>
      <w:bookmarkStart w:id="364" w:name="_Toc152045665"/>
      <w:bookmarkStart w:id="365" w:name="_Toc152042443"/>
      <w:bookmarkStart w:id="366" w:name="_Toc179632683"/>
    </w:p>
    <w:p w14:paraId="023B99BC">
      <w:pPr>
        <w:spacing w:line="400" w:lineRule="exact"/>
        <w:rPr>
          <w:rFonts w:ascii="新宋体" w:eastAsia="新宋体"/>
          <w:color w:val="0F0F0F"/>
          <w:sz w:val="24"/>
        </w:rPr>
      </w:pPr>
      <w:r>
        <w:rPr>
          <w:rFonts w:hint="eastAsia" w:ascii="新宋体" w:eastAsia="新宋体"/>
          <w:color w:val="0F0F0F"/>
          <w:sz w:val="24"/>
        </w:rPr>
        <w:t>7.4 超大件和超重件的运输</w:t>
      </w:r>
      <w:bookmarkEnd w:id="363"/>
      <w:bookmarkEnd w:id="364"/>
      <w:bookmarkEnd w:id="365"/>
      <w:bookmarkEnd w:id="366"/>
    </w:p>
    <w:p w14:paraId="009D2DF6">
      <w:pPr>
        <w:spacing w:line="400" w:lineRule="exact"/>
        <w:ind w:firstLine="420" w:firstLineChars="200"/>
        <w:rPr>
          <w:rFonts w:ascii="新宋体" w:eastAsia="新宋体"/>
          <w:color w:val="0F0F0F"/>
        </w:rPr>
      </w:pPr>
      <w:r>
        <w:rPr>
          <w:rFonts w:hint="eastAsia" w:ascii="新宋体" w:eastAsia="新宋体"/>
          <w:color w:val="0F0F0F"/>
        </w:rPr>
        <w:t>由承包人负责运输的超大件或超重件，应由承包人负责向交通管理部门办理申请手续，发包人给予协助。运输超大件或超重件所需的道路和桥梁临时加固改造费用和其他有关费用，由承包人承担，但专用合同条款另有约定除外。</w:t>
      </w:r>
      <w:bookmarkStart w:id="367" w:name="_Toc144974634"/>
      <w:bookmarkStart w:id="368" w:name="_Toc152042444"/>
      <w:bookmarkStart w:id="369" w:name="_Toc152045666"/>
      <w:bookmarkStart w:id="370" w:name="_Toc179632684"/>
    </w:p>
    <w:p w14:paraId="5C627E19">
      <w:pPr>
        <w:spacing w:line="400" w:lineRule="exact"/>
        <w:rPr>
          <w:rFonts w:ascii="新宋体" w:eastAsia="新宋体"/>
          <w:color w:val="0F0F0F"/>
          <w:sz w:val="24"/>
        </w:rPr>
      </w:pPr>
      <w:r>
        <w:rPr>
          <w:rFonts w:hint="eastAsia" w:ascii="新宋体" w:eastAsia="新宋体"/>
          <w:color w:val="0F0F0F"/>
          <w:sz w:val="24"/>
        </w:rPr>
        <w:t>7.5 道路和桥梁的损坏责任</w:t>
      </w:r>
      <w:bookmarkEnd w:id="367"/>
      <w:bookmarkEnd w:id="368"/>
      <w:bookmarkEnd w:id="369"/>
      <w:bookmarkEnd w:id="370"/>
    </w:p>
    <w:p w14:paraId="11D1992E">
      <w:pPr>
        <w:spacing w:line="400" w:lineRule="exact"/>
        <w:ind w:firstLine="420" w:firstLineChars="200"/>
        <w:rPr>
          <w:rFonts w:ascii="新宋体" w:eastAsia="新宋体"/>
          <w:color w:val="0F0F0F"/>
        </w:rPr>
      </w:pPr>
      <w:r>
        <w:rPr>
          <w:rFonts w:hint="eastAsia" w:ascii="新宋体" w:eastAsia="新宋体"/>
          <w:color w:val="0F0F0F"/>
        </w:rPr>
        <w:t>因承包人运输造成施工场地内外公共道路和桥梁损坏的，由承包人承担修复损坏的全部费用和可能引起的赔偿。</w:t>
      </w:r>
      <w:bookmarkStart w:id="371" w:name="_Toc152045667"/>
      <w:bookmarkStart w:id="372" w:name="_Toc152042445"/>
      <w:bookmarkStart w:id="373" w:name="_Toc179632685"/>
      <w:bookmarkStart w:id="374" w:name="_Toc144974635"/>
    </w:p>
    <w:p w14:paraId="35ECFE92">
      <w:pPr>
        <w:spacing w:line="400" w:lineRule="exact"/>
        <w:rPr>
          <w:rFonts w:ascii="新宋体" w:eastAsia="新宋体"/>
          <w:color w:val="0F0F0F"/>
          <w:sz w:val="24"/>
        </w:rPr>
      </w:pPr>
      <w:r>
        <w:rPr>
          <w:rFonts w:hint="eastAsia" w:ascii="新宋体" w:eastAsia="新宋体"/>
          <w:color w:val="0F0F0F"/>
          <w:sz w:val="24"/>
        </w:rPr>
        <w:t>7.6 水路和航空运输</w:t>
      </w:r>
      <w:bookmarkEnd w:id="371"/>
      <w:bookmarkEnd w:id="372"/>
      <w:bookmarkEnd w:id="373"/>
      <w:bookmarkEnd w:id="374"/>
    </w:p>
    <w:p w14:paraId="202BDD39">
      <w:pPr>
        <w:spacing w:line="400" w:lineRule="exact"/>
        <w:ind w:firstLine="420" w:firstLineChars="200"/>
        <w:rPr>
          <w:rFonts w:ascii="新宋体" w:eastAsia="新宋体"/>
          <w:color w:val="0F0F0F"/>
        </w:rPr>
      </w:pPr>
      <w:r>
        <w:rPr>
          <w:rFonts w:hint="eastAsia" w:ascii="新宋体" w:eastAsia="新宋体"/>
          <w:color w:val="0F0F0F"/>
        </w:rPr>
        <w:t xml:space="preserve">本条上述各款的内容适用于水路运输和航空运输，其中“道路”一词的涵义包括河道、航线、船闸、机场、码头、堤防以及水路或航空运输中其他相似结构物；“车辆”一词的涵义包括船舶和飞机等。 </w:t>
      </w:r>
      <w:bookmarkStart w:id="375" w:name="_Toc152045668"/>
      <w:bookmarkStart w:id="376" w:name="_Toc144974636"/>
      <w:bookmarkStart w:id="377" w:name="_Toc179632686"/>
      <w:bookmarkStart w:id="378" w:name="_Toc152042446"/>
    </w:p>
    <w:p w14:paraId="4A5CF413">
      <w:pPr>
        <w:spacing w:line="400" w:lineRule="exact"/>
        <w:rPr>
          <w:rFonts w:ascii="新宋体" w:eastAsia="新宋体"/>
          <w:color w:val="0F0F0F"/>
          <w:sz w:val="28"/>
          <w:szCs w:val="28"/>
        </w:rPr>
      </w:pPr>
      <w:r>
        <w:rPr>
          <w:rFonts w:hint="eastAsia" w:ascii="新宋体" w:eastAsia="新宋体"/>
          <w:color w:val="0F0F0F"/>
          <w:sz w:val="28"/>
          <w:szCs w:val="28"/>
        </w:rPr>
        <w:t>8. 测量放线</w:t>
      </w:r>
      <w:bookmarkEnd w:id="375"/>
      <w:bookmarkEnd w:id="376"/>
      <w:bookmarkEnd w:id="377"/>
      <w:bookmarkEnd w:id="378"/>
      <w:bookmarkStart w:id="379" w:name="_Toc152045669"/>
      <w:bookmarkStart w:id="380" w:name="_Toc152042447"/>
      <w:bookmarkStart w:id="381" w:name="_Toc144974637"/>
      <w:bookmarkStart w:id="382" w:name="_Toc179632687"/>
    </w:p>
    <w:p w14:paraId="3512746D">
      <w:pPr>
        <w:spacing w:line="400" w:lineRule="exact"/>
        <w:rPr>
          <w:rFonts w:ascii="新宋体" w:eastAsia="新宋体"/>
          <w:color w:val="0F0F0F"/>
          <w:sz w:val="24"/>
        </w:rPr>
      </w:pPr>
      <w:r>
        <w:rPr>
          <w:rFonts w:hint="eastAsia" w:ascii="新宋体" w:eastAsia="新宋体"/>
          <w:color w:val="0F0F0F"/>
          <w:sz w:val="24"/>
        </w:rPr>
        <w:t>8.1 施工控制网</w:t>
      </w:r>
      <w:bookmarkEnd w:id="379"/>
      <w:bookmarkEnd w:id="380"/>
      <w:bookmarkEnd w:id="381"/>
      <w:bookmarkEnd w:id="382"/>
    </w:p>
    <w:p w14:paraId="55AADAD3">
      <w:pPr>
        <w:spacing w:line="400" w:lineRule="exact"/>
        <w:ind w:firstLine="420" w:firstLineChars="200"/>
        <w:rPr>
          <w:rFonts w:ascii="新宋体" w:eastAsia="新宋体"/>
          <w:color w:val="0F0F0F"/>
        </w:rPr>
      </w:pPr>
      <w:r>
        <w:rPr>
          <w:rFonts w:hint="eastAsia" w:ascii="新宋体" w:eastAsia="新宋体"/>
          <w:color w:val="0F0F0F"/>
        </w:rPr>
        <w:t>8.1.1发包人应在专用合同条款约定的期限内，通过监理人向承包人提供测量基准点、基准线和水准点及其书面资料。除专用合同条款另有约定外，承包人应根据国家测绘基准、测绘系统和工程测量技术规范，按上述基准点（线）以及合同工程精度要求，测设施工控制网，并在专用合同条款约定的期限内，将施工控制网资料报送监理人审批。</w:t>
      </w:r>
    </w:p>
    <w:p w14:paraId="475B3F6E">
      <w:pPr>
        <w:spacing w:line="400" w:lineRule="exact"/>
        <w:ind w:firstLine="420" w:firstLineChars="200"/>
        <w:rPr>
          <w:rFonts w:ascii="新宋体" w:eastAsia="新宋体"/>
          <w:color w:val="0F0F0F"/>
        </w:rPr>
      </w:pPr>
      <w:r>
        <w:rPr>
          <w:rFonts w:hint="eastAsia" w:ascii="新宋体" w:eastAsia="新宋体"/>
          <w:color w:val="0F0F0F"/>
        </w:rPr>
        <w:t>8.1.2承包人应负责管理施工控制网点。施工控制网点丢失或损坏的，承包人应及时修复。承包人应承担施工控制网点的管理与修复费用，并在工程竣工后将施工控制网点移交发包人。</w:t>
      </w:r>
      <w:bookmarkStart w:id="383" w:name="_Toc152042448"/>
      <w:bookmarkStart w:id="384" w:name="_Toc179632688"/>
      <w:bookmarkStart w:id="385" w:name="_Toc144974638"/>
      <w:bookmarkStart w:id="386" w:name="_Toc152045670"/>
    </w:p>
    <w:p w14:paraId="5CB9C949">
      <w:pPr>
        <w:spacing w:line="400" w:lineRule="exact"/>
        <w:rPr>
          <w:rFonts w:ascii="新宋体" w:eastAsia="新宋体"/>
          <w:color w:val="0F0F0F"/>
          <w:sz w:val="24"/>
        </w:rPr>
      </w:pPr>
      <w:r>
        <w:rPr>
          <w:rFonts w:hint="eastAsia" w:ascii="新宋体" w:eastAsia="新宋体"/>
          <w:color w:val="0F0F0F"/>
          <w:sz w:val="24"/>
        </w:rPr>
        <w:t>8.2 施工测量</w:t>
      </w:r>
      <w:bookmarkEnd w:id="383"/>
      <w:bookmarkEnd w:id="384"/>
      <w:bookmarkEnd w:id="385"/>
      <w:bookmarkEnd w:id="386"/>
    </w:p>
    <w:p w14:paraId="678CBFC4">
      <w:pPr>
        <w:spacing w:line="400" w:lineRule="exact"/>
        <w:ind w:firstLine="420" w:firstLineChars="200"/>
        <w:rPr>
          <w:rFonts w:ascii="新宋体" w:eastAsia="新宋体"/>
          <w:color w:val="0F0F0F"/>
        </w:rPr>
      </w:pPr>
      <w:r>
        <w:rPr>
          <w:rFonts w:hint="eastAsia" w:ascii="新宋体" w:eastAsia="新宋体"/>
          <w:color w:val="0F0F0F"/>
        </w:rPr>
        <w:t>8.2.1承包人应负责施工过程中的全部施工测量放线工作，并配置合格的人员、仪器、设备和其他物品。</w:t>
      </w:r>
    </w:p>
    <w:p w14:paraId="5BAD8B81">
      <w:pPr>
        <w:spacing w:line="400" w:lineRule="exact"/>
        <w:ind w:firstLine="420" w:firstLineChars="200"/>
        <w:rPr>
          <w:rFonts w:ascii="新宋体" w:eastAsia="新宋体"/>
          <w:color w:val="0F0F0F"/>
        </w:rPr>
      </w:pPr>
      <w:r>
        <w:rPr>
          <w:rFonts w:hint="eastAsia" w:ascii="新宋体" w:eastAsia="新宋体"/>
          <w:color w:val="0F0F0F"/>
        </w:rPr>
        <w:t>8.2.2监理人可以指示承包人进行抽样复测，当复测中发现错误或出现超过合同约定的误差时，承包人应按监理人指示进行修正或补测，并承担相应的复测费用。</w:t>
      </w:r>
      <w:bookmarkStart w:id="387" w:name="_Toc144974639"/>
      <w:bookmarkStart w:id="388" w:name="_Toc152045671"/>
      <w:bookmarkStart w:id="389" w:name="_Toc152042449"/>
      <w:bookmarkStart w:id="390" w:name="_Toc179632689"/>
    </w:p>
    <w:p w14:paraId="19EF655E">
      <w:pPr>
        <w:spacing w:line="400" w:lineRule="exact"/>
        <w:rPr>
          <w:rFonts w:ascii="新宋体" w:eastAsia="新宋体"/>
          <w:color w:val="0F0F0F"/>
          <w:sz w:val="24"/>
        </w:rPr>
      </w:pPr>
      <w:r>
        <w:rPr>
          <w:rFonts w:hint="eastAsia" w:ascii="新宋体" w:eastAsia="新宋体"/>
          <w:color w:val="0F0F0F"/>
          <w:sz w:val="24"/>
        </w:rPr>
        <w:t>8.3 基准资料错误的责任</w:t>
      </w:r>
      <w:bookmarkEnd w:id="387"/>
      <w:bookmarkEnd w:id="388"/>
      <w:bookmarkEnd w:id="389"/>
      <w:bookmarkEnd w:id="390"/>
    </w:p>
    <w:p w14:paraId="499E28E2">
      <w:pPr>
        <w:spacing w:line="400" w:lineRule="exact"/>
        <w:ind w:firstLine="420" w:firstLineChars="200"/>
        <w:rPr>
          <w:rFonts w:ascii="新宋体" w:eastAsia="新宋体"/>
          <w:color w:val="0F0F0F"/>
        </w:rPr>
      </w:pPr>
      <w:r>
        <w:rPr>
          <w:rFonts w:hint="eastAsia" w:ascii="新宋体" w:eastAsia="新宋体"/>
          <w:color w:val="0F0F0F"/>
        </w:rPr>
        <w:t>发包人应对其提供的测量基准点、基准线和水准点及其书面资料的真实性、准确性和完整性负责。发包人提供上述基准资料错误导致承包人测量放线工作的返工或造成工程损失的，发包人应当承担由此增加的费用和（或）工期延误，并向承包人支付合理利润。承包人发现发包人提供的上述基准资料存在明显错误或疏忽的，应及时通知监理人。</w:t>
      </w:r>
      <w:bookmarkStart w:id="391" w:name="_Toc144974640"/>
      <w:bookmarkStart w:id="392" w:name="_Toc152042450"/>
      <w:bookmarkStart w:id="393" w:name="_Toc152045672"/>
      <w:bookmarkStart w:id="394" w:name="_Toc179632690"/>
    </w:p>
    <w:p w14:paraId="05FCC26E">
      <w:pPr>
        <w:spacing w:line="400" w:lineRule="exact"/>
        <w:rPr>
          <w:rFonts w:ascii="新宋体" w:eastAsia="新宋体"/>
          <w:color w:val="0F0F0F"/>
          <w:sz w:val="24"/>
        </w:rPr>
      </w:pPr>
      <w:r>
        <w:rPr>
          <w:rFonts w:hint="eastAsia" w:ascii="新宋体" w:eastAsia="新宋体"/>
          <w:color w:val="0F0F0F"/>
          <w:sz w:val="24"/>
        </w:rPr>
        <w:t>8.4 监理人使用施工控制网</w:t>
      </w:r>
      <w:bookmarkEnd w:id="391"/>
      <w:bookmarkEnd w:id="392"/>
      <w:bookmarkEnd w:id="393"/>
      <w:bookmarkEnd w:id="394"/>
    </w:p>
    <w:p w14:paraId="65D09F3C">
      <w:pPr>
        <w:spacing w:line="400" w:lineRule="exact"/>
        <w:ind w:firstLine="420" w:firstLineChars="200"/>
        <w:rPr>
          <w:rFonts w:ascii="新宋体" w:eastAsia="新宋体"/>
          <w:color w:val="0F0F0F"/>
        </w:rPr>
      </w:pPr>
      <w:r>
        <w:rPr>
          <w:rFonts w:hint="eastAsia" w:ascii="新宋体" w:eastAsia="新宋体"/>
          <w:color w:val="0F0F0F"/>
        </w:rPr>
        <w:t>监理人需要使用施工控制网的，承包人应提供必要的协助，发包人不再为此支付费用。</w:t>
      </w:r>
      <w:bookmarkStart w:id="395" w:name="_Toc179632691"/>
      <w:bookmarkStart w:id="396" w:name="_Toc144974641"/>
      <w:bookmarkStart w:id="397" w:name="_Toc152045673"/>
      <w:bookmarkStart w:id="398" w:name="_Toc152042451"/>
    </w:p>
    <w:p w14:paraId="6C1A90B3">
      <w:pPr>
        <w:spacing w:line="400" w:lineRule="exact"/>
        <w:rPr>
          <w:rFonts w:ascii="新宋体" w:eastAsia="新宋体"/>
          <w:color w:val="0F0F0F"/>
          <w:sz w:val="28"/>
          <w:szCs w:val="28"/>
        </w:rPr>
      </w:pPr>
      <w:r>
        <w:rPr>
          <w:rFonts w:hint="eastAsia" w:ascii="新宋体" w:eastAsia="新宋体"/>
          <w:color w:val="0F0F0F"/>
          <w:sz w:val="28"/>
          <w:szCs w:val="28"/>
        </w:rPr>
        <w:t>9. 施工安全、治安保卫和环境保护</w:t>
      </w:r>
      <w:bookmarkEnd w:id="395"/>
      <w:bookmarkEnd w:id="396"/>
      <w:bookmarkEnd w:id="397"/>
      <w:bookmarkEnd w:id="398"/>
      <w:bookmarkStart w:id="399" w:name="_Toc179632692"/>
      <w:bookmarkStart w:id="400" w:name="_Toc144974642"/>
      <w:bookmarkStart w:id="401" w:name="_Toc152045674"/>
      <w:bookmarkStart w:id="402" w:name="_Toc152042452"/>
    </w:p>
    <w:p w14:paraId="0EDE34E2">
      <w:pPr>
        <w:spacing w:line="400" w:lineRule="exact"/>
        <w:rPr>
          <w:rFonts w:ascii="新宋体" w:eastAsia="新宋体"/>
          <w:dstrike/>
          <w:color w:val="0F0F0F"/>
          <w:sz w:val="24"/>
        </w:rPr>
      </w:pPr>
      <w:r>
        <w:rPr>
          <w:rFonts w:hint="eastAsia" w:ascii="新宋体" w:eastAsia="新宋体"/>
          <w:color w:val="0F0F0F"/>
          <w:sz w:val="24"/>
        </w:rPr>
        <w:t>9.1 发包人的施工安全责任</w:t>
      </w:r>
      <w:bookmarkEnd w:id="399"/>
      <w:bookmarkEnd w:id="400"/>
      <w:bookmarkEnd w:id="401"/>
      <w:bookmarkEnd w:id="402"/>
    </w:p>
    <w:p w14:paraId="650C4FE8">
      <w:pPr>
        <w:spacing w:line="400" w:lineRule="exact"/>
        <w:ind w:firstLine="420" w:firstLineChars="200"/>
        <w:rPr>
          <w:rFonts w:ascii="新宋体" w:eastAsia="新宋体"/>
          <w:color w:val="0F0F0F"/>
        </w:rPr>
      </w:pPr>
      <w:r>
        <w:rPr>
          <w:rFonts w:hint="eastAsia" w:ascii="新宋体" w:eastAsia="新宋体"/>
          <w:color w:val="0F0F0F"/>
        </w:rPr>
        <w:t>9.1.1 发包人应按合同约定履行安全职责，授权监理人按合同约定的安全工作内容监督、检查承包人安全工作的实施，组织承包人和有关单位进行安全检查。</w:t>
      </w:r>
    </w:p>
    <w:p w14:paraId="04581D9F">
      <w:pPr>
        <w:spacing w:line="400" w:lineRule="exact"/>
        <w:ind w:firstLine="420" w:firstLineChars="200"/>
        <w:rPr>
          <w:rFonts w:ascii="新宋体" w:eastAsia="新宋体"/>
          <w:color w:val="0F0F0F"/>
        </w:rPr>
      </w:pPr>
      <w:r>
        <w:rPr>
          <w:rFonts w:hint="eastAsia" w:ascii="新宋体" w:eastAsia="新宋体"/>
          <w:color w:val="0F0F0F"/>
        </w:rPr>
        <w:t>9.1.2 发包人应对其现场机构雇佣的全部人员的工伤事故承担责任，但由于承包人原因造成发包人人员工伤的，应由承包人承担责任。</w:t>
      </w:r>
    </w:p>
    <w:p w14:paraId="14050753">
      <w:pPr>
        <w:spacing w:line="400" w:lineRule="exact"/>
        <w:ind w:firstLine="420" w:firstLineChars="200"/>
        <w:rPr>
          <w:rFonts w:ascii="新宋体" w:eastAsia="新宋体"/>
          <w:color w:val="0F0F0F"/>
        </w:rPr>
      </w:pPr>
      <w:r>
        <w:rPr>
          <w:rFonts w:hint="eastAsia" w:ascii="新宋体" w:eastAsia="新宋体"/>
          <w:color w:val="0F0F0F"/>
        </w:rPr>
        <w:t>9.1.3 发包人应负责赔偿以下各种情况造成的第三者人身伤亡和财产损失：</w:t>
      </w:r>
    </w:p>
    <w:p w14:paraId="0A2C28FF">
      <w:pPr>
        <w:spacing w:line="400" w:lineRule="exact"/>
        <w:ind w:firstLine="420" w:firstLineChars="200"/>
        <w:rPr>
          <w:rFonts w:ascii="新宋体" w:eastAsia="新宋体"/>
          <w:color w:val="0F0F0F"/>
        </w:rPr>
      </w:pPr>
      <w:r>
        <w:rPr>
          <w:rFonts w:hint="eastAsia" w:ascii="新宋体" w:eastAsia="新宋体"/>
          <w:color w:val="0F0F0F"/>
        </w:rPr>
        <w:t>（1） 工程或工程的任何部分对土地的占用所造成的第三者财产损失；</w:t>
      </w:r>
    </w:p>
    <w:p w14:paraId="277A998A">
      <w:pPr>
        <w:spacing w:line="400" w:lineRule="exact"/>
        <w:ind w:firstLine="420" w:firstLineChars="200"/>
        <w:rPr>
          <w:rFonts w:ascii="新宋体" w:eastAsia="新宋体"/>
          <w:color w:val="0F0F0F"/>
        </w:rPr>
      </w:pPr>
      <w:r>
        <w:rPr>
          <w:rFonts w:hint="eastAsia" w:ascii="新宋体" w:eastAsia="新宋体"/>
          <w:color w:val="0F0F0F"/>
        </w:rPr>
        <w:t>（2） 由于发包人原因在施工场地及其毗邻地带造成的第三者人身伤亡和财产损失。</w:t>
      </w:r>
      <w:bookmarkStart w:id="403" w:name="_Toc152045675"/>
      <w:bookmarkStart w:id="404" w:name="_Toc152042453"/>
      <w:bookmarkStart w:id="405" w:name="_Toc144974643"/>
      <w:bookmarkStart w:id="406" w:name="_Toc179632693"/>
    </w:p>
    <w:p w14:paraId="07D1803B">
      <w:pPr>
        <w:spacing w:line="400" w:lineRule="exact"/>
        <w:rPr>
          <w:rFonts w:ascii="新宋体" w:eastAsia="新宋体"/>
          <w:color w:val="0F0F0F"/>
          <w:sz w:val="24"/>
        </w:rPr>
      </w:pPr>
      <w:r>
        <w:rPr>
          <w:rFonts w:hint="eastAsia" w:ascii="新宋体" w:eastAsia="新宋体"/>
          <w:color w:val="0F0F0F"/>
          <w:sz w:val="24"/>
        </w:rPr>
        <w:t>9.2 承包人的施工安全责任</w:t>
      </w:r>
      <w:bookmarkEnd w:id="403"/>
      <w:bookmarkEnd w:id="404"/>
      <w:bookmarkEnd w:id="405"/>
      <w:bookmarkEnd w:id="406"/>
    </w:p>
    <w:p w14:paraId="637E6FD7">
      <w:pPr>
        <w:spacing w:line="400" w:lineRule="exact"/>
        <w:ind w:firstLine="420" w:firstLineChars="200"/>
        <w:rPr>
          <w:rFonts w:ascii="新宋体" w:eastAsia="新宋体"/>
          <w:color w:val="0F0F0F"/>
        </w:rPr>
      </w:pPr>
      <w:r>
        <w:rPr>
          <w:rFonts w:hint="eastAsia" w:ascii="新宋体" w:eastAsia="新宋体"/>
          <w:color w:val="0F0F0F"/>
        </w:rPr>
        <w:t>9.2.1 承包人应按合同约定履行安全职责,执行监理人有关安全工作的指示,并在专用合同条款约定的期限内，按合同约定的安全工作内容，编制施工安全措施计划报送监理人审批。</w:t>
      </w:r>
    </w:p>
    <w:p w14:paraId="3555EC24">
      <w:pPr>
        <w:spacing w:line="400" w:lineRule="exact"/>
        <w:ind w:firstLine="420" w:firstLineChars="200"/>
        <w:rPr>
          <w:rFonts w:ascii="新宋体" w:eastAsia="新宋体"/>
          <w:color w:val="0F0F0F"/>
        </w:rPr>
      </w:pPr>
      <w:r>
        <w:rPr>
          <w:rFonts w:hint="eastAsia" w:ascii="新宋体" w:eastAsia="新宋体"/>
          <w:color w:val="0F0F0F"/>
        </w:rPr>
        <w:t>9.2.2 承包人应加强施工作业安全管理，特别应加强易燃、易爆材料、火工器材、有毒与腐蚀性材料和其他危险品的管理，以及对爆破作业和地下工程施工等危险作业的管理。</w:t>
      </w:r>
    </w:p>
    <w:p w14:paraId="72949950">
      <w:pPr>
        <w:spacing w:line="400" w:lineRule="exact"/>
        <w:ind w:firstLine="420" w:firstLineChars="200"/>
        <w:rPr>
          <w:rFonts w:ascii="新宋体" w:eastAsia="新宋体"/>
          <w:color w:val="0F0F0F"/>
        </w:rPr>
      </w:pPr>
      <w:r>
        <w:rPr>
          <w:rFonts w:hint="eastAsia" w:ascii="新宋体" w:eastAsia="新宋体"/>
          <w:color w:val="0F0F0F"/>
        </w:rPr>
        <w:t>9.2.3 承包人应严格按照国家安全标准制定施工安全操作规程，配备必要的安全生产和劳动保护设施，加强对承包人人员的安全教育，并发放安全工作手册和劳动保护用具。</w:t>
      </w:r>
    </w:p>
    <w:p w14:paraId="4594D973">
      <w:pPr>
        <w:spacing w:line="400" w:lineRule="exact"/>
        <w:ind w:firstLine="420" w:firstLineChars="200"/>
        <w:rPr>
          <w:rFonts w:ascii="新宋体" w:eastAsia="新宋体"/>
          <w:color w:val="0F0F0F"/>
        </w:rPr>
      </w:pPr>
      <w:r>
        <w:rPr>
          <w:rFonts w:hint="eastAsia" w:ascii="新宋体" w:eastAsia="新宋体"/>
          <w:color w:val="0F0F0F"/>
        </w:rPr>
        <w:t>9.2.4 承包人应按监理人的指示制定应对灾害的紧急预案，报送监理人审批。承包人还应按预案做好安全检查，配置必要的救助物资和器材，切实保护好有关人员的人身和财产安全。</w:t>
      </w:r>
    </w:p>
    <w:p w14:paraId="133D777C">
      <w:pPr>
        <w:spacing w:line="400" w:lineRule="exact"/>
        <w:ind w:firstLine="420" w:firstLineChars="200"/>
        <w:rPr>
          <w:rFonts w:ascii="新宋体" w:eastAsia="新宋体"/>
          <w:color w:val="0F0F0F"/>
        </w:rPr>
      </w:pPr>
      <w:r>
        <w:rPr>
          <w:rFonts w:hint="eastAsia" w:ascii="新宋体" w:eastAsia="新宋体"/>
          <w:color w:val="0F0F0F"/>
        </w:rPr>
        <w:t>9.2.5 合同约定的安全作业环境及安全施工措施所需费用应遵守有关规定，并包括在相关工作的合同价格中。因采取合同未约定的安全作业环境及安全施工措施增加的费用，由监理人按第3.5款商定或确定。</w:t>
      </w:r>
    </w:p>
    <w:p w14:paraId="673E6058">
      <w:pPr>
        <w:spacing w:line="400" w:lineRule="exact"/>
        <w:ind w:firstLine="420" w:firstLineChars="200"/>
        <w:rPr>
          <w:rFonts w:ascii="新宋体" w:eastAsia="新宋体"/>
          <w:color w:val="0F0F0F"/>
        </w:rPr>
      </w:pPr>
      <w:r>
        <w:rPr>
          <w:rFonts w:hint="eastAsia" w:ascii="新宋体" w:eastAsia="新宋体"/>
          <w:color w:val="0F0F0F"/>
        </w:rPr>
        <w:t>9.2.6 承包人应对其履行合同所雇佣的全部人员，包括分包人人员的工伤事故承担责任，但由于发包人原因造成承包人人员工伤事故的，应由发包人承担责任。</w:t>
      </w:r>
    </w:p>
    <w:p w14:paraId="5178895D">
      <w:pPr>
        <w:spacing w:line="400" w:lineRule="exact"/>
        <w:ind w:firstLine="420" w:firstLineChars="200"/>
        <w:rPr>
          <w:rFonts w:ascii="新宋体" w:eastAsia="新宋体"/>
          <w:color w:val="0F0F0F"/>
        </w:rPr>
      </w:pPr>
      <w:r>
        <w:rPr>
          <w:rFonts w:hint="eastAsia" w:ascii="新宋体" w:eastAsia="新宋体"/>
          <w:color w:val="0F0F0F"/>
        </w:rPr>
        <w:t>9.2.7 由于承包人原因在施工场地内及其毗邻地带造成的第三者人员伤亡和财产损失，由承包人负责赔偿。</w:t>
      </w:r>
      <w:bookmarkStart w:id="407" w:name="_Toc179632694"/>
      <w:bookmarkStart w:id="408" w:name="_Toc152042454"/>
      <w:bookmarkStart w:id="409" w:name="_Toc144974644"/>
      <w:bookmarkStart w:id="410" w:name="_Toc152045676"/>
    </w:p>
    <w:p w14:paraId="5443FDB0">
      <w:pPr>
        <w:spacing w:line="400" w:lineRule="exact"/>
        <w:rPr>
          <w:rFonts w:ascii="新宋体" w:eastAsia="新宋体"/>
          <w:color w:val="0F0F0F"/>
          <w:sz w:val="24"/>
        </w:rPr>
      </w:pPr>
      <w:r>
        <w:rPr>
          <w:rFonts w:hint="eastAsia" w:ascii="新宋体" w:eastAsia="新宋体"/>
          <w:color w:val="0F0F0F"/>
          <w:sz w:val="24"/>
        </w:rPr>
        <w:t>9.3 治安保卫</w:t>
      </w:r>
      <w:bookmarkEnd w:id="407"/>
      <w:bookmarkEnd w:id="408"/>
      <w:bookmarkEnd w:id="409"/>
      <w:bookmarkEnd w:id="410"/>
    </w:p>
    <w:p w14:paraId="2B3A1AFE">
      <w:pPr>
        <w:spacing w:line="400" w:lineRule="exact"/>
        <w:ind w:firstLine="420" w:firstLineChars="200"/>
        <w:rPr>
          <w:rFonts w:ascii="新宋体" w:eastAsia="新宋体"/>
          <w:color w:val="0F0F0F"/>
        </w:rPr>
      </w:pPr>
      <w:r>
        <w:rPr>
          <w:rFonts w:hint="eastAsia" w:ascii="新宋体" w:eastAsia="新宋体"/>
          <w:color w:val="0F0F0F"/>
        </w:rPr>
        <w:t>9.3.1 除合同另有约定外，发包人应与当地公安部门协商，在现场建立治安管理机构或联防组织，统一管理施工场地的治安保卫事项，履行合同工程的治安保卫职责。</w:t>
      </w:r>
    </w:p>
    <w:p w14:paraId="4CA2EF07">
      <w:pPr>
        <w:spacing w:line="400" w:lineRule="exact"/>
        <w:ind w:firstLine="420" w:firstLineChars="200"/>
        <w:rPr>
          <w:rFonts w:ascii="新宋体" w:eastAsia="新宋体"/>
          <w:color w:val="0F0F0F"/>
        </w:rPr>
      </w:pPr>
      <w:r>
        <w:rPr>
          <w:rFonts w:hint="eastAsia" w:ascii="新宋体" w:eastAsia="新宋体"/>
          <w:color w:val="0F0F0F"/>
        </w:rPr>
        <w:t>9.3.2 发包人和承包人除应协助现场治安管理机构或联防组织维护施工场地的社会治安外，还应做好包括生活区在内的各自管辖区的治安保卫工作。</w:t>
      </w:r>
    </w:p>
    <w:p w14:paraId="4D5A314E">
      <w:pPr>
        <w:spacing w:line="400" w:lineRule="exact"/>
        <w:ind w:firstLine="420" w:firstLineChars="200"/>
        <w:rPr>
          <w:rFonts w:ascii="新宋体" w:eastAsia="新宋体"/>
          <w:color w:val="0F0F0F"/>
        </w:rPr>
      </w:pPr>
      <w:r>
        <w:rPr>
          <w:rFonts w:hint="eastAsia" w:ascii="新宋体" w:eastAsia="新宋体"/>
          <w:color w:val="0F0F0F"/>
        </w:rPr>
        <w:t>9.3.3 除合同另有约定外，发包人和承包人应在工程开工后，共同编制施工场地治安管理计划，并制定应对突发治安事件的紧急预案。在工程施工过程中，发生暴乱、爆炸等恐怖事件，以及群殴、械斗等群体性突发治安事件的，发包人和承包人应立即向当地政府报告。发包人和承包人应积极协助当地有关部门采取措施平息事态，防止事态扩大，尽量减少财产损失和避免人员伤亡。</w:t>
      </w:r>
      <w:bookmarkStart w:id="411" w:name="_Toc144974645"/>
      <w:bookmarkStart w:id="412" w:name="_Toc179632695"/>
      <w:bookmarkStart w:id="413" w:name="_Toc152042455"/>
      <w:bookmarkStart w:id="414" w:name="_Toc152045677"/>
    </w:p>
    <w:p w14:paraId="004B740C">
      <w:pPr>
        <w:spacing w:line="400" w:lineRule="exact"/>
        <w:rPr>
          <w:rFonts w:ascii="新宋体" w:eastAsia="新宋体"/>
          <w:color w:val="0F0F0F"/>
          <w:sz w:val="24"/>
        </w:rPr>
      </w:pPr>
      <w:r>
        <w:rPr>
          <w:rFonts w:hint="eastAsia" w:ascii="新宋体" w:eastAsia="新宋体"/>
          <w:color w:val="0F0F0F"/>
          <w:sz w:val="24"/>
        </w:rPr>
        <w:t>9.4 环境保护</w:t>
      </w:r>
      <w:bookmarkEnd w:id="411"/>
      <w:bookmarkEnd w:id="412"/>
      <w:bookmarkEnd w:id="413"/>
      <w:bookmarkEnd w:id="414"/>
    </w:p>
    <w:p w14:paraId="494F4B18">
      <w:pPr>
        <w:spacing w:line="400" w:lineRule="exact"/>
        <w:ind w:firstLine="420" w:firstLineChars="200"/>
        <w:rPr>
          <w:rFonts w:ascii="新宋体" w:eastAsia="新宋体"/>
          <w:color w:val="0F0F0F"/>
        </w:rPr>
      </w:pPr>
      <w:r>
        <w:rPr>
          <w:rFonts w:hint="eastAsia" w:ascii="新宋体" w:eastAsia="新宋体"/>
          <w:color w:val="0F0F0F"/>
        </w:rPr>
        <w:t>9.4.1 承包人在施工过程中，应遵守有关环境保护的法律，履行合同约定的环境保护义务，并对违反法律和合同约定义务所造成的环境破坏、人身伤害和财产损失负责。</w:t>
      </w:r>
    </w:p>
    <w:p w14:paraId="1B46AA3F">
      <w:pPr>
        <w:spacing w:line="400" w:lineRule="exact"/>
        <w:ind w:firstLine="420" w:firstLineChars="200"/>
        <w:rPr>
          <w:rFonts w:ascii="新宋体" w:eastAsia="新宋体"/>
          <w:color w:val="0F0F0F"/>
        </w:rPr>
      </w:pPr>
      <w:r>
        <w:rPr>
          <w:rFonts w:hint="eastAsia" w:ascii="新宋体" w:eastAsia="新宋体"/>
          <w:color w:val="0F0F0F"/>
        </w:rPr>
        <w:t>9.4.2 承包人应按合同约定的环保工作内容，编制施工环保措施计划，报送监理人审批。</w:t>
      </w:r>
    </w:p>
    <w:p w14:paraId="0D608EC0">
      <w:pPr>
        <w:spacing w:line="400" w:lineRule="exact"/>
        <w:ind w:firstLine="420" w:firstLineChars="200"/>
        <w:rPr>
          <w:rFonts w:ascii="新宋体" w:eastAsia="新宋体"/>
          <w:color w:val="0F0F0F"/>
        </w:rPr>
      </w:pPr>
      <w:r>
        <w:rPr>
          <w:rFonts w:hint="eastAsia" w:ascii="新宋体" w:eastAsia="新宋体"/>
          <w:color w:val="0F0F0F"/>
        </w:rPr>
        <w:t>9.4.3 承包人应按照批准的施工环保措施计划有序地堆放和处理施工废弃物，避免对环境造成破坏。因承包人任意堆放或弃置施工废弃物造成妨碍公共交通、影响城镇居民生活、降低河流行洪能力、危及居民安全、破坏周边环境，或者影响其他承包人施工等后果的，承包人应承担责任。</w:t>
      </w:r>
    </w:p>
    <w:p w14:paraId="799BDEC3">
      <w:pPr>
        <w:spacing w:line="400" w:lineRule="exact"/>
        <w:ind w:firstLine="420" w:firstLineChars="200"/>
        <w:rPr>
          <w:rFonts w:ascii="新宋体" w:eastAsia="新宋体"/>
          <w:color w:val="0F0F0F"/>
        </w:rPr>
      </w:pPr>
      <w:r>
        <w:rPr>
          <w:rFonts w:hint="eastAsia" w:ascii="新宋体" w:eastAsia="新宋体"/>
          <w:color w:val="0F0F0F"/>
        </w:rPr>
        <w:t>9.4.4 承包人应按合同约定采取有效措施，对施工开挖的边坡及时进行支护,维护排水设施，并进行水土保护，避免因施工造成的地质灾害。</w:t>
      </w:r>
    </w:p>
    <w:p w14:paraId="668BCC1B">
      <w:pPr>
        <w:spacing w:line="400" w:lineRule="exact"/>
        <w:ind w:firstLine="420" w:firstLineChars="200"/>
        <w:rPr>
          <w:rFonts w:ascii="新宋体" w:eastAsia="新宋体"/>
          <w:color w:val="0F0F0F"/>
        </w:rPr>
      </w:pPr>
      <w:r>
        <w:rPr>
          <w:rFonts w:hint="eastAsia" w:ascii="新宋体" w:eastAsia="新宋体"/>
          <w:color w:val="0F0F0F"/>
        </w:rPr>
        <w:t>9.4.5 承包人应按国家饮用水管理标准定期对饮用水源进行监测，防止施工活动污染饮用水源。</w:t>
      </w:r>
    </w:p>
    <w:p w14:paraId="5266AA57">
      <w:pPr>
        <w:spacing w:line="400" w:lineRule="exact"/>
        <w:ind w:firstLine="420" w:firstLineChars="200"/>
        <w:rPr>
          <w:rFonts w:ascii="新宋体" w:eastAsia="新宋体"/>
          <w:color w:val="0F0F0F"/>
        </w:rPr>
      </w:pPr>
      <w:r>
        <w:rPr>
          <w:rFonts w:hint="eastAsia" w:ascii="新宋体" w:eastAsia="新宋体"/>
          <w:color w:val="0F0F0F"/>
        </w:rPr>
        <w:t>9.4.6 承包人应按合同约定，加强对噪声、粉尘、废气、废水和废油的控制，努力降低噪声，控制粉尘和废气浓度，做好废水和废油的治理和排放。</w:t>
      </w:r>
      <w:bookmarkStart w:id="415" w:name="_Toc152045678"/>
      <w:bookmarkStart w:id="416" w:name="_Toc179632696"/>
      <w:bookmarkStart w:id="417" w:name="_Toc144974646"/>
      <w:bookmarkStart w:id="418" w:name="_Toc152042456"/>
    </w:p>
    <w:p w14:paraId="4A67621C">
      <w:pPr>
        <w:spacing w:line="400" w:lineRule="exact"/>
        <w:rPr>
          <w:rFonts w:ascii="新宋体" w:eastAsia="新宋体"/>
          <w:color w:val="0F0F0F"/>
          <w:sz w:val="24"/>
        </w:rPr>
      </w:pPr>
      <w:r>
        <w:rPr>
          <w:rFonts w:hint="eastAsia" w:ascii="新宋体" w:eastAsia="新宋体"/>
          <w:color w:val="0F0F0F"/>
          <w:sz w:val="24"/>
        </w:rPr>
        <w:t>9.5 事故处理</w:t>
      </w:r>
      <w:bookmarkEnd w:id="415"/>
      <w:bookmarkEnd w:id="416"/>
      <w:bookmarkEnd w:id="417"/>
      <w:bookmarkEnd w:id="418"/>
    </w:p>
    <w:p w14:paraId="5C8EFC21">
      <w:pPr>
        <w:spacing w:line="400" w:lineRule="exact"/>
        <w:ind w:firstLine="420" w:firstLineChars="200"/>
        <w:rPr>
          <w:rFonts w:ascii="新宋体" w:eastAsia="新宋体"/>
          <w:color w:val="0F0F0F"/>
        </w:rPr>
      </w:pPr>
      <w:r>
        <w:rPr>
          <w:rFonts w:hint="eastAsia" w:ascii="新宋体" w:eastAsia="新宋体"/>
          <w:color w:val="0F0F0F"/>
        </w:rPr>
        <w:t>工程施工过程中发生事故的，承包人应立即通知监理人，监理人应立即通知发包人。发包人和承包人应立即组织人员和设备进行紧急抢救和抢修，减少人员伤亡和财产损失，防止事故扩大，并保护事故现场。需要移动现场物品时，应作出标记和书面记录，妥善保管有关证据。发包人和承包人应按国家有关规定，及时如实地向有关部门报告事故发生的情况，以及正在采取的紧急措施等。</w:t>
      </w:r>
      <w:bookmarkStart w:id="419" w:name="_Toc144974647"/>
      <w:bookmarkStart w:id="420" w:name="_Toc152042457"/>
      <w:bookmarkStart w:id="421" w:name="_Toc179632697"/>
      <w:bookmarkStart w:id="422" w:name="_Toc152045679"/>
    </w:p>
    <w:p w14:paraId="5B500F82">
      <w:pPr>
        <w:spacing w:line="400" w:lineRule="exact"/>
        <w:rPr>
          <w:rFonts w:ascii="新宋体" w:eastAsia="新宋体"/>
          <w:color w:val="0F0F0F"/>
          <w:sz w:val="28"/>
          <w:szCs w:val="28"/>
        </w:rPr>
      </w:pPr>
      <w:r>
        <w:rPr>
          <w:rFonts w:hint="eastAsia" w:ascii="新宋体" w:eastAsia="新宋体"/>
          <w:color w:val="0F0F0F"/>
          <w:sz w:val="28"/>
          <w:szCs w:val="28"/>
        </w:rPr>
        <w:t>10. 进度计划</w:t>
      </w:r>
      <w:bookmarkEnd w:id="419"/>
      <w:bookmarkEnd w:id="420"/>
      <w:bookmarkEnd w:id="421"/>
      <w:bookmarkEnd w:id="422"/>
      <w:bookmarkStart w:id="423" w:name="_Toc152045680"/>
      <w:bookmarkStart w:id="424" w:name="_Toc144974648"/>
      <w:bookmarkStart w:id="425" w:name="_Toc152042458"/>
      <w:bookmarkStart w:id="426" w:name="_Toc179632698"/>
    </w:p>
    <w:p w14:paraId="25799633">
      <w:pPr>
        <w:spacing w:line="400" w:lineRule="exact"/>
        <w:rPr>
          <w:rFonts w:ascii="新宋体" w:eastAsia="新宋体"/>
          <w:color w:val="0F0F0F"/>
          <w:sz w:val="24"/>
        </w:rPr>
      </w:pPr>
      <w:r>
        <w:rPr>
          <w:rFonts w:hint="eastAsia" w:ascii="新宋体" w:eastAsia="新宋体"/>
          <w:color w:val="0F0F0F"/>
          <w:sz w:val="24"/>
        </w:rPr>
        <w:t>10.1 合同进度计划</w:t>
      </w:r>
      <w:bookmarkEnd w:id="423"/>
      <w:bookmarkEnd w:id="424"/>
      <w:bookmarkEnd w:id="425"/>
      <w:bookmarkEnd w:id="426"/>
    </w:p>
    <w:p w14:paraId="03840B3C">
      <w:pPr>
        <w:spacing w:line="400" w:lineRule="exact"/>
        <w:ind w:firstLine="420" w:firstLineChars="200"/>
        <w:rPr>
          <w:rFonts w:ascii="新宋体" w:eastAsia="新宋体"/>
          <w:color w:val="0F0F0F"/>
        </w:rPr>
      </w:pPr>
      <w:r>
        <w:rPr>
          <w:rFonts w:hint="eastAsia" w:ascii="新宋体" w:eastAsia="新宋体"/>
          <w:color w:val="0F0F0F"/>
        </w:rPr>
        <w:t>承包人编制施工方案的内容：满足施工要求</w:t>
      </w:r>
    </w:p>
    <w:p w14:paraId="1E43E75A">
      <w:pPr>
        <w:spacing w:line="400" w:lineRule="exact"/>
        <w:ind w:firstLine="420" w:firstLineChars="200"/>
        <w:rPr>
          <w:rFonts w:ascii="新宋体" w:eastAsia="新宋体"/>
          <w:color w:val="0F0F0F"/>
        </w:rPr>
      </w:pPr>
      <w:r>
        <w:rPr>
          <w:rFonts w:hint="eastAsia" w:ascii="新宋体" w:eastAsia="新宋体"/>
          <w:color w:val="0F0F0F"/>
        </w:rPr>
        <w:t>承包人应按专用合同条款约定的内容和期限，编制详细的施工进度计划和施工方案说明报送监理人。监理人应在专用合同条款约定的期限内批复或提出修改意见，否则该进度计划视为已得到批准。经监理人批准的施工进度计划称合同进度计划，是控制合同工程进度的依据。承包人还应根据合同进度计划，编制更为详细的分阶段或分项进度计划，报监理人审批。</w:t>
      </w:r>
      <w:bookmarkStart w:id="427" w:name="_Toc144974649"/>
      <w:bookmarkStart w:id="428" w:name="_Toc152042459"/>
      <w:bookmarkStart w:id="429" w:name="_Toc152045681"/>
      <w:bookmarkStart w:id="430" w:name="_Toc179632699"/>
    </w:p>
    <w:p w14:paraId="3DB3C24D">
      <w:pPr>
        <w:spacing w:line="400" w:lineRule="exact"/>
        <w:rPr>
          <w:rFonts w:ascii="新宋体" w:eastAsia="新宋体"/>
          <w:color w:val="0F0F0F"/>
          <w:sz w:val="24"/>
        </w:rPr>
      </w:pPr>
      <w:r>
        <w:rPr>
          <w:rFonts w:hint="eastAsia" w:ascii="新宋体" w:eastAsia="新宋体"/>
          <w:color w:val="0F0F0F"/>
          <w:sz w:val="24"/>
        </w:rPr>
        <w:t>10.2 合同进度计划的修订</w:t>
      </w:r>
      <w:bookmarkEnd w:id="427"/>
      <w:bookmarkEnd w:id="428"/>
      <w:bookmarkEnd w:id="429"/>
      <w:bookmarkEnd w:id="430"/>
    </w:p>
    <w:p w14:paraId="4F4533A2">
      <w:pPr>
        <w:spacing w:line="400" w:lineRule="exact"/>
        <w:ind w:firstLine="420" w:firstLineChars="200"/>
        <w:rPr>
          <w:rFonts w:ascii="新宋体" w:eastAsia="新宋体"/>
          <w:color w:val="0F0F0F"/>
        </w:rPr>
      </w:pPr>
      <w:r>
        <w:rPr>
          <w:rFonts w:hint="eastAsia" w:ascii="新宋体" w:eastAsia="新宋体"/>
          <w:color w:val="0F0F0F"/>
        </w:rPr>
        <w:t>不论何种原因造成工程的实际进度与第10.1款的合同进度计划不符时，承包人可以在专用合同条款约定的期限内向监理人提交修订合同进度计划的申请报告，并附有关措施和相关资料，报监理人审批；监理人也可以直接向承包人作出修订合同进度计划的指示，承包人应按该指示修订合同进度计划，报监理人审批。监理人应在专用合同条款约定的期限内批复。监理人在批复前应获得发包人同意。</w:t>
      </w:r>
      <w:bookmarkStart w:id="431" w:name="_Toc152042460"/>
      <w:bookmarkStart w:id="432" w:name="_Toc179632700"/>
      <w:bookmarkStart w:id="433" w:name="_Toc152045682"/>
      <w:bookmarkStart w:id="434" w:name="_Toc144974650"/>
    </w:p>
    <w:p w14:paraId="30BA8ADB">
      <w:pPr>
        <w:spacing w:line="400" w:lineRule="exact"/>
        <w:rPr>
          <w:rFonts w:ascii="新宋体" w:eastAsia="新宋体"/>
          <w:color w:val="0F0F0F"/>
          <w:sz w:val="28"/>
          <w:szCs w:val="28"/>
        </w:rPr>
      </w:pPr>
      <w:r>
        <w:rPr>
          <w:rFonts w:hint="eastAsia" w:ascii="新宋体" w:eastAsia="新宋体"/>
          <w:color w:val="0F0F0F"/>
          <w:sz w:val="28"/>
          <w:szCs w:val="28"/>
        </w:rPr>
        <w:t>11. 开工和竣工</w:t>
      </w:r>
      <w:bookmarkEnd w:id="431"/>
      <w:bookmarkEnd w:id="432"/>
      <w:bookmarkEnd w:id="433"/>
      <w:bookmarkEnd w:id="434"/>
      <w:bookmarkStart w:id="435" w:name="_Toc152042461"/>
      <w:bookmarkStart w:id="436" w:name="_Toc144974651"/>
      <w:bookmarkStart w:id="437" w:name="_Toc179632701"/>
      <w:bookmarkStart w:id="438" w:name="_Toc152045683"/>
    </w:p>
    <w:p w14:paraId="7432AE1B">
      <w:pPr>
        <w:spacing w:line="400" w:lineRule="exact"/>
        <w:rPr>
          <w:rFonts w:ascii="新宋体" w:eastAsia="新宋体"/>
          <w:color w:val="0F0F0F"/>
          <w:sz w:val="24"/>
        </w:rPr>
      </w:pPr>
      <w:r>
        <w:rPr>
          <w:rFonts w:hint="eastAsia" w:ascii="新宋体" w:eastAsia="新宋体"/>
          <w:color w:val="0F0F0F"/>
          <w:sz w:val="24"/>
        </w:rPr>
        <w:t>11.1 开工</w:t>
      </w:r>
      <w:bookmarkEnd w:id="435"/>
      <w:bookmarkEnd w:id="436"/>
      <w:bookmarkEnd w:id="437"/>
      <w:bookmarkEnd w:id="438"/>
    </w:p>
    <w:p w14:paraId="1E9E3819">
      <w:pPr>
        <w:spacing w:line="400" w:lineRule="exact"/>
        <w:ind w:firstLine="420" w:firstLineChars="200"/>
        <w:rPr>
          <w:rFonts w:ascii="新宋体" w:eastAsia="新宋体"/>
          <w:color w:val="0F0F0F"/>
        </w:rPr>
      </w:pPr>
      <w:r>
        <w:rPr>
          <w:rFonts w:hint="eastAsia" w:ascii="新宋体" w:eastAsia="新宋体"/>
          <w:color w:val="0F0F0F"/>
        </w:rPr>
        <w:t>11.1.1 监理人应在开工日期7天前向承包人发出开工通知。监理人在发出开工通知前应获得发包人同意。工期自监理人发出的开工通知中载明的开工日期起计算。承包人应在开工日期后尽快施工。</w:t>
      </w:r>
    </w:p>
    <w:p w14:paraId="78A59D8C">
      <w:pPr>
        <w:spacing w:line="400" w:lineRule="exact"/>
        <w:ind w:firstLine="420" w:firstLineChars="200"/>
        <w:rPr>
          <w:rFonts w:ascii="新宋体" w:eastAsia="新宋体"/>
          <w:color w:val="0F0F0F"/>
        </w:rPr>
      </w:pPr>
      <w:r>
        <w:rPr>
          <w:rFonts w:hint="eastAsia" w:ascii="新宋体" w:eastAsia="新宋体"/>
          <w:color w:val="0F0F0F"/>
        </w:rPr>
        <w:t>11.1.2 承包人应按第10.1款约定的合同进度计划，向监理人提交工程开工报审表，经监理人审批后执行。开工报审表应详细说明按合同进度计划正常施工所需的施工道路、临时设施、材料设备、施工人员等施工组织措施的落实情况以及工程的进度安排。</w:t>
      </w:r>
      <w:bookmarkStart w:id="439" w:name="_Toc152045684"/>
      <w:bookmarkStart w:id="440" w:name="_Toc144974652"/>
      <w:bookmarkStart w:id="441" w:name="_Toc152042462"/>
      <w:bookmarkStart w:id="442" w:name="_Toc179632702"/>
    </w:p>
    <w:p w14:paraId="41ACD90F">
      <w:pPr>
        <w:spacing w:line="400" w:lineRule="exact"/>
        <w:rPr>
          <w:rFonts w:ascii="新宋体" w:eastAsia="新宋体"/>
          <w:color w:val="0F0F0F"/>
          <w:sz w:val="24"/>
        </w:rPr>
      </w:pPr>
      <w:r>
        <w:rPr>
          <w:rFonts w:hint="eastAsia" w:ascii="新宋体" w:eastAsia="新宋体"/>
          <w:color w:val="0F0F0F"/>
          <w:sz w:val="24"/>
        </w:rPr>
        <w:t>11.2 竣工</w:t>
      </w:r>
      <w:bookmarkEnd w:id="439"/>
      <w:bookmarkEnd w:id="440"/>
      <w:bookmarkEnd w:id="441"/>
      <w:bookmarkEnd w:id="442"/>
    </w:p>
    <w:p w14:paraId="736D453E">
      <w:pPr>
        <w:spacing w:line="400" w:lineRule="exact"/>
        <w:ind w:firstLine="420" w:firstLineChars="200"/>
        <w:rPr>
          <w:rFonts w:ascii="新宋体" w:eastAsia="新宋体"/>
          <w:color w:val="0F0F0F"/>
        </w:rPr>
      </w:pPr>
      <w:r>
        <w:rPr>
          <w:rFonts w:hint="eastAsia" w:ascii="新宋体" w:eastAsia="新宋体"/>
          <w:color w:val="0F0F0F"/>
        </w:rPr>
        <w:t>承包人应在第1.1.4.3目约定的期限内完成合同工程。实际竣工日期在接收证书中写明。</w:t>
      </w:r>
      <w:bookmarkStart w:id="443" w:name="_Toc152042463"/>
      <w:bookmarkStart w:id="444" w:name="_Toc179632703"/>
      <w:bookmarkStart w:id="445" w:name="_Toc152045685"/>
      <w:bookmarkStart w:id="446" w:name="_Toc144974653"/>
    </w:p>
    <w:p w14:paraId="4B1F0615">
      <w:pPr>
        <w:spacing w:line="400" w:lineRule="exact"/>
        <w:rPr>
          <w:rFonts w:ascii="新宋体" w:eastAsia="新宋体"/>
          <w:color w:val="0F0F0F"/>
          <w:sz w:val="24"/>
        </w:rPr>
      </w:pPr>
      <w:r>
        <w:rPr>
          <w:rFonts w:hint="eastAsia" w:ascii="新宋体" w:eastAsia="新宋体"/>
          <w:color w:val="0F0F0F"/>
          <w:sz w:val="24"/>
        </w:rPr>
        <w:t>11.3 发包人的工期延误</w:t>
      </w:r>
      <w:bookmarkEnd w:id="443"/>
      <w:bookmarkEnd w:id="444"/>
      <w:bookmarkEnd w:id="445"/>
      <w:bookmarkEnd w:id="446"/>
    </w:p>
    <w:p w14:paraId="373D9A51">
      <w:pPr>
        <w:spacing w:line="400" w:lineRule="exact"/>
        <w:ind w:firstLine="420" w:firstLineChars="200"/>
        <w:rPr>
          <w:rFonts w:ascii="新宋体" w:eastAsia="新宋体"/>
          <w:color w:val="0F0F0F"/>
        </w:rPr>
      </w:pPr>
      <w:r>
        <w:rPr>
          <w:rFonts w:hint="eastAsia" w:ascii="新宋体" w:eastAsia="新宋体"/>
          <w:color w:val="0F0F0F"/>
        </w:rPr>
        <w:t>在履行合同过程中，由于发包人的下列原因造成工期延误的，承包人有权要求发包人延长工期和（或）增加费用，并支付合理利润。需要修订合同进度计划的，按照第10.2款的约定办理。</w:t>
      </w:r>
    </w:p>
    <w:p w14:paraId="23541028">
      <w:pPr>
        <w:spacing w:line="400" w:lineRule="exact"/>
        <w:ind w:firstLine="359" w:firstLineChars="171"/>
        <w:rPr>
          <w:rFonts w:ascii="新宋体" w:eastAsia="新宋体"/>
          <w:color w:val="0F0F0F"/>
        </w:rPr>
      </w:pPr>
      <w:r>
        <w:rPr>
          <w:rFonts w:hint="eastAsia" w:ascii="新宋体" w:eastAsia="新宋体"/>
          <w:color w:val="0F0F0F"/>
        </w:rPr>
        <w:t>（1）增加合同工作内容；</w:t>
      </w:r>
    </w:p>
    <w:p w14:paraId="213F6323">
      <w:pPr>
        <w:spacing w:line="400" w:lineRule="exact"/>
        <w:ind w:firstLine="359" w:firstLineChars="171"/>
        <w:rPr>
          <w:rFonts w:ascii="新宋体" w:eastAsia="新宋体"/>
          <w:color w:val="0F0F0F"/>
        </w:rPr>
      </w:pPr>
      <w:r>
        <w:rPr>
          <w:rFonts w:hint="eastAsia" w:ascii="新宋体" w:eastAsia="新宋体"/>
          <w:color w:val="0F0F0F"/>
        </w:rPr>
        <w:t>（2）改变合同中任何一项工作的质量要求或其他特性；</w:t>
      </w:r>
    </w:p>
    <w:p w14:paraId="4036F153">
      <w:pPr>
        <w:spacing w:line="400" w:lineRule="exact"/>
        <w:ind w:firstLine="359" w:firstLineChars="171"/>
        <w:rPr>
          <w:rFonts w:ascii="新宋体" w:eastAsia="新宋体"/>
          <w:color w:val="0F0F0F"/>
        </w:rPr>
      </w:pPr>
      <w:r>
        <w:rPr>
          <w:rFonts w:hint="eastAsia" w:ascii="新宋体" w:eastAsia="新宋体"/>
          <w:color w:val="0F0F0F"/>
        </w:rPr>
        <w:t>（3）发包人迟延提供材料、工程设备或变更交货地点的；</w:t>
      </w:r>
    </w:p>
    <w:p w14:paraId="113A3C42">
      <w:pPr>
        <w:spacing w:line="400" w:lineRule="exact"/>
        <w:ind w:firstLine="359" w:firstLineChars="171"/>
        <w:rPr>
          <w:rFonts w:ascii="新宋体" w:eastAsia="新宋体"/>
          <w:color w:val="0F0F0F"/>
        </w:rPr>
      </w:pPr>
      <w:r>
        <w:rPr>
          <w:rFonts w:hint="eastAsia" w:ascii="新宋体" w:eastAsia="新宋体"/>
          <w:color w:val="0F0F0F"/>
        </w:rPr>
        <w:t>（4）因发包人原因导致的暂停施工；</w:t>
      </w:r>
    </w:p>
    <w:p w14:paraId="3ABA227A">
      <w:pPr>
        <w:spacing w:line="400" w:lineRule="exact"/>
        <w:ind w:firstLine="359" w:firstLineChars="171"/>
        <w:rPr>
          <w:rFonts w:ascii="新宋体" w:eastAsia="新宋体"/>
          <w:color w:val="0F0F0F"/>
        </w:rPr>
      </w:pPr>
      <w:r>
        <w:rPr>
          <w:rFonts w:hint="eastAsia" w:ascii="新宋体" w:eastAsia="新宋体"/>
          <w:color w:val="0F0F0F"/>
        </w:rPr>
        <w:t>（5）提供图纸延误；</w:t>
      </w:r>
    </w:p>
    <w:p w14:paraId="3D9F5951">
      <w:pPr>
        <w:spacing w:line="400" w:lineRule="exact"/>
        <w:ind w:firstLine="359" w:firstLineChars="171"/>
        <w:rPr>
          <w:rFonts w:ascii="新宋体" w:eastAsia="新宋体"/>
          <w:color w:val="0F0F0F"/>
        </w:rPr>
      </w:pPr>
      <w:r>
        <w:rPr>
          <w:rFonts w:hint="eastAsia" w:ascii="新宋体" w:eastAsia="新宋体"/>
          <w:color w:val="0F0F0F"/>
        </w:rPr>
        <w:t>（6）未按合同约定及时支付预付款、进度款；</w:t>
      </w:r>
    </w:p>
    <w:p w14:paraId="468138C9">
      <w:pPr>
        <w:spacing w:line="400" w:lineRule="exact"/>
        <w:ind w:firstLine="359" w:firstLineChars="171"/>
        <w:rPr>
          <w:rFonts w:ascii="新宋体" w:eastAsia="新宋体"/>
          <w:color w:val="0F0F0F"/>
        </w:rPr>
      </w:pPr>
      <w:r>
        <w:rPr>
          <w:rFonts w:hint="eastAsia" w:ascii="新宋体" w:eastAsia="新宋体"/>
          <w:color w:val="0F0F0F"/>
        </w:rPr>
        <w:t>（7）发包人造成工期延误的其他原因。</w:t>
      </w:r>
      <w:bookmarkStart w:id="447" w:name="_Toc152045686"/>
      <w:bookmarkStart w:id="448" w:name="_Toc179632704"/>
      <w:bookmarkStart w:id="449" w:name="_Toc144974654"/>
      <w:bookmarkStart w:id="450" w:name="_Toc152042464"/>
    </w:p>
    <w:p w14:paraId="73C209A0">
      <w:pPr>
        <w:spacing w:line="400" w:lineRule="exact"/>
        <w:rPr>
          <w:rFonts w:ascii="新宋体" w:eastAsia="新宋体"/>
          <w:color w:val="0F0F0F"/>
          <w:sz w:val="24"/>
        </w:rPr>
      </w:pPr>
      <w:r>
        <w:rPr>
          <w:rFonts w:hint="eastAsia" w:ascii="新宋体" w:eastAsia="新宋体"/>
          <w:color w:val="0F0F0F"/>
          <w:sz w:val="24"/>
        </w:rPr>
        <w:t>11.4 异常恶劣的气候条件</w:t>
      </w:r>
      <w:bookmarkEnd w:id="447"/>
      <w:bookmarkEnd w:id="448"/>
      <w:bookmarkEnd w:id="449"/>
      <w:bookmarkEnd w:id="450"/>
    </w:p>
    <w:p w14:paraId="699A97C4">
      <w:pPr>
        <w:spacing w:line="400" w:lineRule="exact"/>
        <w:ind w:firstLine="359" w:firstLineChars="171"/>
        <w:rPr>
          <w:rFonts w:ascii="新宋体" w:eastAsia="新宋体"/>
          <w:color w:val="0F0F0F"/>
        </w:rPr>
      </w:pPr>
      <w:r>
        <w:rPr>
          <w:rFonts w:hint="eastAsia" w:ascii="新宋体" w:eastAsia="新宋体"/>
          <w:color w:val="0F0F0F"/>
        </w:rPr>
        <w:t>由于出现专用合同条款规定的异常恶劣气候（如发生六级以上地震、龙卷风、工地1/3受洪水淹没、超过桥梁供水位以及降水不利等）的条件导致工期延误的，承包人有权要求发包人延长工期。</w:t>
      </w:r>
      <w:bookmarkStart w:id="451" w:name="_Toc152042465"/>
      <w:bookmarkStart w:id="452" w:name="_Toc152045687"/>
      <w:bookmarkStart w:id="453" w:name="_Toc179632705"/>
      <w:bookmarkStart w:id="454" w:name="_Toc144974655"/>
    </w:p>
    <w:p w14:paraId="0EC33943">
      <w:pPr>
        <w:spacing w:line="400" w:lineRule="exact"/>
        <w:rPr>
          <w:rFonts w:ascii="新宋体" w:eastAsia="新宋体"/>
          <w:color w:val="0F0F0F"/>
        </w:rPr>
      </w:pPr>
      <w:r>
        <w:rPr>
          <w:rFonts w:hint="eastAsia" w:ascii="新宋体" w:eastAsia="新宋体"/>
          <w:color w:val="0F0F0F"/>
          <w:sz w:val="24"/>
        </w:rPr>
        <w:t>11.5 承包人的工期延误</w:t>
      </w:r>
      <w:bookmarkEnd w:id="451"/>
      <w:bookmarkEnd w:id="452"/>
      <w:bookmarkEnd w:id="453"/>
      <w:bookmarkEnd w:id="454"/>
    </w:p>
    <w:p w14:paraId="0194F622">
      <w:pPr>
        <w:spacing w:line="400" w:lineRule="exact"/>
        <w:ind w:firstLine="420" w:firstLineChars="200"/>
        <w:rPr>
          <w:rFonts w:ascii="新宋体" w:eastAsia="新宋体"/>
          <w:color w:val="0F0F0F"/>
        </w:rPr>
      </w:pPr>
      <w:r>
        <w:rPr>
          <w:rFonts w:hint="eastAsia" w:ascii="新宋体" w:eastAsia="新宋体"/>
          <w:color w:val="0F0F0F"/>
        </w:rPr>
        <w:t>由于承包人原因，未能按合同进度计划完成工作，或监理人认为承包人施工进度不能满足合同工期要求的，承包人应采取措施加快进度，并承担加快进度所增加的费用。由于承包人原因造成工期延误，承包人应支付逾期竣工违约金。逾期竣工违约金的计算方法在专用合同条款中约定。承包人支付逾期竣工违约金，不免除承包人完成工程及修补缺陷的义务。</w:t>
      </w:r>
      <w:bookmarkStart w:id="455" w:name="_Toc144974656"/>
      <w:bookmarkStart w:id="456" w:name="_Toc152042466"/>
      <w:bookmarkStart w:id="457" w:name="_Toc179632706"/>
      <w:bookmarkStart w:id="458" w:name="_Toc152045688"/>
    </w:p>
    <w:p w14:paraId="7449308A">
      <w:pPr>
        <w:spacing w:line="400" w:lineRule="exact"/>
        <w:rPr>
          <w:rFonts w:ascii="新宋体" w:eastAsia="新宋体"/>
          <w:color w:val="0F0F0F"/>
          <w:sz w:val="24"/>
        </w:rPr>
      </w:pPr>
      <w:r>
        <w:rPr>
          <w:rFonts w:hint="eastAsia" w:ascii="新宋体" w:eastAsia="新宋体"/>
          <w:color w:val="0F0F0F"/>
          <w:sz w:val="24"/>
        </w:rPr>
        <w:t>11.6</w:t>
      </w:r>
      <w:bookmarkEnd w:id="455"/>
      <w:bookmarkStart w:id="459" w:name="_Toc144974657"/>
      <w:r>
        <w:rPr>
          <w:rFonts w:hint="eastAsia" w:ascii="新宋体" w:eastAsia="新宋体"/>
          <w:color w:val="0F0F0F"/>
          <w:sz w:val="24"/>
        </w:rPr>
        <w:t xml:space="preserve"> 工期提前</w:t>
      </w:r>
      <w:bookmarkEnd w:id="456"/>
      <w:bookmarkEnd w:id="457"/>
      <w:bookmarkEnd w:id="458"/>
      <w:bookmarkEnd w:id="459"/>
    </w:p>
    <w:p w14:paraId="288AE912">
      <w:pPr>
        <w:spacing w:line="400" w:lineRule="exact"/>
        <w:ind w:firstLine="420" w:firstLineChars="200"/>
        <w:rPr>
          <w:rFonts w:ascii="新宋体" w:eastAsia="新宋体"/>
          <w:color w:val="0F0F0F"/>
        </w:rPr>
      </w:pPr>
      <w:r>
        <w:rPr>
          <w:rFonts w:hint="eastAsia" w:ascii="新宋体" w:eastAsia="新宋体"/>
          <w:color w:val="0F0F0F"/>
        </w:rPr>
        <w:t xml:space="preserve">发包人要求承包人提前竣工，或承包人提出提前竣工的建议能够给发包人带来效益的，应由监理人与承包人共同协商采取加快工程进度的措施和修订合同进度计划。发包人应承担承包人由此增加的费用，并向承包人支付专用合同条款约定的相应奖金。 </w:t>
      </w:r>
      <w:bookmarkStart w:id="460" w:name="_Toc144974658"/>
      <w:bookmarkStart w:id="461" w:name="_Toc179632707"/>
      <w:bookmarkStart w:id="462" w:name="_Toc152042467"/>
      <w:bookmarkStart w:id="463" w:name="_Toc152045689"/>
    </w:p>
    <w:p w14:paraId="4B013456">
      <w:pPr>
        <w:spacing w:line="400" w:lineRule="exact"/>
        <w:rPr>
          <w:rFonts w:ascii="新宋体" w:eastAsia="新宋体"/>
          <w:color w:val="0F0F0F"/>
          <w:sz w:val="28"/>
          <w:szCs w:val="28"/>
        </w:rPr>
      </w:pPr>
      <w:r>
        <w:rPr>
          <w:rFonts w:hint="eastAsia" w:ascii="新宋体" w:eastAsia="新宋体"/>
          <w:color w:val="0F0F0F"/>
          <w:sz w:val="28"/>
          <w:szCs w:val="28"/>
        </w:rPr>
        <w:t>12. 暂停施工</w:t>
      </w:r>
      <w:bookmarkEnd w:id="460"/>
      <w:bookmarkEnd w:id="461"/>
      <w:bookmarkEnd w:id="462"/>
      <w:bookmarkEnd w:id="463"/>
      <w:bookmarkStart w:id="464" w:name="_Toc179632708"/>
      <w:bookmarkStart w:id="465" w:name="_Toc152045690"/>
      <w:bookmarkStart w:id="466" w:name="_Toc144974659"/>
      <w:bookmarkStart w:id="467" w:name="_Toc152042468"/>
    </w:p>
    <w:p w14:paraId="21B59DEA">
      <w:pPr>
        <w:spacing w:line="400" w:lineRule="exact"/>
        <w:rPr>
          <w:rFonts w:ascii="新宋体" w:eastAsia="新宋体"/>
          <w:color w:val="0F0F0F"/>
          <w:sz w:val="24"/>
        </w:rPr>
      </w:pPr>
      <w:r>
        <w:rPr>
          <w:rFonts w:hint="eastAsia" w:ascii="新宋体" w:eastAsia="新宋体"/>
          <w:color w:val="0F0F0F"/>
          <w:sz w:val="24"/>
        </w:rPr>
        <w:t>12.1 承包人暂停施工的责任</w:t>
      </w:r>
      <w:bookmarkEnd w:id="464"/>
      <w:bookmarkEnd w:id="465"/>
      <w:bookmarkEnd w:id="466"/>
      <w:bookmarkEnd w:id="467"/>
    </w:p>
    <w:p w14:paraId="42017693">
      <w:pPr>
        <w:spacing w:line="400" w:lineRule="exact"/>
        <w:ind w:firstLine="420" w:firstLineChars="200"/>
        <w:rPr>
          <w:rFonts w:ascii="新宋体" w:eastAsia="新宋体"/>
          <w:color w:val="0F0F0F"/>
        </w:rPr>
      </w:pPr>
      <w:r>
        <w:rPr>
          <w:rFonts w:hint="eastAsia" w:ascii="新宋体" w:eastAsia="新宋体"/>
          <w:color w:val="0F0F0F"/>
        </w:rPr>
        <w:t>因下列暂停施工增加的费用和（或）工期延误由承包人承担：</w:t>
      </w:r>
    </w:p>
    <w:p w14:paraId="3B653807">
      <w:pPr>
        <w:spacing w:line="400" w:lineRule="exact"/>
        <w:ind w:firstLine="359" w:firstLineChars="171"/>
        <w:rPr>
          <w:rFonts w:ascii="新宋体" w:eastAsia="新宋体"/>
          <w:color w:val="0F0F0F"/>
        </w:rPr>
      </w:pPr>
      <w:r>
        <w:rPr>
          <w:rFonts w:hint="eastAsia" w:ascii="新宋体" w:eastAsia="新宋体"/>
          <w:color w:val="0F0F0F"/>
        </w:rPr>
        <w:t>（1）承包人违约引起的暂停施工；</w:t>
      </w:r>
    </w:p>
    <w:p w14:paraId="53017517">
      <w:pPr>
        <w:spacing w:line="400" w:lineRule="exact"/>
        <w:ind w:firstLine="359" w:firstLineChars="171"/>
        <w:rPr>
          <w:rFonts w:ascii="新宋体" w:eastAsia="新宋体"/>
          <w:color w:val="0F0F0F"/>
        </w:rPr>
      </w:pPr>
      <w:r>
        <w:rPr>
          <w:rFonts w:hint="eastAsia" w:ascii="新宋体" w:eastAsia="新宋体"/>
          <w:color w:val="0F0F0F"/>
        </w:rPr>
        <w:t>（2）由于承包人原因为工程合理施工和安全保障所必需的暂停施工；</w:t>
      </w:r>
    </w:p>
    <w:p w14:paraId="6F948BFA">
      <w:pPr>
        <w:spacing w:line="400" w:lineRule="exact"/>
        <w:ind w:firstLine="359" w:firstLineChars="171"/>
        <w:rPr>
          <w:rFonts w:ascii="新宋体" w:eastAsia="新宋体"/>
          <w:color w:val="0F0F0F"/>
        </w:rPr>
      </w:pPr>
      <w:r>
        <w:rPr>
          <w:rFonts w:hint="eastAsia" w:ascii="新宋体" w:eastAsia="新宋体"/>
          <w:color w:val="0F0F0F"/>
        </w:rPr>
        <w:t>（3）承包人擅自暂停施工；</w:t>
      </w:r>
    </w:p>
    <w:p w14:paraId="40B89E02">
      <w:pPr>
        <w:spacing w:line="400" w:lineRule="exact"/>
        <w:ind w:firstLine="359" w:firstLineChars="171"/>
        <w:rPr>
          <w:rFonts w:ascii="新宋体" w:eastAsia="新宋体"/>
          <w:color w:val="0F0F0F"/>
        </w:rPr>
      </w:pPr>
      <w:r>
        <w:rPr>
          <w:rFonts w:hint="eastAsia" w:ascii="新宋体" w:eastAsia="新宋体"/>
          <w:color w:val="0F0F0F"/>
        </w:rPr>
        <w:t>（4）承包人其他原因引起的暂停施工；</w:t>
      </w:r>
    </w:p>
    <w:p w14:paraId="36B71063">
      <w:pPr>
        <w:spacing w:line="400" w:lineRule="exact"/>
        <w:ind w:firstLine="359" w:firstLineChars="171"/>
        <w:rPr>
          <w:rFonts w:ascii="新宋体" w:eastAsia="新宋体"/>
          <w:color w:val="0F0F0F"/>
        </w:rPr>
      </w:pPr>
      <w:r>
        <w:rPr>
          <w:rFonts w:hint="eastAsia" w:ascii="新宋体" w:eastAsia="新宋体"/>
          <w:color w:val="0F0F0F"/>
        </w:rPr>
        <w:t>（5）专用合同条款约定由承包人承担的其他暂停施工。</w:t>
      </w:r>
      <w:bookmarkStart w:id="468" w:name="_Toc152042469"/>
      <w:bookmarkStart w:id="469" w:name="_Toc179632709"/>
      <w:bookmarkStart w:id="470" w:name="_Toc144974660"/>
      <w:bookmarkStart w:id="471" w:name="_Toc152045691"/>
    </w:p>
    <w:p w14:paraId="48415B66">
      <w:pPr>
        <w:spacing w:line="400" w:lineRule="exact"/>
        <w:rPr>
          <w:rFonts w:ascii="新宋体" w:eastAsia="新宋体"/>
          <w:color w:val="0F0F0F"/>
          <w:sz w:val="24"/>
        </w:rPr>
      </w:pPr>
      <w:r>
        <w:rPr>
          <w:rFonts w:hint="eastAsia" w:ascii="新宋体" w:eastAsia="新宋体"/>
          <w:color w:val="0F0F0F"/>
          <w:sz w:val="24"/>
        </w:rPr>
        <w:t>12.2 发包人暂停施工的责任</w:t>
      </w:r>
      <w:bookmarkEnd w:id="468"/>
      <w:bookmarkEnd w:id="469"/>
      <w:bookmarkEnd w:id="470"/>
      <w:bookmarkEnd w:id="471"/>
    </w:p>
    <w:p w14:paraId="63D0E04F">
      <w:pPr>
        <w:spacing w:line="400" w:lineRule="exact"/>
        <w:ind w:firstLine="420" w:firstLineChars="200"/>
        <w:rPr>
          <w:rFonts w:ascii="新宋体" w:eastAsia="新宋体"/>
          <w:color w:val="0F0F0F"/>
        </w:rPr>
      </w:pPr>
      <w:r>
        <w:rPr>
          <w:rFonts w:hint="eastAsia" w:ascii="新宋体" w:eastAsia="新宋体"/>
          <w:color w:val="0F0F0F"/>
        </w:rPr>
        <w:t>由于发包人原因引起的暂停施工造成工期延误的，承包人有权要求发包人延长工期和（或）增加费用，并支付合理利润。</w:t>
      </w:r>
      <w:bookmarkStart w:id="472" w:name="_Toc179632710"/>
      <w:bookmarkStart w:id="473" w:name="_Toc152042470"/>
      <w:bookmarkStart w:id="474" w:name="_Toc144974661"/>
      <w:bookmarkStart w:id="475" w:name="_Toc152045692"/>
    </w:p>
    <w:p w14:paraId="05A57B38">
      <w:pPr>
        <w:spacing w:line="400" w:lineRule="exact"/>
        <w:rPr>
          <w:rFonts w:ascii="新宋体" w:eastAsia="新宋体"/>
          <w:color w:val="0F0F0F"/>
          <w:sz w:val="24"/>
        </w:rPr>
      </w:pPr>
      <w:r>
        <w:rPr>
          <w:rFonts w:hint="eastAsia" w:ascii="新宋体" w:eastAsia="新宋体"/>
          <w:color w:val="0F0F0F"/>
          <w:sz w:val="24"/>
        </w:rPr>
        <w:t>12.3 监理人暂停施工指示</w:t>
      </w:r>
      <w:bookmarkEnd w:id="472"/>
      <w:bookmarkEnd w:id="473"/>
      <w:bookmarkEnd w:id="474"/>
      <w:bookmarkEnd w:id="475"/>
    </w:p>
    <w:p w14:paraId="4C03A6C7">
      <w:pPr>
        <w:spacing w:line="400" w:lineRule="exact"/>
        <w:ind w:firstLine="420" w:firstLineChars="200"/>
        <w:rPr>
          <w:rFonts w:ascii="新宋体" w:eastAsia="新宋体"/>
          <w:color w:val="0F0F0F"/>
        </w:rPr>
      </w:pPr>
      <w:r>
        <w:rPr>
          <w:rFonts w:hint="eastAsia" w:ascii="新宋体" w:eastAsia="新宋体"/>
          <w:color w:val="0F0F0F"/>
        </w:rPr>
        <w:t>12.3.1 监理人认为有必要时，可向承包人作出暂停施工的指示，承包人应按监理人指示暂停施工。不论由于何种原因引起的暂停施工，暂停施工期间承包人应负责妥善保护工程并提供安全保障。</w:t>
      </w:r>
    </w:p>
    <w:p w14:paraId="717F8380">
      <w:pPr>
        <w:spacing w:line="400" w:lineRule="exact"/>
        <w:ind w:firstLine="420" w:firstLineChars="200"/>
        <w:rPr>
          <w:rFonts w:ascii="新宋体" w:eastAsia="新宋体"/>
          <w:color w:val="0F0F0F"/>
        </w:rPr>
      </w:pPr>
      <w:r>
        <w:rPr>
          <w:rFonts w:hint="eastAsia" w:ascii="新宋体" w:eastAsia="新宋体"/>
          <w:color w:val="0F0F0F"/>
        </w:rPr>
        <w:t>12.3.2 由于发包人的原因发生暂停施工的紧急情况，且监理人未及时下达暂停施工指示的，承包人可先暂停施工，并及时向监理人提出暂停施工的书面请求。监理人应在接到书面请求后的24小时内予以答复，逾期未答复的，视为同意承包人的暂停施工请求。</w:t>
      </w:r>
      <w:bookmarkStart w:id="476" w:name="_Toc144974662"/>
      <w:bookmarkStart w:id="477" w:name="_Toc152042471"/>
      <w:bookmarkStart w:id="478" w:name="_Toc179632711"/>
      <w:bookmarkStart w:id="479" w:name="_Toc152045693"/>
    </w:p>
    <w:p w14:paraId="5FD015E6">
      <w:pPr>
        <w:spacing w:line="400" w:lineRule="exact"/>
        <w:rPr>
          <w:rFonts w:ascii="新宋体" w:eastAsia="新宋体"/>
          <w:color w:val="0F0F0F"/>
          <w:sz w:val="24"/>
        </w:rPr>
      </w:pPr>
      <w:r>
        <w:rPr>
          <w:rFonts w:hint="eastAsia" w:ascii="新宋体" w:eastAsia="新宋体"/>
          <w:color w:val="0F0F0F"/>
          <w:sz w:val="24"/>
        </w:rPr>
        <w:t>12.4 暂停施工后的复工</w:t>
      </w:r>
      <w:bookmarkEnd w:id="476"/>
      <w:bookmarkEnd w:id="477"/>
      <w:bookmarkEnd w:id="478"/>
      <w:bookmarkEnd w:id="479"/>
    </w:p>
    <w:p w14:paraId="071CB6B1">
      <w:pPr>
        <w:spacing w:line="400" w:lineRule="exact"/>
        <w:ind w:firstLine="420" w:firstLineChars="200"/>
        <w:rPr>
          <w:rFonts w:ascii="新宋体" w:eastAsia="新宋体"/>
          <w:color w:val="0F0F0F"/>
        </w:rPr>
      </w:pPr>
      <w:r>
        <w:rPr>
          <w:rFonts w:hint="eastAsia" w:ascii="新宋体" w:eastAsia="新宋体"/>
          <w:color w:val="0F0F0F"/>
        </w:rPr>
        <w:t>12.4.1 暂停施工后，监理人应与发包人和承包人协商，采取有效措施积极消除暂停施工的影响。当工程具备复工条件时，监理人应立即向承包人发出复工通知。承包人收到复工通知后，应在监理人指定的期限内复工。</w:t>
      </w:r>
    </w:p>
    <w:p w14:paraId="186D5555">
      <w:pPr>
        <w:spacing w:line="400" w:lineRule="exact"/>
        <w:ind w:firstLine="420" w:firstLineChars="200"/>
        <w:rPr>
          <w:rFonts w:ascii="新宋体" w:eastAsia="新宋体"/>
          <w:color w:val="0F0F0F"/>
        </w:rPr>
      </w:pPr>
      <w:r>
        <w:rPr>
          <w:rFonts w:hint="eastAsia" w:ascii="新宋体" w:eastAsia="新宋体"/>
          <w:color w:val="0F0F0F"/>
        </w:rPr>
        <w:t>12.4.2 承包人无故拖延和拒绝复工的，由此增加的费用和工期延误由承包人承担；因发包人原因无法按时复工的，承包人有权要求发包人延长工期和（或）增加费用，并支付合理利润。</w:t>
      </w:r>
      <w:bookmarkStart w:id="480" w:name="_Toc152042472"/>
      <w:bookmarkStart w:id="481" w:name="_Toc152045694"/>
      <w:bookmarkStart w:id="482" w:name="_Toc179632712"/>
      <w:bookmarkStart w:id="483" w:name="_Toc144974663"/>
    </w:p>
    <w:p w14:paraId="012711F5">
      <w:pPr>
        <w:spacing w:line="400" w:lineRule="exact"/>
        <w:rPr>
          <w:rFonts w:ascii="新宋体" w:eastAsia="新宋体"/>
          <w:color w:val="0F0F0F"/>
          <w:sz w:val="24"/>
        </w:rPr>
      </w:pPr>
      <w:r>
        <w:rPr>
          <w:rFonts w:hint="eastAsia" w:ascii="新宋体" w:eastAsia="新宋体"/>
          <w:color w:val="0F0F0F"/>
          <w:sz w:val="24"/>
        </w:rPr>
        <w:t>12.5 暂停施工持续56天以上</w:t>
      </w:r>
      <w:bookmarkEnd w:id="480"/>
      <w:bookmarkEnd w:id="481"/>
      <w:bookmarkEnd w:id="482"/>
      <w:bookmarkEnd w:id="483"/>
    </w:p>
    <w:p w14:paraId="500C2246">
      <w:pPr>
        <w:spacing w:line="400" w:lineRule="exact"/>
        <w:ind w:firstLine="411" w:firstLineChars="196"/>
        <w:rPr>
          <w:rFonts w:ascii="新宋体" w:eastAsia="新宋体"/>
          <w:color w:val="0F0F0F"/>
        </w:rPr>
      </w:pPr>
      <w:r>
        <w:rPr>
          <w:rFonts w:hint="eastAsia" w:ascii="新宋体" w:eastAsia="新宋体"/>
          <w:color w:val="0F0F0F"/>
        </w:rPr>
        <w:t xml:space="preserve">12.5.1 </w:t>
      </w:r>
      <w:r>
        <w:rPr>
          <w:rFonts w:ascii="新宋体" w:eastAsia="新宋体"/>
          <w:color w:val="0F0F0F"/>
        </w:rPr>
        <w:t>监理人</w:t>
      </w:r>
      <w:r>
        <w:rPr>
          <w:rFonts w:hint="eastAsia" w:ascii="新宋体" w:eastAsia="新宋体"/>
          <w:color w:val="0F0F0F"/>
        </w:rPr>
        <w:t>发出</w:t>
      </w:r>
      <w:r>
        <w:rPr>
          <w:rFonts w:ascii="新宋体" w:eastAsia="新宋体"/>
          <w:color w:val="0F0F0F"/>
        </w:rPr>
        <w:t>暂停施工指示</w:t>
      </w:r>
      <w:r>
        <w:rPr>
          <w:rFonts w:hint="eastAsia" w:ascii="新宋体" w:eastAsia="新宋体"/>
          <w:color w:val="0F0F0F"/>
        </w:rPr>
        <w:t>后56天内未向</w:t>
      </w:r>
      <w:r>
        <w:rPr>
          <w:rFonts w:ascii="新宋体" w:eastAsia="新宋体"/>
          <w:color w:val="0F0F0F"/>
        </w:rPr>
        <w:t>承包人</w:t>
      </w:r>
      <w:r>
        <w:rPr>
          <w:rFonts w:hint="eastAsia" w:ascii="新宋体" w:eastAsia="新宋体"/>
          <w:color w:val="0F0F0F"/>
        </w:rPr>
        <w:t>发出复工通知，除了该项停工属于第12.1款的情况外，</w:t>
      </w:r>
      <w:r>
        <w:rPr>
          <w:rFonts w:ascii="新宋体" w:eastAsia="新宋体"/>
          <w:color w:val="0F0F0F"/>
        </w:rPr>
        <w:t>承包人</w:t>
      </w:r>
      <w:r>
        <w:rPr>
          <w:rFonts w:hint="eastAsia" w:ascii="新宋体" w:eastAsia="新宋体"/>
          <w:color w:val="0F0F0F"/>
        </w:rPr>
        <w:t>可向</w:t>
      </w:r>
      <w:r>
        <w:rPr>
          <w:rFonts w:ascii="新宋体" w:eastAsia="新宋体"/>
          <w:color w:val="0F0F0F"/>
        </w:rPr>
        <w:t>监理人</w:t>
      </w:r>
      <w:r>
        <w:rPr>
          <w:rFonts w:hint="eastAsia" w:ascii="新宋体" w:eastAsia="新宋体"/>
          <w:color w:val="0F0F0F"/>
        </w:rPr>
        <w:t>提交书面通知，要求</w:t>
      </w:r>
      <w:r>
        <w:rPr>
          <w:rFonts w:ascii="新宋体" w:eastAsia="新宋体"/>
          <w:color w:val="0F0F0F"/>
        </w:rPr>
        <w:t>监理人</w:t>
      </w:r>
      <w:r>
        <w:rPr>
          <w:rFonts w:hint="eastAsia" w:ascii="新宋体" w:eastAsia="新宋体"/>
          <w:color w:val="0F0F0F"/>
        </w:rPr>
        <w:t>在收到书面通知后28天内准许已</w:t>
      </w:r>
      <w:r>
        <w:rPr>
          <w:rFonts w:ascii="新宋体" w:eastAsia="新宋体"/>
          <w:color w:val="0F0F0F"/>
        </w:rPr>
        <w:t>暂停施工</w:t>
      </w:r>
      <w:r>
        <w:rPr>
          <w:rFonts w:hint="eastAsia" w:ascii="新宋体" w:eastAsia="新宋体"/>
          <w:color w:val="0F0F0F"/>
        </w:rPr>
        <w:t>的工程或其中一部分工程继续施工。如</w:t>
      </w:r>
      <w:r>
        <w:rPr>
          <w:rFonts w:ascii="新宋体" w:eastAsia="新宋体"/>
          <w:color w:val="0F0F0F"/>
        </w:rPr>
        <w:t>监理人</w:t>
      </w:r>
      <w:r>
        <w:rPr>
          <w:rFonts w:hint="eastAsia" w:ascii="新宋体" w:eastAsia="新宋体"/>
          <w:color w:val="0F0F0F"/>
        </w:rPr>
        <w:t>逾期不予批准，则承包人可以通知</w:t>
      </w:r>
      <w:r>
        <w:rPr>
          <w:rFonts w:ascii="新宋体" w:eastAsia="新宋体"/>
          <w:color w:val="0F0F0F"/>
        </w:rPr>
        <w:t>监理人</w:t>
      </w:r>
      <w:r>
        <w:rPr>
          <w:rFonts w:hint="eastAsia" w:ascii="新宋体" w:eastAsia="新宋体"/>
          <w:color w:val="0F0F0F"/>
        </w:rPr>
        <w:t>，将工程受影响的部分视为按第15.1（1）项的可取消工作。如</w:t>
      </w:r>
      <w:r>
        <w:rPr>
          <w:rFonts w:ascii="新宋体" w:eastAsia="新宋体"/>
          <w:color w:val="0F0F0F"/>
        </w:rPr>
        <w:t>暂停施工</w:t>
      </w:r>
      <w:r>
        <w:rPr>
          <w:rFonts w:hint="eastAsia" w:ascii="新宋体" w:eastAsia="新宋体"/>
          <w:color w:val="0F0F0F"/>
        </w:rPr>
        <w:t>影响到整个工程，可视为发包人违约，应按第22.2款的规定办理。</w:t>
      </w:r>
    </w:p>
    <w:p w14:paraId="46FD4B19">
      <w:pPr>
        <w:spacing w:line="400" w:lineRule="exact"/>
        <w:ind w:firstLine="420" w:firstLineChars="200"/>
        <w:rPr>
          <w:rFonts w:ascii="新宋体" w:eastAsia="新宋体"/>
          <w:color w:val="0F0F0F"/>
        </w:rPr>
      </w:pPr>
      <w:r>
        <w:rPr>
          <w:rFonts w:hint="eastAsia" w:ascii="新宋体" w:eastAsia="新宋体"/>
          <w:color w:val="0F0F0F"/>
        </w:rPr>
        <w:t>12.5.2 由于</w:t>
      </w:r>
      <w:r>
        <w:rPr>
          <w:rFonts w:ascii="新宋体" w:eastAsia="新宋体"/>
          <w:color w:val="0F0F0F"/>
        </w:rPr>
        <w:t>承包人</w:t>
      </w:r>
      <w:r>
        <w:rPr>
          <w:rFonts w:hint="eastAsia" w:ascii="新宋体" w:eastAsia="新宋体"/>
          <w:color w:val="0F0F0F"/>
        </w:rPr>
        <w:t>责任引起的</w:t>
      </w:r>
      <w:r>
        <w:rPr>
          <w:rFonts w:ascii="新宋体" w:eastAsia="新宋体"/>
          <w:color w:val="0F0F0F"/>
        </w:rPr>
        <w:t>暂停施工</w:t>
      </w:r>
      <w:r>
        <w:rPr>
          <w:rFonts w:hint="eastAsia" w:ascii="新宋体" w:eastAsia="新宋体"/>
          <w:color w:val="0F0F0F"/>
        </w:rPr>
        <w:t>，如</w:t>
      </w:r>
      <w:r>
        <w:rPr>
          <w:rFonts w:ascii="新宋体" w:eastAsia="新宋体"/>
          <w:color w:val="0F0F0F"/>
        </w:rPr>
        <w:t>承包人</w:t>
      </w:r>
      <w:r>
        <w:rPr>
          <w:rFonts w:hint="eastAsia" w:ascii="新宋体" w:eastAsia="新宋体"/>
          <w:color w:val="0F0F0F"/>
        </w:rPr>
        <w:t>在收到</w:t>
      </w:r>
      <w:r>
        <w:rPr>
          <w:rFonts w:ascii="新宋体" w:eastAsia="新宋体"/>
          <w:color w:val="0F0F0F"/>
        </w:rPr>
        <w:t>监理人暂停施工指示</w:t>
      </w:r>
      <w:r>
        <w:rPr>
          <w:rFonts w:hint="eastAsia" w:ascii="新宋体" w:eastAsia="新宋体"/>
          <w:color w:val="0F0F0F"/>
        </w:rPr>
        <w:t>后56天内不认真采取有效的复工措施，造成工期延误，可视为</w:t>
      </w:r>
      <w:r>
        <w:rPr>
          <w:rFonts w:ascii="新宋体" w:eastAsia="新宋体"/>
          <w:color w:val="0F0F0F"/>
        </w:rPr>
        <w:t>承包人</w:t>
      </w:r>
      <w:r>
        <w:rPr>
          <w:rFonts w:hint="eastAsia" w:ascii="新宋体" w:eastAsia="新宋体"/>
          <w:color w:val="0F0F0F"/>
        </w:rPr>
        <w:t>违约，应按第22.1款的规定办理。</w:t>
      </w:r>
      <w:bookmarkStart w:id="484" w:name="_Toc152045695"/>
      <w:bookmarkStart w:id="485" w:name="_Toc179632713"/>
      <w:bookmarkStart w:id="486" w:name="_Toc152042473"/>
      <w:bookmarkStart w:id="487" w:name="_Toc144974664"/>
    </w:p>
    <w:p w14:paraId="135EF0A4">
      <w:pPr>
        <w:spacing w:line="400" w:lineRule="exact"/>
        <w:rPr>
          <w:rFonts w:ascii="新宋体" w:eastAsia="新宋体"/>
          <w:color w:val="0F0F0F"/>
          <w:sz w:val="28"/>
          <w:szCs w:val="28"/>
        </w:rPr>
      </w:pPr>
      <w:r>
        <w:rPr>
          <w:rFonts w:hint="eastAsia" w:ascii="新宋体" w:eastAsia="新宋体"/>
          <w:color w:val="0F0F0F"/>
          <w:sz w:val="28"/>
          <w:szCs w:val="28"/>
        </w:rPr>
        <w:t>13. 工程质量</w:t>
      </w:r>
      <w:bookmarkEnd w:id="484"/>
      <w:bookmarkEnd w:id="485"/>
      <w:bookmarkEnd w:id="486"/>
      <w:bookmarkEnd w:id="487"/>
      <w:bookmarkStart w:id="488" w:name="_Toc179632714"/>
      <w:bookmarkStart w:id="489" w:name="_Toc152045696"/>
      <w:bookmarkStart w:id="490" w:name="_Toc144974665"/>
      <w:bookmarkStart w:id="491" w:name="_Toc152042474"/>
    </w:p>
    <w:p w14:paraId="24C32BCB">
      <w:pPr>
        <w:spacing w:line="400" w:lineRule="exact"/>
        <w:rPr>
          <w:rFonts w:ascii="新宋体" w:eastAsia="新宋体"/>
          <w:color w:val="0F0F0F"/>
          <w:sz w:val="24"/>
        </w:rPr>
      </w:pPr>
      <w:r>
        <w:rPr>
          <w:rFonts w:hint="eastAsia" w:ascii="新宋体" w:eastAsia="新宋体"/>
          <w:color w:val="0F0F0F"/>
          <w:sz w:val="24"/>
        </w:rPr>
        <w:t>13.1 工程质量要求</w:t>
      </w:r>
      <w:bookmarkEnd w:id="488"/>
      <w:bookmarkEnd w:id="489"/>
      <w:bookmarkEnd w:id="490"/>
      <w:bookmarkEnd w:id="491"/>
    </w:p>
    <w:p w14:paraId="550EDFC8">
      <w:pPr>
        <w:spacing w:line="400" w:lineRule="exact"/>
        <w:ind w:firstLine="420" w:firstLineChars="200"/>
        <w:rPr>
          <w:rFonts w:ascii="新宋体" w:eastAsia="新宋体"/>
          <w:color w:val="0F0F0F"/>
        </w:rPr>
      </w:pPr>
      <w:r>
        <w:rPr>
          <w:rFonts w:hint="eastAsia" w:ascii="新宋体" w:eastAsia="新宋体"/>
          <w:color w:val="0F0F0F"/>
        </w:rPr>
        <w:t>13.1.1 工程质量验收按合同约定验收标准执行。</w:t>
      </w:r>
    </w:p>
    <w:p w14:paraId="16098F72">
      <w:pPr>
        <w:spacing w:line="400" w:lineRule="exact"/>
        <w:ind w:firstLine="420" w:firstLineChars="200"/>
        <w:rPr>
          <w:rFonts w:ascii="新宋体" w:eastAsia="新宋体"/>
          <w:color w:val="0F0F0F"/>
        </w:rPr>
      </w:pPr>
      <w:r>
        <w:rPr>
          <w:rFonts w:hint="eastAsia" w:ascii="新宋体" w:eastAsia="新宋体"/>
          <w:color w:val="0F0F0F"/>
        </w:rPr>
        <w:t>13.1.2 因承包人原因造成工程质量达不到合同约定验收标准的，监理人有权要求承包人返工直至符合合同要求为止，由此造成的费用增加和（或）工期延误由承包人承担。</w:t>
      </w:r>
    </w:p>
    <w:p w14:paraId="753FB40A">
      <w:pPr>
        <w:spacing w:line="400" w:lineRule="exact"/>
        <w:ind w:firstLine="420" w:firstLineChars="200"/>
        <w:rPr>
          <w:rFonts w:ascii="新宋体" w:eastAsia="新宋体"/>
          <w:color w:val="0F0F0F"/>
        </w:rPr>
      </w:pPr>
      <w:r>
        <w:rPr>
          <w:rFonts w:hint="eastAsia" w:ascii="新宋体" w:eastAsia="新宋体"/>
          <w:color w:val="0F0F0F"/>
        </w:rPr>
        <w:t>13.1.3 因发包人原因造成工程质量达不到合同约定验收标准的，发包人应承担由于承包人返工造成的费用增加和（或）工期延误，并支付承包人合理利润。</w:t>
      </w:r>
      <w:bookmarkStart w:id="492" w:name="_Toc152042475"/>
      <w:bookmarkStart w:id="493" w:name="_Toc144974666"/>
      <w:bookmarkStart w:id="494" w:name="_Toc152045697"/>
      <w:bookmarkStart w:id="495" w:name="_Toc179632715"/>
    </w:p>
    <w:p w14:paraId="169C803E">
      <w:pPr>
        <w:spacing w:line="400" w:lineRule="exact"/>
        <w:rPr>
          <w:rFonts w:ascii="新宋体" w:eastAsia="新宋体"/>
          <w:color w:val="0F0F0F"/>
          <w:sz w:val="24"/>
        </w:rPr>
      </w:pPr>
      <w:r>
        <w:rPr>
          <w:rFonts w:hint="eastAsia" w:ascii="新宋体" w:eastAsia="新宋体"/>
          <w:color w:val="0F0F0F"/>
          <w:sz w:val="24"/>
        </w:rPr>
        <w:t>13.2 承包人的质量管理</w:t>
      </w:r>
      <w:bookmarkEnd w:id="492"/>
      <w:bookmarkEnd w:id="493"/>
      <w:bookmarkEnd w:id="494"/>
      <w:bookmarkEnd w:id="495"/>
    </w:p>
    <w:p w14:paraId="4103D49F">
      <w:pPr>
        <w:spacing w:line="400" w:lineRule="exact"/>
        <w:ind w:firstLine="420" w:firstLineChars="200"/>
        <w:rPr>
          <w:rFonts w:ascii="新宋体" w:eastAsia="新宋体"/>
          <w:color w:val="0F0F0F"/>
        </w:rPr>
      </w:pPr>
      <w:r>
        <w:rPr>
          <w:rFonts w:hint="eastAsia" w:ascii="新宋体" w:eastAsia="新宋体"/>
          <w:color w:val="0F0F0F"/>
        </w:rPr>
        <w:t>13.2.1 承包人应在施工场地设置专门的质量检查机构，配备专职质量检查人员，建立完善的质量检查制度。承包人应在合同约定的期限内，提交工程质量保证措施文件，包括质量检查机构的组织和岗位责任、质检人员的组成、质量检查程序和实施细则等，报送监理人审批。</w:t>
      </w:r>
    </w:p>
    <w:p w14:paraId="1CF95CBF">
      <w:pPr>
        <w:spacing w:line="400" w:lineRule="exact"/>
        <w:ind w:firstLine="420" w:firstLineChars="200"/>
        <w:rPr>
          <w:rFonts w:ascii="新宋体" w:eastAsia="新宋体"/>
          <w:color w:val="0F0F0F"/>
        </w:rPr>
      </w:pPr>
      <w:r>
        <w:rPr>
          <w:rFonts w:hint="eastAsia" w:ascii="新宋体" w:eastAsia="新宋体"/>
          <w:color w:val="0F0F0F"/>
        </w:rPr>
        <w:t>13.2.2 承包人应加强对施工人员的质量教育和技术培训，定期考核施工人员的劳动技能，严格执行规范和操作规程。</w:t>
      </w:r>
      <w:bookmarkStart w:id="496" w:name="_Toc152042476"/>
      <w:bookmarkStart w:id="497" w:name="_Toc152045698"/>
      <w:bookmarkStart w:id="498" w:name="_Toc144974667"/>
      <w:bookmarkStart w:id="499" w:name="_Toc179632716"/>
    </w:p>
    <w:p w14:paraId="36CFE6B8">
      <w:pPr>
        <w:spacing w:line="400" w:lineRule="exact"/>
        <w:rPr>
          <w:rFonts w:ascii="新宋体" w:eastAsia="新宋体"/>
          <w:color w:val="0F0F0F"/>
          <w:sz w:val="24"/>
        </w:rPr>
      </w:pPr>
      <w:r>
        <w:rPr>
          <w:rFonts w:hint="eastAsia" w:ascii="新宋体" w:eastAsia="新宋体"/>
          <w:color w:val="0F0F0F"/>
          <w:sz w:val="24"/>
        </w:rPr>
        <w:t>13.3 承包人的质量检查</w:t>
      </w:r>
      <w:bookmarkEnd w:id="496"/>
      <w:bookmarkEnd w:id="497"/>
      <w:bookmarkEnd w:id="498"/>
      <w:bookmarkEnd w:id="499"/>
    </w:p>
    <w:p w14:paraId="59291F78">
      <w:pPr>
        <w:spacing w:line="400" w:lineRule="exact"/>
        <w:ind w:firstLine="420" w:firstLineChars="200"/>
        <w:rPr>
          <w:rFonts w:ascii="新宋体" w:eastAsia="新宋体"/>
          <w:color w:val="0F0F0F"/>
        </w:rPr>
      </w:pPr>
      <w:r>
        <w:rPr>
          <w:rFonts w:hint="eastAsia" w:ascii="新宋体" w:eastAsia="新宋体"/>
          <w:color w:val="0F0F0F"/>
        </w:rPr>
        <w:t>承包人应按合同约定对材料、工程设备以及工程的所有部位及其施工工艺进行全过程的质量检查和检验，并作详细记录，编制工程质量报表，报送监理人审查。</w:t>
      </w:r>
      <w:bookmarkStart w:id="500" w:name="_Toc144974668"/>
      <w:bookmarkStart w:id="501" w:name="_Toc152042477"/>
      <w:bookmarkStart w:id="502" w:name="_Toc152045699"/>
      <w:bookmarkStart w:id="503" w:name="_Toc179632717"/>
    </w:p>
    <w:p w14:paraId="071FF024">
      <w:pPr>
        <w:spacing w:line="400" w:lineRule="exact"/>
        <w:rPr>
          <w:rFonts w:ascii="新宋体" w:eastAsia="新宋体"/>
          <w:color w:val="0F0F0F"/>
          <w:sz w:val="24"/>
        </w:rPr>
      </w:pPr>
      <w:r>
        <w:rPr>
          <w:rFonts w:hint="eastAsia" w:ascii="新宋体" w:eastAsia="新宋体"/>
          <w:color w:val="0F0F0F"/>
          <w:sz w:val="24"/>
        </w:rPr>
        <w:t>13.4 监理人的质量检查</w:t>
      </w:r>
      <w:bookmarkEnd w:id="500"/>
      <w:bookmarkEnd w:id="501"/>
      <w:bookmarkEnd w:id="502"/>
      <w:bookmarkEnd w:id="503"/>
    </w:p>
    <w:p w14:paraId="5A73BE3F">
      <w:pPr>
        <w:spacing w:line="400" w:lineRule="exact"/>
        <w:ind w:firstLine="420" w:firstLineChars="200"/>
        <w:rPr>
          <w:rFonts w:ascii="新宋体" w:eastAsia="新宋体"/>
          <w:color w:val="0F0F0F"/>
        </w:rPr>
      </w:pPr>
      <w:r>
        <w:rPr>
          <w:rFonts w:hint="eastAsia" w:ascii="新宋体" w:eastAsia="新宋体"/>
          <w:color w:val="0F0F0F"/>
        </w:rPr>
        <w:t>监理人有权对工程的所有部位及其施工工艺、材料和工程设备进行检查和检验。承包人应为监理人的检查和检验提供方便，包括监理人到施工场地，或制造、加工地点，或合同约定的其他地方进行察看和查阅施工原始记录。承包人还应按监理人指示，进行施工场地取样试验、工程复核测量和设备性能检测，提供试验样品、提交试验报告和测量成果以及监理人要求进行的其他工作。监理人的检查和检验，不免除承包人按合同约定应负的责任。</w:t>
      </w:r>
      <w:bookmarkStart w:id="504" w:name="_Toc179632718"/>
      <w:bookmarkStart w:id="505" w:name="_Toc152045700"/>
      <w:bookmarkStart w:id="506" w:name="_Toc152042478"/>
      <w:bookmarkStart w:id="507" w:name="_Toc144974669"/>
    </w:p>
    <w:p w14:paraId="50BE0967">
      <w:pPr>
        <w:spacing w:line="400" w:lineRule="exact"/>
        <w:rPr>
          <w:rFonts w:ascii="新宋体" w:eastAsia="新宋体"/>
          <w:color w:val="0F0F0F"/>
          <w:sz w:val="24"/>
        </w:rPr>
      </w:pPr>
      <w:r>
        <w:rPr>
          <w:rFonts w:hint="eastAsia" w:ascii="新宋体" w:eastAsia="新宋体"/>
          <w:color w:val="0F0F0F"/>
          <w:sz w:val="24"/>
        </w:rPr>
        <w:t>13.5 工程隐蔽部位覆盖前的检查</w:t>
      </w:r>
      <w:bookmarkEnd w:id="504"/>
      <w:bookmarkEnd w:id="505"/>
      <w:bookmarkEnd w:id="506"/>
      <w:bookmarkEnd w:id="507"/>
    </w:p>
    <w:p w14:paraId="3BD06C04">
      <w:pPr>
        <w:spacing w:line="400" w:lineRule="exact"/>
        <w:ind w:firstLine="420" w:firstLineChars="200"/>
        <w:rPr>
          <w:rFonts w:ascii="新宋体" w:eastAsia="新宋体"/>
          <w:color w:val="0F0F0F"/>
        </w:rPr>
      </w:pPr>
      <w:r>
        <w:rPr>
          <w:rFonts w:hint="eastAsia" w:ascii="新宋体" w:eastAsia="新宋体"/>
          <w:color w:val="0F0F0F"/>
        </w:rPr>
        <w:t>13.5.1 通知监理人检查</w:t>
      </w:r>
    </w:p>
    <w:p w14:paraId="39E29C34">
      <w:pPr>
        <w:spacing w:line="400" w:lineRule="exact"/>
        <w:ind w:firstLine="420" w:firstLineChars="200"/>
        <w:rPr>
          <w:rFonts w:ascii="新宋体" w:eastAsia="新宋体"/>
          <w:color w:val="0F0F0F"/>
        </w:rPr>
      </w:pPr>
      <w:r>
        <w:rPr>
          <w:rFonts w:hint="eastAsia" w:ascii="新宋体" w:eastAsia="新宋体"/>
          <w:color w:val="0F0F0F"/>
        </w:rPr>
        <w:t>经承包人自检确认的工程隐蔽部位具备覆盖条件后，承包人应通知监理人在约定的期限内检查。承包人的通知应附有自检记录和必要的检查资料。监理人应按时到场检查。经监理人检查确认质量符合隐蔽要求，并在检查记录上签字后，承包人才能进行覆盖。监理人检查确认质量不合格的，承包人应在监理人指示的时间内修整返工后，由监理人重新检查。</w:t>
      </w:r>
    </w:p>
    <w:p w14:paraId="3FDED805">
      <w:pPr>
        <w:spacing w:line="400" w:lineRule="exact"/>
        <w:ind w:firstLine="420" w:firstLineChars="200"/>
        <w:rPr>
          <w:rFonts w:ascii="新宋体" w:eastAsia="新宋体"/>
          <w:color w:val="0F0F0F"/>
        </w:rPr>
      </w:pPr>
      <w:r>
        <w:rPr>
          <w:rFonts w:hint="eastAsia" w:ascii="新宋体" w:eastAsia="新宋体"/>
          <w:color w:val="0F0F0F"/>
        </w:rPr>
        <w:t>13.5.2 监理人未到场检查</w:t>
      </w:r>
    </w:p>
    <w:p w14:paraId="0600EB09">
      <w:pPr>
        <w:spacing w:line="400" w:lineRule="exact"/>
        <w:ind w:firstLine="420" w:firstLineChars="200"/>
        <w:rPr>
          <w:rFonts w:ascii="新宋体" w:eastAsia="新宋体"/>
          <w:color w:val="0F0F0F"/>
        </w:rPr>
      </w:pPr>
      <w:r>
        <w:rPr>
          <w:rFonts w:hint="eastAsia" w:ascii="新宋体" w:eastAsia="新宋体"/>
          <w:color w:val="0F0F0F"/>
        </w:rPr>
        <w:t>监理人未按第13.5.1项约定的时间进行检查的，除监理人另有指示外，承包人可自行完成覆盖工作，并作相应记录报送监理人，监理人应签字确认。监理人事后对检查记录有疑问的，可按第13.5.3项的约定重新检查。</w:t>
      </w:r>
    </w:p>
    <w:p w14:paraId="626AA6A5">
      <w:pPr>
        <w:spacing w:line="400" w:lineRule="exact"/>
        <w:ind w:firstLine="420" w:firstLineChars="200"/>
        <w:rPr>
          <w:rFonts w:ascii="新宋体" w:eastAsia="新宋体"/>
          <w:color w:val="0F0F0F"/>
        </w:rPr>
      </w:pPr>
      <w:r>
        <w:rPr>
          <w:rFonts w:hint="eastAsia" w:ascii="新宋体" w:eastAsia="新宋体"/>
          <w:color w:val="0F0F0F"/>
        </w:rPr>
        <w:t>13.5.3 监理人重新检查</w:t>
      </w:r>
    </w:p>
    <w:p w14:paraId="2A5DE1E6">
      <w:pPr>
        <w:spacing w:line="400" w:lineRule="exact"/>
        <w:ind w:firstLine="420" w:firstLineChars="200"/>
        <w:rPr>
          <w:rFonts w:ascii="新宋体" w:eastAsia="新宋体"/>
          <w:color w:val="0F0F0F"/>
        </w:rPr>
      </w:pPr>
      <w:r>
        <w:rPr>
          <w:rFonts w:hint="eastAsia" w:ascii="新宋体" w:eastAsia="新宋体"/>
          <w:color w:val="0F0F0F"/>
        </w:rPr>
        <w:t>承包人按第13.5.1项或第13.5.2项覆盖工程隐蔽部位后，监理人对质量有疑问的，可要求承包人对已覆盖的部位进行钻孔探测或揭开重新检验，承包人应遵照执行，并在检验后重新覆盖恢复原状。经检验证明工程质量符合合同要求的，由发包人承担由此增加的费用和（或）工期延误，并支付承包人合理利润；经检验证明工程质量不符合合同要求的，由此增加的费用和（或）工期延误由承包人承担。</w:t>
      </w:r>
    </w:p>
    <w:p w14:paraId="72D762F1">
      <w:pPr>
        <w:spacing w:line="400" w:lineRule="exact"/>
        <w:ind w:firstLine="420" w:firstLineChars="200"/>
        <w:rPr>
          <w:rFonts w:ascii="新宋体" w:eastAsia="新宋体"/>
          <w:color w:val="0F0F0F"/>
        </w:rPr>
      </w:pPr>
      <w:r>
        <w:rPr>
          <w:rFonts w:hint="eastAsia" w:ascii="新宋体" w:eastAsia="新宋体"/>
          <w:color w:val="0F0F0F"/>
        </w:rPr>
        <w:t>13.5.4 承包人私自覆盖</w:t>
      </w:r>
    </w:p>
    <w:p w14:paraId="0D9749F1">
      <w:pPr>
        <w:spacing w:line="400" w:lineRule="exact"/>
        <w:ind w:firstLine="420" w:firstLineChars="200"/>
        <w:rPr>
          <w:rFonts w:ascii="新宋体" w:eastAsia="新宋体"/>
          <w:color w:val="0F0F0F"/>
        </w:rPr>
      </w:pPr>
      <w:r>
        <w:rPr>
          <w:rFonts w:hint="eastAsia" w:ascii="新宋体" w:eastAsia="新宋体"/>
          <w:color w:val="0F0F0F"/>
        </w:rPr>
        <w:t>承包人未通知监理人到场检查，私自将工程隐蔽部位覆盖的，监理人有权指示承包人钻孔探测或揭开检查，由此增加的费用和（或）工期延误由承包人承担。</w:t>
      </w:r>
      <w:bookmarkStart w:id="508" w:name="_Toc179632719"/>
      <w:bookmarkStart w:id="509" w:name="_Toc152042479"/>
      <w:bookmarkStart w:id="510" w:name="_Toc152045701"/>
      <w:bookmarkStart w:id="511" w:name="_Toc144974670"/>
    </w:p>
    <w:p w14:paraId="6B623683">
      <w:pPr>
        <w:spacing w:line="400" w:lineRule="exact"/>
        <w:rPr>
          <w:rFonts w:ascii="新宋体" w:eastAsia="新宋体"/>
          <w:color w:val="0F0F0F"/>
          <w:sz w:val="24"/>
        </w:rPr>
      </w:pPr>
      <w:r>
        <w:rPr>
          <w:rFonts w:hint="eastAsia" w:ascii="新宋体" w:eastAsia="新宋体"/>
          <w:color w:val="0F0F0F"/>
          <w:sz w:val="24"/>
        </w:rPr>
        <w:t>13.6 清除不合格工程</w:t>
      </w:r>
      <w:bookmarkEnd w:id="508"/>
      <w:bookmarkEnd w:id="509"/>
      <w:bookmarkEnd w:id="510"/>
      <w:bookmarkEnd w:id="511"/>
    </w:p>
    <w:p w14:paraId="3E176447">
      <w:pPr>
        <w:spacing w:line="400" w:lineRule="exact"/>
        <w:ind w:firstLine="420" w:firstLineChars="200"/>
        <w:rPr>
          <w:rFonts w:ascii="新宋体" w:eastAsia="新宋体"/>
          <w:color w:val="0F0F0F"/>
        </w:rPr>
      </w:pPr>
      <w:r>
        <w:rPr>
          <w:rFonts w:hint="eastAsia" w:ascii="新宋体" w:eastAsia="新宋体"/>
          <w:color w:val="0F0F0F"/>
        </w:rPr>
        <w:t>13.6.1 承包人使用不合格材料、工程设备，或采用不适当的施工工艺，或施工不当，造成工程不合格的，监理人可以随时发出指示，要求承包人立即采取措施进行补救，直至达到合同要求的质量标准，由此增加的费用和（或）工期延误由承包人承担。</w:t>
      </w:r>
    </w:p>
    <w:p w14:paraId="29C737D0">
      <w:pPr>
        <w:spacing w:line="400" w:lineRule="exact"/>
        <w:ind w:firstLine="420" w:firstLineChars="200"/>
        <w:rPr>
          <w:rFonts w:ascii="新宋体" w:eastAsia="新宋体"/>
          <w:color w:val="0F0F0F"/>
        </w:rPr>
      </w:pPr>
      <w:r>
        <w:rPr>
          <w:rFonts w:hint="eastAsia" w:ascii="新宋体" w:eastAsia="新宋体"/>
          <w:color w:val="0F0F0F"/>
        </w:rPr>
        <w:t>13.6.2 由于发包人提供的材料或工程设备不合格造成的工程不合格，需要承包人采取措施补救的，发包人应承担由此增加的费用和（或）工期延误，并支付承包人合理利润。</w:t>
      </w:r>
      <w:bookmarkStart w:id="512" w:name="_Toc152045702"/>
      <w:bookmarkStart w:id="513" w:name="_Toc144974671"/>
      <w:bookmarkStart w:id="514" w:name="_Toc152042480"/>
      <w:bookmarkStart w:id="515" w:name="_Toc179632720"/>
    </w:p>
    <w:p w14:paraId="46C56CCD">
      <w:pPr>
        <w:spacing w:line="400" w:lineRule="exact"/>
        <w:rPr>
          <w:rFonts w:ascii="新宋体" w:eastAsia="新宋体"/>
          <w:color w:val="0F0F0F"/>
          <w:sz w:val="28"/>
          <w:szCs w:val="28"/>
        </w:rPr>
      </w:pPr>
      <w:r>
        <w:rPr>
          <w:rFonts w:hint="eastAsia" w:ascii="新宋体" w:eastAsia="新宋体"/>
          <w:color w:val="0F0F0F"/>
          <w:sz w:val="28"/>
          <w:szCs w:val="28"/>
        </w:rPr>
        <w:t>14. 试验和检验</w:t>
      </w:r>
      <w:bookmarkEnd w:id="512"/>
      <w:bookmarkEnd w:id="513"/>
      <w:bookmarkEnd w:id="514"/>
      <w:bookmarkEnd w:id="515"/>
      <w:bookmarkStart w:id="516" w:name="_Toc152042481"/>
      <w:bookmarkStart w:id="517" w:name="_Toc179632721"/>
      <w:bookmarkStart w:id="518" w:name="_Toc152045703"/>
      <w:bookmarkStart w:id="519" w:name="_Toc144974672"/>
    </w:p>
    <w:p w14:paraId="51E07C05">
      <w:pPr>
        <w:spacing w:line="400" w:lineRule="exact"/>
        <w:rPr>
          <w:rFonts w:ascii="新宋体" w:eastAsia="新宋体"/>
          <w:color w:val="0F0F0F"/>
        </w:rPr>
      </w:pPr>
      <w:r>
        <w:rPr>
          <w:rFonts w:hint="eastAsia" w:ascii="新宋体" w:eastAsia="新宋体"/>
          <w:color w:val="0F0F0F"/>
          <w:sz w:val="24"/>
        </w:rPr>
        <w:t>14.1 材料、工程设备和工程的试验和检验</w:t>
      </w:r>
      <w:bookmarkEnd w:id="516"/>
      <w:bookmarkEnd w:id="517"/>
      <w:bookmarkEnd w:id="518"/>
      <w:bookmarkEnd w:id="519"/>
    </w:p>
    <w:p w14:paraId="6AFEECA6">
      <w:pPr>
        <w:spacing w:line="400" w:lineRule="exact"/>
        <w:ind w:firstLine="420" w:firstLineChars="200"/>
        <w:rPr>
          <w:rFonts w:ascii="新宋体" w:eastAsia="新宋体"/>
          <w:color w:val="0F0F0F"/>
        </w:rPr>
      </w:pPr>
      <w:r>
        <w:rPr>
          <w:rFonts w:hint="eastAsia" w:ascii="新宋体" w:eastAsia="新宋体"/>
          <w:color w:val="0F0F0F"/>
        </w:rPr>
        <w:t>14.1.1 承包人应按合同约定进行材料、工程设备和工程的试验和检验，并为监理人对上述材料、工程设备和工程的质量检查提供必要的试验资料和原始记录。按合同约定应由监理人与承包人共同进行试验和检验的，由承包人负责提供必要的试验资料和原始记录。</w:t>
      </w:r>
    </w:p>
    <w:p w14:paraId="4B59CF61">
      <w:pPr>
        <w:spacing w:line="400" w:lineRule="exact"/>
        <w:ind w:firstLine="420" w:firstLineChars="200"/>
        <w:rPr>
          <w:rFonts w:ascii="新宋体" w:eastAsia="新宋体"/>
          <w:color w:val="0F0F0F"/>
        </w:rPr>
      </w:pPr>
      <w:r>
        <w:rPr>
          <w:rFonts w:hint="eastAsia" w:ascii="新宋体" w:eastAsia="新宋体"/>
          <w:color w:val="0F0F0F"/>
        </w:rPr>
        <w:t>14.1.2 监理人未按合同约定派员参加试验和检验的，除监理人另有指示外，承包人可自行试验和检验，并应立即将试验和检验结果报送监理人，监理人应签字确认。</w:t>
      </w:r>
    </w:p>
    <w:p w14:paraId="52746D9E">
      <w:pPr>
        <w:spacing w:line="400" w:lineRule="exact"/>
        <w:ind w:firstLine="420" w:firstLineChars="200"/>
        <w:rPr>
          <w:rFonts w:ascii="新宋体" w:eastAsia="新宋体"/>
          <w:color w:val="0F0F0F"/>
        </w:rPr>
      </w:pPr>
      <w:r>
        <w:rPr>
          <w:rFonts w:hint="eastAsia" w:ascii="新宋体" w:eastAsia="新宋体"/>
          <w:color w:val="0F0F0F"/>
        </w:rPr>
        <w:t>14.1.3 监理人对承包人的试验和检验结果有疑问的，或为查清承包人试验和检验成果的可靠性要求承包人重新试验和检验的，可按合同约定由监理人与承包人共同进行。重新试验和检验的结果证明该项材料、工程设备或工程的质量不符合合同要求的，由此增加的费用和（或）工期延误由承包人承担；重新试验和检验结果证明该项材料、工程设备和工程符合合同要求，由发包人承担由此增加的费用和（或）工期延误，并支付承包人合理利润。</w:t>
      </w:r>
      <w:bookmarkStart w:id="520" w:name="_Toc179632722"/>
      <w:bookmarkStart w:id="521" w:name="_Toc152042482"/>
      <w:bookmarkStart w:id="522" w:name="_Toc152045704"/>
      <w:bookmarkStart w:id="523" w:name="_Toc144974673"/>
    </w:p>
    <w:p w14:paraId="2654989D">
      <w:pPr>
        <w:spacing w:line="400" w:lineRule="exact"/>
        <w:rPr>
          <w:rFonts w:ascii="新宋体" w:eastAsia="新宋体"/>
          <w:color w:val="0F0F0F"/>
          <w:sz w:val="24"/>
        </w:rPr>
      </w:pPr>
      <w:r>
        <w:rPr>
          <w:rFonts w:hint="eastAsia" w:ascii="新宋体" w:eastAsia="新宋体"/>
          <w:color w:val="0F0F0F"/>
          <w:sz w:val="24"/>
        </w:rPr>
        <w:t>14.2 现场材料试验</w:t>
      </w:r>
      <w:bookmarkEnd w:id="520"/>
      <w:bookmarkEnd w:id="521"/>
      <w:bookmarkEnd w:id="522"/>
      <w:bookmarkEnd w:id="523"/>
    </w:p>
    <w:p w14:paraId="176F93D7">
      <w:pPr>
        <w:spacing w:line="400" w:lineRule="exact"/>
        <w:ind w:firstLine="420" w:firstLineChars="200"/>
        <w:rPr>
          <w:rFonts w:ascii="新宋体" w:eastAsia="新宋体"/>
          <w:color w:val="0F0F0F"/>
        </w:rPr>
      </w:pPr>
      <w:r>
        <w:rPr>
          <w:rFonts w:hint="eastAsia" w:ascii="新宋体" w:eastAsia="新宋体"/>
          <w:color w:val="0F0F0F"/>
        </w:rPr>
        <w:t>14.2.1 承包人根据合同约定或监理人指示进行的现场材料试验，应由承包人提供试验场所、试验人员、试验设备器材以及其他必要的试验条件。</w:t>
      </w:r>
    </w:p>
    <w:p w14:paraId="0D078177">
      <w:pPr>
        <w:spacing w:line="400" w:lineRule="exact"/>
        <w:ind w:firstLine="420" w:firstLineChars="200"/>
        <w:rPr>
          <w:rFonts w:ascii="新宋体" w:eastAsia="新宋体"/>
          <w:color w:val="0F0F0F"/>
        </w:rPr>
      </w:pPr>
      <w:r>
        <w:rPr>
          <w:rFonts w:hint="eastAsia" w:ascii="新宋体" w:eastAsia="新宋体"/>
          <w:color w:val="0F0F0F"/>
        </w:rPr>
        <w:t>14.2.2 监理人在必要时可以使用承包人的试验场所、试验设备器材以及其他试验条件，进行以工程质量检查为目的的复核性材料试验，承包人应予以协助。</w:t>
      </w:r>
      <w:bookmarkStart w:id="524" w:name="_Toc179632723"/>
      <w:bookmarkStart w:id="525" w:name="_Toc144974674"/>
      <w:bookmarkStart w:id="526" w:name="_Toc152042483"/>
      <w:bookmarkStart w:id="527" w:name="_Toc152045705"/>
    </w:p>
    <w:p w14:paraId="3532218A">
      <w:pPr>
        <w:spacing w:line="400" w:lineRule="exact"/>
        <w:rPr>
          <w:rFonts w:ascii="新宋体" w:eastAsia="新宋体"/>
          <w:color w:val="0F0F0F"/>
          <w:sz w:val="24"/>
        </w:rPr>
      </w:pPr>
      <w:r>
        <w:rPr>
          <w:rFonts w:hint="eastAsia" w:ascii="新宋体" w:eastAsia="新宋体"/>
          <w:color w:val="0F0F0F"/>
          <w:sz w:val="24"/>
        </w:rPr>
        <w:t>14.3 现场工艺试验</w:t>
      </w:r>
      <w:bookmarkEnd w:id="524"/>
      <w:bookmarkEnd w:id="525"/>
      <w:bookmarkEnd w:id="526"/>
      <w:bookmarkEnd w:id="527"/>
    </w:p>
    <w:p w14:paraId="269F024B">
      <w:pPr>
        <w:spacing w:line="400" w:lineRule="exact"/>
        <w:ind w:firstLine="420" w:firstLineChars="200"/>
        <w:rPr>
          <w:rFonts w:ascii="新宋体" w:eastAsia="新宋体"/>
          <w:color w:val="0F0F0F"/>
        </w:rPr>
      </w:pPr>
      <w:r>
        <w:rPr>
          <w:rFonts w:hint="eastAsia" w:ascii="新宋体" w:eastAsia="新宋体"/>
          <w:color w:val="0F0F0F"/>
        </w:rPr>
        <w:t>承包人应按合同约定或监理人指示进行现场工艺试验。对大型的现场工艺试验，监理人认为必要时，应由承包人根据监理人提出的工艺试验要求，编制工艺试验措施计划，报送监理人审批。</w:t>
      </w:r>
      <w:bookmarkStart w:id="528" w:name="_Toc179632724"/>
      <w:bookmarkStart w:id="529" w:name="_Toc144974675"/>
      <w:bookmarkStart w:id="530" w:name="_Toc152045706"/>
      <w:bookmarkStart w:id="531" w:name="_Toc152042484"/>
    </w:p>
    <w:p w14:paraId="257D0775">
      <w:pPr>
        <w:spacing w:line="400" w:lineRule="exact"/>
        <w:rPr>
          <w:rFonts w:ascii="新宋体" w:eastAsia="新宋体"/>
          <w:color w:val="0F0F0F"/>
          <w:sz w:val="28"/>
          <w:szCs w:val="28"/>
        </w:rPr>
      </w:pPr>
      <w:r>
        <w:rPr>
          <w:rFonts w:hint="eastAsia" w:ascii="新宋体" w:eastAsia="新宋体"/>
          <w:color w:val="0F0F0F"/>
          <w:sz w:val="28"/>
          <w:szCs w:val="28"/>
        </w:rPr>
        <w:t>15. 变更</w:t>
      </w:r>
      <w:bookmarkEnd w:id="528"/>
      <w:bookmarkEnd w:id="529"/>
      <w:bookmarkEnd w:id="530"/>
      <w:bookmarkEnd w:id="531"/>
      <w:bookmarkStart w:id="532" w:name="_Toc152042485"/>
      <w:bookmarkStart w:id="533" w:name="_Toc179632725"/>
      <w:bookmarkStart w:id="534" w:name="_Toc152045707"/>
      <w:bookmarkStart w:id="535" w:name="_Toc144974676"/>
    </w:p>
    <w:p w14:paraId="0B4FE0A1">
      <w:pPr>
        <w:spacing w:line="400" w:lineRule="exact"/>
        <w:rPr>
          <w:rFonts w:ascii="新宋体" w:eastAsia="新宋体"/>
          <w:color w:val="0F0F0F"/>
          <w:sz w:val="24"/>
        </w:rPr>
      </w:pPr>
      <w:r>
        <w:rPr>
          <w:rFonts w:hint="eastAsia" w:ascii="新宋体" w:eastAsia="新宋体"/>
          <w:color w:val="0F0F0F"/>
          <w:sz w:val="24"/>
        </w:rPr>
        <w:t>15.1 变更的范围和内容</w:t>
      </w:r>
      <w:bookmarkEnd w:id="532"/>
      <w:bookmarkEnd w:id="533"/>
      <w:bookmarkEnd w:id="534"/>
      <w:bookmarkEnd w:id="535"/>
    </w:p>
    <w:p w14:paraId="558DA12F">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除专用合同条款另有约定外，在履行合同中发生以下情形之一，应按照本条规定进行变更。</w:t>
      </w:r>
    </w:p>
    <w:p w14:paraId="32861E8B">
      <w:pPr>
        <w:spacing w:line="400" w:lineRule="exact"/>
        <w:ind w:firstLine="359" w:firstLineChars="171"/>
        <w:rPr>
          <w:rFonts w:ascii="新宋体" w:eastAsia="新宋体"/>
          <w:color w:val="0F0F0F"/>
        </w:rPr>
      </w:pPr>
      <w:r>
        <w:rPr>
          <w:rFonts w:hint="eastAsia" w:ascii="新宋体" w:eastAsia="新宋体"/>
          <w:color w:val="0F0F0F"/>
        </w:rPr>
        <w:t>（1）取消合同中任何一项工作，但被取消的工作不能转由发包人或其他人实施；</w:t>
      </w:r>
    </w:p>
    <w:p w14:paraId="1547E14D">
      <w:pPr>
        <w:spacing w:line="400" w:lineRule="exact"/>
        <w:ind w:firstLine="359" w:firstLineChars="171"/>
        <w:rPr>
          <w:rFonts w:ascii="新宋体" w:eastAsia="新宋体"/>
          <w:color w:val="0F0F0F"/>
        </w:rPr>
      </w:pPr>
      <w:r>
        <w:rPr>
          <w:rFonts w:hint="eastAsia" w:ascii="新宋体" w:eastAsia="新宋体"/>
          <w:color w:val="0F0F0F"/>
        </w:rPr>
        <w:t>（2）改变合同中任何一项工作的质量或其他特性；</w:t>
      </w:r>
    </w:p>
    <w:p w14:paraId="79CB819E">
      <w:pPr>
        <w:spacing w:line="400" w:lineRule="exact"/>
        <w:ind w:firstLine="359" w:firstLineChars="171"/>
        <w:rPr>
          <w:rFonts w:ascii="新宋体" w:eastAsia="新宋体"/>
          <w:color w:val="0F0F0F"/>
        </w:rPr>
      </w:pPr>
      <w:r>
        <w:rPr>
          <w:rFonts w:hint="eastAsia" w:ascii="新宋体" w:eastAsia="新宋体"/>
          <w:color w:val="0F0F0F"/>
        </w:rPr>
        <w:t>（3）改变合同工程的基线、标高、位置或尺寸；</w:t>
      </w:r>
    </w:p>
    <w:p w14:paraId="19D568A9">
      <w:pPr>
        <w:spacing w:line="400" w:lineRule="exact"/>
        <w:ind w:firstLine="359" w:firstLineChars="171"/>
        <w:rPr>
          <w:rFonts w:ascii="新宋体" w:eastAsia="新宋体"/>
          <w:color w:val="0F0F0F"/>
        </w:rPr>
      </w:pPr>
      <w:r>
        <w:rPr>
          <w:rFonts w:hint="eastAsia" w:ascii="新宋体" w:eastAsia="新宋体"/>
          <w:color w:val="0F0F0F"/>
        </w:rPr>
        <w:t>（4）改变合同中任何一项工作的施工时间或改变已批准的施工工艺或顺序；</w:t>
      </w:r>
    </w:p>
    <w:p w14:paraId="779275F2">
      <w:pPr>
        <w:spacing w:line="400" w:lineRule="exact"/>
        <w:ind w:firstLine="359" w:firstLineChars="171"/>
        <w:rPr>
          <w:rFonts w:ascii="新宋体" w:eastAsia="新宋体"/>
          <w:color w:val="0F0F0F"/>
          <w:sz w:val="24"/>
        </w:rPr>
      </w:pPr>
      <w:r>
        <w:rPr>
          <w:rFonts w:hint="eastAsia" w:ascii="新宋体" w:eastAsia="新宋体"/>
          <w:color w:val="0F0F0F"/>
        </w:rPr>
        <w:t>（5）为完成工程需要追加的额外工作</w:t>
      </w:r>
      <w:r>
        <w:rPr>
          <w:rFonts w:hint="eastAsia" w:ascii="新宋体" w:eastAsia="新宋体"/>
          <w:color w:val="0F0F0F"/>
          <w:sz w:val="24"/>
        </w:rPr>
        <w:t>。</w:t>
      </w:r>
      <w:bookmarkStart w:id="536" w:name="_Toc144974677"/>
      <w:bookmarkStart w:id="537" w:name="_Toc179632726"/>
      <w:bookmarkStart w:id="538" w:name="_Toc152042486"/>
      <w:bookmarkStart w:id="539" w:name="_Toc152045708"/>
    </w:p>
    <w:p w14:paraId="70680E45">
      <w:pPr>
        <w:spacing w:line="400" w:lineRule="exact"/>
        <w:rPr>
          <w:rFonts w:ascii="新宋体" w:eastAsia="新宋体"/>
          <w:color w:val="0F0F0F"/>
          <w:sz w:val="24"/>
        </w:rPr>
      </w:pPr>
      <w:r>
        <w:rPr>
          <w:rFonts w:hint="eastAsia" w:ascii="新宋体" w:eastAsia="新宋体"/>
          <w:color w:val="0F0F0F"/>
          <w:sz w:val="24"/>
        </w:rPr>
        <w:t>15.2 变更权</w:t>
      </w:r>
      <w:bookmarkEnd w:id="536"/>
      <w:bookmarkEnd w:id="537"/>
      <w:bookmarkEnd w:id="538"/>
      <w:bookmarkEnd w:id="539"/>
    </w:p>
    <w:p w14:paraId="586A8D43">
      <w:pPr>
        <w:spacing w:line="400" w:lineRule="exact"/>
        <w:ind w:firstLine="420" w:firstLineChars="200"/>
        <w:rPr>
          <w:rFonts w:ascii="新宋体" w:eastAsia="新宋体"/>
          <w:color w:val="0F0F0F"/>
        </w:rPr>
      </w:pPr>
      <w:r>
        <w:rPr>
          <w:rFonts w:hint="eastAsia" w:ascii="新宋体" w:eastAsia="新宋体"/>
          <w:color w:val="0F0F0F"/>
        </w:rPr>
        <w:t>在履行合同过程中，经发包人同意，监理人可按第15.3款约定的变更程序向承包人作出变更指示，承包人应遵照执行。没有监理人的变更指示，承包人不得擅自变更。</w:t>
      </w:r>
      <w:bookmarkStart w:id="540" w:name="_Toc144974678"/>
      <w:bookmarkStart w:id="541" w:name="_Toc152045709"/>
      <w:bookmarkStart w:id="542" w:name="_Toc152042487"/>
      <w:bookmarkStart w:id="543" w:name="_Toc179632727"/>
    </w:p>
    <w:p w14:paraId="0268501A">
      <w:pPr>
        <w:spacing w:line="400" w:lineRule="exact"/>
        <w:rPr>
          <w:rFonts w:ascii="新宋体" w:eastAsia="新宋体"/>
          <w:color w:val="0F0F0F"/>
          <w:sz w:val="24"/>
        </w:rPr>
      </w:pPr>
      <w:r>
        <w:rPr>
          <w:rFonts w:hint="eastAsia" w:ascii="新宋体" w:eastAsia="新宋体"/>
          <w:color w:val="0F0F0F"/>
          <w:sz w:val="24"/>
        </w:rPr>
        <w:t>15.3 变更程序</w:t>
      </w:r>
      <w:bookmarkEnd w:id="540"/>
      <w:bookmarkEnd w:id="541"/>
      <w:bookmarkEnd w:id="542"/>
      <w:bookmarkEnd w:id="543"/>
    </w:p>
    <w:p w14:paraId="07E3B35A">
      <w:pPr>
        <w:spacing w:line="400" w:lineRule="exact"/>
        <w:ind w:firstLine="420" w:firstLineChars="200"/>
        <w:rPr>
          <w:rFonts w:ascii="新宋体" w:eastAsia="新宋体"/>
          <w:color w:val="0F0F0F"/>
        </w:rPr>
      </w:pPr>
      <w:r>
        <w:rPr>
          <w:rFonts w:hint="eastAsia" w:ascii="新宋体" w:eastAsia="新宋体"/>
          <w:color w:val="0F0F0F"/>
        </w:rPr>
        <w:t>15.3.1 变更的提出</w:t>
      </w:r>
    </w:p>
    <w:p w14:paraId="3DAF3C4D">
      <w:pPr>
        <w:spacing w:line="400" w:lineRule="exact"/>
        <w:ind w:firstLine="420" w:firstLineChars="200"/>
        <w:rPr>
          <w:rFonts w:ascii="新宋体" w:eastAsia="新宋体"/>
          <w:color w:val="0F0F0F"/>
        </w:rPr>
      </w:pPr>
      <w:r>
        <w:rPr>
          <w:rFonts w:hint="eastAsia" w:ascii="新宋体" w:eastAsia="新宋体"/>
          <w:color w:val="0F0F0F"/>
        </w:rPr>
        <w:t xml:space="preserve">（1）在合同履行过程中，可能发生第15.1款约定情形的，监理人可向承包人发出变更意向书。变更意向书应说明变更的具体内容和发包人对变更的时间要求，并附必要的图纸和相关资料。变更意向书应要求承包人提交包括拟实施变更工作的计划、措施和竣工时间等内容的实施方案。发包人同意承包人根据变更意向书要求提交的变更实施方案的，由监理人按第15.3.3项约定发出变更指示。 </w:t>
      </w:r>
    </w:p>
    <w:p w14:paraId="4879BB1C">
      <w:pPr>
        <w:spacing w:line="400" w:lineRule="exact"/>
        <w:ind w:firstLine="420" w:firstLineChars="200"/>
        <w:rPr>
          <w:rFonts w:ascii="新宋体" w:eastAsia="新宋体"/>
          <w:color w:val="0F0F0F"/>
        </w:rPr>
      </w:pPr>
      <w:r>
        <w:rPr>
          <w:rFonts w:hint="eastAsia" w:ascii="新宋体" w:eastAsia="新宋体"/>
          <w:color w:val="0F0F0F"/>
        </w:rPr>
        <w:t>（2）在合同履行过程中，发生第15.1款约定情形的，监理人应按照第15.3.3项约定向承包人发出变更指示。</w:t>
      </w:r>
    </w:p>
    <w:p w14:paraId="3277DEEF">
      <w:pPr>
        <w:spacing w:line="400" w:lineRule="exact"/>
        <w:ind w:firstLine="420" w:firstLineChars="200"/>
        <w:rPr>
          <w:rFonts w:ascii="新宋体" w:eastAsia="新宋体"/>
          <w:color w:val="0F0F0F"/>
        </w:rPr>
      </w:pPr>
      <w:r>
        <w:rPr>
          <w:rFonts w:hint="eastAsia" w:ascii="新宋体" w:eastAsia="新宋体"/>
          <w:color w:val="0F0F0F"/>
        </w:rPr>
        <w:t>（3）承包人收到监理人按合同约定发出的图纸和文件，经检查认为其中存在第15.1款约定情形的，可向监理人提出书面变更建议。变更建议应阐明要求变更的依据，并附必要的图纸和说明。监理人收到承包人书面建议后，应与发包人共同研究，确认存在变更的，应在收到承包人书面建议后的14天内作出变更指示。经研究后不同意作为变更的，应由监理人书面答复承包人。</w:t>
      </w:r>
    </w:p>
    <w:p w14:paraId="147543D5">
      <w:pPr>
        <w:spacing w:line="400" w:lineRule="exact"/>
        <w:ind w:firstLine="420" w:firstLineChars="200"/>
        <w:rPr>
          <w:rFonts w:ascii="新宋体" w:eastAsia="新宋体"/>
          <w:color w:val="0F0F0F"/>
        </w:rPr>
      </w:pPr>
      <w:r>
        <w:rPr>
          <w:rFonts w:hint="eastAsia" w:ascii="新宋体" w:eastAsia="新宋体"/>
          <w:color w:val="0F0F0F"/>
        </w:rPr>
        <w:t>（4）若承包人收到监理人的变更意向书后认为难以实施此项变更，应立即通知监理人，说明原因并附详细依据。监理人与承包人和发包人协商后确定撤销</w:t>
      </w:r>
      <w:r>
        <w:rPr>
          <w:rFonts w:hint="eastAsia" w:ascii="新宋体" w:hAnsi="宋体" w:eastAsia="新宋体"/>
          <w:color w:val="0F0F0F"/>
        </w:rPr>
        <w:t>、</w:t>
      </w:r>
      <w:r>
        <w:rPr>
          <w:rFonts w:hint="eastAsia" w:ascii="新宋体" w:eastAsia="新宋体"/>
          <w:color w:val="0F0F0F"/>
        </w:rPr>
        <w:t>改变或不改变原变更意向书。</w:t>
      </w:r>
    </w:p>
    <w:p w14:paraId="40204FC1">
      <w:pPr>
        <w:spacing w:line="400" w:lineRule="exact"/>
        <w:ind w:firstLine="420" w:firstLineChars="200"/>
        <w:rPr>
          <w:rFonts w:ascii="新宋体" w:eastAsia="新宋体"/>
          <w:color w:val="0F0F0F"/>
        </w:rPr>
      </w:pPr>
      <w:r>
        <w:rPr>
          <w:rFonts w:hint="eastAsia" w:ascii="新宋体" w:eastAsia="新宋体"/>
          <w:color w:val="0F0F0F"/>
        </w:rPr>
        <w:t>15.3.2 变更估价</w:t>
      </w:r>
    </w:p>
    <w:p w14:paraId="5CBE8654">
      <w:pPr>
        <w:spacing w:line="400" w:lineRule="exact"/>
        <w:ind w:firstLine="420" w:firstLineChars="200"/>
        <w:rPr>
          <w:rFonts w:ascii="新宋体" w:eastAsia="新宋体"/>
          <w:color w:val="0F0F0F"/>
        </w:rPr>
      </w:pPr>
      <w:r>
        <w:rPr>
          <w:rFonts w:hint="eastAsia" w:ascii="新宋体" w:eastAsia="新宋体"/>
          <w:color w:val="0F0F0F"/>
        </w:rPr>
        <w:t>（1）除专用合同条款对期限另有约定外，承包人应在收到变更指示或变更意向书后的14天内，向监理人提交变更报价书，报价内容应根据第15.4款约定的估价原则，详细开列变更工作的价格组成及其依据，并附必要的施工方法说明和有关图纸。</w:t>
      </w:r>
    </w:p>
    <w:p w14:paraId="7A4844DA">
      <w:pPr>
        <w:spacing w:line="400" w:lineRule="exact"/>
        <w:ind w:firstLine="420" w:firstLineChars="200"/>
        <w:rPr>
          <w:rFonts w:ascii="新宋体" w:eastAsia="新宋体"/>
          <w:color w:val="0F0F0F"/>
        </w:rPr>
      </w:pPr>
      <w:r>
        <w:rPr>
          <w:rFonts w:hint="eastAsia" w:ascii="新宋体" w:eastAsia="新宋体"/>
          <w:color w:val="0F0F0F"/>
        </w:rPr>
        <w:t>（2）变更工作影响工期的，承包人应提出调整工期的具体细节。监理人认为有必要时，可要求承包人提交要求提前或延长工期的施工进度计划及相应施工措施等详细资料。</w:t>
      </w:r>
    </w:p>
    <w:p w14:paraId="474DFCBF">
      <w:pPr>
        <w:spacing w:line="400" w:lineRule="exact"/>
        <w:ind w:firstLine="420" w:firstLineChars="200"/>
        <w:rPr>
          <w:rFonts w:ascii="新宋体" w:eastAsia="新宋体"/>
          <w:color w:val="0F0F0F"/>
        </w:rPr>
      </w:pPr>
      <w:r>
        <w:rPr>
          <w:rFonts w:hint="eastAsia" w:ascii="新宋体" w:eastAsia="新宋体"/>
          <w:color w:val="0F0F0F"/>
        </w:rPr>
        <w:t>（3）除专用合同条款对期限另有约定外，监理人收到承包人变更报价书后的14天内，根据第15.4款约定的估价原则，按照第3.5款商定或确定变更价格。</w:t>
      </w:r>
    </w:p>
    <w:p w14:paraId="34D54355">
      <w:pPr>
        <w:spacing w:line="400" w:lineRule="exact"/>
        <w:ind w:firstLine="420" w:firstLineChars="200"/>
        <w:rPr>
          <w:rFonts w:ascii="新宋体" w:eastAsia="新宋体"/>
          <w:color w:val="0F0F0F"/>
        </w:rPr>
      </w:pPr>
      <w:r>
        <w:rPr>
          <w:rFonts w:hint="eastAsia" w:ascii="新宋体" w:eastAsia="新宋体"/>
          <w:color w:val="0F0F0F"/>
        </w:rPr>
        <w:t>15.3.3 变更指示</w:t>
      </w:r>
    </w:p>
    <w:p w14:paraId="5B2B9605">
      <w:pPr>
        <w:spacing w:line="400" w:lineRule="exact"/>
        <w:ind w:firstLine="420" w:firstLineChars="200"/>
        <w:rPr>
          <w:rFonts w:ascii="新宋体" w:eastAsia="新宋体"/>
          <w:color w:val="0F0F0F"/>
        </w:rPr>
      </w:pPr>
      <w:r>
        <w:rPr>
          <w:rFonts w:hint="eastAsia" w:ascii="新宋体" w:eastAsia="新宋体"/>
          <w:color w:val="0F0F0F"/>
        </w:rPr>
        <w:t>（1）变更指示只能由监理人发出。</w:t>
      </w:r>
    </w:p>
    <w:p w14:paraId="5351EDD9">
      <w:pPr>
        <w:spacing w:line="400" w:lineRule="exact"/>
        <w:ind w:firstLine="420" w:firstLineChars="200"/>
        <w:rPr>
          <w:rFonts w:ascii="新宋体" w:eastAsia="新宋体"/>
          <w:color w:val="0F0F0F"/>
        </w:rPr>
      </w:pPr>
      <w:r>
        <w:rPr>
          <w:rFonts w:hint="eastAsia" w:ascii="新宋体" w:eastAsia="新宋体"/>
          <w:color w:val="0F0F0F"/>
        </w:rPr>
        <w:t>（2）变更指示应说明变更的目的、范围、变更内容以及变更的工程量及其进度和技术要求，并附有关图纸和文件。承包人收到变更指示后，应按变更指示进行变更工作。</w:t>
      </w:r>
      <w:bookmarkStart w:id="544" w:name="_Toc144974679"/>
      <w:bookmarkStart w:id="545" w:name="_Toc152042488"/>
      <w:bookmarkStart w:id="546" w:name="_Toc179632728"/>
      <w:bookmarkStart w:id="547" w:name="_Toc152045710"/>
    </w:p>
    <w:p w14:paraId="6F08F458">
      <w:pPr>
        <w:spacing w:line="400" w:lineRule="exact"/>
        <w:rPr>
          <w:rFonts w:ascii="新宋体" w:eastAsia="新宋体"/>
          <w:color w:val="0F0F0F"/>
          <w:sz w:val="24"/>
        </w:rPr>
      </w:pPr>
      <w:r>
        <w:rPr>
          <w:rFonts w:hint="eastAsia" w:ascii="新宋体" w:eastAsia="新宋体"/>
          <w:color w:val="0F0F0F"/>
          <w:sz w:val="24"/>
        </w:rPr>
        <w:t>15.4 变更的估价原则</w:t>
      </w:r>
      <w:bookmarkEnd w:id="544"/>
      <w:bookmarkEnd w:id="545"/>
      <w:bookmarkEnd w:id="546"/>
      <w:bookmarkEnd w:id="547"/>
    </w:p>
    <w:p w14:paraId="007C6A33">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除专用合同条款另有约定外，因变更引起的价格调整按照本款约定处理。</w:t>
      </w:r>
    </w:p>
    <w:p w14:paraId="4107D07E">
      <w:pPr>
        <w:spacing w:line="400" w:lineRule="exact"/>
        <w:ind w:firstLine="420" w:firstLineChars="200"/>
        <w:rPr>
          <w:rFonts w:ascii="新宋体" w:eastAsia="新宋体"/>
          <w:color w:val="0F0F0F"/>
        </w:rPr>
      </w:pPr>
      <w:r>
        <w:rPr>
          <w:rFonts w:hint="eastAsia" w:ascii="新宋体" w:eastAsia="新宋体"/>
          <w:color w:val="0F0F0F"/>
        </w:rPr>
        <w:t>15.4.1 已标价工程量清单中有适用于变更工作的子目的，采用该子目的单价。</w:t>
      </w:r>
    </w:p>
    <w:p w14:paraId="2B648A36">
      <w:pPr>
        <w:spacing w:line="400" w:lineRule="exact"/>
        <w:ind w:firstLine="420" w:firstLineChars="200"/>
        <w:rPr>
          <w:rFonts w:ascii="新宋体" w:eastAsia="新宋体"/>
          <w:color w:val="0F0F0F"/>
        </w:rPr>
      </w:pPr>
      <w:r>
        <w:rPr>
          <w:rFonts w:hint="eastAsia" w:ascii="新宋体" w:eastAsia="新宋体"/>
          <w:color w:val="0F0F0F"/>
        </w:rPr>
        <w:t>15.4.2 已标价工程量清单中无适用于变更工作的子目，但有类似子目的，可在合理范围内参照类似子目的单价，由监理人按第3.5款商定或确定变更工作的单价。</w:t>
      </w:r>
    </w:p>
    <w:p w14:paraId="01F306F9">
      <w:pPr>
        <w:spacing w:line="400" w:lineRule="exact"/>
        <w:ind w:firstLine="420" w:firstLineChars="200"/>
        <w:rPr>
          <w:rFonts w:ascii="新宋体" w:eastAsia="新宋体"/>
          <w:color w:val="0F0F0F"/>
        </w:rPr>
      </w:pPr>
      <w:r>
        <w:rPr>
          <w:rFonts w:hint="eastAsia" w:ascii="新宋体" w:eastAsia="新宋体"/>
          <w:color w:val="0F0F0F"/>
        </w:rPr>
        <w:t>15.4.3 已标价工程量清单中无适用或类似子目的单价，可按照成本加利润的原则，由监理人按第3.5款商定或确定变更工作的单价。</w:t>
      </w:r>
      <w:bookmarkStart w:id="548" w:name="_Toc179632729"/>
      <w:bookmarkStart w:id="549" w:name="_Toc152045711"/>
      <w:bookmarkStart w:id="550" w:name="_Toc152042489"/>
      <w:bookmarkStart w:id="551" w:name="_Toc144974680"/>
    </w:p>
    <w:p w14:paraId="6A44D8C0">
      <w:pPr>
        <w:spacing w:line="400" w:lineRule="exact"/>
        <w:rPr>
          <w:rFonts w:ascii="新宋体" w:eastAsia="新宋体"/>
          <w:color w:val="0F0F0F"/>
          <w:sz w:val="24"/>
        </w:rPr>
      </w:pPr>
      <w:r>
        <w:rPr>
          <w:rFonts w:hint="eastAsia" w:ascii="新宋体" w:eastAsia="新宋体"/>
          <w:color w:val="0F0F0F"/>
          <w:sz w:val="24"/>
        </w:rPr>
        <w:t>15.5 承包人的合理化建议</w:t>
      </w:r>
      <w:bookmarkEnd w:id="548"/>
      <w:bookmarkEnd w:id="549"/>
      <w:bookmarkEnd w:id="550"/>
      <w:bookmarkEnd w:id="551"/>
    </w:p>
    <w:p w14:paraId="37C2416C">
      <w:pPr>
        <w:spacing w:line="400" w:lineRule="exact"/>
        <w:ind w:firstLine="420" w:firstLineChars="200"/>
        <w:rPr>
          <w:rFonts w:ascii="新宋体" w:eastAsia="新宋体"/>
          <w:color w:val="0F0F0F"/>
        </w:rPr>
      </w:pPr>
      <w:r>
        <w:rPr>
          <w:rFonts w:hint="eastAsia" w:ascii="新宋体" w:eastAsia="新宋体"/>
          <w:color w:val="0F0F0F"/>
        </w:rPr>
        <w:t>15.5.1 在履行合同过程中，承包人对发包人提供的图纸、技术要求以及其他方面提出的合理化建议，均应以书面形式提交监理人。合理化建议书的内容应包括建议工作的详细说明、进度计划和效益以及与其他工作的协调等，并附必要的设计文件。监理人应与发包人协商是否采纳建议。建议被采纳并构成变更的，应按第15.3.3项约定向承包人发出变更指示。</w:t>
      </w:r>
    </w:p>
    <w:p w14:paraId="5D6E10AF">
      <w:pPr>
        <w:spacing w:line="400" w:lineRule="exact"/>
        <w:ind w:firstLine="420" w:firstLineChars="200"/>
        <w:rPr>
          <w:rFonts w:ascii="新宋体" w:eastAsia="新宋体"/>
          <w:color w:val="0F0F0F"/>
        </w:rPr>
      </w:pPr>
      <w:r>
        <w:rPr>
          <w:rFonts w:hint="eastAsia" w:ascii="新宋体" w:eastAsia="新宋体"/>
          <w:color w:val="0F0F0F"/>
        </w:rPr>
        <w:t>15.5.2 承包人提出的合理化建议降低了合同价格、缩短了工期或者提高了工程经济效益的，发包人可按国家有关规定在专用合同条款中约定给予奖励。</w:t>
      </w:r>
      <w:bookmarkStart w:id="552" w:name="_Toc152042490"/>
      <w:bookmarkStart w:id="553" w:name="_Toc152045712"/>
      <w:bookmarkStart w:id="554" w:name="_Toc179632730"/>
      <w:bookmarkStart w:id="555" w:name="_Toc144974681"/>
    </w:p>
    <w:p w14:paraId="50F620A0">
      <w:pPr>
        <w:spacing w:line="400" w:lineRule="exact"/>
        <w:rPr>
          <w:rFonts w:ascii="新宋体" w:eastAsia="新宋体"/>
          <w:color w:val="0F0F0F"/>
          <w:sz w:val="24"/>
        </w:rPr>
      </w:pPr>
      <w:r>
        <w:rPr>
          <w:rFonts w:hint="eastAsia" w:ascii="新宋体" w:eastAsia="新宋体"/>
          <w:color w:val="0F0F0F"/>
          <w:sz w:val="24"/>
        </w:rPr>
        <w:t>15.6 暂列金额</w:t>
      </w:r>
      <w:bookmarkEnd w:id="552"/>
      <w:bookmarkEnd w:id="553"/>
      <w:bookmarkEnd w:id="554"/>
      <w:bookmarkEnd w:id="555"/>
    </w:p>
    <w:p w14:paraId="0AF4BA5B">
      <w:pPr>
        <w:spacing w:line="400" w:lineRule="exact"/>
        <w:ind w:firstLine="420" w:firstLineChars="200"/>
        <w:rPr>
          <w:rFonts w:ascii="新宋体" w:eastAsia="新宋体"/>
          <w:color w:val="0F0F0F"/>
        </w:rPr>
      </w:pPr>
      <w:r>
        <w:rPr>
          <w:rFonts w:hint="eastAsia" w:ascii="新宋体" w:eastAsia="新宋体"/>
          <w:color w:val="0F0F0F"/>
        </w:rPr>
        <w:t>暂列金额只能按照监理人的指示使用，并对合同价格进行相应调整。</w:t>
      </w:r>
      <w:bookmarkStart w:id="556" w:name="_Toc152042491"/>
      <w:bookmarkStart w:id="557" w:name="_Toc179632731"/>
      <w:bookmarkStart w:id="558" w:name="_Toc144974682"/>
      <w:bookmarkStart w:id="559" w:name="_Toc152045713"/>
    </w:p>
    <w:p w14:paraId="762FCCAB">
      <w:pPr>
        <w:spacing w:line="400" w:lineRule="exact"/>
        <w:rPr>
          <w:rFonts w:ascii="新宋体" w:eastAsia="新宋体"/>
          <w:color w:val="0F0F0F"/>
          <w:sz w:val="24"/>
        </w:rPr>
      </w:pPr>
      <w:r>
        <w:rPr>
          <w:rFonts w:hint="eastAsia" w:ascii="新宋体" w:eastAsia="新宋体"/>
          <w:color w:val="0F0F0F"/>
          <w:sz w:val="24"/>
        </w:rPr>
        <w:t>15.7 计日工</w:t>
      </w:r>
      <w:bookmarkEnd w:id="556"/>
      <w:bookmarkEnd w:id="557"/>
      <w:bookmarkEnd w:id="558"/>
      <w:bookmarkEnd w:id="559"/>
    </w:p>
    <w:p w14:paraId="5C189ECB">
      <w:pPr>
        <w:spacing w:line="400" w:lineRule="exact"/>
        <w:ind w:firstLine="420" w:firstLineChars="200"/>
        <w:rPr>
          <w:rFonts w:ascii="新宋体" w:eastAsia="新宋体"/>
          <w:color w:val="0F0F0F"/>
          <w:shd w:val="pct10" w:color="auto" w:fill="FFFFFF"/>
        </w:rPr>
      </w:pPr>
      <w:r>
        <w:rPr>
          <w:rFonts w:hint="eastAsia" w:ascii="新宋体" w:eastAsia="新宋体"/>
          <w:color w:val="0F0F0F"/>
        </w:rPr>
        <w:t>15.7.1 发包人认为有必要时，</w:t>
      </w:r>
      <w:r>
        <w:rPr>
          <w:rFonts w:hint="eastAsia" w:ascii="新宋体" w:eastAsia="新宋体"/>
          <w:color w:val="0F0F0F"/>
          <w:szCs w:val="21"/>
        </w:rPr>
        <w:t>由</w:t>
      </w:r>
      <w:r>
        <w:rPr>
          <w:rFonts w:hint="eastAsia" w:ascii="新宋体" w:eastAsia="新宋体"/>
          <w:color w:val="0F0F0F"/>
        </w:rPr>
        <w:t>监理人通知承包人以计日工方式实施变更的零星工作。其价款按列入已标价工程量清单中的计日工计价子目及其单价进行计算。</w:t>
      </w:r>
    </w:p>
    <w:p w14:paraId="2C36DA07">
      <w:pPr>
        <w:spacing w:line="400" w:lineRule="exact"/>
        <w:ind w:firstLine="420" w:firstLineChars="200"/>
        <w:rPr>
          <w:rFonts w:ascii="新宋体" w:eastAsia="新宋体"/>
          <w:color w:val="0F0F0F"/>
        </w:rPr>
      </w:pPr>
      <w:r>
        <w:rPr>
          <w:rFonts w:hint="eastAsia" w:ascii="新宋体" w:eastAsia="新宋体"/>
          <w:color w:val="0F0F0F"/>
        </w:rPr>
        <w:t>15.7.2 采用计日工计价的任何一项变更工作，应从暂列金额中支付，承包人应在该项变更的实施过程中，每天提交以下报表和有关凭证报送监理人审批：</w:t>
      </w:r>
    </w:p>
    <w:p w14:paraId="750F4E97">
      <w:pPr>
        <w:spacing w:line="400" w:lineRule="exact"/>
        <w:ind w:firstLine="718" w:firstLineChars="342"/>
        <w:rPr>
          <w:rFonts w:ascii="新宋体" w:eastAsia="新宋体"/>
          <w:color w:val="0F0F0F"/>
        </w:rPr>
      </w:pPr>
      <w:r>
        <w:rPr>
          <w:rFonts w:hint="eastAsia" w:ascii="新宋体" w:eastAsia="新宋体"/>
          <w:color w:val="0F0F0F"/>
        </w:rPr>
        <w:t>（1）工作名称、内容和数量；</w:t>
      </w:r>
    </w:p>
    <w:p w14:paraId="1715847D">
      <w:pPr>
        <w:spacing w:line="400" w:lineRule="exact"/>
        <w:ind w:firstLine="718" w:firstLineChars="342"/>
        <w:rPr>
          <w:rFonts w:ascii="新宋体" w:eastAsia="新宋体"/>
          <w:color w:val="0F0F0F"/>
        </w:rPr>
      </w:pPr>
      <w:r>
        <w:rPr>
          <w:rFonts w:hint="eastAsia" w:ascii="新宋体" w:eastAsia="新宋体"/>
          <w:color w:val="0F0F0F"/>
        </w:rPr>
        <w:t>（2）投入该工作所有人员的姓名、工种、级别和耗用工时；</w:t>
      </w:r>
    </w:p>
    <w:p w14:paraId="114C4573">
      <w:pPr>
        <w:spacing w:line="400" w:lineRule="exact"/>
        <w:ind w:firstLine="718" w:firstLineChars="342"/>
        <w:rPr>
          <w:rFonts w:ascii="新宋体" w:eastAsia="新宋体"/>
          <w:color w:val="0F0F0F"/>
        </w:rPr>
      </w:pPr>
      <w:r>
        <w:rPr>
          <w:rFonts w:hint="eastAsia" w:ascii="新宋体" w:eastAsia="新宋体"/>
          <w:color w:val="0F0F0F"/>
        </w:rPr>
        <w:t>（3）投入该工作的材料类别和数量；</w:t>
      </w:r>
    </w:p>
    <w:p w14:paraId="5DB22818">
      <w:pPr>
        <w:spacing w:line="400" w:lineRule="exact"/>
        <w:ind w:firstLine="718" w:firstLineChars="342"/>
        <w:rPr>
          <w:rFonts w:ascii="新宋体" w:eastAsia="新宋体"/>
          <w:color w:val="0F0F0F"/>
        </w:rPr>
      </w:pPr>
      <w:r>
        <w:rPr>
          <w:rFonts w:hint="eastAsia" w:ascii="新宋体" w:eastAsia="新宋体"/>
          <w:color w:val="0F0F0F"/>
        </w:rPr>
        <w:t>（4）投入该工作的施工设备型号、台数和耗用台时；</w:t>
      </w:r>
    </w:p>
    <w:p w14:paraId="63BB0CE0">
      <w:pPr>
        <w:spacing w:line="400" w:lineRule="exact"/>
        <w:ind w:firstLine="718" w:firstLineChars="342"/>
        <w:rPr>
          <w:rFonts w:ascii="新宋体" w:eastAsia="新宋体"/>
          <w:color w:val="0F0F0F"/>
        </w:rPr>
      </w:pPr>
      <w:r>
        <w:rPr>
          <w:rFonts w:hint="eastAsia" w:ascii="新宋体" w:eastAsia="新宋体"/>
          <w:color w:val="0F0F0F"/>
        </w:rPr>
        <w:t>（5）监理人要求提交的其他资料和凭证。</w:t>
      </w:r>
    </w:p>
    <w:p w14:paraId="62A01671">
      <w:pPr>
        <w:spacing w:line="400" w:lineRule="exact"/>
        <w:ind w:firstLine="420" w:firstLineChars="200"/>
        <w:rPr>
          <w:rFonts w:ascii="新宋体" w:eastAsia="新宋体"/>
          <w:color w:val="0F0F0F"/>
        </w:rPr>
      </w:pPr>
      <w:r>
        <w:rPr>
          <w:rFonts w:hint="eastAsia" w:ascii="新宋体" w:eastAsia="新宋体"/>
          <w:color w:val="0F0F0F"/>
        </w:rPr>
        <w:t>15.7.3 计日工由承包人汇总后，按第17.3.2项的约定列入进度付款申请单，由监理人复核并经发包人同意后列入进度付款。</w:t>
      </w:r>
      <w:bookmarkStart w:id="560" w:name="_Toc152045714"/>
      <w:bookmarkStart w:id="561" w:name="_Toc144974683"/>
      <w:bookmarkStart w:id="562" w:name="_Toc152042492"/>
      <w:bookmarkStart w:id="563" w:name="_Toc179632732"/>
    </w:p>
    <w:p w14:paraId="2C6EEE91">
      <w:pPr>
        <w:spacing w:line="400" w:lineRule="exact"/>
        <w:rPr>
          <w:rFonts w:ascii="新宋体" w:eastAsia="新宋体"/>
          <w:color w:val="0F0F0F"/>
          <w:sz w:val="24"/>
        </w:rPr>
      </w:pPr>
      <w:r>
        <w:rPr>
          <w:rFonts w:hint="eastAsia" w:ascii="新宋体" w:eastAsia="新宋体"/>
          <w:color w:val="0F0F0F"/>
          <w:sz w:val="24"/>
        </w:rPr>
        <w:t>15.8 暂估价</w:t>
      </w:r>
      <w:bookmarkEnd w:id="560"/>
      <w:bookmarkEnd w:id="561"/>
      <w:bookmarkEnd w:id="562"/>
      <w:bookmarkEnd w:id="563"/>
    </w:p>
    <w:p w14:paraId="6DC0C1DC">
      <w:pPr>
        <w:spacing w:line="400" w:lineRule="exact"/>
        <w:ind w:firstLine="420" w:firstLineChars="200"/>
        <w:rPr>
          <w:rFonts w:ascii="新宋体" w:eastAsia="新宋体"/>
          <w:color w:val="0F0F0F"/>
        </w:rPr>
      </w:pPr>
      <w:r>
        <w:rPr>
          <w:rFonts w:hint="eastAsia" w:ascii="新宋体" w:eastAsia="新宋体"/>
          <w:color w:val="0F0F0F"/>
        </w:rPr>
        <w:t>15.8.1 发包人在工程量清单中给定暂估价的材料、工程设备和专业工程属于依法必须</w:t>
      </w:r>
      <w:r>
        <w:rPr>
          <w:rFonts w:hint="eastAsia" w:ascii="新宋体" w:eastAsia="新宋体"/>
          <w:color w:val="0F0F0F"/>
          <w:lang w:eastAsia="zh-CN"/>
        </w:rPr>
        <w:t>磋商</w:t>
      </w:r>
      <w:r>
        <w:rPr>
          <w:rFonts w:hint="eastAsia" w:ascii="新宋体" w:eastAsia="新宋体"/>
          <w:color w:val="0F0F0F"/>
        </w:rPr>
        <w:t>的范围并达到规定的规模标准的，由发包人和承包人以</w:t>
      </w:r>
      <w:r>
        <w:rPr>
          <w:rFonts w:hint="eastAsia" w:ascii="新宋体" w:eastAsia="新宋体"/>
          <w:color w:val="0F0F0F"/>
          <w:lang w:eastAsia="zh-CN"/>
        </w:rPr>
        <w:t>磋商</w:t>
      </w:r>
      <w:r>
        <w:rPr>
          <w:rFonts w:hint="eastAsia" w:ascii="新宋体" w:eastAsia="新宋体"/>
          <w:color w:val="0F0F0F"/>
        </w:rPr>
        <w:t>的方式选择供应商或分包人。发包人和承包人的权利义务关系在专用合同条款中约定。</w:t>
      </w:r>
      <w:r>
        <w:rPr>
          <w:rFonts w:hint="eastAsia" w:ascii="新宋体" w:eastAsia="新宋体"/>
          <w:color w:val="0F0F0F"/>
          <w:lang w:eastAsia="zh-CN"/>
        </w:rPr>
        <w:t>成交</w:t>
      </w:r>
      <w:r>
        <w:rPr>
          <w:rFonts w:hint="eastAsia" w:ascii="新宋体" w:eastAsia="新宋体"/>
          <w:color w:val="0F0F0F"/>
        </w:rPr>
        <w:t>金额与工程量清单中所列的暂估价的金额差以及相应的税金等其他费用列入合同价格。</w:t>
      </w:r>
    </w:p>
    <w:p w14:paraId="3EA02CE8">
      <w:pPr>
        <w:spacing w:line="400" w:lineRule="exact"/>
        <w:ind w:firstLine="420" w:firstLineChars="200"/>
        <w:rPr>
          <w:rFonts w:ascii="新宋体" w:eastAsia="新宋体"/>
          <w:color w:val="0F0F0F"/>
        </w:rPr>
      </w:pPr>
      <w:r>
        <w:rPr>
          <w:rFonts w:hint="eastAsia" w:ascii="新宋体" w:eastAsia="新宋体"/>
          <w:color w:val="0F0F0F"/>
        </w:rPr>
        <w:t>15.8.2 发包人在工程量清单中给定暂估价的材料和工程设备不属于依法必须</w:t>
      </w:r>
      <w:r>
        <w:rPr>
          <w:rFonts w:hint="eastAsia" w:ascii="新宋体" w:eastAsia="新宋体"/>
          <w:color w:val="0F0F0F"/>
          <w:lang w:eastAsia="zh-CN"/>
        </w:rPr>
        <w:t>磋商</w:t>
      </w:r>
      <w:r>
        <w:rPr>
          <w:rFonts w:hint="eastAsia" w:ascii="新宋体" w:eastAsia="新宋体"/>
          <w:color w:val="0F0F0F"/>
        </w:rPr>
        <w:t>的范围或未达到规定的规模标准的，应由承包人按第5.1款的约定提供。经监理人确认的材料、工程设备的价格与工程量清单中所列的暂估价的金额差以及相应的税金等其他费用列入合同价格。</w:t>
      </w:r>
    </w:p>
    <w:p w14:paraId="01CB5A30">
      <w:pPr>
        <w:spacing w:line="400" w:lineRule="exact"/>
        <w:ind w:firstLine="420" w:firstLineChars="200"/>
        <w:rPr>
          <w:rFonts w:ascii="新宋体" w:eastAsia="新宋体"/>
          <w:color w:val="0F0F0F"/>
        </w:rPr>
      </w:pPr>
      <w:r>
        <w:rPr>
          <w:rFonts w:hint="eastAsia" w:ascii="新宋体" w:eastAsia="新宋体"/>
          <w:color w:val="0F0F0F"/>
        </w:rPr>
        <w:t>15.8.3 发包人在工程量清单中给定暂估价的专业工程不属于依法必须</w:t>
      </w:r>
      <w:r>
        <w:rPr>
          <w:rFonts w:hint="eastAsia" w:ascii="新宋体" w:eastAsia="新宋体"/>
          <w:color w:val="0F0F0F"/>
          <w:lang w:eastAsia="zh-CN"/>
        </w:rPr>
        <w:t>磋商</w:t>
      </w:r>
      <w:r>
        <w:rPr>
          <w:rFonts w:hint="eastAsia" w:ascii="新宋体" w:eastAsia="新宋体"/>
          <w:color w:val="0F0F0F"/>
        </w:rPr>
        <w:t>的范围或未达到规定的规模标准的，由监理人按照第15.4款进行估价，但专用合同条款另有约定的除外。经估价的专业工程与工程量清单中所列的暂估价的金额差以及相应的税金等其他费用列入合同价格。</w:t>
      </w:r>
      <w:bookmarkStart w:id="564" w:name="_Toc144974684"/>
      <w:bookmarkStart w:id="565" w:name="_Toc179632733"/>
      <w:bookmarkStart w:id="566" w:name="_Toc152042493"/>
      <w:bookmarkStart w:id="567" w:name="_Toc152045715"/>
    </w:p>
    <w:p w14:paraId="2F73BC0E">
      <w:pPr>
        <w:spacing w:line="400" w:lineRule="exact"/>
        <w:rPr>
          <w:rFonts w:ascii="新宋体" w:eastAsia="新宋体"/>
          <w:color w:val="0F0F0F"/>
          <w:sz w:val="28"/>
          <w:szCs w:val="28"/>
        </w:rPr>
      </w:pPr>
      <w:r>
        <w:rPr>
          <w:rFonts w:hint="eastAsia" w:ascii="新宋体" w:eastAsia="新宋体"/>
          <w:color w:val="0F0F0F"/>
          <w:sz w:val="28"/>
          <w:szCs w:val="28"/>
        </w:rPr>
        <w:t>16. 价格调整</w:t>
      </w:r>
      <w:bookmarkEnd w:id="564"/>
      <w:bookmarkEnd w:id="565"/>
      <w:bookmarkEnd w:id="566"/>
      <w:bookmarkEnd w:id="567"/>
      <w:bookmarkStart w:id="568" w:name="_Toc179632734"/>
      <w:bookmarkStart w:id="569" w:name="_Toc152042494"/>
      <w:bookmarkStart w:id="570" w:name="_Toc152045716"/>
      <w:bookmarkStart w:id="571" w:name="_Toc144974685"/>
    </w:p>
    <w:p w14:paraId="657C7694">
      <w:pPr>
        <w:spacing w:line="400" w:lineRule="exact"/>
        <w:rPr>
          <w:rFonts w:ascii="新宋体" w:eastAsia="新宋体"/>
          <w:color w:val="0F0F0F"/>
          <w:sz w:val="24"/>
        </w:rPr>
      </w:pPr>
      <w:r>
        <w:rPr>
          <w:rFonts w:hint="eastAsia" w:ascii="新宋体" w:eastAsia="新宋体"/>
          <w:color w:val="0F0F0F"/>
          <w:sz w:val="24"/>
        </w:rPr>
        <w:t>16.1 物价波动引起的价格调整</w:t>
      </w:r>
      <w:bookmarkEnd w:id="568"/>
      <w:bookmarkEnd w:id="569"/>
      <w:bookmarkEnd w:id="570"/>
      <w:bookmarkEnd w:id="571"/>
    </w:p>
    <w:p w14:paraId="533444D3">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除专用合同条款另有约定外，因物价波动引起的价格调整按照本款约定处理。</w:t>
      </w:r>
    </w:p>
    <w:p w14:paraId="4BCBC49E">
      <w:pPr>
        <w:spacing w:line="400" w:lineRule="exact"/>
        <w:ind w:firstLine="420" w:firstLineChars="200"/>
        <w:rPr>
          <w:rFonts w:ascii="新宋体" w:eastAsia="新宋体"/>
          <w:color w:val="0F0F0F"/>
        </w:rPr>
      </w:pPr>
      <w:r>
        <w:rPr>
          <w:rFonts w:hint="eastAsia" w:ascii="新宋体" w:eastAsia="新宋体"/>
          <w:color w:val="0F0F0F"/>
        </w:rPr>
        <w:t>16.1.1 采用价格指数调整价格差额</w:t>
      </w:r>
    </w:p>
    <w:p w14:paraId="5625D14B">
      <w:pPr>
        <w:spacing w:line="400" w:lineRule="exact"/>
        <w:ind w:firstLine="420" w:firstLineChars="200"/>
        <w:rPr>
          <w:rFonts w:ascii="新宋体" w:eastAsia="新宋体"/>
          <w:color w:val="0F0F0F"/>
        </w:rPr>
      </w:pPr>
      <w:r>
        <w:rPr>
          <w:rFonts w:hint="eastAsia" w:ascii="新宋体" w:eastAsia="新宋体"/>
          <w:color w:val="0F0F0F"/>
        </w:rPr>
        <w:t>16.1.1.1 价格调整公式</w:t>
      </w:r>
    </w:p>
    <w:p w14:paraId="21F5A9E4">
      <w:pPr>
        <w:spacing w:line="400" w:lineRule="exact"/>
        <w:ind w:firstLine="420" w:firstLineChars="200"/>
        <w:rPr>
          <w:rFonts w:ascii="新宋体" w:eastAsia="新宋体"/>
          <w:color w:val="0F0F0F"/>
        </w:rPr>
      </w:pPr>
      <w:r>
        <w:rPr>
          <w:rFonts w:hint="eastAsia" w:ascii="新宋体" w:eastAsia="新宋体"/>
          <w:color w:val="0F0F0F"/>
        </w:rPr>
        <w:t>因人工、材料和设备等价格波动影响合同价格时，根据投标函附录中的价格指数和权重表约定的数据，按以下公式计算差额并调整合同价格。</w:t>
      </w:r>
    </w:p>
    <w:p w14:paraId="22D5F6F0">
      <w:pPr>
        <w:autoSpaceDE w:val="0"/>
        <w:autoSpaceDN w:val="0"/>
        <w:adjustRightInd w:val="0"/>
        <w:spacing w:line="1200" w:lineRule="exact"/>
        <w:ind w:right="248" w:firstLine="835" w:firstLineChars="398"/>
        <w:rPr>
          <w:rFonts w:ascii="新宋体" w:eastAsia="新宋体"/>
          <w:color w:val="0F0F0F"/>
        </w:rPr>
      </w:pPr>
      <w:r>
        <w:rPr>
          <w:rFonts w:ascii="新宋体" w:eastAsia="新宋体"/>
          <w:color w:val="0F0F0F"/>
          <w:position w:val="-34"/>
        </w:rPr>
        <w:object>
          <v:shape id="_x0000_i1025" o:spt="75" type="#_x0000_t75" style="height:39.75pt;width:305.85pt;" o:ole="t" filled="f" o:preferrelative="t" stroked="f" coordsize="21600,21600">
            <v:path/>
            <v:fill on="f" focussize="0,0"/>
            <v:stroke on="f" joinstyle="miter"/>
            <v:imagedata r:id="rId12" o:title=""/>
            <o:lock v:ext="edit" aspectratio="t"/>
            <w10:wrap type="none"/>
            <w10:anchorlock/>
          </v:shape>
          <o:OLEObject Type="Embed" ProgID="Equation.3" ShapeID="_x0000_i1025" DrawAspect="Content" ObjectID="_1468075725" r:id="rId11">
            <o:LockedField>false</o:LockedField>
          </o:OLEObject>
        </w:object>
      </w:r>
    </w:p>
    <w:p w14:paraId="257014B4">
      <w:pPr>
        <w:tabs>
          <w:tab w:val="left" w:pos="1260"/>
        </w:tabs>
        <w:spacing w:line="400" w:lineRule="exact"/>
        <w:ind w:firstLine="420" w:firstLineChars="200"/>
        <w:rPr>
          <w:rFonts w:ascii="新宋体" w:eastAsia="新宋体"/>
          <w:color w:val="0F0F0F"/>
        </w:rPr>
      </w:pPr>
    </w:p>
    <w:p w14:paraId="2AACC803">
      <w:pPr>
        <w:tabs>
          <w:tab w:val="left" w:pos="1260"/>
        </w:tabs>
        <w:spacing w:line="400" w:lineRule="exact"/>
        <w:ind w:firstLine="420" w:firstLineChars="200"/>
        <w:rPr>
          <w:rFonts w:ascii="新宋体" w:eastAsia="新宋体"/>
          <w:color w:val="0F0F0F"/>
        </w:rPr>
      </w:pPr>
      <w:r>
        <w:rPr>
          <w:rFonts w:hint="eastAsia" w:ascii="新宋体" w:eastAsia="新宋体"/>
          <w:color w:val="0F0F0F"/>
        </w:rPr>
        <w:t>式中： △P -- 需调整的价格差额；</w:t>
      </w:r>
    </w:p>
    <w:p w14:paraId="5368E723">
      <w:pPr>
        <w:tabs>
          <w:tab w:val="left" w:pos="1260"/>
        </w:tabs>
        <w:spacing w:line="400" w:lineRule="exact"/>
        <w:ind w:firstLine="1155" w:firstLineChars="550"/>
        <w:rPr>
          <w:rFonts w:ascii="新宋体" w:eastAsia="新宋体"/>
          <w:color w:val="0F0F0F"/>
        </w:rPr>
      </w:pPr>
      <w:r>
        <w:rPr>
          <w:rFonts w:hint="eastAsia" w:ascii="新宋体" w:eastAsia="新宋体"/>
          <w:color w:val="0F0F0F"/>
        </w:rPr>
        <w:t>P</w:t>
      </w:r>
      <w:r>
        <w:rPr>
          <w:rFonts w:hint="eastAsia" w:ascii="新宋体" w:eastAsia="新宋体"/>
          <w:color w:val="0F0F0F"/>
          <w:szCs w:val="21"/>
          <w:vertAlign w:val="subscript"/>
        </w:rPr>
        <w:t>0</w:t>
      </w:r>
      <w:r>
        <w:rPr>
          <w:rFonts w:hint="eastAsia" w:ascii="新宋体" w:eastAsia="新宋体"/>
          <w:color w:val="0F0F0F"/>
        </w:rPr>
        <w:t xml:space="preserve"> -- 第17.3.3项、第17.5.2项和第17.6.2项约定的付款证书中承包人应得到的已完成工程量的金额。此项金额应不包括价格调整、不计质量保证金的扣留和支付、预付款的支付和扣回。第15条约定的变更及其他金额已按现行价格计价的，也不计在内；</w:t>
      </w:r>
    </w:p>
    <w:p w14:paraId="63FC899A">
      <w:pPr>
        <w:tabs>
          <w:tab w:val="left" w:pos="1260"/>
        </w:tabs>
        <w:spacing w:line="400" w:lineRule="exact"/>
        <w:ind w:firstLine="1260" w:firstLineChars="600"/>
        <w:rPr>
          <w:rFonts w:ascii="新宋体" w:eastAsia="新宋体"/>
          <w:color w:val="0F0F0F"/>
        </w:rPr>
      </w:pPr>
      <w:bookmarkStart w:id="572" w:name="_Toc152042495"/>
      <w:bookmarkStart w:id="573" w:name="_Toc144974686"/>
      <w:r>
        <w:rPr>
          <w:rFonts w:hint="eastAsia" w:ascii="新宋体" w:eastAsia="新宋体"/>
          <w:color w:val="0F0F0F"/>
        </w:rPr>
        <w:t>A -- 定值权重(即不调部分的权重)；</w:t>
      </w:r>
      <w:bookmarkEnd w:id="572"/>
      <w:bookmarkEnd w:id="573"/>
    </w:p>
    <w:p w14:paraId="7D26F0FE">
      <w:pPr>
        <w:tabs>
          <w:tab w:val="left" w:pos="1260"/>
        </w:tabs>
        <w:spacing w:line="400" w:lineRule="exact"/>
        <w:ind w:firstLine="1260" w:firstLineChars="600"/>
        <w:rPr>
          <w:rFonts w:ascii="新宋体" w:eastAsia="新宋体"/>
          <w:color w:val="0F0F0F"/>
        </w:rPr>
      </w:pPr>
      <w:r>
        <w:rPr>
          <w:rFonts w:hint="eastAsia" w:ascii="新宋体" w:eastAsia="新宋体"/>
          <w:color w:val="0F0F0F"/>
        </w:rPr>
        <w:t>B</w:t>
      </w:r>
      <w:r>
        <w:rPr>
          <w:rFonts w:hint="eastAsia" w:ascii="新宋体" w:eastAsia="新宋体"/>
          <w:color w:val="0F0F0F"/>
          <w:szCs w:val="21"/>
          <w:vertAlign w:val="subscript"/>
        </w:rPr>
        <w:t>1</w:t>
      </w:r>
      <w:r>
        <w:rPr>
          <w:rFonts w:hint="eastAsia" w:ascii="新宋体" w:eastAsia="新宋体"/>
          <w:color w:val="0F0F0F"/>
          <w:sz w:val="15"/>
          <w:szCs w:val="15"/>
        </w:rPr>
        <w:t>;</w:t>
      </w:r>
      <w:r>
        <w:rPr>
          <w:rFonts w:hint="eastAsia" w:ascii="新宋体" w:eastAsia="新宋体"/>
          <w:color w:val="0F0F0F"/>
        </w:rPr>
        <w:t xml:space="preserve"> B</w:t>
      </w:r>
      <w:r>
        <w:rPr>
          <w:rFonts w:hint="eastAsia" w:ascii="新宋体" w:eastAsia="新宋体"/>
          <w:color w:val="0F0F0F"/>
          <w:szCs w:val="21"/>
          <w:vertAlign w:val="subscript"/>
        </w:rPr>
        <w:t>2</w:t>
      </w:r>
      <w:r>
        <w:rPr>
          <w:rFonts w:hint="eastAsia" w:ascii="新宋体" w:eastAsia="新宋体"/>
          <w:color w:val="0F0F0F"/>
        </w:rPr>
        <w:t xml:space="preserve"> ;B</w:t>
      </w:r>
      <w:r>
        <w:rPr>
          <w:rFonts w:hint="eastAsia" w:ascii="新宋体" w:eastAsia="新宋体"/>
          <w:color w:val="0F0F0F"/>
          <w:szCs w:val="21"/>
          <w:vertAlign w:val="subscript"/>
        </w:rPr>
        <w:t>3</w:t>
      </w:r>
      <w:r>
        <w:rPr>
          <w:rFonts w:hint="eastAsia" w:ascii="新宋体" w:hAnsi="宋体" w:eastAsia="新宋体"/>
          <w:color w:val="0F0F0F"/>
          <w:sz w:val="15"/>
          <w:szCs w:val="15"/>
        </w:rPr>
        <w:t>·····</w:t>
      </w:r>
      <w:r>
        <w:rPr>
          <w:rFonts w:hint="eastAsia" w:ascii="新宋体" w:eastAsia="新宋体"/>
          <w:color w:val="0F0F0F"/>
        </w:rPr>
        <w:t>B</w:t>
      </w:r>
      <w:r>
        <w:rPr>
          <w:rFonts w:hint="eastAsia" w:ascii="新宋体" w:eastAsia="新宋体"/>
          <w:color w:val="0F0F0F"/>
          <w:szCs w:val="21"/>
          <w:vertAlign w:val="subscript"/>
        </w:rPr>
        <w:t>n</w:t>
      </w:r>
      <w:r>
        <w:rPr>
          <w:rFonts w:hint="eastAsia" w:ascii="新宋体" w:eastAsia="新宋体"/>
          <w:color w:val="0F0F0F"/>
        </w:rPr>
        <w:t xml:space="preserve"> -- 各可调因子的变值权重(即可调部分的权重)为各可调因子在投标函投标总报价中所占的比例；</w:t>
      </w:r>
    </w:p>
    <w:p w14:paraId="175D3631">
      <w:pPr>
        <w:tabs>
          <w:tab w:val="left" w:pos="1260"/>
        </w:tabs>
        <w:spacing w:line="400" w:lineRule="exact"/>
        <w:ind w:firstLine="1260" w:firstLineChars="600"/>
        <w:rPr>
          <w:rFonts w:ascii="新宋体" w:eastAsia="新宋体"/>
          <w:color w:val="0F0F0F"/>
        </w:rPr>
      </w:pPr>
      <w:r>
        <w:rPr>
          <w:rFonts w:hint="eastAsia" w:ascii="新宋体" w:eastAsia="新宋体"/>
          <w:color w:val="0F0F0F"/>
        </w:rPr>
        <w:t>F</w:t>
      </w:r>
      <w:r>
        <w:rPr>
          <w:rFonts w:hint="eastAsia" w:ascii="新宋体" w:eastAsia="新宋体"/>
          <w:color w:val="0F0F0F"/>
          <w:szCs w:val="21"/>
          <w:vertAlign w:val="subscript"/>
        </w:rPr>
        <w:t>t1</w:t>
      </w:r>
      <w:r>
        <w:rPr>
          <w:rFonts w:hint="eastAsia" w:ascii="新宋体" w:eastAsia="新宋体"/>
          <w:color w:val="0F0F0F"/>
        </w:rPr>
        <w:t xml:space="preserve"> ;F</w:t>
      </w:r>
      <w:r>
        <w:rPr>
          <w:rFonts w:hint="eastAsia" w:ascii="新宋体" w:eastAsia="新宋体"/>
          <w:color w:val="0F0F0F"/>
          <w:szCs w:val="21"/>
          <w:vertAlign w:val="subscript"/>
        </w:rPr>
        <w:t>t2</w:t>
      </w:r>
      <w:r>
        <w:rPr>
          <w:rFonts w:hint="eastAsia" w:ascii="新宋体" w:eastAsia="新宋体"/>
          <w:color w:val="0F0F0F"/>
        </w:rPr>
        <w:t xml:space="preserve"> ;F</w:t>
      </w:r>
      <w:r>
        <w:rPr>
          <w:rFonts w:hint="eastAsia" w:ascii="新宋体" w:eastAsia="新宋体"/>
          <w:color w:val="0F0F0F"/>
          <w:szCs w:val="21"/>
          <w:vertAlign w:val="subscript"/>
        </w:rPr>
        <w:t>t3</w:t>
      </w:r>
      <w:r>
        <w:rPr>
          <w:rFonts w:hint="eastAsia" w:ascii="新宋体" w:hAnsi="宋体" w:eastAsia="新宋体"/>
          <w:color w:val="0F0F0F"/>
          <w:sz w:val="15"/>
          <w:szCs w:val="15"/>
        </w:rPr>
        <w:t>·····</w:t>
      </w:r>
      <w:r>
        <w:rPr>
          <w:rFonts w:hint="eastAsia" w:ascii="新宋体" w:eastAsia="新宋体"/>
          <w:color w:val="0F0F0F"/>
        </w:rPr>
        <w:t>F</w:t>
      </w:r>
      <w:r>
        <w:rPr>
          <w:rFonts w:hint="eastAsia" w:ascii="新宋体" w:eastAsia="新宋体"/>
          <w:color w:val="0F0F0F"/>
          <w:szCs w:val="21"/>
          <w:vertAlign w:val="subscript"/>
        </w:rPr>
        <w:t>tn</w:t>
      </w:r>
      <w:r>
        <w:rPr>
          <w:rFonts w:hint="eastAsia" w:ascii="新宋体" w:eastAsia="新宋体"/>
          <w:color w:val="0F0F0F"/>
        </w:rPr>
        <w:t xml:space="preserve"> -- 各可调因子的现行价格指数，指第17.3.3项、第17.5.2项和第17.6.2项约定的付款证书相关周期最后一天的前42天的各可调因子的价格指数；</w:t>
      </w:r>
    </w:p>
    <w:p w14:paraId="217D8FE0">
      <w:pPr>
        <w:tabs>
          <w:tab w:val="left" w:pos="1260"/>
        </w:tabs>
        <w:spacing w:line="400" w:lineRule="exact"/>
        <w:ind w:firstLine="1260" w:firstLineChars="600"/>
        <w:rPr>
          <w:rFonts w:ascii="新宋体" w:eastAsia="新宋体"/>
          <w:color w:val="0F0F0F"/>
        </w:rPr>
      </w:pPr>
      <w:r>
        <w:rPr>
          <w:rFonts w:hint="eastAsia" w:ascii="新宋体" w:eastAsia="新宋体"/>
          <w:color w:val="0F0F0F"/>
        </w:rPr>
        <w:t>F</w:t>
      </w:r>
      <w:r>
        <w:rPr>
          <w:rFonts w:hint="eastAsia" w:ascii="新宋体" w:eastAsia="新宋体"/>
          <w:color w:val="0F0F0F"/>
          <w:szCs w:val="21"/>
          <w:vertAlign w:val="subscript"/>
        </w:rPr>
        <w:t>o1</w:t>
      </w:r>
      <w:r>
        <w:rPr>
          <w:rFonts w:hint="eastAsia" w:ascii="新宋体" w:eastAsia="新宋体"/>
          <w:color w:val="0F0F0F"/>
        </w:rPr>
        <w:t>; F</w:t>
      </w:r>
      <w:r>
        <w:rPr>
          <w:rFonts w:hint="eastAsia" w:ascii="新宋体" w:eastAsia="新宋体"/>
          <w:color w:val="0F0F0F"/>
          <w:szCs w:val="21"/>
          <w:vertAlign w:val="subscript"/>
        </w:rPr>
        <w:t>o2</w:t>
      </w:r>
      <w:r>
        <w:rPr>
          <w:rFonts w:hint="eastAsia" w:ascii="新宋体" w:eastAsia="新宋体"/>
          <w:color w:val="0F0F0F"/>
          <w:sz w:val="15"/>
          <w:szCs w:val="15"/>
        </w:rPr>
        <w:t>;</w:t>
      </w:r>
      <w:r>
        <w:rPr>
          <w:rFonts w:hint="eastAsia" w:ascii="新宋体" w:eastAsia="新宋体"/>
          <w:color w:val="0F0F0F"/>
        </w:rPr>
        <w:t xml:space="preserve"> F</w:t>
      </w:r>
      <w:r>
        <w:rPr>
          <w:rFonts w:hint="eastAsia" w:ascii="新宋体" w:eastAsia="新宋体"/>
          <w:color w:val="0F0F0F"/>
          <w:szCs w:val="21"/>
          <w:vertAlign w:val="subscript"/>
        </w:rPr>
        <w:t>o3</w:t>
      </w:r>
      <w:r>
        <w:rPr>
          <w:rFonts w:hint="eastAsia" w:ascii="新宋体" w:hAnsi="宋体" w:eastAsia="新宋体"/>
          <w:color w:val="0F0F0F"/>
          <w:sz w:val="15"/>
          <w:szCs w:val="15"/>
        </w:rPr>
        <w:t>·····</w:t>
      </w:r>
      <w:r>
        <w:rPr>
          <w:rFonts w:hint="eastAsia" w:ascii="新宋体" w:eastAsia="新宋体"/>
          <w:color w:val="0F0F0F"/>
        </w:rPr>
        <w:t>F</w:t>
      </w:r>
      <w:r>
        <w:rPr>
          <w:rFonts w:hint="eastAsia" w:ascii="新宋体" w:eastAsia="新宋体"/>
          <w:color w:val="0F0F0F"/>
          <w:szCs w:val="21"/>
          <w:vertAlign w:val="subscript"/>
        </w:rPr>
        <w:t>on</w:t>
      </w:r>
      <w:r>
        <w:rPr>
          <w:rFonts w:hint="eastAsia" w:ascii="新宋体" w:eastAsia="新宋体"/>
          <w:color w:val="0F0F0F"/>
        </w:rPr>
        <w:t xml:space="preserve"> -- 各可调因子的基本价格指数，指基准日期的各可调因子的价格指数。</w:t>
      </w:r>
    </w:p>
    <w:p w14:paraId="5ABD5E60">
      <w:pPr>
        <w:spacing w:line="400" w:lineRule="exact"/>
        <w:ind w:firstLine="420" w:firstLineChars="200"/>
        <w:rPr>
          <w:rFonts w:ascii="新宋体" w:eastAsia="新宋体"/>
          <w:color w:val="0F0F0F"/>
        </w:rPr>
      </w:pPr>
      <w:r>
        <w:rPr>
          <w:rFonts w:hint="eastAsia" w:ascii="新宋体" w:eastAsia="新宋体"/>
          <w:color w:val="0F0F0F"/>
        </w:rPr>
        <w:t>以上价格调整公式中的各可调因子、定值和变值权重，以及基本价格指数及其来源在投标函附录价格指数和权重表中约定。价格指数应首先采用有关部门提供的价格指数，缺乏上述价格指数时，可采用有关部门提供的价格代替。</w:t>
      </w:r>
    </w:p>
    <w:p w14:paraId="747576C9">
      <w:pPr>
        <w:spacing w:line="400" w:lineRule="exact"/>
        <w:ind w:firstLine="420" w:firstLineChars="200"/>
        <w:rPr>
          <w:rFonts w:ascii="新宋体" w:eastAsia="新宋体"/>
          <w:color w:val="0F0F0F"/>
        </w:rPr>
      </w:pPr>
      <w:r>
        <w:rPr>
          <w:rFonts w:hint="eastAsia" w:ascii="新宋体" w:eastAsia="新宋体"/>
          <w:color w:val="0F0F0F"/>
        </w:rPr>
        <w:t>16.1.1.2 暂时确定调整差额</w:t>
      </w:r>
    </w:p>
    <w:p w14:paraId="69367905">
      <w:pPr>
        <w:spacing w:line="400" w:lineRule="exact"/>
        <w:ind w:firstLine="420" w:firstLineChars="200"/>
        <w:rPr>
          <w:rFonts w:ascii="新宋体" w:eastAsia="新宋体"/>
          <w:color w:val="0F0F0F"/>
        </w:rPr>
      </w:pPr>
      <w:r>
        <w:rPr>
          <w:rFonts w:hint="eastAsia" w:ascii="新宋体" w:eastAsia="新宋体"/>
          <w:color w:val="0F0F0F"/>
        </w:rPr>
        <w:t>在计算调整差额时得不到现行价格指数的，可暂用上一次价格指数计算，并在以后的付款中再按实际价格指数进行调整。</w:t>
      </w:r>
    </w:p>
    <w:p w14:paraId="582545AC">
      <w:pPr>
        <w:spacing w:line="400" w:lineRule="exact"/>
        <w:ind w:firstLine="420" w:firstLineChars="200"/>
        <w:rPr>
          <w:rFonts w:ascii="新宋体" w:eastAsia="新宋体"/>
          <w:color w:val="0F0F0F"/>
        </w:rPr>
      </w:pPr>
      <w:r>
        <w:rPr>
          <w:rFonts w:hint="eastAsia" w:ascii="新宋体" w:eastAsia="新宋体"/>
          <w:color w:val="0F0F0F"/>
        </w:rPr>
        <w:t>16.1.1.3 权重的调整</w:t>
      </w:r>
    </w:p>
    <w:p w14:paraId="64033827">
      <w:pPr>
        <w:spacing w:line="400" w:lineRule="exact"/>
        <w:ind w:firstLine="420" w:firstLineChars="200"/>
        <w:rPr>
          <w:rFonts w:ascii="新宋体" w:eastAsia="新宋体"/>
          <w:color w:val="0F0F0F"/>
        </w:rPr>
      </w:pPr>
      <w:r>
        <w:rPr>
          <w:rFonts w:hint="eastAsia" w:ascii="新宋体" w:eastAsia="新宋体"/>
          <w:color w:val="0F0F0F"/>
        </w:rPr>
        <w:t>按第15.1款约定的变更导致原定合同中的权重不合理时，由监理人与承包人和发包人协商后进行调整。</w:t>
      </w:r>
    </w:p>
    <w:p w14:paraId="03241DDA">
      <w:pPr>
        <w:spacing w:line="400" w:lineRule="exact"/>
        <w:ind w:firstLine="420" w:firstLineChars="200"/>
        <w:rPr>
          <w:rFonts w:ascii="新宋体" w:eastAsia="新宋体"/>
          <w:color w:val="0F0F0F"/>
        </w:rPr>
      </w:pPr>
      <w:r>
        <w:rPr>
          <w:rFonts w:hint="eastAsia" w:ascii="新宋体" w:eastAsia="新宋体"/>
          <w:color w:val="0F0F0F"/>
        </w:rPr>
        <w:t>16.1.1.4 承包人工期延误后的价格调整</w:t>
      </w:r>
    </w:p>
    <w:p w14:paraId="229E3283">
      <w:pPr>
        <w:spacing w:line="400" w:lineRule="exact"/>
        <w:ind w:firstLine="420" w:firstLineChars="200"/>
        <w:rPr>
          <w:rFonts w:ascii="新宋体" w:eastAsia="新宋体"/>
          <w:color w:val="0F0F0F"/>
        </w:rPr>
      </w:pPr>
      <w:r>
        <w:rPr>
          <w:rFonts w:hint="eastAsia" w:ascii="新宋体" w:eastAsia="新宋体"/>
          <w:color w:val="0F0F0F"/>
        </w:rPr>
        <w:t>由于承包人原因未在约定的工期内竣工的，则对原约定竣工日期后继续施工的工程，在使用第16.1.1.1目价格调整公式时，应采用原约定竣工日期与实际竣工日期的两个价格指数中较低的一个作为现行价格指数。</w:t>
      </w:r>
    </w:p>
    <w:p w14:paraId="3A77BF8B">
      <w:pPr>
        <w:spacing w:line="400" w:lineRule="exact"/>
        <w:ind w:firstLine="420" w:firstLineChars="200"/>
        <w:rPr>
          <w:rFonts w:ascii="新宋体" w:eastAsia="新宋体"/>
          <w:color w:val="0F0F0F"/>
        </w:rPr>
      </w:pPr>
      <w:r>
        <w:rPr>
          <w:rFonts w:hint="eastAsia" w:ascii="新宋体" w:eastAsia="新宋体"/>
          <w:color w:val="0F0F0F"/>
        </w:rPr>
        <w:t>16.1.2 采用造价信息调整价格差额</w:t>
      </w:r>
    </w:p>
    <w:p w14:paraId="1BA7131F">
      <w:pPr>
        <w:spacing w:line="400" w:lineRule="exact"/>
        <w:ind w:firstLine="420" w:firstLineChars="200"/>
        <w:rPr>
          <w:rFonts w:ascii="新宋体" w:eastAsia="新宋体"/>
          <w:color w:val="0F0F0F"/>
        </w:rPr>
      </w:pPr>
      <w:r>
        <w:rPr>
          <w:rFonts w:hint="eastAsia" w:ascii="新宋体" w:eastAsia="新宋体"/>
          <w:color w:val="0F0F0F"/>
        </w:rPr>
        <w:t>施工期内，因人工、材料、设备和机械台班价格波动影响合同价格时，人工、机械使用费按照国家或省、自治区、直辖市建设行政管理部门、行业建设管理部门或其授权的工程造价管理机构发布的人工成本信息、机械台班单价或机械使用费系数进行调整；需要进行价格调整的材料，其单价和采购数应由监理人复核，监理人确认需调整的材料单价及数量，作为调整工程合同价格差额的依据。</w:t>
      </w:r>
      <w:bookmarkStart w:id="574" w:name="_Toc152045717"/>
      <w:bookmarkStart w:id="575" w:name="_Toc152042496"/>
      <w:bookmarkStart w:id="576" w:name="_Toc144974688"/>
      <w:bookmarkStart w:id="577" w:name="_Toc179632735"/>
    </w:p>
    <w:p w14:paraId="41684A4E">
      <w:pPr>
        <w:spacing w:line="400" w:lineRule="exact"/>
        <w:rPr>
          <w:rFonts w:ascii="新宋体" w:eastAsia="新宋体"/>
          <w:color w:val="0F0F0F"/>
          <w:sz w:val="24"/>
        </w:rPr>
      </w:pPr>
      <w:r>
        <w:rPr>
          <w:rFonts w:hint="eastAsia" w:ascii="新宋体" w:eastAsia="新宋体"/>
          <w:color w:val="0F0F0F"/>
          <w:sz w:val="24"/>
        </w:rPr>
        <w:t>16.2 法律变化引起的价格调整</w:t>
      </w:r>
      <w:bookmarkEnd w:id="574"/>
      <w:bookmarkEnd w:id="575"/>
      <w:bookmarkEnd w:id="576"/>
      <w:bookmarkEnd w:id="577"/>
    </w:p>
    <w:p w14:paraId="7FF66ACC">
      <w:pPr>
        <w:spacing w:line="400" w:lineRule="exact"/>
        <w:ind w:firstLine="420" w:firstLineChars="200"/>
        <w:rPr>
          <w:rFonts w:ascii="新宋体" w:eastAsia="新宋体"/>
          <w:color w:val="0F0F0F"/>
        </w:rPr>
      </w:pPr>
      <w:r>
        <w:rPr>
          <w:rFonts w:hint="eastAsia" w:ascii="新宋体" w:eastAsia="新宋体"/>
          <w:color w:val="0F0F0F"/>
        </w:rPr>
        <w:t>在基准日后，因法律变化导致承包人在合同履行中所需要的工程费用发生除第16.1款约定以外的增减时，监理人应根据法律、国家或省、自治区、直辖市有关部门的规定，按第3.5款商定或确定需调整的合同价款。</w:t>
      </w:r>
      <w:bookmarkStart w:id="578" w:name="_Toc152045718"/>
      <w:bookmarkStart w:id="579" w:name="_Toc144974689"/>
      <w:bookmarkStart w:id="580" w:name="_Toc179632736"/>
      <w:bookmarkStart w:id="581" w:name="_Toc152042497"/>
    </w:p>
    <w:p w14:paraId="3CEFE6FC">
      <w:pPr>
        <w:spacing w:line="400" w:lineRule="exact"/>
        <w:rPr>
          <w:rFonts w:ascii="新宋体" w:eastAsia="新宋体"/>
          <w:color w:val="0F0F0F"/>
          <w:sz w:val="28"/>
          <w:szCs w:val="28"/>
        </w:rPr>
      </w:pPr>
      <w:r>
        <w:rPr>
          <w:rFonts w:hint="eastAsia" w:ascii="新宋体" w:eastAsia="新宋体"/>
          <w:color w:val="0F0F0F"/>
          <w:sz w:val="28"/>
          <w:szCs w:val="28"/>
        </w:rPr>
        <w:t>17. 计量与支付</w:t>
      </w:r>
      <w:bookmarkEnd w:id="578"/>
      <w:bookmarkEnd w:id="579"/>
      <w:bookmarkEnd w:id="580"/>
      <w:bookmarkEnd w:id="581"/>
      <w:bookmarkStart w:id="582" w:name="_Toc144974690"/>
      <w:bookmarkStart w:id="583" w:name="_Toc152045719"/>
      <w:bookmarkStart w:id="584" w:name="_Toc179632737"/>
      <w:bookmarkStart w:id="585" w:name="_Toc152042498"/>
    </w:p>
    <w:p w14:paraId="44EE400C">
      <w:pPr>
        <w:spacing w:line="400" w:lineRule="exact"/>
        <w:rPr>
          <w:rFonts w:ascii="新宋体" w:eastAsia="新宋体"/>
          <w:color w:val="0F0F0F"/>
        </w:rPr>
      </w:pPr>
      <w:r>
        <w:rPr>
          <w:rFonts w:hint="eastAsia" w:ascii="新宋体" w:eastAsia="新宋体"/>
          <w:color w:val="0F0F0F"/>
          <w:sz w:val="24"/>
        </w:rPr>
        <w:t>17.1 计量</w:t>
      </w:r>
      <w:bookmarkEnd w:id="582"/>
      <w:bookmarkEnd w:id="583"/>
      <w:bookmarkEnd w:id="584"/>
      <w:bookmarkEnd w:id="585"/>
    </w:p>
    <w:p w14:paraId="45D7B8AD">
      <w:pPr>
        <w:spacing w:line="400" w:lineRule="exact"/>
        <w:ind w:firstLine="420" w:firstLineChars="200"/>
        <w:rPr>
          <w:rFonts w:ascii="新宋体" w:eastAsia="新宋体"/>
          <w:color w:val="0F0F0F"/>
        </w:rPr>
      </w:pPr>
      <w:r>
        <w:rPr>
          <w:rFonts w:hint="eastAsia" w:ascii="新宋体" w:eastAsia="新宋体"/>
          <w:color w:val="0F0F0F"/>
        </w:rPr>
        <w:t>17.1.1 计量单位</w:t>
      </w:r>
    </w:p>
    <w:p w14:paraId="3E4E38EA">
      <w:pPr>
        <w:spacing w:line="400" w:lineRule="exact"/>
        <w:ind w:firstLine="420" w:firstLineChars="200"/>
        <w:rPr>
          <w:rFonts w:ascii="新宋体" w:eastAsia="新宋体"/>
          <w:color w:val="0F0F0F"/>
        </w:rPr>
      </w:pPr>
      <w:r>
        <w:rPr>
          <w:rFonts w:hint="eastAsia" w:ascii="新宋体" w:eastAsia="新宋体"/>
          <w:color w:val="0F0F0F"/>
        </w:rPr>
        <w:t>计量采用国家法定的计量单位。</w:t>
      </w:r>
    </w:p>
    <w:p w14:paraId="6A0A08EE">
      <w:pPr>
        <w:spacing w:line="400" w:lineRule="exact"/>
        <w:ind w:firstLine="420" w:firstLineChars="200"/>
        <w:rPr>
          <w:rFonts w:ascii="新宋体" w:eastAsia="新宋体"/>
          <w:color w:val="0F0F0F"/>
        </w:rPr>
      </w:pPr>
      <w:r>
        <w:rPr>
          <w:rFonts w:hint="eastAsia" w:ascii="新宋体" w:eastAsia="新宋体"/>
          <w:color w:val="0F0F0F"/>
        </w:rPr>
        <w:t>17.1.2 计量方法</w:t>
      </w:r>
    </w:p>
    <w:p w14:paraId="02F13510">
      <w:pPr>
        <w:spacing w:line="400" w:lineRule="exact"/>
        <w:ind w:firstLine="420" w:firstLineChars="200"/>
        <w:rPr>
          <w:rFonts w:ascii="新宋体" w:eastAsia="新宋体"/>
          <w:color w:val="0F0F0F"/>
        </w:rPr>
      </w:pPr>
      <w:r>
        <w:rPr>
          <w:rFonts w:hint="eastAsia" w:ascii="新宋体" w:eastAsia="新宋体"/>
          <w:color w:val="0F0F0F"/>
        </w:rPr>
        <w:t>工程量清单中的工程量计算规则应按有关国家标准、行业标准的规定，并在合同中约定执行。</w:t>
      </w:r>
    </w:p>
    <w:p w14:paraId="09E44A9D">
      <w:pPr>
        <w:spacing w:line="400" w:lineRule="exact"/>
        <w:ind w:firstLine="420" w:firstLineChars="200"/>
        <w:rPr>
          <w:rFonts w:ascii="新宋体" w:eastAsia="新宋体"/>
          <w:color w:val="0F0F0F"/>
        </w:rPr>
      </w:pPr>
      <w:r>
        <w:rPr>
          <w:rFonts w:hint="eastAsia" w:ascii="新宋体" w:eastAsia="新宋体"/>
          <w:color w:val="0F0F0F"/>
        </w:rPr>
        <w:t>17.1.3 计量周期</w:t>
      </w:r>
    </w:p>
    <w:p w14:paraId="550BBF4F">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除专用合同条款另有约定外，单价子目已完成工程量按月计量，总价子目的计量周期按批准的支付分解报告确定。</w:t>
      </w:r>
    </w:p>
    <w:p w14:paraId="29C37D41">
      <w:pPr>
        <w:spacing w:line="400" w:lineRule="exact"/>
        <w:ind w:firstLine="420" w:firstLineChars="200"/>
        <w:rPr>
          <w:rFonts w:ascii="新宋体" w:eastAsia="新宋体"/>
          <w:color w:val="0F0F0F"/>
        </w:rPr>
      </w:pPr>
      <w:r>
        <w:rPr>
          <w:rFonts w:hint="eastAsia" w:ascii="新宋体" w:eastAsia="新宋体"/>
          <w:color w:val="0F0F0F"/>
        </w:rPr>
        <w:t>17.1.4 单价子目的计量</w:t>
      </w:r>
    </w:p>
    <w:p w14:paraId="168C1177">
      <w:pPr>
        <w:spacing w:line="400" w:lineRule="exact"/>
        <w:ind w:firstLine="718" w:firstLineChars="342"/>
        <w:rPr>
          <w:rFonts w:ascii="新宋体" w:eastAsia="新宋体"/>
          <w:color w:val="0F0F0F"/>
        </w:rPr>
      </w:pPr>
      <w:r>
        <w:rPr>
          <w:rFonts w:hint="eastAsia" w:ascii="新宋体" w:eastAsia="新宋体"/>
          <w:color w:val="0F0F0F"/>
        </w:rPr>
        <w:t>（1）已标价工程量清单中的单价子目工程量为估算工程量。结算工程量是承包人实际完成的，并按合同约定的计量方法进行计量的工程量。</w:t>
      </w:r>
    </w:p>
    <w:p w14:paraId="60647667">
      <w:pPr>
        <w:spacing w:line="400" w:lineRule="exact"/>
        <w:ind w:firstLine="718" w:firstLineChars="342"/>
        <w:rPr>
          <w:rFonts w:ascii="新宋体" w:eastAsia="新宋体"/>
          <w:color w:val="0F0F0F"/>
        </w:rPr>
      </w:pPr>
      <w:r>
        <w:rPr>
          <w:rFonts w:hint="eastAsia" w:ascii="新宋体" w:eastAsia="新宋体"/>
          <w:color w:val="0F0F0F"/>
        </w:rPr>
        <w:t>（2）承包人对已完成的工程进行计量，向监理人提交进度付款申请单、已完成工程量报表和有关计量资料。</w:t>
      </w:r>
    </w:p>
    <w:p w14:paraId="28B9BD64">
      <w:pPr>
        <w:spacing w:line="400" w:lineRule="exact"/>
        <w:ind w:firstLine="718" w:firstLineChars="342"/>
        <w:rPr>
          <w:rFonts w:ascii="新宋体" w:eastAsia="新宋体"/>
          <w:color w:val="0F0F0F"/>
        </w:rPr>
      </w:pPr>
      <w:r>
        <w:rPr>
          <w:rFonts w:hint="eastAsia" w:ascii="新宋体" w:eastAsia="新宋体"/>
          <w:color w:val="0F0F0F"/>
        </w:rPr>
        <w:t>（3）监理人对承包人提交的工程量报表进行复核，以确定实际完成的工程量。对数量有异议的，可要求承包人按第8.2款约定进行共同复核和抽样复测。承包人应协助监理人进行复核并按监理人要求提供补充计量资料。承包人未按监理人要求参加复核，监理人复核或修正的工程量视为承包人实际完成的工程量。</w:t>
      </w:r>
    </w:p>
    <w:p w14:paraId="006DD2DE">
      <w:pPr>
        <w:spacing w:line="400" w:lineRule="exact"/>
        <w:ind w:firstLine="718" w:firstLineChars="342"/>
        <w:rPr>
          <w:rFonts w:ascii="新宋体" w:eastAsia="新宋体"/>
          <w:color w:val="0F0F0F"/>
        </w:rPr>
      </w:pPr>
      <w:r>
        <w:rPr>
          <w:rFonts w:hint="eastAsia" w:ascii="新宋体" w:eastAsia="新宋体"/>
          <w:color w:val="0F0F0F"/>
        </w:rPr>
        <w:t>（4）监理人认为有必要时，可通知承包人共同进行联合测量、计量，承包人应遵照执行。</w:t>
      </w:r>
    </w:p>
    <w:p w14:paraId="66A40775">
      <w:pPr>
        <w:spacing w:line="400" w:lineRule="exact"/>
        <w:ind w:firstLine="718" w:firstLineChars="342"/>
        <w:rPr>
          <w:rFonts w:ascii="新宋体" w:eastAsia="新宋体"/>
          <w:color w:val="0F0F0F"/>
        </w:rPr>
      </w:pPr>
      <w:r>
        <w:rPr>
          <w:rFonts w:hint="eastAsia" w:ascii="新宋体" w:eastAsia="新宋体"/>
          <w:color w:val="0F0F0F"/>
        </w:rPr>
        <w:t>（5）承包人完成工程量清单中每个子目的工程量后，监理人应要求承包人派员共同对每个子目的历次计量报表进行汇总，以核实最终结算工程量。监理人可要求承包人提供补充计量资料，以确定最后一次进度付款的准确工程量。承包人未按监理人要求派员参加的，监理人最终核实的工程量视为承包人完成该子目的准确工程量。</w:t>
      </w:r>
    </w:p>
    <w:p w14:paraId="0D98B800">
      <w:pPr>
        <w:spacing w:line="400" w:lineRule="exact"/>
        <w:ind w:firstLine="718" w:firstLineChars="342"/>
        <w:rPr>
          <w:rFonts w:ascii="新宋体" w:eastAsia="新宋体"/>
          <w:color w:val="0F0F0F"/>
        </w:rPr>
      </w:pPr>
      <w:r>
        <w:rPr>
          <w:rFonts w:hint="eastAsia" w:ascii="新宋体" w:eastAsia="新宋体"/>
          <w:color w:val="0F0F0F"/>
        </w:rPr>
        <w:t>（6）监理人应在收到承包人提交的工程量报表后的7天内进行复核，监理人未在约定时间内复核的，承包人提交的工程量报表中的工程量视为承包人实际完成的工程量，据此计算工程价款。</w:t>
      </w:r>
    </w:p>
    <w:p w14:paraId="492D69BA">
      <w:pPr>
        <w:spacing w:line="400" w:lineRule="exact"/>
        <w:ind w:firstLine="420" w:firstLineChars="200"/>
        <w:rPr>
          <w:rFonts w:ascii="新宋体" w:eastAsia="新宋体"/>
          <w:color w:val="0F0F0F"/>
        </w:rPr>
      </w:pPr>
      <w:r>
        <w:rPr>
          <w:rFonts w:hint="eastAsia" w:ascii="新宋体" w:eastAsia="新宋体"/>
          <w:color w:val="0F0F0F"/>
        </w:rPr>
        <w:t>17.1.5 总价子目的计量</w:t>
      </w:r>
    </w:p>
    <w:p w14:paraId="23A937B4">
      <w:pPr>
        <w:spacing w:line="400" w:lineRule="exact"/>
        <w:ind w:firstLine="420" w:firstLineChars="200"/>
        <w:rPr>
          <w:rFonts w:ascii="新宋体" w:eastAsia="新宋体"/>
          <w:color w:val="0F0F0F"/>
        </w:rPr>
      </w:pPr>
      <w:r>
        <w:rPr>
          <w:rFonts w:hint="eastAsia" w:ascii="新宋体" w:eastAsia="新宋体"/>
          <w:color w:val="0F0F0F"/>
        </w:rPr>
        <w:t>本项目工程量清单中总额价子目的支付原则和支付进度为一次性支付。</w:t>
      </w:r>
    </w:p>
    <w:p w14:paraId="34894896">
      <w:pPr>
        <w:spacing w:line="400" w:lineRule="exact"/>
        <w:rPr>
          <w:rFonts w:ascii="新宋体" w:hAnsi="宋体" w:eastAsia="新宋体"/>
          <w:color w:val="0F0F0F"/>
          <w:sz w:val="24"/>
        </w:rPr>
      </w:pPr>
      <w:bookmarkStart w:id="586" w:name="_Toc152045720"/>
      <w:bookmarkStart w:id="587" w:name="_Toc144974691"/>
      <w:bookmarkStart w:id="588" w:name="_Toc179632738"/>
      <w:bookmarkStart w:id="589" w:name="_Toc152042499"/>
      <w:r>
        <w:rPr>
          <w:rFonts w:hint="eastAsia" w:ascii="新宋体" w:eastAsia="新宋体"/>
          <w:color w:val="0F0F0F"/>
          <w:sz w:val="24"/>
        </w:rPr>
        <w:t>17.2 预付款</w:t>
      </w:r>
      <w:bookmarkEnd w:id="586"/>
      <w:bookmarkEnd w:id="587"/>
      <w:bookmarkEnd w:id="588"/>
      <w:bookmarkEnd w:id="589"/>
    </w:p>
    <w:p w14:paraId="6696F4C0">
      <w:pPr>
        <w:spacing w:line="400" w:lineRule="exact"/>
        <w:ind w:firstLine="420" w:firstLineChars="200"/>
        <w:rPr>
          <w:rFonts w:ascii="新宋体" w:eastAsia="新宋体"/>
          <w:color w:val="0F0F0F"/>
        </w:rPr>
      </w:pPr>
      <w:r>
        <w:rPr>
          <w:rFonts w:hint="eastAsia" w:ascii="新宋体" w:eastAsia="新宋体"/>
          <w:color w:val="0F0F0F"/>
        </w:rPr>
        <w:t>17.2.1 预付款</w:t>
      </w:r>
    </w:p>
    <w:p w14:paraId="4FC8C289">
      <w:pPr>
        <w:spacing w:line="400" w:lineRule="exact"/>
        <w:ind w:firstLine="420" w:firstLineChars="200"/>
        <w:rPr>
          <w:rFonts w:ascii="新宋体" w:eastAsia="新宋体"/>
          <w:color w:val="0F0F0F"/>
        </w:rPr>
      </w:pPr>
      <w:r>
        <w:rPr>
          <w:rFonts w:hint="eastAsia" w:ascii="新宋体" w:eastAsia="新宋体"/>
          <w:color w:val="0F0F0F"/>
        </w:rPr>
        <w:t>预付款用于承包人为合同工程施工购置材料、工程设备、施工设备、修建临时设施以及组织施工队伍进场等。预付款的额度和预付办法在专用合同条款中约定。预付款必须专用于合同工程。</w:t>
      </w:r>
    </w:p>
    <w:p w14:paraId="7C4D41CE">
      <w:pPr>
        <w:spacing w:line="400" w:lineRule="exact"/>
        <w:ind w:firstLine="420" w:firstLineChars="200"/>
        <w:rPr>
          <w:rFonts w:ascii="新宋体" w:eastAsia="新宋体"/>
          <w:color w:val="0F0F0F"/>
        </w:rPr>
      </w:pPr>
      <w:r>
        <w:rPr>
          <w:rFonts w:hint="eastAsia" w:ascii="新宋体" w:eastAsia="新宋体"/>
          <w:color w:val="0F0F0F"/>
        </w:rPr>
        <w:t>17.2.2 预付款保函</w:t>
      </w:r>
    </w:p>
    <w:p w14:paraId="6E1F17A9">
      <w:pPr>
        <w:spacing w:line="400" w:lineRule="exact"/>
        <w:ind w:firstLine="420" w:firstLineChars="200"/>
        <w:rPr>
          <w:rFonts w:ascii="新宋体" w:eastAsia="新宋体"/>
          <w:color w:val="0F0F0F"/>
        </w:rPr>
      </w:pPr>
      <w:r>
        <w:rPr>
          <w:rFonts w:hint="eastAsia" w:ascii="新宋体" w:eastAsia="新宋体"/>
          <w:color w:val="0F0F0F"/>
        </w:rPr>
        <w:t>除专用合同条款另有约定外，承包人应在收到预付款的同时向发包人提交预付款保函，预付款保函的担保金额应与预付款金额相同。保函的担保金额可根据预付款扣回的金额相应递减。</w:t>
      </w:r>
    </w:p>
    <w:p w14:paraId="5402BC29">
      <w:pPr>
        <w:spacing w:line="400" w:lineRule="exact"/>
        <w:ind w:firstLine="420" w:firstLineChars="200"/>
        <w:rPr>
          <w:rFonts w:ascii="新宋体" w:eastAsia="新宋体"/>
          <w:color w:val="0F0F0F"/>
        </w:rPr>
      </w:pPr>
      <w:r>
        <w:rPr>
          <w:rFonts w:hint="eastAsia" w:ascii="新宋体" w:eastAsia="新宋体"/>
          <w:color w:val="0F0F0F"/>
        </w:rPr>
        <w:t>17.2.3 预付款的扣回与还清</w:t>
      </w:r>
    </w:p>
    <w:p w14:paraId="71E9BE7B">
      <w:pPr>
        <w:spacing w:line="400" w:lineRule="exact"/>
        <w:ind w:firstLine="420" w:firstLineChars="200"/>
        <w:rPr>
          <w:rFonts w:ascii="新宋体" w:eastAsia="新宋体"/>
          <w:color w:val="0F0F0F"/>
        </w:rPr>
      </w:pPr>
      <w:r>
        <w:rPr>
          <w:rFonts w:hint="eastAsia" w:ascii="新宋体" w:eastAsia="新宋体"/>
          <w:color w:val="0F0F0F"/>
        </w:rPr>
        <w:t>预付款在进度付款中扣回，扣回办法在专用合同条款中约定。在颁发工程接收证书前，由于不可抗力或其他原因解除合同时，预付款尚未扣清的，尚未扣清的预付款余额应作为承包人的到期应付款。</w:t>
      </w:r>
      <w:bookmarkStart w:id="590" w:name="_Toc152045721"/>
      <w:bookmarkStart w:id="591" w:name="_Toc144974692"/>
      <w:bookmarkStart w:id="592" w:name="_Toc179632739"/>
      <w:bookmarkStart w:id="593" w:name="_Toc152042500"/>
    </w:p>
    <w:p w14:paraId="1F04CB25">
      <w:pPr>
        <w:spacing w:line="400" w:lineRule="exact"/>
        <w:rPr>
          <w:rFonts w:ascii="新宋体" w:eastAsia="新宋体"/>
          <w:color w:val="0F0F0F"/>
          <w:sz w:val="24"/>
        </w:rPr>
      </w:pPr>
      <w:r>
        <w:rPr>
          <w:rFonts w:hint="eastAsia" w:ascii="新宋体" w:eastAsia="新宋体"/>
          <w:color w:val="0F0F0F"/>
          <w:sz w:val="24"/>
        </w:rPr>
        <w:t>17.3 工程进度付款</w:t>
      </w:r>
      <w:bookmarkEnd w:id="590"/>
      <w:bookmarkEnd w:id="591"/>
      <w:bookmarkEnd w:id="592"/>
      <w:bookmarkEnd w:id="593"/>
    </w:p>
    <w:p w14:paraId="77338F5C">
      <w:pPr>
        <w:spacing w:line="400" w:lineRule="exact"/>
        <w:ind w:firstLine="420" w:firstLineChars="200"/>
        <w:rPr>
          <w:rFonts w:ascii="新宋体" w:eastAsia="新宋体"/>
          <w:color w:val="0F0F0F"/>
        </w:rPr>
      </w:pPr>
      <w:r>
        <w:rPr>
          <w:rFonts w:hint="eastAsia" w:ascii="新宋体" w:eastAsia="新宋体"/>
          <w:color w:val="0F0F0F"/>
        </w:rPr>
        <w:t>17.3.1 付款周期</w:t>
      </w:r>
    </w:p>
    <w:p w14:paraId="6E13E333">
      <w:pPr>
        <w:spacing w:line="400" w:lineRule="exact"/>
        <w:ind w:firstLine="420" w:firstLineChars="200"/>
        <w:rPr>
          <w:rFonts w:ascii="新宋体" w:eastAsia="新宋体"/>
          <w:color w:val="0F0F0F"/>
        </w:rPr>
      </w:pPr>
      <w:r>
        <w:rPr>
          <w:rFonts w:hint="eastAsia" w:ascii="新宋体" w:eastAsia="新宋体"/>
          <w:color w:val="0F0F0F"/>
        </w:rPr>
        <w:t>付款周期同计量周期。</w:t>
      </w:r>
    </w:p>
    <w:p w14:paraId="0F0B3089">
      <w:pPr>
        <w:spacing w:line="400" w:lineRule="exact"/>
        <w:ind w:firstLine="420" w:firstLineChars="200"/>
        <w:rPr>
          <w:rFonts w:ascii="新宋体" w:eastAsia="新宋体"/>
          <w:color w:val="0F0F0F"/>
        </w:rPr>
      </w:pPr>
      <w:r>
        <w:rPr>
          <w:rFonts w:hint="eastAsia" w:ascii="新宋体" w:eastAsia="新宋体"/>
          <w:color w:val="0F0F0F"/>
        </w:rPr>
        <w:t>17.3.2 进度付款申请单</w:t>
      </w:r>
    </w:p>
    <w:p w14:paraId="513B7E01">
      <w:pPr>
        <w:spacing w:line="400" w:lineRule="exact"/>
        <w:ind w:firstLine="420" w:firstLineChars="200"/>
        <w:rPr>
          <w:rFonts w:ascii="新宋体" w:eastAsia="新宋体"/>
          <w:dstrike/>
          <w:color w:val="0F0F0F"/>
          <w:szCs w:val="21"/>
        </w:rPr>
      </w:pPr>
      <w:r>
        <w:rPr>
          <w:rFonts w:hint="eastAsia" w:ascii="新宋体" w:eastAsia="新宋体"/>
          <w:color w:val="0F0F0F"/>
        </w:rPr>
        <w:t>承包人应在每个付款周期末，按监理人批准的格式和专用合同条款约定的份数，向监理人提交进度付款申请单，并附相应的支持性证明文件。除专用合同条款另有约定外，进度付款申请单应包括下列内容：</w:t>
      </w:r>
    </w:p>
    <w:p w14:paraId="1B9C8DF0">
      <w:pPr>
        <w:spacing w:line="400" w:lineRule="exact"/>
        <w:ind w:firstLine="420" w:firstLineChars="200"/>
        <w:rPr>
          <w:rFonts w:ascii="新宋体" w:eastAsia="新宋体"/>
          <w:color w:val="0F0F0F"/>
        </w:rPr>
      </w:pPr>
      <w:r>
        <w:rPr>
          <w:rFonts w:hint="eastAsia" w:ascii="新宋体" w:eastAsia="新宋体"/>
          <w:color w:val="0F0F0F"/>
        </w:rPr>
        <w:t>（1）截至本次付款周期末已实施工程的价款；</w:t>
      </w:r>
    </w:p>
    <w:p w14:paraId="37416B68">
      <w:pPr>
        <w:spacing w:line="400" w:lineRule="exact"/>
        <w:ind w:firstLine="420" w:firstLineChars="200"/>
        <w:rPr>
          <w:rFonts w:ascii="新宋体" w:eastAsia="新宋体"/>
          <w:color w:val="0F0F0F"/>
        </w:rPr>
      </w:pPr>
      <w:r>
        <w:rPr>
          <w:rFonts w:hint="eastAsia" w:ascii="新宋体" w:eastAsia="新宋体"/>
          <w:color w:val="0F0F0F"/>
        </w:rPr>
        <w:t>（2）根据第15条应增加和扣减的变更金额；</w:t>
      </w:r>
    </w:p>
    <w:p w14:paraId="3541187A">
      <w:pPr>
        <w:spacing w:line="400" w:lineRule="exact"/>
        <w:ind w:firstLine="420" w:firstLineChars="200"/>
        <w:rPr>
          <w:rFonts w:ascii="新宋体" w:eastAsia="新宋体"/>
          <w:color w:val="0F0F0F"/>
        </w:rPr>
      </w:pPr>
      <w:r>
        <w:rPr>
          <w:rFonts w:hint="eastAsia" w:ascii="新宋体" w:eastAsia="新宋体"/>
          <w:color w:val="0F0F0F"/>
        </w:rPr>
        <w:t>（3）根据第23条应增加和扣减的索赔金额；</w:t>
      </w:r>
    </w:p>
    <w:p w14:paraId="543985BE">
      <w:pPr>
        <w:spacing w:line="400" w:lineRule="exact"/>
        <w:ind w:firstLine="420" w:firstLineChars="200"/>
        <w:rPr>
          <w:rFonts w:ascii="新宋体" w:eastAsia="新宋体"/>
          <w:color w:val="0F0F0F"/>
        </w:rPr>
      </w:pPr>
      <w:r>
        <w:rPr>
          <w:rFonts w:hint="eastAsia" w:ascii="新宋体" w:eastAsia="新宋体"/>
          <w:color w:val="0F0F0F"/>
        </w:rPr>
        <w:t>（4）根据第17.2款约定应支付的预付款和扣减的返还预付款；</w:t>
      </w:r>
    </w:p>
    <w:p w14:paraId="23E35AD3">
      <w:pPr>
        <w:spacing w:line="400" w:lineRule="exact"/>
        <w:ind w:firstLine="420" w:firstLineChars="200"/>
        <w:rPr>
          <w:rFonts w:ascii="新宋体" w:eastAsia="新宋体"/>
          <w:color w:val="0F0F0F"/>
        </w:rPr>
      </w:pPr>
      <w:r>
        <w:rPr>
          <w:rFonts w:hint="eastAsia" w:ascii="新宋体" w:eastAsia="新宋体"/>
          <w:color w:val="0F0F0F"/>
        </w:rPr>
        <w:t>（5）根据第17.4.1项约定应扣减的质量保证金；</w:t>
      </w:r>
    </w:p>
    <w:p w14:paraId="712A17F1">
      <w:pPr>
        <w:spacing w:line="400" w:lineRule="exact"/>
        <w:ind w:firstLine="420" w:firstLineChars="200"/>
        <w:rPr>
          <w:rFonts w:ascii="新宋体" w:eastAsia="新宋体"/>
          <w:color w:val="0F0F0F"/>
        </w:rPr>
      </w:pPr>
      <w:r>
        <w:rPr>
          <w:rFonts w:hint="eastAsia" w:ascii="新宋体" w:eastAsia="新宋体"/>
          <w:color w:val="0F0F0F"/>
        </w:rPr>
        <w:t>（6）根据合同应增加和扣减的其他金额。</w:t>
      </w:r>
    </w:p>
    <w:p w14:paraId="0E677B9C">
      <w:pPr>
        <w:spacing w:line="400" w:lineRule="exact"/>
        <w:ind w:firstLine="420" w:firstLineChars="200"/>
        <w:rPr>
          <w:rFonts w:ascii="新宋体" w:eastAsia="新宋体"/>
          <w:color w:val="0F0F0F"/>
        </w:rPr>
      </w:pPr>
      <w:r>
        <w:rPr>
          <w:rFonts w:hint="eastAsia" w:ascii="新宋体" w:eastAsia="新宋体"/>
          <w:color w:val="0F0F0F"/>
        </w:rPr>
        <w:t>17.3.3 进度付款证书和支付时间</w:t>
      </w:r>
    </w:p>
    <w:p w14:paraId="7EFB844E">
      <w:pPr>
        <w:spacing w:line="400" w:lineRule="exact"/>
        <w:ind w:firstLine="630" w:firstLineChars="300"/>
        <w:rPr>
          <w:rFonts w:ascii="新宋体" w:eastAsia="新宋体"/>
          <w:color w:val="0F0F0F"/>
        </w:rPr>
      </w:pPr>
      <w:r>
        <w:rPr>
          <w:rFonts w:hint="eastAsia" w:ascii="新宋体" w:eastAsia="新宋体"/>
          <w:color w:val="0F0F0F"/>
        </w:rPr>
        <w:t>（1）监理人在收到承包人进度付款申请单以及相应的支持性证明文件后的14天内完成核查，提出发包人到期应支付给承包人的金额以及相应的支持性材料，经发包人审查同意后，由监理人向承包人出具经发包人签认的进度付款证书。监理人有权扣发承包人未能按照合同要求履行任何工作或义务的相应金额。</w:t>
      </w:r>
    </w:p>
    <w:p w14:paraId="535012B8">
      <w:pPr>
        <w:spacing w:line="400" w:lineRule="exact"/>
        <w:ind w:firstLine="718" w:firstLineChars="342"/>
        <w:rPr>
          <w:rFonts w:ascii="新宋体" w:eastAsia="新宋体"/>
          <w:color w:val="0F0F0F"/>
        </w:rPr>
      </w:pPr>
      <w:r>
        <w:rPr>
          <w:rFonts w:hint="eastAsia" w:ascii="新宋体" w:eastAsia="新宋体"/>
          <w:color w:val="0F0F0F"/>
        </w:rPr>
        <w:t>（2）发包人应在监理人收到进度付款申请单后的28天内，将进度应付款支付给承包人。发包人不按期支付的，按专用合同条款的约定支付逾期付款违约金。</w:t>
      </w:r>
    </w:p>
    <w:p w14:paraId="6758D5F3">
      <w:pPr>
        <w:spacing w:line="400" w:lineRule="exact"/>
        <w:ind w:firstLine="718" w:firstLineChars="342"/>
        <w:rPr>
          <w:rFonts w:ascii="新宋体" w:eastAsia="新宋体"/>
          <w:color w:val="0F0F0F"/>
        </w:rPr>
      </w:pPr>
      <w:r>
        <w:rPr>
          <w:rFonts w:hint="eastAsia" w:ascii="新宋体" w:eastAsia="新宋体"/>
          <w:color w:val="0F0F0F"/>
        </w:rPr>
        <w:t>（3）监理人出具进度付款证书，不应视为监理人已同意、批准或接受了承包人完成的该部分工作。</w:t>
      </w:r>
    </w:p>
    <w:p w14:paraId="72F053DA">
      <w:pPr>
        <w:spacing w:line="400" w:lineRule="exact"/>
        <w:ind w:firstLine="718" w:firstLineChars="342"/>
        <w:rPr>
          <w:rFonts w:ascii="新宋体" w:eastAsia="新宋体"/>
          <w:color w:val="0F0F0F"/>
        </w:rPr>
      </w:pPr>
      <w:r>
        <w:rPr>
          <w:rFonts w:hint="eastAsia" w:ascii="新宋体" w:eastAsia="新宋体"/>
          <w:color w:val="0F0F0F"/>
        </w:rPr>
        <w:t>（4）进度付款涉及政府投资资金的，按照国库集中支付等国家相关规定和专用合同条款的约定办理。</w:t>
      </w:r>
    </w:p>
    <w:p w14:paraId="3AE49CE3">
      <w:pPr>
        <w:spacing w:line="400" w:lineRule="exact"/>
        <w:ind w:firstLine="420" w:firstLineChars="200"/>
        <w:rPr>
          <w:rFonts w:ascii="新宋体" w:eastAsia="新宋体"/>
          <w:color w:val="0F0F0F"/>
        </w:rPr>
      </w:pPr>
      <w:r>
        <w:rPr>
          <w:rFonts w:hint="eastAsia" w:ascii="新宋体" w:eastAsia="新宋体"/>
          <w:color w:val="0F0F0F"/>
        </w:rPr>
        <w:t>17.3.4 工程进度付款的修正</w:t>
      </w:r>
    </w:p>
    <w:p w14:paraId="17FEF4F0">
      <w:pPr>
        <w:spacing w:line="400" w:lineRule="exact"/>
        <w:ind w:firstLine="420" w:firstLineChars="200"/>
        <w:rPr>
          <w:rFonts w:ascii="新宋体" w:eastAsia="新宋体"/>
          <w:color w:val="0F0F0F"/>
        </w:rPr>
      </w:pPr>
      <w:r>
        <w:rPr>
          <w:rFonts w:hint="eastAsia" w:ascii="新宋体" w:eastAsia="新宋体"/>
          <w:color w:val="0F0F0F"/>
        </w:rPr>
        <w:t>在对以往历次已签发的进度付款证书进行汇总和复核中发现错、漏或重复的，监理人有权予以修正，承包人也有权提出修正申请。经双方复核同意的修正，应在本次进度付款中支付或扣除。</w:t>
      </w:r>
      <w:bookmarkStart w:id="594" w:name="_Toc152042501"/>
      <w:bookmarkStart w:id="595" w:name="_Toc152045722"/>
      <w:bookmarkStart w:id="596" w:name="_Toc144974693"/>
      <w:bookmarkStart w:id="597" w:name="_Toc179632740"/>
    </w:p>
    <w:p w14:paraId="5A51392B">
      <w:pPr>
        <w:spacing w:line="400" w:lineRule="exact"/>
        <w:ind w:firstLine="420" w:firstLineChars="200"/>
        <w:rPr>
          <w:rFonts w:ascii="新宋体" w:eastAsia="新宋体"/>
          <w:color w:val="0F0F0F"/>
        </w:rPr>
      </w:pPr>
      <w:r>
        <w:rPr>
          <w:rFonts w:hint="eastAsia" w:ascii="新宋体" w:eastAsia="新宋体"/>
          <w:color w:val="0F0F0F"/>
        </w:rPr>
        <w:t>17.3.5 农民工工资保证金：</w:t>
      </w:r>
    </w:p>
    <w:p w14:paraId="7103C065">
      <w:pPr>
        <w:spacing w:line="400" w:lineRule="exact"/>
        <w:ind w:firstLine="420" w:firstLineChars="200"/>
        <w:rPr>
          <w:rFonts w:ascii="新宋体" w:eastAsia="新宋体"/>
          <w:color w:val="0F0F0F"/>
          <w:u w:val="single"/>
        </w:rPr>
      </w:pPr>
      <w:r>
        <w:rPr>
          <w:rFonts w:hint="eastAsia" w:ascii="新宋体" w:eastAsia="新宋体"/>
          <w:color w:val="0F0F0F"/>
        </w:rPr>
        <w:t xml:space="preserve">                       缴存时间：</w:t>
      </w:r>
      <w:r>
        <w:rPr>
          <w:rFonts w:hint="eastAsia" w:ascii="新宋体" w:eastAsia="新宋体"/>
          <w:color w:val="0F0F0F"/>
          <w:u w:val="single"/>
        </w:rPr>
        <w:t xml:space="preserve">           /               </w:t>
      </w:r>
    </w:p>
    <w:p w14:paraId="1655998F">
      <w:pPr>
        <w:spacing w:line="400" w:lineRule="exact"/>
        <w:rPr>
          <w:rFonts w:ascii="新宋体" w:eastAsia="新宋体"/>
          <w:color w:val="0F0F0F"/>
          <w:u w:val="single"/>
        </w:rPr>
      </w:pPr>
      <w:r>
        <w:rPr>
          <w:rFonts w:hint="eastAsia" w:ascii="新宋体" w:eastAsia="新宋体"/>
          <w:color w:val="0F0F0F"/>
        </w:rPr>
        <w:t xml:space="preserve">                           缴存金额：</w:t>
      </w:r>
      <w:r>
        <w:rPr>
          <w:rFonts w:hint="eastAsia" w:ascii="新宋体" w:eastAsia="新宋体"/>
          <w:color w:val="0F0F0F"/>
          <w:u w:val="single"/>
        </w:rPr>
        <w:t xml:space="preserve">           /               </w:t>
      </w:r>
    </w:p>
    <w:p w14:paraId="37F32EE8">
      <w:pPr>
        <w:spacing w:line="400" w:lineRule="exact"/>
        <w:ind w:firstLine="420" w:firstLineChars="200"/>
        <w:rPr>
          <w:rFonts w:ascii="新宋体" w:eastAsia="新宋体"/>
          <w:color w:val="0F0F0F"/>
        </w:rPr>
      </w:pPr>
      <w:r>
        <w:rPr>
          <w:rFonts w:hint="eastAsia" w:ascii="新宋体" w:eastAsia="新宋体"/>
          <w:color w:val="0F0F0F"/>
        </w:rPr>
        <w:t xml:space="preserve">                       扣留条件：</w:t>
      </w:r>
      <w:r>
        <w:rPr>
          <w:rFonts w:hint="eastAsia" w:ascii="新宋体" w:eastAsia="新宋体"/>
          <w:color w:val="0F0F0F"/>
          <w:u w:val="single"/>
        </w:rPr>
        <w:t xml:space="preserve">           /               </w:t>
      </w:r>
    </w:p>
    <w:p w14:paraId="46FBC4EC">
      <w:pPr>
        <w:spacing w:line="400" w:lineRule="exact"/>
        <w:ind w:firstLine="420" w:firstLineChars="200"/>
        <w:rPr>
          <w:rFonts w:ascii="新宋体" w:eastAsia="新宋体"/>
          <w:color w:val="0F0F0F"/>
        </w:rPr>
      </w:pPr>
      <w:r>
        <w:rPr>
          <w:rFonts w:hint="eastAsia" w:ascii="新宋体" w:eastAsia="新宋体"/>
          <w:color w:val="0F0F0F"/>
        </w:rPr>
        <w:t xml:space="preserve">                       返还时间：</w:t>
      </w:r>
      <w:r>
        <w:rPr>
          <w:rFonts w:hint="eastAsia" w:ascii="新宋体" w:eastAsia="新宋体"/>
          <w:color w:val="0F0F0F"/>
          <w:u w:val="single"/>
        </w:rPr>
        <w:t xml:space="preserve">            /              </w:t>
      </w:r>
    </w:p>
    <w:p w14:paraId="0C98B25D">
      <w:pPr>
        <w:spacing w:line="400" w:lineRule="exact"/>
        <w:rPr>
          <w:rFonts w:ascii="新宋体" w:eastAsia="新宋体"/>
          <w:color w:val="0F0F0F"/>
          <w:sz w:val="24"/>
        </w:rPr>
      </w:pPr>
      <w:r>
        <w:rPr>
          <w:rFonts w:hint="eastAsia" w:ascii="新宋体" w:eastAsia="新宋体"/>
          <w:color w:val="0F0F0F"/>
          <w:sz w:val="24"/>
        </w:rPr>
        <w:t xml:space="preserve">17.4 </w:t>
      </w:r>
      <w:bookmarkEnd w:id="594"/>
      <w:bookmarkEnd w:id="595"/>
      <w:bookmarkEnd w:id="596"/>
      <w:r>
        <w:rPr>
          <w:rFonts w:hint="eastAsia" w:ascii="新宋体" w:eastAsia="新宋体"/>
          <w:color w:val="0F0F0F"/>
          <w:sz w:val="24"/>
        </w:rPr>
        <w:t>质量保证金</w:t>
      </w:r>
      <w:bookmarkEnd w:id="597"/>
    </w:p>
    <w:p w14:paraId="00EB0700">
      <w:pPr>
        <w:spacing w:line="400" w:lineRule="exact"/>
        <w:ind w:firstLine="420" w:firstLineChars="200"/>
        <w:rPr>
          <w:rFonts w:ascii="新宋体" w:eastAsia="新宋体"/>
          <w:color w:val="0F0F0F"/>
        </w:rPr>
      </w:pPr>
      <w:r>
        <w:rPr>
          <w:rFonts w:hint="eastAsia" w:ascii="新宋体" w:eastAsia="新宋体"/>
          <w:color w:val="0F0F0F"/>
        </w:rPr>
        <w:t>17.4.1 监理人应从第一个付款周期开始，在发包人的进度付款中，按专用合同条款的约定扣留质量保证金，直至扣留的质量保证金总额达到专用合同条款约定的金额或比例为止。质量保证金的计算额度不包括预付款的支付、扣回以及价格调整的金额。</w:t>
      </w:r>
    </w:p>
    <w:p w14:paraId="294DC8ED">
      <w:pPr>
        <w:spacing w:line="400" w:lineRule="exact"/>
        <w:ind w:firstLine="420" w:firstLineChars="200"/>
        <w:rPr>
          <w:rFonts w:ascii="新宋体" w:eastAsia="新宋体"/>
          <w:color w:val="0F0F0F"/>
        </w:rPr>
      </w:pPr>
      <w:r>
        <w:rPr>
          <w:rFonts w:hint="eastAsia" w:ascii="新宋体" w:eastAsia="新宋体"/>
          <w:color w:val="0F0F0F"/>
        </w:rPr>
        <w:t>17.4.2 在第1.1.4.5目约定的缺陷责任期满时，承包人向发包人申请到期应返还承包人剩余的质量保证金金额，发包人应在14天内会同承包人按照合同约定的内容核实承包人是否完成缺陷责任。如无异议，发包人应当在核实后将剩余保证金返还承包人。</w:t>
      </w:r>
    </w:p>
    <w:p w14:paraId="1401CD6B">
      <w:pPr>
        <w:spacing w:line="400" w:lineRule="exact"/>
        <w:ind w:firstLine="420" w:firstLineChars="200"/>
        <w:rPr>
          <w:rFonts w:ascii="新宋体" w:eastAsia="新宋体"/>
          <w:color w:val="0F0F0F"/>
        </w:rPr>
      </w:pPr>
      <w:r>
        <w:rPr>
          <w:rFonts w:hint="eastAsia" w:ascii="新宋体" w:eastAsia="新宋体"/>
          <w:color w:val="0F0F0F"/>
        </w:rPr>
        <w:t xml:space="preserve">17.4.3 在第1.1.4.5目约定的缺陷责任期满时，承包人没有完成缺陷责任的，发包人有权扣留与未履行责任剩余工作所需金额相应的质量保证金余额，并有权根据第19.3款约定要求延长缺陷责任期，直至完成剩余工作为止。 </w:t>
      </w:r>
      <w:bookmarkStart w:id="598" w:name="_Toc152045723"/>
      <w:bookmarkStart w:id="599" w:name="_Toc144974694"/>
      <w:bookmarkStart w:id="600" w:name="_Toc179632741"/>
      <w:bookmarkStart w:id="601" w:name="_Toc152042502"/>
    </w:p>
    <w:p w14:paraId="05AE9CDE">
      <w:pPr>
        <w:spacing w:line="400" w:lineRule="exact"/>
        <w:rPr>
          <w:rFonts w:ascii="新宋体" w:eastAsia="新宋体"/>
          <w:color w:val="0F0F0F"/>
          <w:sz w:val="24"/>
        </w:rPr>
      </w:pPr>
      <w:r>
        <w:rPr>
          <w:rFonts w:hint="eastAsia" w:ascii="新宋体" w:eastAsia="新宋体"/>
          <w:color w:val="0F0F0F"/>
          <w:sz w:val="24"/>
        </w:rPr>
        <w:t>17.5 竣工结算</w:t>
      </w:r>
      <w:bookmarkEnd w:id="598"/>
      <w:bookmarkEnd w:id="599"/>
      <w:bookmarkEnd w:id="600"/>
      <w:bookmarkEnd w:id="601"/>
    </w:p>
    <w:p w14:paraId="6C274B11">
      <w:pPr>
        <w:spacing w:line="400" w:lineRule="exact"/>
        <w:ind w:firstLine="420" w:firstLineChars="200"/>
        <w:rPr>
          <w:rFonts w:ascii="新宋体" w:eastAsia="新宋体"/>
          <w:color w:val="0F0F0F"/>
        </w:rPr>
      </w:pPr>
      <w:r>
        <w:rPr>
          <w:rFonts w:hint="eastAsia" w:ascii="新宋体" w:eastAsia="新宋体"/>
          <w:color w:val="0F0F0F"/>
        </w:rPr>
        <w:t>17.5.1 竣工付款申请单</w:t>
      </w:r>
    </w:p>
    <w:p w14:paraId="1B0E32D2">
      <w:pPr>
        <w:spacing w:line="400" w:lineRule="exact"/>
        <w:ind w:firstLine="718" w:firstLineChars="342"/>
        <w:rPr>
          <w:rFonts w:ascii="新宋体" w:eastAsia="新宋体"/>
          <w:color w:val="0F0F0F"/>
        </w:rPr>
      </w:pPr>
      <w:r>
        <w:rPr>
          <w:rFonts w:hint="eastAsia" w:ascii="新宋体" w:eastAsia="新宋体"/>
          <w:color w:val="0F0F0F"/>
        </w:rPr>
        <w:t>（1）工程接收证书颁发后，承包人应按专用合同条款约定的份数和期限向监理人提交竣工付款申请单，并提供相关证明材料。除专用合同条款另有约定外，竣工付款申请单应包括下列内容：竣工结算合同总价、发包人已支付承包人的工程价款、应扣留的质量保证金、应支付的竣工付款金额。</w:t>
      </w:r>
    </w:p>
    <w:p w14:paraId="38426B15">
      <w:pPr>
        <w:spacing w:line="400" w:lineRule="exact"/>
        <w:ind w:firstLine="718" w:firstLineChars="342"/>
        <w:rPr>
          <w:rFonts w:ascii="新宋体" w:eastAsia="新宋体"/>
          <w:color w:val="0F0F0F"/>
        </w:rPr>
      </w:pPr>
      <w:r>
        <w:rPr>
          <w:rFonts w:hint="eastAsia" w:ascii="新宋体" w:eastAsia="新宋体"/>
          <w:color w:val="0F0F0F"/>
        </w:rPr>
        <w:t>（2）监理人对竣工付款申请单有异议的，有权要求承包人进行修正和提供补充资料。经监理人和承包人协商后，由承包人向监理人提交修正后的竣工付款申请单。</w:t>
      </w:r>
    </w:p>
    <w:p w14:paraId="09A78B06">
      <w:pPr>
        <w:spacing w:line="400" w:lineRule="exact"/>
        <w:ind w:firstLine="420" w:firstLineChars="200"/>
        <w:rPr>
          <w:rFonts w:ascii="新宋体" w:eastAsia="新宋体"/>
          <w:color w:val="0F0F0F"/>
        </w:rPr>
      </w:pPr>
      <w:r>
        <w:rPr>
          <w:rFonts w:hint="eastAsia" w:ascii="新宋体" w:eastAsia="新宋体"/>
          <w:color w:val="0F0F0F"/>
        </w:rPr>
        <w:t>17.5.2 竣工付款证书及支付时间</w:t>
      </w:r>
    </w:p>
    <w:p w14:paraId="658F6786">
      <w:pPr>
        <w:spacing w:line="400" w:lineRule="exact"/>
        <w:ind w:firstLine="718" w:firstLineChars="342"/>
        <w:rPr>
          <w:rFonts w:ascii="新宋体" w:eastAsia="新宋体"/>
          <w:color w:val="0F0F0F"/>
        </w:rPr>
      </w:pPr>
      <w:r>
        <w:rPr>
          <w:rFonts w:hint="eastAsia" w:ascii="新宋体" w:eastAsia="新宋体"/>
          <w:color w:val="0F0F0F"/>
        </w:rPr>
        <w:t>（1）监理人在收到承包人提交的竣工付款申请单后的14天内完成核查，提出发包人到期应支付给承包人的价款送发包人审核并抄送承包人。发包人应在收到后14天内审核完毕，由监理人向承包人出具经发包人签认的竣工付款证书。监理人未在约定时间内核查，又未提出具体意见的，视为承包人提交的竣工付款申请单已经监理人核查同意；发包人未在约定时间内审核又未提出具体意见的，监理人提出发包人到期应支付给承包人的价款视为已经发包人同意。</w:t>
      </w:r>
    </w:p>
    <w:p w14:paraId="656B09DD">
      <w:pPr>
        <w:spacing w:line="400" w:lineRule="exact"/>
        <w:ind w:firstLine="718" w:firstLineChars="342"/>
        <w:rPr>
          <w:rFonts w:ascii="新宋体" w:eastAsia="新宋体"/>
          <w:color w:val="0F0F0F"/>
        </w:rPr>
      </w:pPr>
      <w:r>
        <w:rPr>
          <w:rFonts w:hint="eastAsia" w:ascii="新宋体" w:eastAsia="新宋体"/>
          <w:color w:val="0F0F0F"/>
        </w:rPr>
        <w:t>（2）发包人应在监理人出具竣工付款证书后的14天内，将应支付款支付给承包人。发包人不按期支付的，按第17.3.3（2）目的约定，将逾期付款违约金支付给承包人。</w:t>
      </w:r>
    </w:p>
    <w:p w14:paraId="64E549FF">
      <w:pPr>
        <w:spacing w:line="400" w:lineRule="exact"/>
        <w:ind w:firstLine="718" w:firstLineChars="342"/>
        <w:rPr>
          <w:rFonts w:ascii="新宋体" w:eastAsia="新宋体"/>
          <w:color w:val="0F0F0F"/>
        </w:rPr>
      </w:pPr>
      <w:r>
        <w:rPr>
          <w:rFonts w:hint="eastAsia" w:ascii="新宋体" w:eastAsia="新宋体"/>
          <w:color w:val="0F0F0F"/>
        </w:rPr>
        <w:t>（3）承包人对发包人签认的竣工付款证书有异议的，发包人可出具竣工付款申请单中承包人已同意部分的临时付款证书。存在争议的部分，按第24条的约定办理。</w:t>
      </w:r>
    </w:p>
    <w:p w14:paraId="5BE22733">
      <w:pPr>
        <w:spacing w:line="400" w:lineRule="exact"/>
        <w:ind w:firstLine="630" w:firstLineChars="300"/>
        <w:rPr>
          <w:rFonts w:ascii="新宋体" w:eastAsia="新宋体"/>
          <w:color w:val="0F0F0F"/>
        </w:rPr>
      </w:pPr>
      <w:r>
        <w:rPr>
          <w:rFonts w:hint="eastAsia" w:ascii="新宋体" w:eastAsia="新宋体"/>
          <w:color w:val="0F0F0F"/>
        </w:rPr>
        <w:t>（4）竣工付款涉及政府投资资金的，按第17.3.3（４）目的约定办理。</w:t>
      </w:r>
      <w:bookmarkStart w:id="602" w:name="_Toc179632742"/>
      <w:bookmarkStart w:id="603" w:name="_Toc152045724"/>
      <w:bookmarkStart w:id="604" w:name="_Toc152042503"/>
      <w:bookmarkStart w:id="605" w:name="_Toc144974695"/>
    </w:p>
    <w:p w14:paraId="4696C091">
      <w:pPr>
        <w:spacing w:line="400" w:lineRule="exact"/>
        <w:rPr>
          <w:rFonts w:ascii="新宋体" w:eastAsia="新宋体"/>
          <w:color w:val="0F0F0F"/>
          <w:sz w:val="24"/>
        </w:rPr>
      </w:pPr>
      <w:r>
        <w:rPr>
          <w:rFonts w:hint="eastAsia" w:ascii="新宋体" w:eastAsia="新宋体"/>
          <w:color w:val="0F0F0F"/>
          <w:sz w:val="24"/>
        </w:rPr>
        <w:t>17.6 最终结清</w:t>
      </w:r>
      <w:bookmarkEnd w:id="602"/>
      <w:bookmarkEnd w:id="603"/>
      <w:bookmarkEnd w:id="604"/>
      <w:bookmarkEnd w:id="605"/>
    </w:p>
    <w:p w14:paraId="0F409A7E">
      <w:pPr>
        <w:spacing w:line="400" w:lineRule="exact"/>
        <w:ind w:firstLine="420" w:firstLineChars="200"/>
        <w:rPr>
          <w:rFonts w:ascii="新宋体" w:eastAsia="新宋体"/>
          <w:color w:val="0F0F0F"/>
        </w:rPr>
      </w:pPr>
      <w:r>
        <w:rPr>
          <w:rFonts w:hint="eastAsia" w:ascii="新宋体" w:eastAsia="新宋体"/>
          <w:color w:val="0F0F0F"/>
        </w:rPr>
        <w:t>17.6.1 最终结清申请单</w:t>
      </w:r>
    </w:p>
    <w:p w14:paraId="00B734A0">
      <w:pPr>
        <w:spacing w:line="400" w:lineRule="exact"/>
        <w:ind w:firstLine="718" w:firstLineChars="342"/>
        <w:rPr>
          <w:rFonts w:ascii="新宋体" w:eastAsia="新宋体"/>
          <w:color w:val="0F0F0F"/>
        </w:rPr>
      </w:pPr>
      <w:r>
        <w:rPr>
          <w:rFonts w:hint="eastAsia" w:ascii="新宋体" w:eastAsia="新宋体"/>
          <w:color w:val="0F0F0F"/>
        </w:rPr>
        <w:t>（1）缺陷责任期终止证书签发后，承包人可按专用合同条款约定的份数和期限向监理人提交最终结清申请单，并提供相关证明材料。</w:t>
      </w:r>
    </w:p>
    <w:p w14:paraId="5B44E05B">
      <w:pPr>
        <w:spacing w:line="400" w:lineRule="exact"/>
        <w:ind w:firstLine="718" w:firstLineChars="342"/>
        <w:rPr>
          <w:rFonts w:ascii="新宋体" w:eastAsia="新宋体"/>
          <w:color w:val="0F0F0F"/>
        </w:rPr>
      </w:pPr>
      <w:r>
        <w:rPr>
          <w:rFonts w:hint="eastAsia" w:ascii="新宋体" w:eastAsia="新宋体"/>
          <w:color w:val="0F0F0F"/>
        </w:rPr>
        <w:t>（2）发包人对最终结清申请单内容有异议的，有权要求承包人进行修正和提供补充资料，由承包人向监理人提交修正后的最终结清申请单。</w:t>
      </w:r>
    </w:p>
    <w:p w14:paraId="7BD2DD84">
      <w:pPr>
        <w:spacing w:line="400" w:lineRule="exact"/>
        <w:ind w:firstLine="420" w:firstLineChars="200"/>
        <w:rPr>
          <w:rFonts w:ascii="新宋体" w:eastAsia="新宋体"/>
          <w:color w:val="0F0F0F"/>
        </w:rPr>
      </w:pPr>
      <w:r>
        <w:rPr>
          <w:rFonts w:hint="eastAsia" w:ascii="新宋体" w:eastAsia="新宋体"/>
          <w:color w:val="0F0F0F"/>
        </w:rPr>
        <w:t>17.6.2 最终结清证书和支付时间</w:t>
      </w:r>
    </w:p>
    <w:p w14:paraId="7BA168A5">
      <w:pPr>
        <w:spacing w:line="400" w:lineRule="exact"/>
        <w:ind w:firstLine="718" w:firstLineChars="342"/>
        <w:rPr>
          <w:rFonts w:ascii="新宋体" w:eastAsia="新宋体"/>
          <w:color w:val="0F0F0F"/>
        </w:rPr>
      </w:pPr>
      <w:r>
        <w:rPr>
          <w:rFonts w:hint="eastAsia" w:ascii="新宋体" w:eastAsia="新宋体"/>
          <w:color w:val="0F0F0F"/>
        </w:rPr>
        <w:t>（1）监理人收到承包人提交的最终结清申请单后的14天内，提出发包人应支付给承包人的价款送发包人审核并抄送承包人。发包人应在收到后14天内审核完毕，由监理人向承包人出具经发包人签认的最终结清证书。监理人未在约定时间内核查，又未提出具体意见的，视为承包人提交的最终结清申请已经监理人核查同意；发包人未在约定时间内审核又未提出具体意见的，监理人提出应支付给承包人的价款视为已经发包人同意。</w:t>
      </w:r>
    </w:p>
    <w:p w14:paraId="2F56E3C4">
      <w:pPr>
        <w:spacing w:line="400" w:lineRule="exact"/>
        <w:ind w:firstLine="718" w:firstLineChars="342"/>
        <w:rPr>
          <w:rFonts w:ascii="新宋体" w:eastAsia="新宋体"/>
          <w:color w:val="0F0F0F"/>
        </w:rPr>
      </w:pPr>
      <w:r>
        <w:rPr>
          <w:rFonts w:hint="eastAsia" w:ascii="新宋体" w:eastAsia="新宋体"/>
          <w:color w:val="0F0F0F"/>
        </w:rPr>
        <w:t>（2）发包人应在监理人出具最终结清证书后的14天内，将应支付款支付给承包人。发包人不按期支付的，按第17.3.3（2）目的约定，将逾期付款违约金支付给承包人。</w:t>
      </w:r>
    </w:p>
    <w:p w14:paraId="2D7C5706">
      <w:pPr>
        <w:spacing w:line="400" w:lineRule="exact"/>
        <w:ind w:firstLine="718" w:firstLineChars="342"/>
        <w:rPr>
          <w:rFonts w:ascii="新宋体" w:eastAsia="新宋体"/>
          <w:color w:val="0F0F0F"/>
        </w:rPr>
      </w:pPr>
      <w:r>
        <w:rPr>
          <w:rFonts w:hint="eastAsia" w:ascii="新宋体" w:eastAsia="新宋体"/>
          <w:color w:val="0F0F0F"/>
        </w:rPr>
        <w:t>（3）承包人对发包人签认的最终结清证书有异议的，按第24条的约定办理。</w:t>
      </w:r>
    </w:p>
    <w:p w14:paraId="70E63BBE">
      <w:pPr>
        <w:spacing w:line="400" w:lineRule="exact"/>
        <w:ind w:firstLine="718" w:firstLineChars="342"/>
        <w:rPr>
          <w:rFonts w:ascii="新宋体" w:eastAsia="新宋体"/>
          <w:color w:val="0F0F0F"/>
        </w:rPr>
      </w:pPr>
      <w:r>
        <w:rPr>
          <w:rFonts w:hint="eastAsia" w:ascii="新宋体" w:eastAsia="新宋体"/>
          <w:color w:val="0F0F0F"/>
        </w:rPr>
        <w:t>（4）最终结清付款涉及政府投资资金的，按第17.3.3（４）目的约定办理。</w:t>
      </w:r>
      <w:bookmarkStart w:id="606" w:name="_Toc179632743"/>
      <w:bookmarkStart w:id="607" w:name="_Toc144974696"/>
      <w:bookmarkStart w:id="608" w:name="_Toc152045725"/>
      <w:bookmarkStart w:id="609" w:name="_Toc152042504"/>
    </w:p>
    <w:p w14:paraId="41036D56">
      <w:pPr>
        <w:spacing w:line="400" w:lineRule="exact"/>
        <w:rPr>
          <w:rFonts w:ascii="新宋体" w:eastAsia="新宋体"/>
          <w:color w:val="0F0F0F"/>
          <w:sz w:val="28"/>
          <w:szCs w:val="28"/>
        </w:rPr>
      </w:pPr>
      <w:r>
        <w:rPr>
          <w:rFonts w:hint="eastAsia" w:ascii="新宋体" w:eastAsia="新宋体"/>
          <w:color w:val="0F0F0F"/>
          <w:sz w:val="28"/>
          <w:szCs w:val="28"/>
        </w:rPr>
        <w:t>18. 竣工验收</w:t>
      </w:r>
      <w:bookmarkEnd w:id="606"/>
      <w:bookmarkEnd w:id="607"/>
      <w:bookmarkEnd w:id="608"/>
      <w:bookmarkEnd w:id="609"/>
      <w:bookmarkStart w:id="610" w:name="_Toc179632744"/>
      <w:bookmarkStart w:id="611" w:name="_Toc144974697"/>
      <w:bookmarkStart w:id="612" w:name="_Toc152042505"/>
      <w:bookmarkStart w:id="613" w:name="_Toc152045726"/>
    </w:p>
    <w:p w14:paraId="1BF0FEB1">
      <w:pPr>
        <w:spacing w:line="400" w:lineRule="exact"/>
        <w:rPr>
          <w:rFonts w:ascii="新宋体" w:eastAsia="新宋体"/>
          <w:color w:val="0F0F0F"/>
          <w:sz w:val="24"/>
        </w:rPr>
      </w:pPr>
      <w:r>
        <w:rPr>
          <w:rFonts w:hint="eastAsia" w:ascii="新宋体" w:eastAsia="新宋体"/>
          <w:color w:val="0F0F0F"/>
          <w:sz w:val="24"/>
        </w:rPr>
        <w:t>18.1 竣工验收的含义</w:t>
      </w:r>
      <w:bookmarkEnd w:id="610"/>
      <w:bookmarkEnd w:id="611"/>
      <w:bookmarkEnd w:id="612"/>
      <w:bookmarkEnd w:id="613"/>
    </w:p>
    <w:p w14:paraId="0CDA1114">
      <w:pPr>
        <w:spacing w:line="400" w:lineRule="exact"/>
        <w:ind w:firstLine="420" w:firstLineChars="200"/>
        <w:rPr>
          <w:rFonts w:ascii="新宋体" w:eastAsia="新宋体"/>
          <w:color w:val="0F0F0F"/>
        </w:rPr>
      </w:pPr>
      <w:r>
        <w:rPr>
          <w:rFonts w:hint="eastAsia" w:ascii="新宋体" w:eastAsia="新宋体"/>
          <w:color w:val="0F0F0F"/>
        </w:rPr>
        <w:t>18.1.1 竣工验收指承包人完成了全部合同工作后，发包人按合同要求进行的验收。</w:t>
      </w:r>
    </w:p>
    <w:p w14:paraId="5FFF8B0D">
      <w:pPr>
        <w:spacing w:line="400" w:lineRule="exact"/>
        <w:ind w:firstLine="420" w:firstLineChars="200"/>
        <w:rPr>
          <w:rFonts w:ascii="新宋体" w:eastAsia="新宋体"/>
          <w:color w:val="0F0F0F"/>
        </w:rPr>
      </w:pPr>
      <w:r>
        <w:rPr>
          <w:rFonts w:hint="eastAsia" w:ascii="新宋体" w:eastAsia="新宋体"/>
          <w:color w:val="0F0F0F"/>
        </w:rPr>
        <w:t>18.1.2 国家验收是政府有关部门根据法律、规范、规程和政策要求，针对发包人全面组织实施的整个工程正式交付投运前的验收。</w:t>
      </w:r>
    </w:p>
    <w:p w14:paraId="00542926">
      <w:pPr>
        <w:spacing w:line="400" w:lineRule="exact"/>
        <w:ind w:firstLine="420" w:firstLineChars="200"/>
        <w:rPr>
          <w:rFonts w:ascii="新宋体" w:eastAsia="新宋体"/>
          <w:color w:val="0F0F0F"/>
        </w:rPr>
      </w:pPr>
      <w:r>
        <w:rPr>
          <w:rFonts w:hint="eastAsia" w:ascii="新宋体" w:eastAsia="新宋体"/>
          <w:color w:val="0F0F0F"/>
        </w:rPr>
        <w:t xml:space="preserve">18.1.3 需要进行国家验收的，竣工验收是国家验收的一部分。竣工验收所采用的各项验收和评定标准应符合国家验收标准。发包人和承包人为竣工验收提供的各项竣工验收资料应符合国家验收的要求。 </w:t>
      </w:r>
      <w:bookmarkStart w:id="614" w:name="_Toc152042506"/>
      <w:bookmarkStart w:id="615" w:name="_Toc179632745"/>
      <w:bookmarkStart w:id="616" w:name="_Toc152045727"/>
      <w:bookmarkStart w:id="617" w:name="_Toc144974698"/>
    </w:p>
    <w:p w14:paraId="2CBD6D5C">
      <w:pPr>
        <w:spacing w:line="400" w:lineRule="exact"/>
        <w:rPr>
          <w:rFonts w:ascii="新宋体" w:eastAsia="新宋体"/>
          <w:color w:val="0F0F0F"/>
          <w:sz w:val="24"/>
        </w:rPr>
      </w:pPr>
      <w:r>
        <w:rPr>
          <w:rFonts w:hint="eastAsia" w:ascii="新宋体" w:eastAsia="新宋体"/>
          <w:color w:val="0F0F0F"/>
          <w:sz w:val="24"/>
        </w:rPr>
        <w:t>18.2 竣工验收申请报告</w:t>
      </w:r>
      <w:bookmarkEnd w:id="614"/>
      <w:bookmarkEnd w:id="615"/>
      <w:bookmarkEnd w:id="616"/>
      <w:bookmarkEnd w:id="617"/>
    </w:p>
    <w:p w14:paraId="3286AF10">
      <w:pPr>
        <w:spacing w:line="400" w:lineRule="exact"/>
        <w:ind w:firstLine="420" w:firstLineChars="200"/>
        <w:rPr>
          <w:rFonts w:ascii="新宋体" w:eastAsia="新宋体"/>
          <w:color w:val="0F0F0F"/>
        </w:rPr>
      </w:pPr>
      <w:r>
        <w:rPr>
          <w:rFonts w:hint="eastAsia" w:ascii="新宋体" w:eastAsia="新宋体"/>
          <w:color w:val="0F0F0F"/>
        </w:rPr>
        <w:t>当工程具备以下条件时，承包人即可向监理人报送竣工验收申请报告：</w:t>
      </w:r>
    </w:p>
    <w:p w14:paraId="096A92F6">
      <w:pPr>
        <w:spacing w:line="400" w:lineRule="exact"/>
        <w:ind w:firstLine="359" w:firstLineChars="171"/>
        <w:rPr>
          <w:rFonts w:ascii="新宋体" w:eastAsia="新宋体"/>
          <w:color w:val="0F0F0F"/>
        </w:rPr>
      </w:pPr>
      <w:r>
        <w:rPr>
          <w:rFonts w:hint="eastAsia" w:ascii="新宋体" w:eastAsia="新宋体"/>
          <w:color w:val="0F0F0F"/>
        </w:rPr>
        <w:t>（1）除监理人同意列入缺陷责任期内完成的尾工（甩项）工程和缺陷修补工作外，合同范围内的全部单位工程以及有关工作，包括合同要求的试验、试运行以及检验和验收均已完成，并符合合同要求；</w:t>
      </w:r>
    </w:p>
    <w:p w14:paraId="5C8BA50D">
      <w:pPr>
        <w:spacing w:line="400" w:lineRule="exact"/>
        <w:ind w:firstLine="359" w:firstLineChars="171"/>
        <w:rPr>
          <w:rFonts w:ascii="新宋体" w:eastAsia="新宋体"/>
          <w:color w:val="0F0F0F"/>
        </w:rPr>
      </w:pPr>
      <w:r>
        <w:rPr>
          <w:rFonts w:hint="eastAsia" w:ascii="新宋体" w:eastAsia="新宋体"/>
          <w:color w:val="0F0F0F"/>
        </w:rPr>
        <w:t xml:space="preserve">（2）已按合同约定的内容和份数备齐了符合要求的竣工资料； </w:t>
      </w:r>
    </w:p>
    <w:p w14:paraId="5AF0222B">
      <w:pPr>
        <w:spacing w:line="400" w:lineRule="exact"/>
        <w:ind w:firstLine="359" w:firstLineChars="171"/>
        <w:rPr>
          <w:rFonts w:ascii="新宋体" w:eastAsia="新宋体"/>
          <w:color w:val="0F0F0F"/>
        </w:rPr>
      </w:pPr>
      <w:r>
        <w:rPr>
          <w:rFonts w:hint="eastAsia" w:ascii="新宋体" w:eastAsia="新宋体"/>
          <w:color w:val="0F0F0F"/>
        </w:rPr>
        <w:t>（3）已按监理人的要求编制了在缺陷责任期内完成的尾工（甩项）工程和缺陷修补工作清单以及相应施工计划；</w:t>
      </w:r>
    </w:p>
    <w:p w14:paraId="7FA03722">
      <w:pPr>
        <w:spacing w:line="400" w:lineRule="exact"/>
        <w:ind w:firstLine="359" w:firstLineChars="171"/>
        <w:rPr>
          <w:rFonts w:ascii="新宋体" w:eastAsia="新宋体"/>
          <w:color w:val="0F0F0F"/>
        </w:rPr>
      </w:pPr>
      <w:r>
        <w:rPr>
          <w:rFonts w:hint="eastAsia" w:ascii="新宋体" w:eastAsia="新宋体"/>
          <w:color w:val="0F0F0F"/>
        </w:rPr>
        <w:t>（4）监理人要求在竣工验收前应完成的其他工作；</w:t>
      </w:r>
    </w:p>
    <w:p w14:paraId="4457236C">
      <w:pPr>
        <w:spacing w:line="400" w:lineRule="exact"/>
        <w:ind w:firstLine="359" w:firstLineChars="171"/>
        <w:rPr>
          <w:rFonts w:ascii="新宋体" w:eastAsia="新宋体"/>
          <w:color w:val="0F0F0F"/>
        </w:rPr>
      </w:pPr>
      <w:r>
        <w:rPr>
          <w:rFonts w:hint="eastAsia" w:ascii="新宋体" w:eastAsia="新宋体"/>
          <w:color w:val="0F0F0F"/>
        </w:rPr>
        <w:t>（5）监理人要求提交的竣工验收资料清单。</w:t>
      </w:r>
      <w:bookmarkStart w:id="618" w:name="_Toc152045728"/>
      <w:bookmarkStart w:id="619" w:name="_Toc179632746"/>
      <w:bookmarkStart w:id="620" w:name="_Toc152042507"/>
      <w:bookmarkStart w:id="621" w:name="_Toc144974699"/>
    </w:p>
    <w:p w14:paraId="65E6CE99">
      <w:pPr>
        <w:spacing w:line="400" w:lineRule="exact"/>
        <w:rPr>
          <w:rFonts w:ascii="新宋体" w:eastAsia="新宋体"/>
          <w:color w:val="0F0F0F"/>
          <w:sz w:val="24"/>
        </w:rPr>
      </w:pPr>
      <w:r>
        <w:rPr>
          <w:rFonts w:hint="eastAsia" w:ascii="新宋体" w:eastAsia="新宋体"/>
          <w:color w:val="0F0F0F"/>
          <w:sz w:val="24"/>
        </w:rPr>
        <w:t>18.3 验收</w:t>
      </w:r>
      <w:bookmarkEnd w:id="618"/>
      <w:bookmarkEnd w:id="619"/>
      <w:bookmarkEnd w:id="620"/>
      <w:bookmarkEnd w:id="621"/>
    </w:p>
    <w:p w14:paraId="4137D24F">
      <w:pPr>
        <w:spacing w:line="400" w:lineRule="exact"/>
        <w:ind w:firstLine="420" w:firstLineChars="200"/>
        <w:rPr>
          <w:rFonts w:ascii="新宋体" w:eastAsia="新宋体"/>
          <w:color w:val="0F0F0F"/>
        </w:rPr>
      </w:pPr>
      <w:r>
        <w:rPr>
          <w:rFonts w:hint="eastAsia" w:ascii="新宋体" w:eastAsia="新宋体"/>
          <w:color w:val="0F0F0F"/>
        </w:rPr>
        <w:t>监理人收到承包人按第18.2款约定提交的竣工验收申请报告后，应审查申请报告的各项内容，并按以下不同情况进行处理。</w:t>
      </w:r>
    </w:p>
    <w:p w14:paraId="3CA5CC2E">
      <w:pPr>
        <w:spacing w:line="400" w:lineRule="exact"/>
        <w:ind w:firstLine="420" w:firstLineChars="200"/>
        <w:rPr>
          <w:rFonts w:ascii="新宋体" w:eastAsia="新宋体"/>
          <w:color w:val="0F0F0F"/>
        </w:rPr>
      </w:pPr>
      <w:r>
        <w:rPr>
          <w:rFonts w:hint="eastAsia" w:ascii="新宋体" w:eastAsia="新宋体"/>
          <w:color w:val="0F0F0F"/>
        </w:rPr>
        <w:t>18.3.1 监理人审查后认为尚不具备竣工验收条件的，应在收到竣工验收申请报告后的28天内通知承包人，指出在颁发接收证书前承包人还需进行的工作内容。承包人完成监理人通知的全部工作内容后，应再次提交竣工验收申请报告，直至监理人同意为止。</w:t>
      </w:r>
    </w:p>
    <w:p w14:paraId="16166F9E">
      <w:pPr>
        <w:spacing w:line="400" w:lineRule="exact"/>
        <w:ind w:firstLine="420" w:firstLineChars="200"/>
        <w:rPr>
          <w:rFonts w:ascii="新宋体" w:eastAsia="新宋体"/>
          <w:color w:val="0F0F0F"/>
        </w:rPr>
      </w:pPr>
      <w:r>
        <w:rPr>
          <w:rFonts w:hint="eastAsia" w:ascii="新宋体" w:eastAsia="新宋体"/>
          <w:color w:val="0F0F0F"/>
        </w:rPr>
        <w:t>18.3.2 监理人审查后认为已具备竣工验收条件的，应在收到竣工验收申请报告后的28天内提请发包人进行工程验收。</w:t>
      </w:r>
    </w:p>
    <w:p w14:paraId="03722031">
      <w:pPr>
        <w:spacing w:line="400" w:lineRule="exact"/>
        <w:ind w:firstLine="420" w:firstLineChars="200"/>
        <w:rPr>
          <w:rFonts w:ascii="新宋体" w:eastAsia="新宋体"/>
          <w:color w:val="0F0F0F"/>
        </w:rPr>
      </w:pPr>
      <w:r>
        <w:rPr>
          <w:rFonts w:hint="eastAsia" w:ascii="新宋体" w:eastAsia="新宋体"/>
          <w:color w:val="0F0F0F"/>
        </w:rPr>
        <w:t>18.3.3发包人经过验收后同意接受工程的，应在监理人收到竣工验收申请报告后的56天内，由监理人向承包人出具经发包人签认的工程接收证书。发包人验收后同意接收工程但提出整修和完善要求的，限期修好，并缓发工程接收证书。整修和完善工作完成后，监理人复查达到要求的，经发包人同意后，再向承包人出具工程接收证书。</w:t>
      </w:r>
    </w:p>
    <w:p w14:paraId="6BE4A900">
      <w:pPr>
        <w:spacing w:line="400" w:lineRule="exact"/>
        <w:ind w:firstLine="420" w:firstLineChars="200"/>
        <w:rPr>
          <w:rFonts w:ascii="新宋体" w:eastAsia="新宋体"/>
          <w:color w:val="0F0F0F"/>
        </w:rPr>
      </w:pPr>
      <w:r>
        <w:rPr>
          <w:rFonts w:hint="eastAsia" w:ascii="新宋体" w:eastAsia="新宋体"/>
          <w:color w:val="0F0F0F"/>
        </w:rPr>
        <w:t>18.3.4 发包人验收后不同意接收工程的，监理人应按照发包人的验收意见发出指示，要求承包人对不合格工程认真返工重作或进行补救处理，并承担由此产生的费用。承包人在完成不合格工程的返工重作或补救工作后，应重新提交竣工验收申请报告，按第18.3.1项、第18.3.2项和第18.3.3项的约定进行。</w:t>
      </w:r>
    </w:p>
    <w:p w14:paraId="72B7D49E">
      <w:pPr>
        <w:spacing w:line="400" w:lineRule="exact"/>
        <w:ind w:firstLine="420" w:firstLineChars="200"/>
        <w:rPr>
          <w:rFonts w:ascii="新宋体" w:eastAsia="新宋体"/>
          <w:color w:val="0F0F0F"/>
        </w:rPr>
      </w:pPr>
      <w:r>
        <w:rPr>
          <w:rFonts w:hint="eastAsia" w:ascii="新宋体" w:eastAsia="新宋体"/>
          <w:color w:val="0F0F0F"/>
        </w:rPr>
        <w:t>18.3.5 除专用合同条款另有约定外，经验收合格工程的实际竣工日期，以提交竣工验收申请报告的日期为准，并在工程接收证书中写明。</w:t>
      </w:r>
    </w:p>
    <w:p w14:paraId="659005A3">
      <w:pPr>
        <w:spacing w:line="400" w:lineRule="exact"/>
        <w:ind w:firstLine="420" w:firstLineChars="200"/>
        <w:rPr>
          <w:rFonts w:ascii="新宋体" w:eastAsia="新宋体"/>
          <w:color w:val="0F0F0F"/>
        </w:rPr>
      </w:pPr>
      <w:r>
        <w:rPr>
          <w:rFonts w:hint="eastAsia" w:ascii="新宋体" w:eastAsia="新宋体"/>
          <w:color w:val="0F0F0F"/>
        </w:rPr>
        <w:t>18.3.6 发包人在收到承包人竣工验收申请报告56天后未进行验收的，视为验收合格，实际竣工日期以提交竣工验收申请报告的日期为准，但发包人由于不可抗力不能进行验收的除外。</w:t>
      </w:r>
      <w:bookmarkStart w:id="622" w:name="_Toc152045729"/>
      <w:bookmarkStart w:id="623" w:name="_Toc179632747"/>
      <w:bookmarkStart w:id="624" w:name="_Toc144974700"/>
      <w:bookmarkStart w:id="625" w:name="_Toc152042508"/>
    </w:p>
    <w:p w14:paraId="066B970B">
      <w:pPr>
        <w:spacing w:line="400" w:lineRule="exact"/>
        <w:rPr>
          <w:rFonts w:ascii="新宋体" w:eastAsia="新宋体"/>
          <w:color w:val="0F0F0F"/>
          <w:sz w:val="24"/>
        </w:rPr>
      </w:pPr>
      <w:r>
        <w:rPr>
          <w:rFonts w:hint="eastAsia" w:ascii="新宋体" w:eastAsia="新宋体"/>
          <w:color w:val="0F0F0F"/>
          <w:sz w:val="24"/>
        </w:rPr>
        <w:t>18.4 单位工程验收</w:t>
      </w:r>
      <w:bookmarkEnd w:id="622"/>
      <w:bookmarkEnd w:id="623"/>
      <w:bookmarkEnd w:id="624"/>
      <w:bookmarkEnd w:id="625"/>
    </w:p>
    <w:p w14:paraId="35C3CC87">
      <w:pPr>
        <w:spacing w:line="400" w:lineRule="exact"/>
        <w:ind w:firstLine="420" w:firstLineChars="200"/>
        <w:rPr>
          <w:rFonts w:ascii="新宋体" w:eastAsia="新宋体"/>
          <w:color w:val="0F0F0F"/>
        </w:rPr>
      </w:pPr>
      <w:r>
        <w:rPr>
          <w:rFonts w:hint="eastAsia" w:ascii="新宋体" w:eastAsia="新宋体"/>
          <w:color w:val="0F0F0F"/>
        </w:rPr>
        <w:t>18.4.1 发包人根据合同进度计划安排，在全部工程竣工前需要使用已经竣工的单位工程时，或承包人提出经发包人同意时，可进行单位工程验收。验收的程序可参照第18.2款与第18.3款的约定进行。验收合格后，由监理人向承包人出具经发包人签认的单位工程验收证书。已签发单位工程接收证书的单位工程由发包人负责照管。单位工程的验收成果和结论作为全部工程竣工验收申请报告的附件。</w:t>
      </w:r>
    </w:p>
    <w:p w14:paraId="7159683D">
      <w:pPr>
        <w:spacing w:line="400" w:lineRule="exact"/>
        <w:ind w:firstLine="420" w:firstLineChars="200"/>
        <w:rPr>
          <w:rFonts w:ascii="新宋体" w:eastAsia="新宋体"/>
          <w:color w:val="0F0F0F"/>
        </w:rPr>
      </w:pPr>
      <w:r>
        <w:rPr>
          <w:rFonts w:hint="eastAsia" w:ascii="新宋体" w:eastAsia="新宋体"/>
          <w:color w:val="0F0F0F"/>
        </w:rPr>
        <w:t>18.4.2 发包人在全部工程竣工前，使用已接收的单位工程导致承包人费用增加的，发包人应承担由此增加的费用和（或）工期延误，并支付承包人合理利润。</w:t>
      </w:r>
      <w:bookmarkStart w:id="626" w:name="_Toc152042509"/>
      <w:bookmarkStart w:id="627" w:name="_Toc152045730"/>
      <w:bookmarkStart w:id="628" w:name="_Toc179632748"/>
      <w:bookmarkStart w:id="629" w:name="_Toc144974701"/>
    </w:p>
    <w:p w14:paraId="24EA03CB">
      <w:pPr>
        <w:spacing w:line="400" w:lineRule="exact"/>
        <w:rPr>
          <w:rFonts w:ascii="新宋体" w:eastAsia="新宋体"/>
          <w:color w:val="0F0F0F"/>
          <w:sz w:val="24"/>
        </w:rPr>
      </w:pPr>
      <w:r>
        <w:rPr>
          <w:rFonts w:hint="eastAsia" w:ascii="新宋体" w:eastAsia="新宋体"/>
          <w:color w:val="0F0F0F"/>
          <w:sz w:val="24"/>
        </w:rPr>
        <w:t>18.5 施工期运行</w:t>
      </w:r>
      <w:bookmarkEnd w:id="626"/>
      <w:bookmarkEnd w:id="627"/>
      <w:bookmarkEnd w:id="628"/>
      <w:bookmarkEnd w:id="629"/>
    </w:p>
    <w:p w14:paraId="48727E62">
      <w:pPr>
        <w:spacing w:line="400" w:lineRule="exact"/>
        <w:ind w:firstLine="420" w:firstLineChars="200"/>
        <w:rPr>
          <w:rFonts w:ascii="新宋体" w:eastAsia="新宋体"/>
          <w:color w:val="0F0F0F"/>
        </w:rPr>
      </w:pPr>
      <w:r>
        <w:rPr>
          <w:rFonts w:hint="eastAsia" w:ascii="新宋体" w:eastAsia="新宋体"/>
          <w:color w:val="0F0F0F"/>
        </w:rPr>
        <w:t>18.5.1 施工期运行是指合同工程尚未全部竣工，其中某项或某几项单位工程或工程设备安装已竣工，根据专用合同条款约定，需要投入施工期运行的，经发包人按第18.4款的约定验收合格，证明能确保安全后，才能在施工期投入运行。</w:t>
      </w:r>
    </w:p>
    <w:p w14:paraId="46101879">
      <w:pPr>
        <w:spacing w:line="400" w:lineRule="exact"/>
        <w:ind w:firstLine="420" w:firstLineChars="200"/>
        <w:rPr>
          <w:rFonts w:ascii="新宋体" w:eastAsia="新宋体"/>
          <w:color w:val="0F0F0F"/>
        </w:rPr>
      </w:pPr>
      <w:r>
        <w:rPr>
          <w:rFonts w:hint="eastAsia" w:ascii="新宋体" w:eastAsia="新宋体"/>
          <w:color w:val="0F0F0F"/>
        </w:rPr>
        <w:t>18.5.2 在施工期运行中发现工程或工程设备损坏或存在缺陷的，由承包人按第19.2款约定进行修复。</w:t>
      </w:r>
      <w:bookmarkStart w:id="630" w:name="_Toc152045731"/>
      <w:bookmarkStart w:id="631" w:name="_Toc144974702"/>
      <w:bookmarkStart w:id="632" w:name="_Toc152042510"/>
      <w:bookmarkStart w:id="633" w:name="_Toc179632749"/>
    </w:p>
    <w:p w14:paraId="195BFC36">
      <w:pPr>
        <w:spacing w:line="400" w:lineRule="exact"/>
        <w:rPr>
          <w:rFonts w:ascii="新宋体" w:eastAsia="新宋体"/>
          <w:color w:val="0F0F0F"/>
          <w:sz w:val="24"/>
        </w:rPr>
      </w:pPr>
      <w:r>
        <w:rPr>
          <w:rFonts w:hint="eastAsia" w:ascii="新宋体" w:eastAsia="新宋体"/>
          <w:color w:val="0F0F0F"/>
          <w:sz w:val="24"/>
        </w:rPr>
        <w:t>18.6 试运行</w:t>
      </w:r>
      <w:bookmarkEnd w:id="630"/>
      <w:bookmarkEnd w:id="631"/>
      <w:bookmarkEnd w:id="632"/>
      <w:bookmarkEnd w:id="633"/>
    </w:p>
    <w:p w14:paraId="66E0BA24">
      <w:pPr>
        <w:spacing w:line="400" w:lineRule="exact"/>
        <w:ind w:firstLine="420" w:firstLineChars="200"/>
        <w:rPr>
          <w:rFonts w:ascii="新宋体" w:eastAsia="新宋体"/>
          <w:color w:val="0F0F0F"/>
        </w:rPr>
      </w:pPr>
      <w:r>
        <w:rPr>
          <w:rFonts w:hint="eastAsia" w:ascii="新宋体" w:eastAsia="新宋体"/>
          <w:color w:val="0F0F0F"/>
        </w:rPr>
        <w:t>18.6.1 除专用合同条款另有约定外，承包人应按专用合同条款约定进行工程及工程设备试运行，负责提供试运行所需的人员、器材和必要的条件，并承担全部试运行费用。</w:t>
      </w:r>
    </w:p>
    <w:p w14:paraId="45C822CB">
      <w:pPr>
        <w:spacing w:line="400" w:lineRule="exact"/>
        <w:ind w:firstLine="420" w:firstLineChars="200"/>
        <w:rPr>
          <w:rFonts w:ascii="新宋体" w:eastAsia="新宋体"/>
          <w:color w:val="0F0F0F"/>
        </w:rPr>
      </w:pPr>
      <w:r>
        <w:rPr>
          <w:rFonts w:hint="eastAsia" w:ascii="新宋体" w:eastAsia="新宋体"/>
          <w:color w:val="0F0F0F"/>
        </w:rPr>
        <w:t>18.6.2 由于承包人的原因导致试运行失败的，承包人应采取措施保证试运行合格，并承担相应费用。由于发包人的原因导致试运行失败的，承包人应当采取措施保证试运行合格，发包人应承担由此产生的费用，并支付承包人合理利润。</w:t>
      </w:r>
      <w:bookmarkStart w:id="634" w:name="_Toc144974703"/>
      <w:bookmarkStart w:id="635" w:name="_Toc152045732"/>
      <w:bookmarkStart w:id="636" w:name="_Toc152042511"/>
      <w:bookmarkStart w:id="637" w:name="_Toc179632750"/>
    </w:p>
    <w:p w14:paraId="056724E5">
      <w:pPr>
        <w:spacing w:line="400" w:lineRule="exact"/>
        <w:rPr>
          <w:rFonts w:ascii="新宋体" w:eastAsia="新宋体"/>
          <w:color w:val="0F0F0F"/>
          <w:sz w:val="24"/>
        </w:rPr>
      </w:pPr>
      <w:r>
        <w:rPr>
          <w:rFonts w:hint="eastAsia" w:ascii="新宋体" w:eastAsia="新宋体"/>
          <w:color w:val="0F0F0F"/>
          <w:sz w:val="24"/>
        </w:rPr>
        <w:t>18.7 竣工清场</w:t>
      </w:r>
      <w:bookmarkEnd w:id="634"/>
      <w:bookmarkEnd w:id="635"/>
      <w:bookmarkEnd w:id="636"/>
      <w:bookmarkEnd w:id="637"/>
    </w:p>
    <w:p w14:paraId="4B2E045F">
      <w:pPr>
        <w:spacing w:line="400" w:lineRule="exact"/>
        <w:ind w:firstLine="420" w:firstLineChars="200"/>
        <w:rPr>
          <w:rFonts w:ascii="新宋体" w:eastAsia="新宋体"/>
          <w:color w:val="0F0F0F"/>
        </w:rPr>
      </w:pPr>
      <w:r>
        <w:rPr>
          <w:rFonts w:hint="eastAsia" w:ascii="新宋体" w:eastAsia="新宋体"/>
          <w:color w:val="0F0F0F"/>
        </w:rPr>
        <w:t>18.7.1 除合同另有约定外，工程接收证书颁发后，承包人应按以下要求对施工场地进行清理，直至监理人检验合格为止。竣工清场费用由承包人承担。</w:t>
      </w:r>
    </w:p>
    <w:p w14:paraId="735B73B4">
      <w:pPr>
        <w:spacing w:line="400" w:lineRule="exact"/>
        <w:ind w:firstLine="718" w:firstLineChars="342"/>
        <w:rPr>
          <w:rFonts w:ascii="新宋体" w:eastAsia="新宋体"/>
          <w:color w:val="0F0F0F"/>
        </w:rPr>
      </w:pPr>
      <w:r>
        <w:rPr>
          <w:rFonts w:hint="eastAsia" w:ascii="新宋体" w:eastAsia="新宋体"/>
          <w:color w:val="0F0F0F"/>
        </w:rPr>
        <w:t>（1）施工场地内残留的垃圾已全部清除出场；</w:t>
      </w:r>
    </w:p>
    <w:p w14:paraId="79B2399F">
      <w:pPr>
        <w:spacing w:line="400" w:lineRule="exact"/>
        <w:ind w:firstLine="718" w:firstLineChars="342"/>
        <w:rPr>
          <w:rFonts w:ascii="新宋体" w:eastAsia="新宋体"/>
          <w:color w:val="0F0F0F"/>
        </w:rPr>
      </w:pPr>
      <w:r>
        <w:rPr>
          <w:rFonts w:hint="eastAsia" w:ascii="新宋体" w:eastAsia="新宋体"/>
          <w:color w:val="0F0F0F"/>
        </w:rPr>
        <w:t>（2）临时工程已拆除，场地已按合同要求进行清理、平整或复原；</w:t>
      </w:r>
    </w:p>
    <w:p w14:paraId="20AE331F">
      <w:pPr>
        <w:spacing w:line="400" w:lineRule="exact"/>
        <w:ind w:firstLine="718" w:firstLineChars="342"/>
        <w:rPr>
          <w:rFonts w:ascii="新宋体" w:eastAsia="新宋体"/>
          <w:color w:val="0F0F0F"/>
        </w:rPr>
      </w:pPr>
      <w:r>
        <w:rPr>
          <w:rFonts w:hint="eastAsia" w:ascii="新宋体" w:eastAsia="新宋体"/>
          <w:color w:val="0F0F0F"/>
        </w:rPr>
        <w:t>（3）按合同约定应撤离的承包人设备和剩余的材料，包括废弃的施工设备和材料，已按计划撤离施工场地；</w:t>
      </w:r>
    </w:p>
    <w:p w14:paraId="47179209">
      <w:pPr>
        <w:spacing w:line="400" w:lineRule="exact"/>
        <w:ind w:firstLine="718" w:firstLineChars="342"/>
        <w:rPr>
          <w:rFonts w:ascii="新宋体" w:eastAsia="新宋体"/>
          <w:color w:val="0F0F0F"/>
        </w:rPr>
      </w:pPr>
      <w:r>
        <w:rPr>
          <w:rFonts w:hint="eastAsia" w:ascii="新宋体" w:eastAsia="新宋体"/>
          <w:color w:val="0F0F0F"/>
        </w:rPr>
        <w:t>（4）工程建筑物周边及其附近道路、河道的施工堆积物，已按监理人指示全部清理；</w:t>
      </w:r>
    </w:p>
    <w:p w14:paraId="5C73E185">
      <w:pPr>
        <w:spacing w:line="400" w:lineRule="exact"/>
        <w:ind w:firstLine="718" w:firstLineChars="342"/>
        <w:rPr>
          <w:rFonts w:ascii="新宋体" w:eastAsia="新宋体"/>
          <w:color w:val="0F0F0F"/>
        </w:rPr>
      </w:pPr>
      <w:r>
        <w:rPr>
          <w:rFonts w:hint="eastAsia" w:ascii="新宋体" w:eastAsia="新宋体"/>
          <w:color w:val="0F0F0F"/>
        </w:rPr>
        <w:t>（5）监理人指示的其他场地清理工作已全部完成。</w:t>
      </w:r>
    </w:p>
    <w:p w14:paraId="195E4A79">
      <w:pPr>
        <w:spacing w:line="400" w:lineRule="exact"/>
        <w:ind w:firstLine="420" w:firstLineChars="200"/>
        <w:rPr>
          <w:rFonts w:ascii="新宋体" w:eastAsia="新宋体"/>
          <w:color w:val="0F0F0F"/>
        </w:rPr>
      </w:pPr>
      <w:r>
        <w:rPr>
          <w:rFonts w:hint="eastAsia" w:ascii="新宋体" w:eastAsia="新宋体"/>
          <w:color w:val="0F0F0F"/>
        </w:rPr>
        <w:t>18.7.2 承包人未按监理人的要求恢复临时占地，或者场地清理未达到合同约定的，发包人有权委托其他人恢复或清理，所发生的金额从拟支付给承包人的款项中扣除。</w:t>
      </w:r>
      <w:bookmarkStart w:id="638" w:name="_Toc144974704"/>
      <w:bookmarkStart w:id="639" w:name="_Toc152042512"/>
      <w:bookmarkStart w:id="640" w:name="_Toc152045733"/>
      <w:bookmarkStart w:id="641" w:name="_Toc179632751"/>
    </w:p>
    <w:p w14:paraId="7071C5C8">
      <w:pPr>
        <w:spacing w:line="400" w:lineRule="exact"/>
        <w:rPr>
          <w:rFonts w:ascii="新宋体" w:eastAsia="新宋体"/>
          <w:color w:val="0F0F0F"/>
          <w:sz w:val="24"/>
        </w:rPr>
      </w:pPr>
      <w:r>
        <w:rPr>
          <w:rFonts w:hint="eastAsia" w:ascii="新宋体" w:eastAsia="新宋体"/>
          <w:color w:val="0F0F0F"/>
          <w:sz w:val="24"/>
        </w:rPr>
        <w:t>18.8 施工队伍的撤离</w:t>
      </w:r>
      <w:bookmarkEnd w:id="638"/>
      <w:bookmarkEnd w:id="639"/>
      <w:bookmarkEnd w:id="640"/>
      <w:bookmarkEnd w:id="641"/>
    </w:p>
    <w:p w14:paraId="49524FA2">
      <w:pPr>
        <w:spacing w:line="400" w:lineRule="exact"/>
        <w:ind w:firstLine="420" w:firstLineChars="200"/>
        <w:rPr>
          <w:rFonts w:ascii="新宋体" w:eastAsia="新宋体"/>
          <w:color w:val="0F0F0F"/>
        </w:rPr>
      </w:pPr>
      <w:r>
        <w:rPr>
          <w:rFonts w:hint="eastAsia" w:ascii="新宋体" w:eastAsia="新宋体"/>
          <w:color w:val="0F0F0F"/>
        </w:rPr>
        <w:t>工程接收证书颁发后的56天内，除了经监理人同意需在缺陷责任期内继续工作和使用的人员、施工设备和临时工程外，其余的人员、施工设备和临时工程均应撤离施工场地或拆除。除合同另有约定外，缺陷责任期满时，承包人的人员和施工设备应全部撤离施工场地。</w:t>
      </w:r>
      <w:bookmarkStart w:id="642" w:name="_Toc152042513"/>
      <w:bookmarkStart w:id="643" w:name="_Toc144974705"/>
      <w:bookmarkStart w:id="644" w:name="_Toc152045734"/>
      <w:bookmarkStart w:id="645" w:name="_Toc179632752"/>
    </w:p>
    <w:p w14:paraId="1E91BF6B">
      <w:pPr>
        <w:spacing w:line="400" w:lineRule="exact"/>
        <w:rPr>
          <w:rFonts w:ascii="新宋体" w:eastAsia="新宋体"/>
          <w:color w:val="0F0F0F"/>
          <w:sz w:val="28"/>
          <w:szCs w:val="28"/>
        </w:rPr>
      </w:pPr>
      <w:r>
        <w:rPr>
          <w:rFonts w:hint="eastAsia" w:ascii="新宋体" w:eastAsia="新宋体"/>
          <w:color w:val="0F0F0F"/>
          <w:sz w:val="28"/>
          <w:szCs w:val="28"/>
        </w:rPr>
        <w:t>19. 缺陷责任与保修责任</w:t>
      </w:r>
      <w:bookmarkEnd w:id="642"/>
      <w:bookmarkEnd w:id="643"/>
      <w:bookmarkEnd w:id="644"/>
      <w:bookmarkEnd w:id="645"/>
      <w:bookmarkStart w:id="646" w:name="_Toc152045735"/>
      <w:bookmarkStart w:id="647" w:name="_Toc179632753"/>
      <w:bookmarkStart w:id="648" w:name="_Toc144974706"/>
      <w:bookmarkStart w:id="649" w:name="_Toc152042514"/>
    </w:p>
    <w:p w14:paraId="795CD8A1">
      <w:pPr>
        <w:spacing w:line="400" w:lineRule="exact"/>
        <w:rPr>
          <w:rFonts w:ascii="新宋体" w:eastAsia="新宋体"/>
          <w:color w:val="0F0F0F"/>
          <w:sz w:val="24"/>
        </w:rPr>
      </w:pPr>
      <w:r>
        <w:rPr>
          <w:rFonts w:hint="eastAsia" w:ascii="新宋体" w:eastAsia="新宋体"/>
          <w:color w:val="0F0F0F"/>
          <w:sz w:val="24"/>
        </w:rPr>
        <w:t>19.1 缺陷责任期的起算时间</w:t>
      </w:r>
      <w:bookmarkEnd w:id="646"/>
      <w:bookmarkEnd w:id="647"/>
      <w:bookmarkEnd w:id="648"/>
      <w:bookmarkEnd w:id="649"/>
    </w:p>
    <w:p w14:paraId="30F80ACB">
      <w:pPr>
        <w:spacing w:line="400" w:lineRule="exact"/>
        <w:ind w:firstLine="420" w:firstLineChars="200"/>
        <w:rPr>
          <w:rFonts w:ascii="新宋体" w:eastAsia="新宋体"/>
          <w:color w:val="0F0F0F"/>
        </w:rPr>
      </w:pPr>
      <w:r>
        <w:rPr>
          <w:rFonts w:hint="eastAsia" w:ascii="新宋体" w:eastAsia="新宋体"/>
          <w:color w:val="0F0F0F"/>
        </w:rPr>
        <w:t>缺陷责任期自实际竣工日期起计算。在全部工程竣工验收前，已经发包人提前验收的单位工程，其缺陷责任期的起算日期相应提前。</w:t>
      </w:r>
      <w:bookmarkStart w:id="650" w:name="_Toc152042515"/>
      <w:bookmarkStart w:id="651" w:name="_Toc144974707"/>
      <w:bookmarkStart w:id="652" w:name="_Toc179632754"/>
      <w:bookmarkStart w:id="653" w:name="_Toc152045736"/>
    </w:p>
    <w:p w14:paraId="2C931560">
      <w:pPr>
        <w:spacing w:line="400" w:lineRule="exact"/>
        <w:rPr>
          <w:rFonts w:ascii="新宋体" w:eastAsia="新宋体"/>
          <w:color w:val="0F0F0F"/>
          <w:sz w:val="24"/>
        </w:rPr>
      </w:pPr>
      <w:r>
        <w:rPr>
          <w:rFonts w:hint="eastAsia" w:ascii="新宋体" w:eastAsia="新宋体"/>
          <w:color w:val="0F0F0F"/>
          <w:sz w:val="24"/>
        </w:rPr>
        <w:t>19.2 缺陷责任</w:t>
      </w:r>
      <w:bookmarkEnd w:id="650"/>
      <w:bookmarkEnd w:id="651"/>
      <w:bookmarkEnd w:id="652"/>
      <w:bookmarkEnd w:id="653"/>
    </w:p>
    <w:p w14:paraId="58346AED">
      <w:pPr>
        <w:spacing w:line="400" w:lineRule="exact"/>
        <w:ind w:firstLine="420" w:firstLineChars="200"/>
        <w:rPr>
          <w:rFonts w:ascii="新宋体" w:eastAsia="新宋体"/>
          <w:color w:val="0F0F0F"/>
        </w:rPr>
      </w:pPr>
      <w:r>
        <w:rPr>
          <w:rFonts w:hint="eastAsia" w:ascii="新宋体" w:eastAsia="新宋体"/>
          <w:color w:val="0F0F0F"/>
        </w:rPr>
        <w:t>19.2.1 承包人应在缺陷责任期内对已交付使用的工程承担缺陷责任。</w:t>
      </w:r>
    </w:p>
    <w:p w14:paraId="1FD1EFE9">
      <w:pPr>
        <w:spacing w:line="400" w:lineRule="exact"/>
        <w:ind w:firstLine="420" w:firstLineChars="200"/>
        <w:rPr>
          <w:rFonts w:ascii="新宋体" w:eastAsia="新宋体"/>
          <w:color w:val="0F0F0F"/>
        </w:rPr>
      </w:pPr>
      <w:r>
        <w:rPr>
          <w:rFonts w:hint="eastAsia" w:ascii="新宋体" w:eastAsia="新宋体"/>
          <w:color w:val="0F0F0F"/>
        </w:rPr>
        <w:t>19.2.2 缺陷责任期内，发包人对已接收使用的工程负责日常维护工作。发包人在使用过程中，发现已接收的工程存在新的缺陷或已修复的缺陷部位或部件又遭损坏的，承包人应负责修复，直至检验合格为止。</w:t>
      </w:r>
    </w:p>
    <w:p w14:paraId="1E1928A9">
      <w:pPr>
        <w:spacing w:line="400" w:lineRule="exact"/>
        <w:ind w:firstLine="420" w:firstLineChars="200"/>
        <w:rPr>
          <w:rFonts w:ascii="新宋体" w:eastAsia="新宋体"/>
          <w:color w:val="0F0F0F"/>
        </w:rPr>
      </w:pPr>
      <w:r>
        <w:rPr>
          <w:rFonts w:hint="eastAsia" w:ascii="新宋体" w:eastAsia="新宋体"/>
          <w:color w:val="0F0F0F"/>
        </w:rPr>
        <w:t>19.2.3 监理人和承包人应共同查清缺陷和（或）损坏的原因。经查明属承包人原因造成的，应由承包人承担修复和查验的费用。经查验属发包人原因造成的，发包人应承担修复和查验的费用，并支付承包人合理利润。</w:t>
      </w:r>
    </w:p>
    <w:p w14:paraId="39AC8F1A">
      <w:pPr>
        <w:spacing w:line="400" w:lineRule="exact"/>
        <w:ind w:firstLine="420" w:firstLineChars="200"/>
        <w:rPr>
          <w:rFonts w:ascii="新宋体" w:eastAsia="新宋体"/>
          <w:color w:val="0F0F0F"/>
        </w:rPr>
      </w:pPr>
      <w:r>
        <w:rPr>
          <w:rFonts w:hint="eastAsia" w:ascii="新宋体" w:eastAsia="新宋体"/>
          <w:color w:val="0F0F0F"/>
        </w:rPr>
        <w:t>19.2.4 承包人不能在合理时间内修复缺陷的，发包人可自行修复或委托其他人修复，所需费用和利润的承担，按第19.2.3项约定办理。</w:t>
      </w:r>
      <w:bookmarkStart w:id="654" w:name="_Toc152045737"/>
      <w:bookmarkStart w:id="655" w:name="_Toc152042516"/>
      <w:bookmarkStart w:id="656" w:name="_Toc144974708"/>
      <w:bookmarkStart w:id="657" w:name="_Toc179632755"/>
    </w:p>
    <w:p w14:paraId="4AEFF991">
      <w:pPr>
        <w:spacing w:line="400" w:lineRule="exact"/>
        <w:rPr>
          <w:rFonts w:ascii="新宋体" w:eastAsia="新宋体"/>
          <w:color w:val="0F0F0F"/>
          <w:sz w:val="24"/>
        </w:rPr>
      </w:pPr>
      <w:r>
        <w:rPr>
          <w:rFonts w:hint="eastAsia" w:ascii="新宋体" w:eastAsia="新宋体"/>
          <w:color w:val="0F0F0F"/>
          <w:sz w:val="24"/>
        </w:rPr>
        <w:t>19.3 缺陷责任期的延长</w:t>
      </w:r>
      <w:bookmarkEnd w:id="654"/>
      <w:bookmarkEnd w:id="655"/>
      <w:bookmarkEnd w:id="656"/>
      <w:bookmarkEnd w:id="657"/>
    </w:p>
    <w:p w14:paraId="3E13B0FA">
      <w:pPr>
        <w:spacing w:line="400" w:lineRule="exact"/>
        <w:ind w:firstLine="420" w:firstLineChars="200"/>
        <w:rPr>
          <w:rFonts w:ascii="新宋体" w:eastAsia="新宋体"/>
          <w:color w:val="0F0F0F"/>
        </w:rPr>
      </w:pPr>
      <w:r>
        <w:rPr>
          <w:rFonts w:hint="eastAsia" w:ascii="新宋体" w:eastAsia="新宋体"/>
          <w:color w:val="0F0F0F"/>
        </w:rPr>
        <w:t>由于承包人原因造成某项缺陷或损坏使某项工程或工程设备不能按原定目标使用而需要再次检查、检验和修复的，发包人有权要求承包人相应延长缺陷责任期，但缺陷责任期最长不超过2年。</w:t>
      </w:r>
      <w:bookmarkStart w:id="658" w:name="_Toc152045738"/>
      <w:bookmarkStart w:id="659" w:name="_Toc144974709"/>
      <w:bookmarkStart w:id="660" w:name="_Toc152042517"/>
      <w:bookmarkStart w:id="661" w:name="_Toc179632756"/>
    </w:p>
    <w:p w14:paraId="6DB43F60">
      <w:pPr>
        <w:spacing w:line="400" w:lineRule="exact"/>
        <w:rPr>
          <w:rFonts w:ascii="新宋体" w:eastAsia="新宋体"/>
          <w:color w:val="0F0F0F"/>
          <w:sz w:val="24"/>
        </w:rPr>
      </w:pPr>
      <w:r>
        <w:rPr>
          <w:rFonts w:hint="eastAsia" w:ascii="新宋体" w:eastAsia="新宋体"/>
          <w:color w:val="0F0F0F"/>
          <w:sz w:val="24"/>
        </w:rPr>
        <w:t>19.4 进一步试验和试运行</w:t>
      </w:r>
      <w:bookmarkEnd w:id="658"/>
      <w:bookmarkEnd w:id="659"/>
      <w:bookmarkEnd w:id="660"/>
      <w:bookmarkEnd w:id="661"/>
    </w:p>
    <w:p w14:paraId="3FB774F4">
      <w:pPr>
        <w:spacing w:line="400" w:lineRule="exact"/>
        <w:ind w:firstLine="420" w:firstLineChars="200"/>
        <w:rPr>
          <w:rFonts w:ascii="新宋体" w:eastAsia="新宋体"/>
          <w:color w:val="0F0F0F"/>
        </w:rPr>
      </w:pPr>
      <w:r>
        <w:rPr>
          <w:rFonts w:hint="eastAsia" w:ascii="新宋体" w:eastAsia="新宋体"/>
          <w:color w:val="0F0F0F"/>
        </w:rPr>
        <w:t>任何一项缺陷或损坏修复后，经检查证明其影响了工程或工程设备的使用性能，承包人应重新进行合同约定的试验和试运行，试验和试运行的全部费用应由责任方承担。</w:t>
      </w:r>
      <w:bookmarkStart w:id="662" w:name="_Toc152042518"/>
      <w:bookmarkStart w:id="663" w:name="_Toc179632757"/>
      <w:bookmarkStart w:id="664" w:name="_Toc144974710"/>
      <w:bookmarkStart w:id="665" w:name="_Toc152045739"/>
    </w:p>
    <w:p w14:paraId="040CAF0A">
      <w:pPr>
        <w:spacing w:line="400" w:lineRule="exact"/>
        <w:rPr>
          <w:rFonts w:ascii="新宋体" w:eastAsia="新宋体"/>
          <w:color w:val="0F0F0F"/>
          <w:sz w:val="24"/>
        </w:rPr>
      </w:pPr>
      <w:r>
        <w:rPr>
          <w:rFonts w:hint="eastAsia" w:ascii="新宋体" w:eastAsia="新宋体"/>
          <w:color w:val="0F0F0F"/>
          <w:sz w:val="24"/>
        </w:rPr>
        <w:t>19.5 承包人的进入权</w:t>
      </w:r>
      <w:bookmarkEnd w:id="662"/>
      <w:bookmarkEnd w:id="663"/>
      <w:bookmarkEnd w:id="664"/>
      <w:bookmarkEnd w:id="665"/>
    </w:p>
    <w:p w14:paraId="01F55D32">
      <w:pPr>
        <w:spacing w:line="400" w:lineRule="exact"/>
        <w:ind w:firstLine="420" w:firstLineChars="200"/>
        <w:rPr>
          <w:rFonts w:ascii="新宋体" w:eastAsia="新宋体"/>
          <w:color w:val="0F0F0F"/>
        </w:rPr>
      </w:pPr>
      <w:r>
        <w:rPr>
          <w:rFonts w:hint="eastAsia" w:ascii="新宋体" w:eastAsia="新宋体"/>
          <w:color w:val="0F0F0F"/>
        </w:rPr>
        <w:t>缺陷责任期内承包人为缺陷修复工作需要，有权进入工程现场，但应遵守发包人的保安和保密规定。</w:t>
      </w:r>
      <w:bookmarkStart w:id="666" w:name="_Toc152042519"/>
      <w:bookmarkStart w:id="667" w:name="_Toc152045740"/>
      <w:bookmarkStart w:id="668" w:name="_Toc179632758"/>
      <w:bookmarkStart w:id="669" w:name="_Toc144974711"/>
    </w:p>
    <w:p w14:paraId="7B4B1CE2">
      <w:pPr>
        <w:spacing w:line="400" w:lineRule="exact"/>
        <w:rPr>
          <w:rFonts w:ascii="新宋体" w:eastAsia="新宋体"/>
          <w:color w:val="0F0F0F"/>
          <w:sz w:val="24"/>
        </w:rPr>
      </w:pPr>
      <w:r>
        <w:rPr>
          <w:rFonts w:hint="eastAsia" w:ascii="新宋体" w:eastAsia="新宋体"/>
          <w:color w:val="0F0F0F"/>
          <w:sz w:val="24"/>
        </w:rPr>
        <w:t>19.6 缺陷责任期终止证书</w:t>
      </w:r>
      <w:bookmarkEnd w:id="666"/>
      <w:bookmarkEnd w:id="667"/>
      <w:bookmarkEnd w:id="668"/>
      <w:bookmarkEnd w:id="669"/>
    </w:p>
    <w:p w14:paraId="46DF9612">
      <w:pPr>
        <w:spacing w:line="400" w:lineRule="exact"/>
        <w:ind w:firstLine="420" w:firstLineChars="200"/>
        <w:rPr>
          <w:rFonts w:ascii="新宋体" w:eastAsia="新宋体"/>
          <w:color w:val="0F0F0F"/>
        </w:rPr>
      </w:pPr>
      <w:r>
        <w:rPr>
          <w:rFonts w:hint="eastAsia" w:ascii="新宋体" w:eastAsia="新宋体"/>
          <w:color w:val="0F0F0F"/>
        </w:rPr>
        <w:t>在第1.1.4.5目约定的缺陷责任期，包括根据第19.3款延长的期限终止后14天内，由监理人向承包人出具经发包人签认的缺陷责任期终止证书，并退还剩余的质量保证金。</w:t>
      </w:r>
      <w:bookmarkStart w:id="670" w:name="_Toc152045741"/>
      <w:bookmarkStart w:id="671" w:name="_Toc144974712"/>
      <w:bookmarkStart w:id="672" w:name="_Toc179632759"/>
      <w:bookmarkStart w:id="673" w:name="_Toc152042520"/>
    </w:p>
    <w:p w14:paraId="78B91BDA">
      <w:pPr>
        <w:spacing w:line="400" w:lineRule="exact"/>
        <w:rPr>
          <w:rFonts w:ascii="新宋体" w:eastAsia="新宋体"/>
          <w:color w:val="0F0F0F"/>
          <w:sz w:val="24"/>
        </w:rPr>
      </w:pPr>
      <w:r>
        <w:rPr>
          <w:rFonts w:hint="eastAsia" w:ascii="新宋体" w:eastAsia="新宋体"/>
          <w:color w:val="0F0F0F"/>
          <w:sz w:val="24"/>
        </w:rPr>
        <w:t>19.7 保修责任</w:t>
      </w:r>
      <w:bookmarkEnd w:id="670"/>
      <w:bookmarkEnd w:id="671"/>
      <w:bookmarkEnd w:id="672"/>
      <w:bookmarkEnd w:id="673"/>
    </w:p>
    <w:p w14:paraId="5828327C">
      <w:pPr>
        <w:spacing w:line="400" w:lineRule="exact"/>
        <w:ind w:firstLine="420" w:firstLineChars="200"/>
        <w:rPr>
          <w:rFonts w:ascii="新宋体" w:eastAsia="新宋体"/>
          <w:color w:val="0F0F0F"/>
        </w:rPr>
      </w:pPr>
      <w:r>
        <w:rPr>
          <w:rFonts w:hint="eastAsia" w:ascii="新宋体" w:eastAsia="新宋体"/>
          <w:color w:val="0F0F0F"/>
        </w:rPr>
        <w:t>合同当事人根据有关法律规定，在专用合同条款中约定工程质量保修范围、期限和责任。保修期自实际竣工日期起计算。在全部工程竣工验收前，已经发包人提前验收的单位工程，其保修期的起算日期相应提前。</w:t>
      </w:r>
      <w:bookmarkStart w:id="674" w:name="_Toc152042521"/>
      <w:bookmarkStart w:id="675" w:name="_Toc144974713"/>
      <w:bookmarkStart w:id="676" w:name="_Toc179632760"/>
      <w:bookmarkStart w:id="677" w:name="_Toc152045742"/>
    </w:p>
    <w:p w14:paraId="4727B533">
      <w:pPr>
        <w:spacing w:line="400" w:lineRule="exact"/>
        <w:rPr>
          <w:rFonts w:ascii="新宋体" w:eastAsia="新宋体"/>
          <w:color w:val="0F0F0F"/>
          <w:sz w:val="28"/>
          <w:szCs w:val="28"/>
        </w:rPr>
      </w:pPr>
      <w:r>
        <w:rPr>
          <w:rFonts w:hint="eastAsia" w:ascii="新宋体" w:eastAsia="新宋体"/>
          <w:color w:val="0F0F0F"/>
          <w:sz w:val="28"/>
          <w:szCs w:val="28"/>
        </w:rPr>
        <w:t>20. 保险</w:t>
      </w:r>
      <w:bookmarkEnd w:id="674"/>
      <w:bookmarkEnd w:id="675"/>
      <w:bookmarkEnd w:id="676"/>
      <w:bookmarkEnd w:id="677"/>
      <w:bookmarkStart w:id="678" w:name="_Toc152042522"/>
      <w:bookmarkStart w:id="679" w:name="_Toc179632761"/>
      <w:bookmarkStart w:id="680" w:name="_Toc144974714"/>
      <w:bookmarkStart w:id="681" w:name="_Toc152045743"/>
    </w:p>
    <w:p w14:paraId="4368CF13">
      <w:pPr>
        <w:spacing w:line="400" w:lineRule="exact"/>
        <w:rPr>
          <w:rFonts w:ascii="新宋体" w:eastAsia="新宋体"/>
          <w:color w:val="0F0F0F"/>
          <w:sz w:val="24"/>
        </w:rPr>
      </w:pPr>
      <w:r>
        <w:rPr>
          <w:rFonts w:hint="eastAsia" w:ascii="新宋体" w:eastAsia="新宋体"/>
          <w:color w:val="0F0F0F"/>
          <w:sz w:val="24"/>
        </w:rPr>
        <w:t>20.1 工程保险</w:t>
      </w:r>
      <w:bookmarkEnd w:id="678"/>
      <w:bookmarkEnd w:id="679"/>
      <w:bookmarkEnd w:id="680"/>
      <w:bookmarkEnd w:id="681"/>
    </w:p>
    <w:p w14:paraId="1A147191">
      <w:pPr>
        <w:spacing w:line="380" w:lineRule="exact"/>
        <w:ind w:firstLine="420" w:firstLineChars="200"/>
        <w:rPr>
          <w:rFonts w:ascii="新宋体" w:eastAsia="新宋体"/>
          <w:color w:val="0F0F0F"/>
          <w:sz w:val="24"/>
        </w:rPr>
      </w:pPr>
      <w:r>
        <w:rPr>
          <w:rFonts w:hint="eastAsia" w:ascii="新宋体" w:eastAsia="新宋体"/>
          <w:color w:val="0F0F0F"/>
        </w:rPr>
        <w:t>除专用合同条款另有约定外，承包人应以发包人和承包人的共同名义向双方同意的保险人投保建筑工程一切险、安装工程一切险。其具体的投保内容、保险金额、保险费率、保险期限等有关内容在专用合同条款中约定。</w:t>
      </w:r>
      <w:bookmarkStart w:id="682" w:name="_Toc152042523"/>
      <w:bookmarkStart w:id="683" w:name="_Toc152045744"/>
      <w:bookmarkStart w:id="684" w:name="_Toc144974715"/>
      <w:bookmarkStart w:id="685" w:name="_Toc179632762"/>
    </w:p>
    <w:p w14:paraId="3636E1EE">
      <w:pPr>
        <w:spacing w:line="380" w:lineRule="exact"/>
        <w:rPr>
          <w:rFonts w:ascii="新宋体" w:eastAsia="新宋体"/>
          <w:color w:val="0F0F0F"/>
          <w:sz w:val="24"/>
        </w:rPr>
      </w:pPr>
      <w:r>
        <w:rPr>
          <w:rFonts w:hint="eastAsia" w:ascii="新宋体" w:eastAsia="新宋体"/>
          <w:color w:val="0F0F0F"/>
          <w:sz w:val="24"/>
        </w:rPr>
        <w:t>20.2 人员工伤事故的保险</w:t>
      </w:r>
      <w:bookmarkEnd w:id="682"/>
      <w:bookmarkEnd w:id="683"/>
      <w:bookmarkEnd w:id="684"/>
      <w:bookmarkEnd w:id="685"/>
    </w:p>
    <w:p w14:paraId="4F859522">
      <w:pPr>
        <w:spacing w:line="380" w:lineRule="exact"/>
        <w:ind w:firstLine="420" w:firstLineChars="200"/>
        <w:rPr>
          <w:rFonts w:ascii="新宋体" w:eastAsia="新宋体"/>
          <w:color w:val="0F0F0F"/>
        </w:rPr>
      </w:pPr>
      <w:r>
        <w:rPr>
          <w:rFonts w:hint="eastAsia" w:ascii="新宋体" w:eastAsia="新宋体"/>
          <w:color w:val="0F0F0F"/>
        </w:rPr>
        <w:t>20.2.1 承包人员工伤事故的保险</w:t>
      </w:r>
    </w:p>
    <w:p w14:paraId="4B2BA5C1">
      <w:pPr>
        <w:spacing w:line="380" w:lineRule="exact"/>
        <w:ind w:firstLine="420" w:firstLineChars="200"/>
        <w:rPr>
          <w:rFonts w:ascii="新宋体" w:eastAsia="新宋体"/>
          <w:color w:val="0F0F0F"/>
        </w:rPr>
      </w:pPr>
      <w:r>
        <w:rPr>
          <w:rFonts w:hint="eastAsia" w:ascii="新宋体" w:eastAsia="新宋体"/>
          <w:color w:val="0F0F0F"/>
        </w:rPr>
        <w:t>承包人应</w:t>
      </w:r>
      <w:r>
        <w:rPr>
          <w:rFonts w:ascii="新宋体" w:eastAsia="新宋体"/>
          <w:color w:val="0F0F0F"/>
        </w:rPr>
        <w:t>依照</w:t>
      </w:r>
      <w:r>
        <w:rPr>
          <w:rFonts w:hint="eastAsia" w:ascii="新宋体" w:eastAsia="新宋体"/>
          <w:color w:val="0F0F0F"/>
        </w:rPr>
        <w:t>有关法律</w:t>
      </w:r>
      <w:r>
        <w:rPr>
          <w:rFonts w:ascii="新宋体" w:eastAsia="新宋体"/>
          <w:color w:val="0F0F0F"/>
        </w:rPr>
        <w:t>规定参加工伤保险，</w:t>
      </w:r>
      <w:r>
        <w:rPr>
          <w:rFonts w:hint="eastAsia" w:ascii="新宋体" w:eastAsia="新宋体"/>
          <w:color w:val="0F0F0F"/>
        </w:rPr>
        <w:t>为其履行合同所雇佣的全部人员，</w:t>
      </w:r>
      <w:r>
        <w:rPr>
          <w:rFonts w:ascii="新宋体" w:eastAsia="新宋体"/>
          <w:color w:val="0F0F0F"/>
        </w:rPr>
        <w:t>缴纳工伤保险费</w:t>
      </w:r>
      <w:r>
        <w:rPr>
          <w:rFonts w:hint="eastAsia" w:ascii="新宋体" w:eastAsia="新宋体"/>
          <w:color w:val="0F0F0F"/>
        </w:rPr>
        <w:t>，并要求其分包人也进行此项保险。</w:t>
      </w:r>
    </w:p>
    <w:p w14:paraId="067D97F9">
      <w:pPr>
        <w:spacing w:line="380" w:lineRule="exact"/>
        <w:ind w:firstLine="420" w:firstLineChars="200"/>
        <w:rPr>
          <w:rFonts w:ascii="新宋体" w:eastAsia="新宋体"/>
          <w:color w:val="0F0F0F"/>
        </w:rPr>
      </w:pPr>
      <w:r>
        <w:rPr>
          <w:rFonts w:hint="eastAsia" w:ascii="新宋体" w:eastAsia="新宋体"/>
          <w:color w:val="0F0F0F"/>
        </w:rPr>
        <w:t>20.2.2 发包人员工伤事故的保险</w:t>
      </w:r>
    </w:p>
    <w:p w14:paraId="6BE1E8E9">
      <w:pPr>
        <w:spacing w:line="380" w:lineRule="exact"/>
        <w:ind w:firstLine="420" w:firstLineChars="200"/>
        <w:rPr>
          <w:rFonts w:ascii="新宋体" w:eastAsia="新宋体"/>
          <w:color w:val="0F0F0F"/>
          <w:sz w:val="24"/>
        </w:rPr>
      </w:pPr>
      <w:r>
        <w:rPr>
          <w:rFonts w:hint="eastAsia" w:ascii="新宋体" w:eastAsia="新宋体"/>
          <w:color w:val="0F0F0F"/>
        </w:rPr>
        <w:t>发包人应</w:t>
      </w:r>
      <w:r>
        <w:rPr>
          <w:rFonts w:ascii="新宋体" w:eastAsia="新宋体"/>
          <w:color w:val="0F0F0F"/>
        </w:rPr>
        <w:t>依照</w:t>
      </w:r>
      <w:r>
        <w:rPr>
          <w:rFonts w:hint="eastAsia" w:ascii="新宋体" w:eastAsia="新宋体"/>
          <w:color w:val="0F0F0F"/>
        </w:rPr>
        <w:t>有关法律</w:t>
      </w:r>
      <w:r>
        <w:rPr>
          <w:rFonts w:ascii="新宋体" w:eastAsia="新宋体"/>
          <w:color w:val="0F0F0F"/>
        </w:rPr>
        <w:t>规定参加工伤保险，</w:t>
      </w:r>
      <w:r>
        <w:rPr>
          <w:rFonts w:hint="eastAsia" w:ascii="新宋体" w:eastAsia="新宋体"/>
          <w:color w:val="0F0F0F"/>
        </w:rPr>
        <w:t>为其现场机构雇佣的全部人员，</w:t>
      </w:r>
      <w:r>
        <w:rPr>
          <w:rFonts w:ascii="新宋体" w:eastAsia="新宋体"/>
          <w:color w:val="0F0F0F"/>
        </w:rPr>
        <w:t>缴纳工伤保</w:t>
      </w:r>
      <w:r>
        <w:rPr>
          <w:rFonts w:hint="eastAsia" w:ascii="新宋体" w:eastAsia="新宋体"/>
          <w:color w:val="0F0F0F"/>
        </w:rPr>
        <w:t>险费，并要求其监理人也进行此项保险。</w:t>
      </w:r>
      <w:bookmarkStart w:id="686" w:name="_Toc179632763"/>
      <w:bookmarkStart w:id="687" w:name="_Toc152042524"/>
      <w:bookmarkStart w:id="688" w:name="_Toc144974716"/>
      <w:bookmarkStart w:id="689" w:name="_Toc152045745"/>
    </w:p>
    <w:p w14:paraId="6A472CDE">
      <w:pPr>
        <w:spacing w:line="380" w:lineRule="exact"/>
        <w:rPr>
          <w:rFonts w:ascii="新宋体" w:eastAsia="新宋体"/>
          <w:color w:val="0F0F0F"/>
          <w:sz w:val="24"/>
        </w:rPr>
      </w:pPr>
      <w:r>
        <w:rPr>
          <w:rFonts w:hint="eastAsia" w:ascii="新宋体" w:eastAsia="新宋体"/>
          <w:color w:val="0F0F0F"/>
          <w:sz w:val="24"/>
        </w:rPr>
        <w:t>20.3 人身意外伤害险</w:t>
      </w:r>
      <w:bookmarkEnd w:id="686"/>
      <w:bookmarkEnd w:id="687"/>
      <w:bookmarkEnd w:id="688"/>
      <w:bookmarkEnd w:id="689"/>
    </w:p>
    <w:p w14:paraId="5D70EE05">
      <w:pPr>
        <w:spacing w:line="380" w:lineRule="exact"/>
        <w:ind w:firstLine="420" w:firstLineChars="200"/>
        <w:rPr>
          <w:rFonts w:ascii="新宋体" w:eastAsia="新宋体"/>
          <w:color w:val="0F0F0F"/>
        </w:rPr>
      </w:pPr>
      <w:r>
        <w:rPr>
          <w:rFonts w:hint="eastAsia" w:ascii="新宋体" w:eastAsia="新宋体"/>
          <w:color w:val="0F0F0F"/>
        </w:rPr>
        <w:t>20.3.1 发包人应在整个施工期间为其现场机构雇用的全部人员，投保人身意外伤害险，缴纳保险费，并要求其监理人也进行此项保险。</w:t>
      </w:r>
    </w:p>
    <w:p w14:paraId="6ADAFD60">
      <w:pPr>
        <w:spacing w:line="380" w:lineRule="exact"/>
        <w:ind w:firstLine="420" w:firstLineChars="200"/>
        <w:rPr>
          <w:rFonts w:ascii="新宋体" w:eastAsia="新宋体"/>
          <w:color w:val="0F0F0F"/>
        </w:rPr>
      </w:pPr>
      <w:r>
        <w:rPr>
          <w:rFonts w:hint="eastAsia" w:ascii="新宋体" w:eastAsia="新宋体"/>
          <w:color w:val="0F0F0F"/>
        </w:rPr>
        <w:t>20.3.2 承包人应在整个施工期间为其现场机构雇用的全部人员，投保人身意外伤害险，缴纳保险费，并要求其分包人也进行此项保险。</w:t>
      </w:r>
      <w:bookmarkStart w:id="690" w:name="_Toc152045746"/>
      <w:bookmarkStart w:id="691" w:name="_Toc179632764"/>
      <w:bookmarkStart w:id="692" w:name="_Toc144974717"/>
      <w:bookmarkStart w:id="693" w:name="_Toc152042525"/>
    </w:p>
    <w:p w14:paraId="3E8A83E7">
      <w:pPr>
        <w:spacing w:line="380" w:lineRule="exact"/>
        <w:rPr>
          <w:rFonts w:ascii="新宋体" w:eastAsia="新宋体"/>
          <w:color w:val="0F0F0F"/>
          <w:sz w:val="24"/>
        </w:rPr>
      </w:pPr>
      <w:r>
        <w:rPr>
          <w:rFonts w:hint="eastAsia" w:ascii="新宋体" w:eastAsia="新宋体"/>
          <w:color w:val="0F0F0F"/>
          <w:sz w:val="24"/>
        </w:rPr>
        <w:t>20.4 第三者责任险</w:t>
      </w:r>
      <w:bookmarkEnd w:id="690"/>
      <w:bookmarkEnd w:id="691"/>
      <w:bookmarkEnd w:id="692"/>
      <w:bookmarkEnd w:id="693"/>
    </w:p>
    <w:p w14:paraId="2B077660">
      <w:pPr>
        <w:spacing w:line="380" w:lineRule="exact"/>
        <w:ind w:firstLine="420" w:firstLineChars="200"/>
        <w:rPr>
          <w:rFonts w:ascii="新宋体" w:eastAsia="新宋体"/>
          <w:color w:val="0F0F0F"/>
        </w:rPr>
      </w:pPr>
      <w:r>
        <w:rPr>
          <w:rFonts w:hint="eastAsia" w:ascii="新宋体" w:eastAsia="新宋体"/>
          <w:color w:val="0F0F0F"/>
        </w:rPr>
        <w:t>20.4.1 第三者责任系指在保险期内，对因工程意外事故造成的、依法应由被保险人负责的工地上及毗邻地区的第三者人身伤亡、疾病或财产损失（本工程除外），以及被保险人因此而支付的诉讼费用和事先经保险人书面同意支付的其他费用等赔偿责任。</w:t>
      </w:r>
    </w:p>
    <w:p w14:paraId="36126677">
      <w:pPr>
        <w:spacing w:line="380" w:lineRule="exact"/>
        <w:ind w:firstLine="420" w:firstLineChars="200"/>
        <w:rPr>
          <w:rFonts w:ascii="新宋体" w:eastAsia="新宋体"/>
          <w:color w:val="0F0F0F"/>
        </w:rPr>
      </w:pPr>
      <w:r>
        <w:rPr>
          <w:rFonts w:hint="eastAsia" w:ascii="新宋体" w:eastAsia="新宋体"/>
          <w:color w:val="0F0F0F"/>
        </w:rPr>
        <w:t>20.4.2 在缺陷责任期终止证书颁发前，承包人应以承包人和发包人的共同名义，投保第20.4.1项约定的第三者责任险，其保险费率、保险金额等有关内容在专用合同条款中约定。</w:t>
      </w:r>
      <w:bookmarkStart w:id="694" w:name="_Toc144974718"/>
      <w:bookmarkStart w:id="695" w:name="_Toc179632765"/>
      <w:bookmarkStart w:id="696" w:name="_Toc152045747"/>
      <w:bookmarkStart w:id="697" w:name="_Toc152042526"/>
    </w:p>
    <w:p w14:paraId="630FA339">
      <w:pPr>
        <w:spacing w:line="380" w:lineRule="exact"/>
        <w:rPr>
          <w:rFonts w:ascii="新宋体" w:eastAsia="新宋体"/>
          <w:color w:val="0F0F0F"/>
          <w:sz w:val="24"/>
        </w:rPr>
      </w:pPr>
      <w:r>
        <w:rPr>
          <w:rFonts w:hint="eastAsia" w:ascii="新宋体" w:eastAsia="新宋体"/>
          <w:color w:val="0F0F0F"/>
          <w:sz w:val="24"/>
        </w:rPr>
        <w:t>20.5 其他保险</w:t>
      </w:r>
      <w:bookmarkEnd w:id="694"/>
      <w:bookmarkEnd w:id="695"/>
      <w:bookmarkEnd w:id="696"/>
      <w:bookmarkEnd w:id="697"/>
    </w:p>
    <w:p w14:paraId="6EC4E5AD">
      <w:pPr>
        <w:spacing w:line="380" w:lineRule="exact"/>
        <w:ind w:firstLine="420" w:firstLineChars="200"/>
        <w:rPr>
          <w:rFonts w:ascii="新宋体" w:eastAsia="新宋体"/>
          <w:color w:val="0F0F0F"/>
        </w:rPr>
      </w:pPr>
      <w:r>
        <w:rPr>
          <w:rFonts w:hint="eastAsia" w:ascii="新宋体" w:eastAsia="新宋体"/>
          <w:color w:val="0F0F0F"/>
        </w:rPr>
        <w:t>除专用合同条款另有约定外，承包人应为其施工设备、进场的材料和工程设备等办理保险。</w:t>
      </w:r>
      <w:bookmarkStart w:id="698" w:name="_Toc144974719"/>
      <w:bookmarkStart w:id="699" w:name="_Toc152045748"/>
      <w:bookmarkStart w:id="700" w:name="_Toc152042527"/>
      <w:bookmarkStart w:id="701" w:name="_Toc179632766"/>
    </w:p>
    <w:p w14:paraId="5A02BC89">
      <w:pPr>
        <w:spacing w:line="380" w:lineRule="exact"/>
        <w:rPr>
          <w:rFonts w:ascii="新宋体" w:eastAsia="新宋体"/>
          <w:color w:val="0F0F0F"/>
          <w:sz w:val="24"/>
        </w:rPr>
      </w:pPr>
      <w:r>
        <w:rPr>
          <w:rFonts w:hint="eastAsia" w:ascii="新宋体" w:eastAsia="新宋体"/>
          <w:color w:val="0F0F0F"/>
          <w:sz w:val="24"/>
        </w:rPr>
        <w:t>20.6 对各项保险的一般要求</w:t>
      </w:r>
      <w:bookmarkEnd w:id="698"/>
      <w:bookmarkEnd w:id="699"/>
      <w:bookmarkEnd w:id="700"/>
      <w:bookmarkEnd w:id="701"/>
    </w:p>
    <w:p w14:paraId="3B4E690D">
      <w:pPr>
        <w:spacing w:line="380" w:lineRule="exact"/>
        <w:ind w:firstLine="420" w:firstLineChars="200"/>
        <w:rPr>
          <w:rFonts w:ascii="新宋体" w:eastAsia="新宋体"/>
          <w:color w:val="0F0F0F"/>
        </w:rPr>
      </w:pPr>
      <w:r>
        <w:rPr>
          <w:rFonts w:hint="eastAsia" w:ascii="新宋体" w:eastAsia="新宋体"/>
          <w:color w:val="0F0F0F"/>
        </w:rPr>
        <w:t>20.6.1 保险凭证</w:t>
      </w:r>
    </w:p>
    <w:p w14:paraId="6D8F4222">
      <w:pPr>
        <w:spacing w:line="380" w:lineRule="exact"/>
        <w:ind w:firstLine="420" w:firstLineChars="200"/>
        <w:rPr>
          <w:rFonts w:ascii="新宋体" w:eastAsia="新宋体"/>
          <w:color w:val="0F0F0F"/>
        </w:rPr>
      </w:pPr>
      <w:r>
        <w:rPr>
          <w:rFonts w:hint="eastAsia" w:ascii="新宋体" w:eastAsia="新宋体"/>
          <w:color w:val="0F0F0F"/>
        </w:rPr>
        <w:t>承包人应在专用合同条款约定的期限内向发包人提交各项保险生效的证据和保险单副本，保险单必须与专用合同条款约定的条件保持一致。</w:t>
      </w:r>
    </w:p>
    <w:p w14:paraId="719ED2D4">
      <w:pPr>
        <w:spacing w:line="380" w:lineRule="exact"/>
        <w:ind w:firstLine="420" w:firstLineChars="200"/>
        <w:rPr>
          <w:rFonts w:ascii="新宋体" w:eastAsia="新宋体"/>
          <w:color w:val="0F0F0F"/>
        </w:rPr>
      </w:pPr>
      <w:r>
        <w:rPr>
          <w:rFonts w:hint="eastAsia" w:ascii="新宋体" w:eastAsia="新宋体"/>
          <w:color w:val="0F0F0F"/>
        </w:rPr>
        <w:t>20.6.2 保险合同条款的变动</w:t>
      </w:r>
    </w:p>
    <w:p w14:paraId="1B31E045">
      <w:pPr>
        <w:spacing w:line="380" w:lineRule="exact"/>
        <w:ind w:firstLine="420" w:firstLineChars="200"/>
        <w:rPr>
          <w:rFonts w:ascii="新宋体" w:eastAsia="新宋体"/>
          <w:color w:val="0F0F0F"/>
        </w:rPr>
      </w:pPr>
      <w:r>
        <w:rPr>
          <w:rFonts w:hint="eastAsia" w:ascii="新宋体" w:eastAsia="新宋体"/>
          <w:color w:val="0F0F0F"/>
        </w:rPr>
        <w:t>承包人需要变动保险合同条款时，应事先征得发包人同意，并通知监理人。保险人作出变动的，承包人应在收到保险人通知后立即通知发包人和监理人。</w:t>
      </w:r>
    </w:p>
    <w:p w14:paraId="2179C5C1">
      <w:pPr>
        <w:spacing w:line="380" w:lineRule="exact"/>
        <w:ind w:firstLine="420" w:firstLineChars="200"/>
        <w:rPr>
          <w:rFonts w:ascii="新宋体" w:eastAsia="新宋体"/>
          <w:color w:val="0F0F0F"/>
        </w:rPr>
      </w:pPr>
      <w:r>
        <w:rPr>
          <w:rFonts w:hint="eastAsia" w:ascii="新宋体" w:eastAsia="新宋体"/>
          <w:color w:val="0F0F0F"/>
        </w:rPr>
        <w:t>20.6.3 持续保险</w:t>
      </w:r>
    </w:p>
    <w:p w14:paraId="63F24B84">
      <w:pPr>
        <w:spacing w:line="380" w:lineRule="exact"/>
        <w:ind w:firstLine="420" w:firstLineChars="200"/>
        <w:rPr>
          <w:rFonts w:ascii="新宋体" w:eastAsia="新宋体"/>
          <w:color w:val="0F0F0F"/>
        </w:rPr>
      </w:pPr>
      <w:r>
        <w:rPr>
          <w:rFonts w:hint="eastAsia" w:ascii="新宋体" w:eastAsia="新宋体"/>
          <w:color w:val="0F0F0F"/>
        </w:rPr>
        <w:t>承包人应与保险人保持联系，使保险人能够随时了解工程实施中的变动，并确保按保险合同条款要求持续保险。</w:t>
      </w:r>
    </w:p>
    <w:p w14:paraId="303A6847">
      <w:pPr>
        <w:spacing w:line="380" w:lineRule="exact"/>
        <w:ind w:firstLine="420" w:firstLineChars="200"/>
        <w:rPr>
          <w:rFonts w:ascii="新宋体" w:eastAsia="新宋体"/>
          <w:color w:val="0F0F0F"/>
        </w:rPr>
      </w:pPr>
      <w:r>
        <w:rPr>
          <w:rFonts w:hint="eastAsia" w:ascii="新宋体" w:eastAsia="新宋体"/>
          <w:color w:val="0F0F0F"/>
        </w:rPr>
        <w:t>20.6.4 保险金不足的补偿</w:t>
      </w:r>
    </w:p>
    <w:p w14:paraId="2219C9F2">
      <w:pPr>
        <w:spacing w:line="380" w:lineRule="exact"/>
        <w:ind w:firstLine="420" w:firstLineChars="200"/>
        <w:rPr>
          <w:rFonts w:ascii="新宋体" w:eastAsia="新宋体"/>
          <w:color w:val="0F0F0F"/>
        </w:rPr>
      </w:pPr>
      <w:r>
        <w:rPr>
          <w:rFonts w:hint="eastAsia" w:ascii="新宋体" w:eastAsia="新宋体"/>
          <w:color w:val="0F0F0F"/>
        </w:rPr>
        <w:t>保险金不足以补偿损失的，应由承包人和（或）发包人按合同约定负责补偿。</w:t>
      </w:r>
    </w:p>
    <w:p w14:paraId="068B40DC">
      <w:pPr>
        <w:spacing w:line="380" w:lineRule="exact"/>
        <w:ind w:firstLine="420" w:firstLineChars="200"/>
        <w:rPr>
          <w:rFonts w:ascii="新宋体" w:eastAsia="新宋体"/>
          <w:color w:val="0F0F0F"/>
        </w:rPr>
      </w:pPr>
      <w:r>
        <w:rPr>
          <w:rFonts w:hint="eastAsia" w:ascii="新宋体" w:eastAsia="新宋体"/>
          <w:color w:val="0F0F0F"/>
        </w:rPr>
        <w:t>20.6.5 未按约定投保的补救</w:t>
      </w:r>
    </w:p>
    <w:p w14:paraId="1613C0D5">
      <w:pPr>
        <w:spacing w:line="380" w:lineRule="exact"/>
        <w:ind w:firstLine="420" w:firstLineChars="200"/>
        <w:rPr>
          <w:rFonts w:ascii="新宋体" w:eastAsia="新宋体"/>
          <w:color w:val="0F0F0F"/>
        </w:rPr>
      </w:pPr>
      <w:r>
        <w:rPr>
          <w:rFonts w:hint="eastAsia" w:ascii="新宋体" w:eastAsia="新宋体"/>
          <w:color w:val="0F0F0F"/>
        </w:rPr>
        <w:t>（1）由于负有投保义务的一方当事人未按合同约定办理保险，或未能使保险持续有效的，另一方当事人可代为办理，所需费用由对方当事人承担。</w:t>
      </w:r>
    </w:p>
    <w:p w14:paraId="20D601CA">
      <w:pPr>
        <w:spacing w:line="380" w:lineRule="exact"/>
        <w:ind w:firstLine="420" w:firstLineChars="200"/>
        <w:rPr>
          <w:rFonts w:ascii="新宋体" w:eastAsia="新宋体"/>
          <w:color w:val="0F0F0F"/>
        </w:rPr>
      </w:pPr>
      <w:r>
        <w:rPr>
          <w:rFonts w:hint="eastAsia" w:ascii="新宋体" w:eastAsia="新宋体"/>
          <w:color w:val="0F0F0F"/>
        </w:rPr>
        <w:t>（2）由于负有投保义务的一方当事人未按合同约定办理某项保险，导致受益人未能得到保险人的赔偿，原应从该项保险得到的保险金应由负有投保义务的一方当事人支付。</w:t>
      </w:r>
    </w:p>
    <w:p w14:paraId="0996ADA2">
      <w:pPr>
        <w:spacing w:line="380" w:lineRule="exact"/>
        <w:ind w:firstLine="420" w:firstLineChars="200"/>
        <w:rPr>
          <w:rFonts w:ascii="新宋体" w:eastAsia="新宋体"/>
          <w:color w:val="0F0F0F"/>
        </w:rPr>
      </w:pPr>
      <w:r>
        <w:rPr>
          <w:rFonts w:hint="eastAsia" w:ascii="新宋体" w:eastAsia="新宋体"/>
          <w:color w:val="0F0F0F"/>
        </w:rPr>
        <w:t>20.6.6 报告义务</w:t>
      </w:r>
    </w:p>
    <w:p w14:paraId="757D38DA">
      <w:pPr>
        <w:spacing w:line="400" w:lineRule="exact"/>
        <w:ind w:firstLine="420" w:firstLineChars="200"/>
        <w:rPr>
          <w:rFonts w:ascii="新宋体" w:eastAsia="新宋体"/>
          <w:color w:val="0F0F0F"/>
        </w:rPr>
      </w:pPr>
      <w:r>
        <w:rPr>
          <w:rFonts w:hint="eastAsia" w:ascii="新宋体" w:eastAsia="新宋体"/>
          <w:color w:val="0F0F0F"/>
        </w:rPr>
        <w:t>当保险事故发生时，投保人应按照保险单规定的条件和期限及时向保险人报告。</w:t>
      </w:r>
      <w:bookmarkStart w:id="702" w:name="_Toc179632767"/>
      <w:bookmarkStart w:id="703" w:name="_Toc152045749"/>
      <w:bookmarkStart w:id="704" w:name="_Toc152042528"/>
      <w:bookmarkStart w:id="705" w:name="_Toc144974720"/>
    </w:p>
    <w:p w14:paraId="1DACFD9E">
      <w:pPr>
        <w:spacing w:line="400" w:lineRule="exact"/>
        <w:rPr>
          <w:rFonts w:ascii="新宋体" w:eastAsia="新宋体"/>
          <w:color w:val="0F0F0F"/>
          <w:sz w:val="28"/>
          <w:szCs w:val="28"/>
        </w:rPr>
      </w:pPr>
      <w:r>
        <w:rPr>
          <w:rFonts w:hint="eastAsia" w:ascii="新宋体" w:eastAsia="新宋体"/>
          <w:color w:val="0F0F0F"/>
          <w:sz w:val="28"/>
          <w:szCs w:val="28"/>
        </w:rPr>
        <w:t>21. 不可抗力</w:t>
      </w:r>
      <w:bookmarkEnd w:id="702"/>
      <w:bookmarkEnd w:id="703"/>
      <w:bookmarkEnd w:id="704"/>
      <w:bookmarkEnd w:id="705"/>
      <w:bookmarkStart w:id="706" w:name="_Toc179632768"/>
      <w:bookmarkStart w:id="707" w:name="_Toc152045750"/>
      <w:bookmarkStart w:id="708" w:name="_Toc144974721"/>
      <w:bookmarkStart w:id="709" w:name="_Toc152042529"/>
    </w:p>
    <w:p w14:paraId="5936C24A">
      <w:pPr>
        <w:spacing w:line="400" w:lineRule="exact"/>
        <w:rPr>
          <w:rFonts w:ascii="新宋体" w:eastAsia="新宋体"/>
          <w:color w:val="0F0F0F"/>
          <w:sz w:val="24"/>
        </w:rPr>
      </w:pPr>
      <w:r>
        <w:rPr>
          <w:rFonts w:hint="eastAsia" w:ascii="新宋体" w:eastAsia="新宋体"/>
          <w:color w:val="0F0F0F"/>
          <w:sz w:val="24"/>
        </w:rPr>
        <w:t>21.1 不可抗力的确认</w:t>
      </w:r>
      <w:bookmarkEnd w:id="706"/>
      <w:bookmarkEnd w:id="707"/>
      <w:bookmarkEnd w:id="708"/>
      <w:bookmarkEnd w:id="709"/>
    </w:p>
    <w:p w14:paraId="7F788A6D">
      <w:pPr>
        <w:spacing w:line="400" w:lineRule="exact"/>
        <w:ind w:firstLine="420" w:firstLineChars="200"/>
        <w:rPr>
          <w:rFonts w:ascii="新宋体" w:eastAsia="新宋体"/>
          <w:color w:val="0F0F0F"/>
        </w:rPr>
      </w:pPr>
      <w:r>
        <w:rPr>
          <w:rFonts w:hint="eastAsia" w:ascii="新宋体" w:eastAsia="新宋体"/>
          <w:color w:val="0F0F0F"/>
        </w:rPr>
        <w:t>21.1.1 不可抗力是指承包人和发包人在订立合同时不可预见，在工程施工过程中不可避免发生并不能克服的自然灾害和社会性突发事件，如地震、海啸、瘟疫、水灾、骚乱、暴动、战争和专用合同条款约定的其他情形。</w:t>
      </w:r>
    </w:p>
    <w:p w14:paraId="139C6DC2">
      <w:pPr>
        <w:spacing w:line="400" w:lineRule="exact"/>
        <w:ind w:firstLine="420" w:firstLineChars="200"/>
        <w:rPr>
          <w:rFonts w:ascii="新宋体" w:eastAsia="新宋体"/>
          <w:color w:val="0F0F0F"/>
        </w:rPr>
      </w:pPr>
      <w:r>
        <w:rPr>
          <w:rFonts w:hint="eastAsia" w:ascii="新宋体" w:eastAsia="新宋体"/>
          <w:color w:val="0F0F0F"/>
        </w:rPr>
        <w:t>21.1.2 不可抗力发生后，发包人和承包人应及时认真统计所造成的损失，收集不可抗力造成损失的证据。合同双方对是否属于不可抗力或其损失的意见不一致的，由监理人按第3.5款商定或确定。发生争议时，按第24条的约定办理。</w:t>
      </w:r>
      <w:bookmarkStart w:id="710" w:name="_Toc179632769"/>
      <w:bookmarkStart w:id="711" w:name="_Toc152042530"/>
      <w:bookmarkStart w:id="712" w:name="_Toc144974722"/>
      <w:bookmarkStart w:id="713" w:name="_Toc152045751"/>
    </w:p>
    <w:p w14:paraId="5D0C1D12">
      <w:pPr>
        <w:spacing w:line="400" w:lineRule="exact"/>
        <w:rPr>
          <w:rFonts w:ascii="新宋体" w:eastAsia="新宋体"/>
          <w:color w:val="0F0F0F"/>
          <w:sz w:val="24"/>
        </w:rPr>
      </w:pPr>
      <w:r>
        <w:rPr>
          <w:rFonts w:hint="eastAsia" w:ascii="新宋体" w:eastAsia="新宋体"/>
          <w:color w:val="0F0F0F"/>
          <w:sz w:val="24"/>
        </w:rPr>
        <w:t>21.2 不可抗力的通知</w:t>
      </w:r>
      <w:bookmarkEnd w:id="710"/>
      <w:bookmarkEnd w:id="711"/>
      <w:bookmarkEnd w:id="712"/>
      <w:bookmarkEnd w:id="713"/>
    </w:p>
    <w:p w14:paraId="715DB1E3">
      <w:pPr>
        <w:spacing w:line="400" w:lineRule="exact"/>
        <w:ind w:firstLine="420" w:firstLineChars="200"/>
        <w:rPr>
          <w:rFonts w:ascii="新宋体" w:eastAsia="新宋体"/>
          <w:color w:val="0F0F0F"/>
        </w:rPr>
      </w:pPr>
      <w:r>
        <w:rPr>
          <w:rFonts w:hint="eastAsia" w:ascii="新宋体" w:eastAsia="新宋体"/>
          <w:color w:val="0F0F0F"/>
        </w:rPr>
        <w:t>21.2.1 合同一方当事人遇到不可抗力事件，使其履行合同义务受到阻碍时，应立即通知合同另一方当事人和监理人，书面说明不可抗力和受阻碍的详细情况，并提供必要的证明。</w:t>
      </w:r>
    </w:p>
    <w:p w14:paraId="0B19D64A">
      <w:pPr>
        <w:spacing w:line="400" w:lineRule="exact"/>
        <w:ind w:firstLine="420" w:firstLineChars="200"/>
        <w:rPr>
          <w:rFonts w:ascii="新宋体" w:eastAsia="新宋体"/>
          <w:color w:val="0F0F0F"/>
        </w:rPr>
      </w:pPr>
      <w:r>
        <w:rPr>
          <w:rFonts w:hint="eastAsia" w:ascii="新宋体" w:eastAsia="新宋体"/>
          <w:color w:val="0F0F0F"/>
        </w:rPr>
        <w:t>21.2.2 如不可抗力持续发生，合同一方当事人应及时向合同另一方当事人和监理人提交中间报告，说明不可抗力和履行合同受阻的情况，并于不可抗力事件结束后28天内提交最终报告及有关资料。</w:t>
      </w:r>
      <w:bookmarkStart w:id="714" w:name="_Toc152042531"/>
      <w:bookmarkStart w:id="715" w:name="_Toc144974723"/>
      <w:bookmarkStart w:id="716" w:name="_Toc179632770"/>
      <w:bookmarkStart w:id="717" w:name="_Toc152045752"/>
    </w:p>
    <w:p w14:paraId="313AE3AB">
      <w:pPr>
        <w:spacing w:line="400" w:lineRule="exact"/>
        <w:rPr>
          <w:rFonts w:ascii="新宋体" w:eastAsia="新宋体"/>
          <w:color w:val="0F0F0F"/>
          <w:sz w:val="24"/>
        </w:rPr>
      </w:pPr>
      <w:r>
        <w:rPr>
          <w:rFonts w:hint="eastAsia" w:ascii="新宋体" w:eastAsia="新宋体"/>
          <w:color w:val="0F0F0F"/>
          <w:sz w:val="24"/>
        </w:rPr>
        <w:t>21.3 不可抗力后果及其处理</w:t>
      </w:r>
      <w:bookmarkEnd w:id="714"/>
      <w:bookmarkEnd w:id="715"/>
      <w:bookmarkEnd w:id="716"/>
      <w:bookmarkEnd w:id="717"/>
    </w:p>
    <w:p w14:paraId="1701C3D9">
      <w:pPr>
        <w:spacing w:line="380" w:lineRule="exact"/>
        <w:ind w:firstLine="420" w:firstLineChars="200"/>
        <w:rPr>
          <w:rFonts w:ascii="新宋体" w:eastAsia="新宋体"/>
          <w:color w:val="0F0F0F"/>
        </w:rPr>
      </w:pPr>
      <w:r>
        <w:rPr>
          <w:rFonts w:hint="eastAsia" w:ascii="新宋体" w:eastAsia="新宋体"/>
          <w:color w:val="0F0F0F"/>
        </w:rPr>
        <w:t>21.3.1 不可抗力造成损害的责任</w:t>
      </w:r>
    </w:p>
    <w:p w14:paraId="4A5759FB">
      <w:pPr>
        <w:spacing w:line="400" w:lineRule="exact"/>
        <w:ind w:firstLine="420" w:firstLineChars="200"/>
        <w:rPr>
          <w:rFonts w:ascii="新宋体" w:eastAsia="新宋体"/>
          <w:color w:val="0F0F0F"/>
        </w:rPr>
      </w:pPr>
      <w:r>
        <w:rPr>
          <w:rFonts w:hint="eastAsia" w:ascii="新宋体" w:eastAsia="新宋体"/>
          <w:color w:val="0F0F0F"/>
        </w:rPr>
        <w:t>除专用合同条款另有约定外，不可抗力导致的人员伤亡、财产损失、费用增加和（或）工期延误等后果，由合同双方按以下原则承担：</w:t>
      </w:r>
    </w:p>
    <w:p w14:paraId="7C22434B">
      <w:pPr>
        <w:spacing w:line="400" w:lineRule="exact"/>
        <w:ind w:firstLine="718" w:firstLineChars="342"/>
        <w:rPr>
          <w:rFonts w:ascii="新宋体" w:eastAsia="新宋体"/>
          <w:color w:val="0F0F0F"/>
        </w:rPr>
      </w:pPr>
      <w:r>
        <w:rPr>
          <w:rFonts w:hint="eastAsia" w:ascii="新宋体" w:eastAsia="新宋体"/>
          <w:color w:val="0F0F0F"/>
        </w:rPr>
        <w:t>（1）永久工程，包括已运至施工场地的材料和工程设备的损害，以及因工程损害造成的第三者人员伤亡和财产损失由发包人承担；</w:t>
      </w:r>
    </w:p>
    <w:p w14:paraId="5E89C0C9">
      <w:pPr>
        <w:spacing w:line="400" w:lineRule="exact"/>
        <w:ind w:firstLine="718" w:firstLineChars="342"/>
        <w:rPr>
          <w:rFonts w:ascii="新宋体" w:eastAsia="新宋体"/>
          <w:color w:val="0F0F0F"/>
        </w:rPr>
      </w:pPr>
      <w:r>
        <w:rPr>
          <w:rFonts w:hint="eastAsia" w:ascii="新宋体" w:eastAsia="新宋体"/>
          <w:color w:val="0F0F0F"/>
        </w:rPr>
        <w:t>（2）承包人设备的损坏由承包人承担；</w:t>
      </w:r>
    </w:p>
    <w:p w14:paraId="0E00FDE5">
      <w:pPr>
        <w:spacing w:line="400" w:lineRule="exact"/>
        <w:ind w:firstLine="718" w:firstLineChars="342"/>
        <w:rPr>
          <w:rFonts w:ascii="新宋体" w:eastAsia="新宋体"/>
          <w:color w:val="0F0F0F"/>
        </w:rPr>
      </w:pPr>
      <w:r>
        <w:rPr>
          <w:rFonts w:hint="eastAsia" w:ascii="新宋体" w:eastAsia="新宋体"/>
          <w:color w:val="0F0F0F"/>
        </w:rPr>
        <w:t>（3）发包人和承包人各自承担其人员伤亡和其他财产损失及其相关费用；</w:t>
      </w:r>
    </w:p>
    <w:p w14:paraId="24662C44">
      <w:pPr>
        <w:spacing w:line="400" w:lineRule="exact"/>
        <w:ind w:firstLine="718" w:firstLineChars="342"/>
        <w:rPr>
          <w:rFonts w:ascii="新宋体" w:eastAsia="新宋体"/>
          <w:color w:val="0F0F0F"/>
        </w:rPr>
      </w:pPr>
      <w:r>
        <w:rPr>
          <w:rFonts w:hint="eastAsia" w:ascii="新宋体" w:eastAsia="新宋体"/>
          <w:color w:val="0F0F0F"/>
        </w:rPr>
        <w:t>（4）承包人的停工损失由承包人承担，但停工期间应监理人要求照管工程和清理、修复工程的金额由发包人承担；</w:t>
      </w:r>
    </w:p>
    <w:p w14:paraId="67212024">
      <w:pPr>
        <w:spacing w:line="400" w:lineRule="exact"/>
        <w:ind w:firstLine="718" w:firstLineChars="342"/>
        <w:rPr>
          <w:rFonts w:ascii="新宋体" w:eastAsia="新宋体"/>
          <w:color w:val="0F0F0F"/>
        </w:rPr>
      </w:pPr>
      <w:r>
        <w:rPr>
          <w:rFonts w:hint="eastAsia" w:ascii="新宋体" w:eastAsia="新宋体"/>
          <w:color w:val="0F0F0F"/>
        </w:rPr>
        <w:t>（5）不能按期竣工的，应合理延长工期，承包人不需支付逾期竣工违约金。发包人要求赶工的，承包人应采取赶工措施，赶工费用由发包人承担。</w:t>
      </w:r>
    </w:p>
    <w:p w14:paraId="4BE2ED3A">
      <w:pPr>
        <w:spacing w:line="400" w:lineRule="exact"/>
        <w:ind w:firstLine="420" w:firstLineChars="200"/>
        <w:rPr>
          <w:rFonts w:ascii="新宋体" w:eastAsia="新宋体"/>
          <w:color w:val="0F0F0F"/>
        </w:rPr>
      </w:pPr>
      <w:r>
        <w:rPr>
          <w:rFonts w:hint="eastAsia" w:ascii="新宋体" w:eastAsia="新宋体"/>
          <w:color w:val="0F0F0F"/>
        </w:rPr>
        <w:t>21.3.2 延迟履行期间发生的不可抗力</w:t>
      </w:r>
    </w:p>
    <w:p w14:paraId="7A4C3BF8">
      <w:pPr>
        <w:spacing w:line="400" w:lineRule="exact"/>
        <w:ind w:firstLine="420" w:firstLineChars="200"/>
        <w:rPr>
          <w:rFonts w:ascii="新宋体" w:eastAsia="新宋体"/>
          <w:color w:val="0F0F0F"/>
        </w:rPr>
      </w:pPr>
      <w:r>
        <w:rPr>
          <w:rFonts w:hint="eastAsia" w:ascii="新宋体" w:eastAsia="新宋体"/>
          <w:color w:val="0F0F0F"/>
        </w:rPr>
        <w:t>合同一方当事人延迟履行，在延迟履行期间发生不可抗力的，不免除其责任。</w:t>
      </w:r>
    </w:p>
    <w:p w14:paraId="3C66C825">
      <w:pPr>
        <w:spacing w:line="400" w:lineRule="exact"/>
        <w:ind w:firstLine="420" w:firstLineChars="200"/>
        <w:rPr>
          <w:rFonts w:ascii="新宋体" w:eastAsia="新宋体"/>
          <w:color w:val="0F0F0F"/>
        </w:rPr>
      </w:pPr>
      <w:r>
        <w:rPr>
          <w:rFonts w:hint="eastAsia" w:ascii="新宋体" w:eastAsia="新宋体"/>
          <w:color w:val="0F0F0F"/>
        </w:rPr>
        <w:t>21.3.3 避免和减少不可抗力损失</w:t>
      </w:r>
    </w:p>
    <w:p w14:paraId="183D95FB">
      <w:pPr>
        <w:spacing w:line="400" w:lineRule="exact"/>
        <w:ind w:firstLine="420" w:firstLineChars="200"/>
        <w:rPr>
          <w:rFonts w:ascii="新宋体" w:eastAsia="新宋体"/>
          <w:color w:val="0F0F0F"/>
        </w:rPr>
      </w:pPr>
      <w:r>
        <w:rPr>
          <w:rFonts w:hint="eastAsia" w:ascii="新宋体" w:eastAsia="新宋体"/>
          <w:color w:val="0F0F0F"/>
        </w:rPr>
        <w:t>不可抗力发生后，发包人和承包人均应采取措施尽量避免和减少损失的扩大，任何一方没有采取有效措施导致损失扩大的，应对扩大的损失承担责任。</w:t>
      </w:r>
    </w:p>
    <w:p w14:paraId="22DC8D5A">
      <w:pPr>
        <w:spacing w:line="400" w:lineRule="exact"/>
        <w:ind w:firstLine="420" w:firstLineChars="200"/>
        <w:rPr>
          <w:rFonts w:ascii="新宋体" w:eastAsia="新宋体"/>
          <w:color w:val="0F0F0F"/>
        </w:rPr>
      </w:pPr>
      <w:r>
        <w:rPr>
          <w:rFonts w:hint="eastAsia" w:ascii="新宋体" w:eastAsia="新宋体"/>
          <w:color w:val="0F0F0F"/>
        </w:rPr>
        <w:t>21.3.4 因不可抗力解除合同</w:t>
      </w:r>
    </w:p>
    <w:p w14:paraId="354B12C0">
      <w:pPr>
        <w:spacing w:line="400" w:lineRule="exact"/>
        <w:ind w:firstLine="420" w:firstLineChars="200"/>
        <w:rPr>
          <w:rFonts w:ascii="新宋体" w:eastAsia="新宋体"/>
          <w:color w:val="0F0F0F"/>
        </w:rPr>
      </w:pPr>
      <w:r>
        <w:rPr>
          <w:rFonts w:hint="eastAsia" w:ascii="新宋体" w:eastAsia="新宋体"/>
          <w:color w:val="0F0F0F"/>
        </w:rPr>
        <w:t>合同一方当事人因不可抗力不能履行合同的，应当及时通知对方解除合同。合同解除后，承包人应按照第22.2.5项约定撤离施工场地。已经订货的材料、设备由订货方负责退货或解除订货合同，不能退还的货款和因退货、解除订货合同发生的费用，由发包人承担，因未及时退货造成的损失由责任方承担。合同解除后的付款，参照第22.2.4项约定，由监理人按第3.5款商定或确定。</w:t>
      </w:r>
      <w:bookmarkStart w:id="718" w:name="_Toc152042532"/>
      <w:bookmarkStart w:id="719" w:name="_Toc144974724"/>
      <w:bookmarkStart w:id="720" w:name="_Toc179632771"/>
      <w:bookmarkStart w:id="721" w:name="_Toc152045753"/>
    </w:p>
    <w:p w14:paraId="477A82B0">
      <w:pPr>
        <w:spacing w:line="400" w:lineRule="exact"/>
        <w:rPr>
          <w:rFonts w:ascii="新宋体" w:eastAsia="新宋体"/>
          <w:color w:val="0F0F0F"/>
          <w:sz w:val="28"/>
          <w:szCs w:val="28"/>
        </w:rPr>
      </w:pPr>
      <w:r>
        <w:rPr>
          <w:rFonts w:hint="eastAsia" w:ascii="新宋体" w:eastAsia="新宋体"/>
          <w:color w:val="0F0F0F"/>
          <w:sz w:val="28"/>
          <w:szCs w:val="28"/>
        </w:rPr>
        <w:t>22. 违约</w:t>
      </w:r>
      <w:bookmarkEnd w:id="718"/>
      <w:bookmarkEnd w:id="719"/>
      <w:bookmarkEnd w:id="720"/>
      <w:bookmarkEnd w:id="721"/>
      <w:bookmarkStart w:id="722" w:name="_Toc152042533"/>
      <w:bookmarkStart w:id="723" w:name="_Toc152045754"/>
      <w:bookmarkStart w:id="724" w:name="_Toc179632772"/>
      <w:bookmarkStart w:id="725" w:name="_Toc144974725"/>
    </w:p>
    <w:p w14:paraId="4A39F6AC">
      <w:pPr>
        <w:spacing w:line="400" w:lineRule="exact"/>
        <w:rPr>
          <w:rFonts w:ascii="新宋体" w:eastAsia="新宋体"/>
          <w:color w:val="0F0F0F"/>
          <w:sz w:val="24"/>
        </w:rPr>
      </w:pPr>
      <w:r>
        <w:rPr>
          <w:rFonts w:hint="eastAsia" w:ascii="新宋体" w:eastAsia="新宋体"/>
          <w:color w:val="0F0F0F"/>
          <w:sz w:val="24"/>
        </w:rPr>
        <w:t>22.1 承包人违约</w:t>
      </w:r>
      <w:bookmarkEnd w:id="722"/>
      <w:bookmarkEnd w:id="723"/>
      <w:bookmarkEnd w:id="724"/>
      <w:bookmarkEnd w:id="725"/>
    </w:p>
    <w:p w14:paraId="4C413E36">
      <w:pPr>
        <w:spacing w:line="400" w:lineRule="exact"/>
        <w:ind w:firstLine="420" w:firstLineChars="200"/>
        <w:rPr>
          <w:rFonts w:ascii="新宋体" w:eastAsia="新宋体"/>
          <w:color w:val="0F0F0F"/>
        </w:rPr>
      </w:pPr>
      <w:r>
        <w:rPr>
          <w:rFonts w:hint="eastAsia" w:ascii="新宋体" w:eastAsia="新宋体"/>
          <w:color w:val="0F0F0F"/>
        </w:rPr>
        <w:t>22.1.1 承包人违约的情形</w:t>
      </w:r>
    </w:p>
    <w:p w14:paraId="1E4ECD13">
      <w:pPr>
        <w:spacing w:line="400" w:lineRule="exact"/>
        <w:ind w:firstLine="420" w:firstLineChars="200"/>
        <w:rPr>
          <w:rFonts w:ascii="新宋体" w:eastAsia="新宋体"/>
          <w:color w:val="0F0F0F"/>
        </w:rPr>
      </w:pPr>
      <w:r>
        <w:rPr>
          <w:rFonts w:hint="eastAsia" w:ascii="新宋体" w:eastAsia="新宋体"/>
          <w:color w:val="0F0F0F"/>
        </w:rPr>
        <w:t>在履行合同过程中发生的下列情况属承包人违约：</w:t>
      </w:r>
    </w:p>
    <w:p w14:paraId="2DE84953">
      <w:pPr>
        <w:spacing w:line="400" w:lineRule="exact"/>
        <w:ind w:firstLine="718" w:firstLineChars="342"/>
        <w:rPr>
          <w:rFonts w:ascii="新宋体" w:eastAsia="新宋体"/>
          <w:color w:val="0F0F0F"/>
        </w:rPr>
      </w:pPr>
      <w:r>
        <w:rPr>
          <w:rFonts w:hint="eastAsia" w:ascii="新宋体" w:eastAsia="新宋体"/>
          <w:color w:val="0F0F0F"/>
        </w:rPr>
        <w:t>（1）承包人违反第1.8款或第4.3款的约定，私自将合同的全部或部分权利转让给其他人，或私自将合同的全部或部分义务转移给其他人；</w:t>
      </w:r>
    </w:p>
    <w:p w14:paraId="0CC3E336">
      <w:pPr>
        <w:spacing w:line="400" w:lineRule="exact"/>
        <w:ind w:firstLine="718" w:firstLineChars="342"/>
        <w:rPr>
          <w:rFonts w:ascii="新宋体" w:eastAsia="新宋体"/>
          <w:color w:val="0F0F0F"/>
        </w:rPr>
      </w:pPr>
      <w:r>
        <w:rPr>
          <w:rFonts w:hint="eastAsia" w:ascii="新宋体" w:eastAsia="新宋体"/>
          <w:color w:val="0F0F0F"/>
        </w:rPr>
        <w:t>（2）承包人违反第5.3款或第6.4款的约定，未经监理人批准，私自将已按合同约定进入施工场地的施工设备、临时设施或材料撤离施工场地；</w:t>
      </w:r>
    </w:p>
    <w:p w14:paraId="4379A8E8">
      <w:pPr>
        <w:spacing w:line="400" w:lineRule="exact"/>
        <w:ind w:firstLine="718" w:firstLineChars="342"/>
        <w:rPr>
          <w:rFonts w:ascii="新宋体" w:eastAsia="新宋体"/>
          <w:color w:val="0F0F0F"/>
        </w:rPr>
      </w:pPr>
      <w:r>
        <w:rPr>
          <w:rFonts w:hint="eastAsia" w:ascii="新宋体" w:eastAsia="新宋体"/>
          <w:color w:val="0F0F0F"/>
        </w:rPr>
        <w:t>（3）承包人违反第5.4款的约定使用了不合格材料或工程设备，工程质量达不到标准要求，又拒绝清除不合格工程；</w:t>
      </w:r>
    </w:p>
    <w:p w14:paraId="3827F02F">
      <w:pPr>
        <w:spacing w:line="400" w:lineRule="exact"/>
        <w:ind w:firstLine="718" w:firstLineChars="342"/>
        <w:rPr>
          <w:rFonts w:ascii="新宋体" w:eastAsia="新宋体"/>
          <w:color w:val="0F0F0F"/>
        </w:rPr>
      </w:pPr>
      <w:r>
        <w:rPr>
          <w:rFonts w:hint="eastAsia" w:ascii="新宋体" w:eastAsia="新宋体"/>
          <w:color w:val="0F0F0F"/>
        </w:rPr>
        <w:t>（4）承包人未能按合同进度计划及时完成合同约定的工作，已造成或预期造成工期延误；</w:t>
      </w:r>
    </w:p>
    <w:p w14:paraId="33ACE9B7">
      <w:pPr>
        <w:spacing w:line="400" w:lineRule="exact"/>
        <w:ind w:firstLine="718" w:firstLineChars="342"/>
        <w:rPr>
          <w:rFonts w:ascii="新宋体" w:eastAsia="新宋体"/>
          <w:color w:val="0F0F0F"/>
        </w:rPr>
      </w:pPr>
      <w:r>
        <w:rPr>
          <w:rFonts w:hint="eastAsia" w:ascii="新宋体" w:eastAsia="新宋体"/>
          <w:color w:val="0F0F0F"/>
        </w:rPr>
        <w:t>（5）承包人在缺陷责任期内，未能对工程接收证书所列的缺陷清单的内容或缺陷责任期内发生的缺陷进行修复，而又拒绝按监理人指示再进行修补；</w:t>
      </w:r>
    </w:p>
    <w:p w14:paraId="40D43CD7">
      <w:pPr>
        <w:spacing w:line="400" w:lineRule="exact"/>
        <w:ind w:firstLine="718" w:firstLineChars="342"/>
        <w:rPr>
          <w:rFonts w:ascii="新宋体" w:eastAsia="新宋体"/>
          <w:color w:val="0F0F0F"/>
        </w:rPr>
      </w:pPr>
      <w:r>
        <w:rPr>
          <w:rFonts w:hint="eastAsia" w:ascii="新宋体" w:eastAsia="新宋体"/>
          <w:color w:val="0F0F0F"/>
        </w:rPr>
        <w:t>（6）承包人无法继续履行或明确表示不履行或实质上已停止履行合同；</w:t>
      </w:r>
    </w:p>
    <w:p w14:paraId="478E2FAD">
      <w:pPr>
        <w:spacing w:line="400" w:lineRule="exact"/>
        <w:ind w:firstLine="718" w:firstLineChars="342"/>
        <w:rPr>
          <w:rFonts w:ascii="新宋体" w:eastAsia="新宋体"/>
          <w:color w:val="0F0F0F"/>
        </w:rPr>
      </w:pPr>
      <w:r>
        <w:rPr>
          <w:rFonts w:hint="eastAsia" w:ascii="新宋体" w:eastAsia="新宋体"/>
          <w:color w:val="0F0F0F"/>
        </w:rPr>
        <w:t>（7）承包人不按合同约定履行义务的其他情况。</w:t>
      </w:r>
    </w:p>
    <w:p w14:paraId="548415B9">
      <w:pPr>
        <w:spacing w:line="400" w:lineRule="exact"/>
        <w:ind w:firstLine="420" w:firstLineChars="200"/>
        <w:rPr>
          <w:rFonts w:ascii="新宋体" w:eastAsia="新宋体"/>
          <w:color w:val="0F0F0F"/>
        </w:rPr>
      </w:pPr>
      <w:r>
        <w:rPr>
          <w:rFonts w:hint="eastAsia" w:ascii="新宋体" w:eastAsia="新宋体"/>
          <w:color w:val="0F0F0F"/>
        </w:rPr>
        <w:t>22.1.2 对承包人违约的处理</w:t>
      </w:r>
    </w:p>
    <w:p w14:paraId="7AD95E58">
      <w:pPr>
        <w:spacing w:line="400" w:lineRule="exact"/>
        <w:ind w:firstLine="718" w:firstLineChars="342"/>
        <w:rPr>
          <w:rFonts w:ascii="新宋体" w:eastAsia="新宋体"/>
          <w:color w:val="0F0F0F"/>
        </w:rPr>
      </w:pPr>
      <w:r>
        <w:rPr>
          <w:rFonts w:hint="eastAsia" w:ascii="新宋体" w:eastAsia="新宋体"/>
          <w:color w:val="0F0F0F"/>
        </w:rPr>
        <w:t>（1）承包人发生第22.1.1（6）目约定的违约情况时，发包人可通知承包人立即解除合同，并按有关法律处理。</w:t>
      </w:r>
    </w:p>
    <w:p w14:paraId="635680DE">
      <w:pPr>
        <w:spacing w:line="400" w:lineRule="exact"/>
        <w:ind w:firstLine="718" w:firstLineChars="342"/>
        <w:rPr>
          <w:rFonts w:ascii="新宋体" w:eastAsia="新宋体"/>
          <w:color w:val="0F0F0F"/>
        </w:rPr>
      </w:pPr>
      <w:r>
        <w:rPr>
          <w:rFonts w:hint="eastAsia" w:ascii="新宋体" w:eastAsia="新宋体"/>
          <w:color w:val="0F0F0F"/>
        </w:rPr>
        <w:t>（2）承包人发生除第22.1.1（6）目约定以外的其他违约情况时，监理人可向承包人发出整改通知，要求其在指定的期限内改正。承包人应承担其违约所引起的费用增加和（或）工期延误。</w:t>
      </w:r>
    </w:p>
    <w:p w14:paraId="47F942AE">
      <w:pPr>
        <w:spacing w:line="400" w:lineRule="exact"/>
        <w:ind w:firstLine="718" w:firstLineChars="342"/>
        <w:rPr>
          <w:rFonts w:ascii="新宋体" w:eastAsia="新宋体"/>
          <w:color w:val="0F0F0F"/>
        </w:rPr>
      </w:pPr>
      <w:r>
        <w:rPr>
          <w:rFonts w:hint="eastAsia" w:ascii="新宋体" w:eastAsia="新宋体"/>
          <w:color w:val="0F0F0F"/>
        </w:rPr>
        <w:t>（3）经检查证明承包人已采取了有效措施纠正违约行为，具备复工条件的，可由监理人签发复工通知复工。</w:t>
      </w:r>
    </w:p>
    <w:p w14:paraId="6438237D">
      <w:pPr>
        <w:spacing w:line="400" w:lineRule="exact"/>
        <w:ind w:firstLine="420" w:firstLineChars="200"/>
        <w:rPr>
          <w:rFonts w:ascii="新宋体" w:eastAsia="新宋体"/>
          <w:color w:val="0F0F0F"/>
        </w:rPr>
      </w:pPr>
      <w:r>
        <w:rPr>
          <w:rFonts w:hint="eastAsia" w:ascii="新宋体" w:eastAsia="新宋体"/>
          <w:color w:val="0F0F0F"/>
        </w:rPr>
        <w:t>22.1.3 承包人违约解除合同</w:t>
      </w:r>
    </w:p>
    <w:p w14:paraId="6A785059">
      <w:pPr>
        <w:spacing w:line="400" w:lineRule="exact"/>
        <w:ind w:firstLine="420" w:firstLineChars="200"/>
        <w:rPr>
          <w:rFonts w:ascii="新宋体" w:eastAsia="新宋体"/>
          <w:color w:val="0F0F0F"/>
        </w:rPr>
      </w:pPr>
      <w:r>
        <w:rPr>
          <w:rFonts w:hint="eastAsia" w:ascii="新宋体" w:eastAsia="新宋体"/>
          <w:color w:val="0F0F0F"/>
        </w:rPr>
        <w:t>监理人发出整改通知28天后，承包人仍不纠正违约行为的，发包人可向承包人发出解除合同通知。合同解除后，发包人可派员进驻施工场地，另行组织人员或委托其他承包人施工。发包人因继续完成该工程的需要，有权扣留使用承包人在现场的材料、设备和临时设施。但发包人的这一行动不免除承包人应承担的违约责任，也不影响发包人根据合同约定享有的索赔权利。</w:t>
      </w:r>
    </w:p>
    <w:p w14:paraId="537BB1EB">
      <w:pPr>
        <w:spacing w:line="400" w:lineRule="exact"/>
        <w:ind w:firstLine="420" w:firstLineChars="200"/>
        <w:rPr>
          <w:rFonts w:ascii="新宋体" w:eastAsia="新宋体"/>
          <w:color w:val="0F0F0F"/>
        </w:rPr>
      </w:pPr>
      <w:r>
        <w:rPr>
          <w:rFonts w:hint="eastAsia" w:ascii="新宋体" w:eastAsia="新宋体"/>
          <w:color w:val="0F0F0F"/>
        </w:rPr>
        <w:t>22.1.4 合同解除后的估价、付款和结清</w:t>
      </w:r>
    </w:p>
    <w:p w14:paraId="5D53D9E1">
      <w:pPr>
        <w:spacing w:line="400" w:lineRule="exact"/>
        <w:ind w:firstLine="718" w:firstLineChars="342"/>
        <w:rPr>
          <w:rFonts w:ascii="新宋体" w:eastAsia="新宋体"/>
          <w:color w:val="0F0F0F"/>
        </w:rPr>
      </w:pPr>
      <w:r>
        <w:rPr>
          <w:rFonts w:hint="eastAsia" w:ascii="新宋体" w:eastAsia="新宋体"/>
          <w:color w:val="0F0F0F"/>
        </w:rPr>
        <w:t xml:space="preserve">（1）合同解除后，监理人按第3.5款商定或确定承包人实际完成工作的价值，以及承包人已提供的材料、施工设备、工程设备和临时工程等的价值。 </w:t>
      </w:r>
    </w:p>
    <w:p w14:paraId="0347D1DF">
      <w:pPr>
        <w:spacing w:line="400" w:lineRule="exact"/>
        <w:ind w:firstLine="718" w:firstLineChars="342"/>
        <w:rPr>
          <w:rFonts w:ascii="新宋体" w:eastAsia="新宋体"/>
          <w:color w:val="0F0F0F"/>
        </w:rPr>
      </w:pPr>
      <w:r>
        <w:rPr>
          <w:rFonts w:hint="eastAsia" w:ascii="新宋体" w:eastAsia="新宋体"/>
          <w:color w:val="0F0F0F"/>
        </w:rPr>
        <w:t xml:space="preserve">（2）合同解除后，发包人应暂停对承包人的一切付款，查清各项付款和已扣款金额，包括承包人应支付的违约金。 </w:t>
      </w:r>
    </w:p>
    <w:p w14:paraId="6EBBEA35">
      <w:pPr>
        <w:spacing w:line="400" w:lineRule="exact"/>
        <w:ind w:firstLine="718" w:firstLineChars="342"/>
        <w:rPr>
          <w:rFonts w:ascii="新宋体" w:eastAsia="新宋体"/>
          <w:color w:val="0F0F0F"/>
        </w:rPr>
      </w:pPr>
      <w:r>
        <w:rPr>
          <w:rFonts w:hint="eastAsia" w:ascii="新宋体" w:eastAsia="新宋体"/>
          <w:color w:val="0F0F0F"/>
        </w:rPr>
        <w:t>（3）合同解除后，发包人应按第23.4款的约定向承包人索赔由于解除合同给发包人造成的损失。</w:t>
      </w:r>
    </w:p>
    <w:p w14:paraId="2072E920">
      <w:pPr>
        <w:spacing w:line="400" w:lineRule="exact"/>
        <w:ind w:firstLine="718" w:firstLineChars="342"/>
        <w:rPr>
          <w:rFonts w:ascii="新宋体" w:eastAsia="新宋体"/>
          <w:color w:val="0F0F0F"/>
        </w:rPr>
      </w:pPr>
      <w:r>
        <w:rPr>
          <w:rFonts w:hint="eastAsia" w:ascii="新宋体" w:eastAsia="新宋体"/>
          <w:color w:val="0F0F0F"/>
        </w:rPr>
        <w:t>（4）合同双方确认上述往来款项后，出具最终结清付款证书，结清全部合同款项。</w:t>
      </w:r>
    </w:p>
    <w:p w14:paraId="3F7EBBCA">
      <w:pPr>
        <w:spacing w:line="400" w:lineRule="exact"/>
        <w:ind w:firstLine="718" w:firstLineChars="342"/>
        <w:rPr>
          <w:rFonts w:ascii="新宋体" w:eastAsia="新宋体"/>
          <w:color w:val="0F0F0F"/>
        </w:rPr>
      </w:pPr>
      <w:r>
        <w:rPr>
          <w:rFonts w:hint="eastAsia" w:ascii="新宋体" w:eastAsia="新宋体"/>
          <w:color w:val="0F0F0F"/>
        </w:rPr>
        <w:t>（5）发包人和承包人未能就解除合同后的结清达成一致而形成争议的，按第24条的约定办理。</w:t>
      </w:r>
    </w:p>
    <w:p w14:paraId="069A3E14">
      <w:pPr>
        <w:spacing w:line="400" w:lineRule="exact"/>
        <w:ind w:firstLine="420" w:firstLineChars="200"/>
        <w:rPr>
          <w:rFonts w:ascii="新宋体" w:eastAsia="新宋体"/>
          <w:color w:val="0F0F0F"/>
        </w:rPr>
      </w:pPr>
      <w:r>
        <w:rPr>
          <w:rFonts w:hint="eastAsia" w:ascii="新宋体" w:eastAsia="新宋体"/>
          <w:color w:val="0F0F0F"/>
        </w:rPr>
        <w:t>22.1.5 协议利益的转让</w:t>
      </w:r>
    </w:p>
    <w:p w14:paraId="4E551FA9">
      <w:pPr>
        <w:spacing w:line="400" w:lineRule="exact"/>
        <w:ind w:firstLine="420" w:firstLineChars="200"/>
        <w:rPr>
          <w:rFonts w:ascii="新宋体" w:eastAsia="新宋体"/>
          <w:color w:val="0F0F0F"/>
        </w:rPr>
      </w:pPr>
      <w:r>
        <w:rPr>
          <w:rFonts w:hint="eastAsia" w:ascii="新宋体" w:eastAsia="新宋体"/>
          <w:color w:val="0F0F0F"/>
        </w:rPr>
        <w:t xml:space="preserve">因承包人违约解除合同的，发包人有权要求承包人将其为实施合同而签订的材料和设备的订货协议或任何服务协议利益转让给发包人，并在解除合同后的14天内，依法办理转让手续。 </w:t>
      </w:r>
    </w:p>
    <w:p w14:paraId="727C5D1F">
      <w:pPr>
        <w:spacing w:line="400" w:lineRule="exact"/>
        <w:ind w:firstLine="420" w:firstLineChars="200"/>
        <w:rPr>
          <w:rFonts w:ascii="新宋体" w:eastAsia="新宋体"/>
          <w:color w:val="0F0F0F"/>
        </w:rPr>
      </w:pPr>
      <w:r>
        <w:rPr>
          <w:rFonts w:hint="eastAsia" w:ascii="新宋体" w:eastAsia="新宋体"/>
          <w:color w:val="0F0F0F"/>
        </w:rPr>
        <w:t>22.1.6 紧急情况下无能力或不愿进行抢救</w:t>
      </w:r>
    </w:p>
    <w:p w14:paraId="54D26750">
      <w:pPr>
        <w:spacing w:line="400" w:lineRule="exact"/>
        <w:ind w:firstLine="420" w:firstLineChars="200"/>
        <w:rPr>
          <w:rFonts w:ascii="新宋体" w:eastAsia="新宋体"/>
          <w:color w:val="0F0F0F"/>
        </w:rPr>
      </w:pPr>
      <w:r>
        <w:rPr>
          <w:rFonts w:hint="eastAsia" w:ascii="新宋体" w:eastAsia="新宋体"/>
          <w:color w:val="0F0F0F"/>
        </w:rPr>
        <w:t>在工程实施期间或缺陷责任期内发生危及工程安全的事件，监理人通知承包人进行抢救，承包人声明无能力或不愿立即执行的，发包人有权雇佣其他人员进行抢救。此类抢救按合同约定属于承包人义务的，由此发生的金额和（或）工期延误由承包人承担。</w:t>
      </w:r>
      <w:bookmarkStart w:id="726" w:name="_Toc179632773"/>
      <w:bookmarkStart w:id="727" w:name="_Toc152042534"/>
      <w:bookmarkStart w:id="728" w:name="_Toc144974726"/>
      <w:bookmarkStart w:id="729" w:name="_Toc152045755"/>
    </w:p>
    <w:p w14:paraId="3F7BD7BB">
      <w:pPr>
        <w:spacing w:line="400" w:lineRule="exact"/>
        <w:rPr>
          <w:rFonts w:ascii="新宋体" w:eastAsia="新宋体"/>
          <w:color w:val="0F0F0F"/>
          <w:sz w:val="24"/>
        </w:rPr>
      </w:pPr>
      <w:r>
        <w:rPr>
          <w:rFonts w:hint="eastAsia" w:ascii="新宋体" w:eastAsia="新宋体"/>
          <w:color w:val="0F0F0F"/>
          <w:sz w:val="24"/>
        </w:rPr>
        <w:t>22.2 发包人违约</w:t>
      </w:r>
      <w:bookmarkEnd w:id="726"/>
      <w:bookmarkEnd w:id="727"/>
      <w:bookmarkEnd w:id="728"/>
      <w:bookmarkEnd w:id="729"/>
    </w:p>
    <w:p w14:paraId="2FAABE4F">
      <w:pPr>
        <w:spacing w:line="400" w:lineRule="exact"/>
        <w:ind w:firstLine="420" w:firstLineChars="200"/>
        <w:rPr>
          <w:rFonts w:ascii="新宋体" w:eastAsia="新宋体"/>
          <w:color w:val="0F0F0F"/>
        </w:rPr>
      </w:pPr>
      <w:r>
        <w:rPr>
          <w:rFonts w:hint="eastAsia" w:ascii="新宋体" w:eastAsia="新宋体"/>
          <w:color w:val="0F0F0F"/>
        </w:rPr>
        <w:t>22.2.1 发包人违约的情形</w:t>
      </w:r>
    </w:p>
    <w:p w14:paraId="7F0DBB2A">
      <w:pPr>
        <w:spacing w:line="400" w:lineRule="exact"/>
        <w:ind w:firstLine="420" w:firstLineChars="200"/>
        <w:rPr>
          <w:rFonts w:ascii="新宋体" w:eastAsia="新宋体"/>
          <w:color w:val="0F0F0F"/>
        </w:rPr>
      </w:pPr>
      <w:r>
        <w:rPr>
          <w:rFonts w:hint="eastAsia" w:ascii="新宋体" w:eastAsia="新宋体"/>
          <w:color w:val="0F0F0F"/>
        </w:rPr>
        <w:t>在履行合同过程中发生的下列情形，属发包人违约：</w:t>
      </w:r>
    </w:p>
    <w:p w14:paraId="0A469BE6">
      <w:pPr>
        <w:spacing w:line="400" w:lineRule="exact"/>
        <w:ind w:firstLine="718" w:firstLineChars="342"/>
        <w:rPr>
          <w:rFonts w:ascii="新宋体" w:eastAsia="新宋体"/>
          <w:color w:val="0F0F0F"/>
        </w:rPr>
      </w:pPr>
      <w:r>
        <w:rPr>
          <w:rFonts w:hint="eastAsia" w:ascii="新宋体" w:eastAsia="新宋体"/>
          <w:color w:val="0F0F0F"/>
        </w:rPr>
        <w:t>（1）发包人未能按合同约定支付预付款或合同价款，或拖延、拒绝批准付款申请和支付凭证，导致付款延误的；</w:t>
      </w:r>
    </w:p>
    <w:p w14:paraId="50E8CAA6">
      <w:pPr>
        <w:spacing w:line="400" w:lineRule="exact"/>
        <w:ind w:firstLine="718" w:firstLineChars="342"/>
        <w:rPr>
          <w:rFonts w:ascii="新宋体" w:eastAsia="新宋体"/>
          <w:color w:val="0F0F0F"/>
        </w:rPr>
      </w:pPr>
      <w:r>
        <w:rPr>
          <w:rFonts w:hint="eastAsia" w:ascii="新宋体" w:eastAsia="新宋体"/>
          <w:color w:val="0F0F0F"/>
        </w:rPr>
        <w:t>（2）发包人原因造成停工的；</w:t>
      </w:r>
    </w:p>
    <w:p w14:paraId="0967F495">
      <w:pPr>
        <w:spacing w:line="400" w:lineRule="exact"/>
        <w:ind w:firstLine="718" w:firstLineChars="342"/>
        <w:rPr>
          <w:rFonts w:ascii="新宋体" w:eastAsia="新宋体"/>
          <w:color w:val="0F0F0F"/>
        </w:rPr>
      </w:pPr>
      <w:r>
        <w:rPr>
          <w:rFonts w:hint="eastAsia" w:ascii="新宋体" w:eastAsia="新宋体"/>
          <w:color w:val="0F0F0F"/>
        </w:rPr>
        <w:t>（3）监理人无正当理由没有在约定期限内发出复工指示，导致承包人无法复工的；</w:t>
      </w:r>
    </w:p>
    <w:p w14:paraId="0E467DB7">
      <w:pPr>
        <w:spacing w:line="400" w:lineRule="exact"/>
        <w:ind w:firstLine="718" w:firstLineChars="342"/>
        <w:rPr>
          <w:rFonts w:ascii="新宋体" w:eastAsia="新宋体"/>
          <w:color w:val="0F0F0F"/>
        </w:rPr>
      </w:pPr>
      <w:r>
        <w:rPr>
          <w:rFonts w:hint="eastAsia" w:ascii="新宋体" w:eastAsia="新宋体"/>
          <w:color w:val="0F0F0F"/>
        </w:rPr>
        <w:t>（4）发包人无法继续履行或明确表示不履行或实质上已停止履行合同的；</w:t>
      </w:r>
    </w:p>
    <w:p w14:paraId="6DC40B03">
      <w:pPr>
        <w:spacing w:line="400" w:lineRule="exact"/>
        <w:ind w:firstLine="718" w:firstLineChars="342"/>
        <w:rPr>
          <w:rFonts w:ascii="新宋体" w:eastAsia="新宋体"/>
          <w:color w:val="0F0F0F"/>
        </w:rPr>
      </w:pPr>
      <w:r>
        <w:rPr>
          <w:rFonts w:hint="eastAsia" w:ascii="新宋体" w:eastAsia="新宋体"/>
          <w:color w:val="0F0F0F"/>
        </w:rPr>
        <w:t>（5）发包人不履行合同约定其他义务的。</w:t>
      </w:r>
    </w:p>
    <w:p w14:paraId="59495398">
      <w:pPr>
        <w:spacing w:line="400" w:lineRule="exact"/>
        <w:ind w:firstLine="420" w:firstLineChars="200"/>
        <w:rPr>
          <w:rFonts w:ascii="新宋体" w:eastAsia="新宋体"/>
          <w:color w:val="0F0F0F"/>
        </w:rPr>
      </w:pPr>
      <w:r>
        <w:rPr>
          <w:rFonts w:hint="eastAsia" w:ascii="新宋体" w:eastAsia="新宋体"/>
          <w:color w:val="0F0F0F"/>
        </w:rPr>
        <w:t>22.2.2 承包人有权暂停施工</w:t>
      </w:r>
    </w:p>
    <w:p w14:paraId="0A0884AB">
      <w:pPr>
        <w:spacing w:line="400" w:lineRule="exact"/>
        <w:ind w:firstLine="420" w:firstLineChars="200"/>
        <w:rPr>
          <w:rFonts w:ascii="新宋体" w:eastAsia="新宋体"/>
          <w:color w:val="0F0F0F"/>
        </w:rPr>
      </w:pPr>
      <w:r>
        <w:rPr>
          <w:rFonts w:hint="eastAsia" w:ascii="新宋体" w:eastAsia="新宋体"/>
          <w:color w:val="0F0F0F"/>
        </w:rPr>
        <w:t>发包人发生除第22.2.1（4）目以外的违约情况时，承包人可向发包人发出通知，要求发包人采取有效措施纠正违约行为。发包人收到承包人通知后的28天内仍不履行合同义务，承包人有权暂停施工，并通知监理人，发包人应承担由此增加的费用和（或）工期延误，并支付承包人合理利润。</w:t>
      </w:r>
    </w:p>
    <w:p w14:paraId="155DC9CE">
      <w:pPr>
        <w:spacing w:line="400" w:lineRule="exact"/>
        <w:ind w:firstLine="420" w:firstLineChars="200"/>
        <w:rPr>
          <w:rFonts w:ascii="新宋体" w:eastAsia="新宋体"/>
          <w:color w:val="0F0F0F"/>
        </w:rPr>
      </w:pPr>
      <w:r>
        <w:rPr>
          <w:rFonts w:hint="eastAsia" w:ascii="新宋体" w:eastAsia="新宋体"/>
          <w:color w:val="0F0F0F"/>
        </w:rPr>
        <w:t xml:space="preserve">22.2.3 发包人违约解除合同 </w:t>
      </w:r>
    </w:p>
    <w:p w14:paraId="453815BD">
      <w:pPr>
        <w:spacing w:line="400" w:lineRule="exact"/>
        <w:ind w:firstLine="718" w:firstLineChars="342"/>
        <w:rPr>
          <w:rFonts w:ascii="新宋体" w:eastAsia="新宋体"/>
          <w:color w:val="0F0F0F"/>
        </w:rPr>
      </w:pPr>
      <w:r>
        <w:rPr>
          <w:rFonts w:hint="eastAsia" w:ascii="新宋体" w:eastAsia="新宋体"/>
          <w:color w:val="0F0F0F"/>
        </w:rPr>
        <w:t xml:space="preserve">（1）发生第22.2.1（4）目的违约情况时，承包人可书面通知发包人解除合同。   </w:t>
      </w:r>
    </w:p>
    <w:p w14:paraId="04F9D44E">
      <w:pPr>
        <w:spacing w:line="400" w:lineRule="exact"/>
        <w:ind w:firstLine="718" w:firstLineChars="342"/>
        <w:rPr>
          <w:rFonts w:ascii="新宋体" w:eastAsia="新宋体"/>
          <w:color w:val="0F0F0F"/>
        </w:rPr>
      </w:pPr>
      <w:r>
        <w:rPr>
          <w:rFonts w:hint="eastAsia" w:ascii="新宋体" w:eastAsia="新宋体"/>
          <w:color w:val="0F0F0F"/>
        </w:rPr>
        <w:t>（2）承包人按22.2.2项暂停施工28天后，发包人仍不纠正违约行为的，承包人可向发包人发出解除合同通知。但承包人的这一行动不免除发包人承担的违约责任，也不影响承包人根据合同约定享有的索赔权利。</w:t>
      </w:r>
    </w:p>
    <w:p w14:paraId="4D4CEDC6">
      <w:pPr>
        <w:spacing w:line="400" w:lineRule="exact"/>
        <w:ind w:firstLine="420" w:firstLineChars="200"/>
        <w:rPr>
          <w:rFonts w:ascii="新宋体" w:eastAsia="新宋体"/>
          <w:color w:val="0F0F0F"/>
        </w:rPr>
      </w:pPr>
      <w:r>
        <w:rPr>
          <w:rFonts w:hint="eastAsia" w:ascii="新宋体" w:eastAsia="新宋体"/>
          <w:color w:val="0F0F0F"/>
        </w:rPr>
        <w:t>22.2.4 解除合同后的付款</w:t>
      </w:r>
    </w:p>
    <w:p w14:paraId="10F7BB14">
      <w:pPr>
        <w:spacing w:line="400" w:lineRule="exact"/>
        <w:ind w:firstLine="420" w:firstLineChars="200"/>
        <w:rPr>
          <w:rFonts w:ascii="新宋体" w:eastAsia="新宋体"/>
          <w:color w:val="0F0F0F"/>
        </w:rPr>
      </w:pPr>
      <w:r>
        <w:rPr>
          <w:rFonts w:hint="eastAsia" w:ascii="新宋体" w:eastAsia="新宋体"/>
          <w:color w:val="0F0F0F"/>
        </w:rPr>
        <w:t>因发包人违约解除合同的，发包人应在解除合同后28天内向承包人支付下列金额，承包人应在此期限内及时向发包人提交要求支付下列金额的有关资料和凭证：</w:t>
      </w:r>
    </w:p>
    <w:p w14:paraId="3404B5D6">
      <w:pPr>
        <w:spacing w:line="400" w:lineRule="exact"/>
        <w:ind w:firstLine="718" w:firstLineChars="342"/>
        <w:rPr>
          <w:rFonts w:ascii="新宋体" w:eastAsia="新宋体"/>
          <w:color w:val="0F0F0F"/>
        </w:rPr>
      </w:pPr>
      <w:r>
        <w:rPr>
          <w:rFonts w:hint="eastAsia" w:ascii="新宋体" w:eastAsia="新宋体"/>
          <w:color w:val="0F0F0F"/>
        </w:rPr>
        <w:t>（1）合同解除日以前所完成工作的价款；</w:t>
      </w:r>
    </w:p>
    <w:p w14:paraId="797881D8">
      <w:pPr>
        <w:spacing w:line="400" w:lineRule="exact"/>
        <w:ind w:firstLine="718" w:firstLineChars="342"/>
        <w:rPr>
          <w:rFonts w:ascii="新宋体" w:eastAsia="新宋体"/>
          <w:color w:val="0F0F0F"/>
        </w:rPr>
      </w:pPr>
      <w:r>
        <w:rPr>
          <w:rFonts w:hint="eastAsia" w:ascii="新宋体" w:eastAsia="新宋体"/>
          <w:color w:val="0F0F0F"/>
        </w:rPr>
        <w:t>（2）承包人为该工程施工订购并已付款的材料、工程设备和其他物品的金额。发包人付还后，该材料、工程设备和其他物品归发包人所有；</w:t>
      </w:r>
    </w:p>
    <w:p w14:paraId="4A8EC8D4">
      <w:pPr>
        <w:spacing w:line="400" w:lineRule="exact"/>
        <w:ind w:firstLine="718" w:firstLineChars="342"/>
        <w:rPr>
          <w:rFonts w:ascii="新宋体" w:eastAsia="新宋体"/>
          <w:color w:val="0F0F0F"/>
        </w:rPr>
      </w:pPr>
      <w:r>
        <w:rPr>
          <w:rFonts w:hint="eastAsia" w:ascii="新宋体" w:eastAsia="新宋体"/>
          <w:color w:val="0F0F0F"/>
        </w:rPr>
        <w:t>（3）承包人为完成工程所发生的，而发包人未支付的金额；</w:t>
      </w:r>
    </w:p>
    <w:p w14:paraId="0720F31A">
      <w:pPr>
        <w:spacing w:line="400" w:lineRule="exact"/>
        <w:ind w:firstLine="718" w:firstLineChars="342"/>
        <w:rPr>
          <w:rFonts w:ascii="新宋体" w:eastAsia="新宋体"/>
          <w:color w:val="0F0F0F"/>
        </w:rPr>
      </w:pPr>
      <w:r>
        <w:rPr>
          <w:rFonts w:hint="eastAsia" w:ascii="新宋体" w:eastAsia="新宋体"/>
          <w:color w:val="0F0F0F"/>
        </w:rPr>
        <w:t>（4）承包人撤离施工场地以及遣散承包人人员的金额；</w:t>
      </w:r>
    </w:p>
    <w:p w14:paraId="16104209">
      <w:pPr>
        <w:spacing w:line="400" w:lineRule="exact"/>
        <w:ind w:firstLine="718" w:firstLineChars="342"/>
        <w:rPr>
          <w:rFonts w:ascii="新宋体" w:eastAsia="新宋体"/>
          <w:color w:val="0F0F0F"/>
        </w:rPr>
      </w:pPr>
      <w:r>
        <w:rPr>
          <w:rFonts w:hint="eastAsia" w:ascii="新宋体" w:eastAsia="新宋体"/>
          <w:color w:val="0F0F0F"/>
        </w:rPr>
        <w:t>（5）由于解除合同应赔偿的承包人损失；</w:t>
      </w:r>
    </w:p>
    <w:p w14:paraId="39CB6BE7">
      <w:pPr>
        <w:spacing w:line="400" w:lineRule="exact"/>
        <w:ind w:firstLine="718" w:firstLineChars="342"/>
        <w:rPr>
          <w:rFonts w:ascii="新宋体" w:eastAsia="新宋体"/>
          <w:color w:val="0F0F0F"/>
        </w:rPr>
      </w:pPr>
      <w:r>
        <w:rPr>
          <w:rFonts w:hint="eastAsia" w:ascii="新宋体" w:eastAsia="新宋体"/>
          <w:color w:val="0F0F0F"/>
        </w:rPr>
        <w:t>（6）按合同约定在合同解除日前应支付给承包人的其他金额。</w:t>
      </w:r>
    </w:p>
    <w:p w14:paraId="39C18893">
      <w:pPr>
        <w:spacing w:line="400" w:lineRule="exact"/>
        <w:ind w:firstLine="420" w:firstLineChars="200"/>
        <w:rPr>
          <w:rFonts w:ascii="新宋体" w:eastAsia="新宋体"/>
          <w:color w:val="0F0F0F"/>
        </w:rPr>
      </w:pPr>
      <w:r>
        <w:rPr>
          <w:rFonts w:hint="eastAsia" w:ascii="新宋体" w:eastAsia="新宋体"/>
          <w:color w:val="0F0F0F"/>
        </w:rPr>
        <w:t>发包人应按本项约定支付上述金额并退还质量保证金和履约担保，但有权要求承包人支付应偿还给发包人的各项金额。</w:t>
      </w:r>
    </w:p>
    <w:p w14:paraId="30C01EF2">
      <w:pPr>
        <w:spacing w:line="400" w:lineRule="exact"/>
        <w:ind w:firstLine="420" w:firstLineChars="200"/>
        <w:rPr>
          <w:rFonts w:ascii="新宋体" w:eastAsia="新宋体"/>
          <w:color w:val="0F0F0F"/>
        </w:rPr>
      </w:pPr>
      <w:r>
        <w:rPr>
          <w:rFonts w:hint="eastAsia" w:ascii="新宋体" w:eastAsia="新宋体"/>
          <w:color w:val="0F0F0F"/>
        </w:rPr>
        <w:t>22.2.5 解除合同后的承包人撤离</w:t>
      </w:r>
    </w:p>
    <w:p w14:paraId="55A9DA27">
      <w:pPr>
        <w:spacing w:line="400" w:lineRule="exact"/>
        <w:ind w:firstLine="420" w:firstLineChars="200"/>
        <w:rPr>
          <w:rFonts w:ascii="新宋体" w:eastAsia="新宋体"/>
          <w:color w:val="0F0F0F"/>
        </w:rPr>
      </w:pPr>
      <w:r>
        <w:rPr>
          <w:rFonts w:hint="eastAsia" w:ascii="新宋体" w:eastAsia="新宋体"/>
          <w:color w:val="0F0F0F"/>
        </w:rPr>
        <w:t>因发包人违约而解除合同后，承包人应妥善做好已竣工工程和已购材料、设备的保护和移交工作，按发包人要求将承包人设备和人员撤出施工场地。承包人撤出施工场地应遵守第18.7.1项的约定，发包人应为承包人撤出提供必要条件。</w:t>
      </w:r>
      <w:bookmarkStart w:id="730" w:name="_Toc152042535"/>
      <w:bookmarkStart w:id="731" w:name="_Toc179632774"/>
      <w:bookmarkStart w:id="732" w:name="_Toc152045756"/>
    </w:p>
    <w:p w14:paraId="56F5C2E8">
      <w:pPr>
        <w:spacing w:line="400" w:lineRule="exact"/>
        <w:rPr>
          <w:rFonts w:ascii="新宋体" w:eastAsia="新宋体"/>
          <w:color w:val="0F0F0F"/>
          <w:sz w:val="24"/>
        </w:rPr>
      </w:pPr>
      <w:r>
        <w:rPr>
          <w:rFonts w:hint="eastAsia" w:ascii="新宋体" w:eastAsia="新宋体"/>
          <w:color w:val="0F0F0F"/>
          <w:sz w:val="24"/>
        </w:rPr>
        <w:t>22.3 第三人造成的违约</w:t>
      </w:r>
      <w:bookmarkEnd w:id="730"/>
      <w:bookmarkEnd w:id="731"/>
      <w:bookmarkEnd w:id="732"/>
    </w:p>
    <w:p w14:paraId="2D5768C5">
      <w:pPr>
        <w:spacing w:line="400" w:lineRule="exact"/>
        <w:ind w:firstLine="420" w:firstLineChars="200"/>
        <w:rPr>
          <w:rFonts w:ascii="新宋体" w:eastAsia="新宋体"/>
          <w:color w:val="0F0F0F"/>
        </w:rPr>
      </w:pPr>
      <w:r>
        <w:rPr>
          <w:rFonts w:hint="eastAsia" w:ascii="新宋体" w:eastAsia="新宋体"/>
          <w:color w:val="0F0F0F"/>
        </w:rPr>
        <w:t>在履行合同过程中，一方当事人因第三人的原因造成违约的，应当向对方当事人承担违约责任。一方当事人和第三人之间的纠纷，依照法律规定或者按照约定解决。</w:t>
      </w:r>
      <w:bookmarkStart w:id="733" w:name="_Toc152045757"/>
      <w:bookmarkStart w:id="734" w:name="_Toc152042536"/>
      <w:bookmarkStart w:id="735" w:name="_Toc144974727"/>
      <w:bookmarkStart w:id="736" w:name="_Toc179632775"/>
    </w:p>
    <w:p w14:paraId="302B04C8">
      <w:pPr>
        <w:spacing w:line="400" w:lineRule="exact"/>
        <w:rPr>
          <w:rFonts w:ascii="新宋体" w:eastAsia="新宋体"/>
          <w:color w:val="0F0F0F"/>
          <w:sz w:val="28"/>
          <w:szCs w:val="28"/>
        </w:rPr>
      </w:pPr>
      <w:r>
        <w:rPr>
          <w:rFonts w:hint="eastAsia" w:ascii="新宋体" w:eastAsia="新宋体"/>
          <w:color w:val="0F0F0F"/>
          <w:sz w:val="28"/>
          <w:szCs w:val="28"/>
        </w:rPr>
        <w:t>23. 索赔</w:t>
      </w:r>
      <w:bookmarkEnd w:id="733"/>
      <w:bookmarkEnd w:id="734"/>
      <w:bookmarkEnd w:id="735"/>
      <w:bookmarkEnd w:id="736"/>
      <w:bookmarkStart w:id="737" w:name="_Toc152042537"/>
      <w:bookmarkStart w:id="738" w:name="_Toc179632776"/>
      <w:bookmarkStart w:id="739" w:name="_Toc152045758"/>
      <w:bookmarkStart w:id="740" w:name="_Toc144974728"/>
    </w:p>
    <w:p w14:paraId="56C32894">
      <w:pPr>
        <w:spacing w:line="400" w:lineRule="exact"/>
        <w:rPr>
          <w:rFonts w:ascii="新宋体" w:eastAsia="新宋体"/>
          <w:color w:val="0F0F0F"/>
          <w:sz w:val="24"/>
        </w:rPr>
      </w:pPr>
      <w:r>
        <w:rPr>
          <w:rFonts w:hint="eastAsia" w:ascii="新宋体" w:eastAsia="新宋体"/>
          <w:color w:val="0F0F0F"/>
          <w:sz w:val="24"/>
        </w:rPr>
        <w:t>23.1 承包人索赔的提出</w:t>
      </w:r>
      <w:bookmarkEnd w:id="737"/>
      <w:bookmarkEnd w:id="738"/>
      <w:bookmarkEnd w:id="739"/>
      <w:bookmarkEnd w:id="740"/>
    </w:p>
    <w:p w14:paraId="5EE3D3DB">
      <w:pPr>
        <w:spacing w:line="400" w:lineRule="exact"/>
        <w:ind w:firstLine="420" w:firstLineChars="200"/>
        <w:rPr>
          <w:rFonts w:ascii="新宋体" w:eastAsia="新宋体"/>
          <w:color w:val="0F0F0F"/>
        </w:rPr>
      </w:pPr>
      <w:r>
        <w:rPr>
          <w:rFonts w:hint="eastAsia" w:ascii="新宋体" w:eastAsia="新宋体"/>
          <w:color w:val="0F0F0F"/>
        </w:rPr>
        <w:t>根据合同约定，承包人认为有权得到追加付款和（或）延长工期的，应按以下程序向发包人提出索赔：</w:t>
      </w:r>
    </w:p>
    <w:p w14:paraId="5F197D57">
      <w:pPr>
        <w:spacing w:line="400" w:lineRule="exact"/>
        <w:ind w:firstLine="359" w:firstLineChars="171"/>
        <w:rPr>
          <w:rFonts w:ascii="新宋体" w:eastAsia="新宋体"/>
          <w:color w:val="0F0F0F"/>
        </w:rPr>
      </w:pPr>
      <w:r>
        <w:rPr>
          <w:rFonts w:hint="eastAsia" w:ascii="新宋体" w:eastAsia="新宋体"/>
          <w:color w:val="0F0F0F"/>
        </w:rPr>
        <w:t>（1）承包人应在知道或应当知道索赔事件发生后28天内，向监理人递交索赔意向通知书，并说明发生索赔事件的事由。承包人未在前述28天内发出索赔意向通知书的，丧失要求追加付款和（或）延长工期的权利；</w:t>
      </w:r>
    </w:p>
    <w:p w14:paraId="4672AC7D">
      <w:pPr>
        <w:spacing w:line="400" w:lineRule="exact"/>
        <w:ind w:firstLine="359" w:firstLineChars="171"/>
        <w:rPr>
          <w:rFonts w:ascii="新宋体" w:eastAsia="新宋体"/>
          <w:color w:val="0F0F0F"/>
        </w:rPr>
      </w:pPr>
      <w:r>
        <w:rPr>
          <w:rFonts w:hint="eastAsia" w:ascii="新宋体" w:eastAsia="新宋体"/>
          <w:color w:val="0F0F0F"/>
        </w:rPr>
        <w:t>（2）承包人应在发出索赔意向通知书后28天内，向监理人正式递交索赔通知书。索赔通知书应详细说明索赔理由以及要求追加的付款金额和（或）延长的工期，并附必要的记录和证明材料；</w:t>
      </w:r>
    </w:p>
    <w:p w14:paraId="4DD122DB">
      <w:pPr>
        <w:spacing w:line="400" w:lineRule="exact"/>
        <w:ind w:firstLine="359" w:firstLineChars="171"/>
        <w:rPr>
          <w:rFonts w:ascii="新宋体" w:eastAsia="新宋体"/>
          <w:color w:val="0F0F0F"/>
        </w:rPr>
      </w:pPr>
      <w:r>
        <w:rPr>
          <w:rFonts w:hint="eastAsia" w:ascii="新宋体" w:eastAsia="新宋体"/>
          <w:color w:val="0F0F0F"/>
        </w:rPr>
        <w:t>（3）索赔事件具有连续影响的，承包人应按合理时间间隔继续递交延续索赔通知，说明连续影响的实际情况和记录，列出累计的追加付款金额和（或）工期延长天数；</w:t>
      </w:r>
    </w:p>
    <w:p w14:paraId="0EDFF51D">
      <w:pPr>
        <w:spacing w:line="400" w:lineRule="exact"/>
        <w:ind w:firstLine="359" w:firstLineChars="171"/>
        <w:rPr>
          <w:rFonts w:ascii="新宋体" w:eastAsia="新宋体"/>
          <w:color w:val="0F0F0F"/>
        </w:rPr>
      </w:pPr>
      <w:r>
        <w:rPr>
          <w:rFonts w:hint="eastAsia" w:ascii="新宋体" w:eastAsia="新宋体"/>
          <w:color w:val="0F0F0F"/>
        </w:rPr>
        <w:t>（4）在索赔事件影响结束后的28天内，承包人应向监理人递交最终索赔通知书，说明最终要求索赔的追加付款金额和延长的工期，并附必要的记录和证明材料。</w:t>
      </w:r>
      <w:bookmarkStart w:id="741" w:name="_Toc152042538"/>
      <w:bookmarkStart w:id="742" w:name="_Toc144974729"/>
      <w:bookmarkStart w:id="743" w:name="_Toc179632777"/>
      <w:bookmarkStart w:id="744" w:name="_Toc152045759"/>
    </w:p>
    <w:p w14:paraId="1646B498">
      <w:pPr>
        <w:spacing w:line="400" w:lineRule="exact"/>
        <w:rPr>
          <w:rFonts w:ascii="新宋体" w:eastAsia="新宋体"/>
          <w:color w:val="0F0F0F"/>
          <w:sz w:val="24"/>
        </w:rPr>
      </w:pPr>
      <w:r>
        <w:rPr>
          <w:rFonts w:hint="eastAsia" w:ascii="新宋体" w:eastAsia="新宋体"/>
          <w:color w:val="0F0F0F"/>
          <w:sz w:val="24"/>
        </w:rPr>
        <w:t>23.2 承包人索赔处理程序</w:t>
      </w:r>
      <w:bookmarkEnd w:id="741"/>
      <w:bookmarkEnd w:id="742"/>
      <w:bookmarkEnd w:id="743"/>
      <w:bookmarkEnd w:id="744"/>
    </w:p>
    <w:p w14:paraId="7433077A">
      <w:pPr>
        <w:spacing w:line="400" w:lineRule="exact"/>
        <w:ind w:firstLine="359" w:firstLineChars="171"/>
        <w:rPr>
          <w:rFonts w:ascii="新宋体" w:eastAsia="新宋体"/>
          <w:color w:val="0F0F0F"/>
        </w:rPr>
      </w:pPr>
      <w:r>
        <w:rPr>
          <w:rFonts w:hint="eastAsia" w:ascii="新宋体" w:eastAsia="新宋体"/>
          <w:color w:val="0F0F0F"/>
        </w:rPr>
        <w:t>（1）监理人收到承包人提交的索赔通知书后，应及时审查索赔通知书的内容、查验承包人的记录和证明材料，必要时监理人可要求承包人提交全部原始记录副本。</w:t>
      </w:r>
    </w:p>
    <w:p w14:paraId="50121304">
      <w:pPr>
        <w:spacing w:line="400" w:lineRule="exact"/>
        <w:ind w:firstLine="359" w:firstLineChars="171"/>
        <w:rPr>
          <w:rFonts w:ascii="新宋体" w:eastAsia="新宋体"/>
          <w:color w:val="0F0F0F"/>
        </w:rPr>
      </w:pPr>
      <w:r>
        <w:rPr>
          <w:rFonts w:hint="eastAsia" w:ascii="新宋体" w:eastAsia="新宋体"/>
          <w:color w:val="0F0F0F"/>
        </w:rPr>
        <w:t>（2）监理人应按第3.5款商定或确定追加的付款和（或）延长的工期，并在收到上述索赔通知书或有关索赔的进一步证明材料后的42天内，将索赔处理结果答复承包人。</w:t>
      </w:r>
    </w:p>
    <w:p w14:paraId="0A53DBAE">
      <w:pPr>
        <w:spacing w:line="400" w:lineRule="exact"/>
        <w:ind w:firstLine="359" w:firstLineChars="171"/>
        <w:rPr>
          <w:rFonts w:ascii="新宋体" w:eastAsia="新宋体"/>
          <w:color w:val="0F0F0F"/>
        </w:rPr>
      </w:pPr>
      <w:r>
        <w:rPr>
          <w:rFonts w:hint="eastAsia" w:ascii="新宋体" w:eastAsia="新宋体"/>
          <w:color w:val="0F0F0F"/>
        </w:rPr>
        <w:t>（3）承包人接受索赔处理结果的，发包人应在作出索赔处理结果答复后28天内完成赔付。承包人不接受索赔处理结果的，按第24条的约定办理。</w:t>
      </w:r>
      <w:bookmarkStart w:id="745" w:name="_Toc179632778"/>
      <w:bookmarkStart w:id="746" w:name="_Toc144974730"/>
      <w:bookmarkStart w:id="747" w:name="_Toc152042539"/>
      <w:bookmarkStart w:id="748" w:name="_Toc152045760"/>
    </w:p>
    <w:p w14:paraId="5EDA32F2">
      <w:pPr>
        <w:spacing w:line="400" w:lineRule="exact"/>
        <w:rPr>
          <w:rFonts w:ascii="新宋体" w:eastAsia="新宋体"/>
          <w:color w:val="0F0F0F"/>
          <w:sz w:val="24"/>
        </w:rPr>
      </w:pPr>
      <w:r>
        <w:rPr>
          <w:rFonts w:hint="eastAsia" w:ascii="新宋体" w:eastAsia="新宋体"/>
          <w:color w:val="0F0F0F"/>
          <w:sz w:val="24"/>
        </w:rPr>
        <w:t>23.3 承包人提出索赔的期限</w:t>
      </w:r>
      <w:bookmarkEnd w:id="745"/>
      <w:bookmarkEnd w:id="746"/>
      <w:bookmarkEnd w:id="747"/>
      <w:bookmarkEnd w:id="748"/>
    </w:p>
    <w:p w14:paraId="1AEDE2D6">
      <w:pPr>
        <w:spacing w:line="400" w:lineRule="exact"/>
        <w:ind w:firstLine="420" w:firstLineChars="200"/>
        <w:rPr>
          <w:rFonts w:ascii="新宋体" w:eastAsia="新宋体"/>
          <w:color w:val="0F0F0F"/>
        </w:rPr>
      </w:pPr>
      <w:r>
        <w:rPr>
          <w:rFonts w:hint="eastAsia" w:ascii="新宋体" w:eastAsia="新宋体"/>
          <w:color w:val="0F0F0F"/>
        </w:rPr>
        <w:t>23.3.1 承包人按第17.5款的约定接受了竣工付款证书后，应被认为已无权再提出在合同工程接收证书颁发前所发生的任何索赔。</w:t>
      </w:r>
    </w:p>
    <w:p w14:paraId="6330D567">
      <w:pPr>
        <w:spacing w:line="400" w:lineRule="exact"/>
        <w:ind w:firstLine="420" w:firstLineChars="200"/>
        <w:rPr>
          <w:rFonts w:ascii="新宋体" w:eastAsia="新宋体"/>
          <w:color w:val="0F0F0F"/>
        </w:rPr>
      </w:pPr>
      <w:r>
        <w:rPr>
          <w:rFonts w:hint="eastAsia" w:ascii="新宋体" w:eastAsia="新宋体"/>
          <w:color w:val="0F0F0F"/>
        </w:rPr>
        <w:t xml:space="preserve">23.3.2 承包人按第17.6款的约定提交的最终结清申请单中，只限于提出工程接收证书颁发后发生的索赔。提出索赔的期限自接受最终结清证书时终止。 </w:t>
      </w:r>
      <w:bookmarkStart w:id="749" w:name="_Toc179632779"/>
      <w:bookmarkStart w:id="750" w:name="_Toc152045761"/>
      <w:bookmarkStart w:id="751" w:name="_Toc144974731"/>
      <w:bookmarkStart w:id="752" w:name="_Toc152042540"/>
    </w:p>
    <w:p w14:paraId="3A4A1A52">
      <w:pPr>
        <w:spacing w:line="400" w:lineRule="exact"/>
        <w:rPr>
          <w:rFonts w:ascii="新宋体" w:eastAsia="新宋体"/>
          <w:color w:val="0F0F0F"/>
          <w:sz w:val="24"/>
          <w:shd w:val="pct10" w:color="auto" w:fill="FFFFFF"/>
        </w:rPr>
      </w:pPr>
      <w:r>
        <w:rPr>
          <w:rFonts w:hint="eastAsia" w:ascii="新宋体" w:eastAsia="新宋体"/>
          <w:color w:val="0F0F0F"/>
          <w:sz w:val="24"/>
        </w:rPr>
        <w:t>23.4 发包人的索赔</w:t>
      </w:r>
      <w:bookmarkEnd w:id="749"/>
      <w:bookmarkEnd w:id="750"/>
      <w:bookmarkEnd w:id="751"/>
      <w:bookmarkEnd w:id="752"/>
    </w:p>
    <w:p w14:paraId="28E3C1C4">
      <w:pPr>
        <w:spacing w:line="400" w:lineRule="exact"/>
        <w:ind w:firstLine="420" w:firstLineChars="200"/>
        <w:rPr>
          <w:rFonts w:ascii="新宋体" w:eastAsia="新宋体"/>
          <w:color w:val="0F0F0F"/>
        </w:rPr>
      </w:pPr>
      <w:r>
        <w:rPr>
          <w:rFonts w:hint="eastAsia" w:ascii="新宋体" w:eastAsia="新宋体"/>
          <w:color w:val="0F0F0F"/>
        </w:rPr>
        <w:t>23.4.1 发生索赔事件后，监理人应及时书面通知承包人，详细说明发包人有权得到的索赔金额和（或）延长缺陷责任期的细节和依据。发包人提出索赔的期限和要求与第23.3款的约定相同，延长缺陷责任期的通知应在缺陷责任期届满前发出。</w:t>
      </w:r>
    </w:p>
    <w:p w14:paraId="7A597AC1">
      <w:pPr>
        <w:spacing w:line="400" w:lineRule="exact"/>
        <w:ind w:firstLine="420" w:firstLineChars="200"/>
        <w:rPr>
          <w:rFonts w:ascii="新宋体" w:eastAsia="新宋体"/>
          <w:color w:val="0F0F0F"/>
        </w:rPr>
      </w:pPr>
      <w:r>
        <w:rPr>
          <w:rFonts w:hint="eastAsia" w:ascii="新宋体" w:eastAsia="新宋体"/>
          <w:color w:val="0F0F0F"/>
        </w:rPr>
        <w:t>23.4.2 监理人按第3.5款商定或确定发包人从承包人处得到赔付的金额和（或）缺陷责任期的延长期。承包人应付给发包人的金额可从拟支付给承包人的合同价款中扣除，或由承包人以其他方式支付给发包人。</w:t>
      </w:r>
      <w:bookmarkStart w:id="753" w:name="_Toc179632780"/>
      <w:bookmarkStart w:id="754" w:name="_Toc152045762"/>
      <w:bookmarkStart w:id="755" w:name="_Toc144974732"/>
      <w:bookmarkStart w:id="756" w:name="_Toc152042541"/>
    </w:p>
    <w:p w14:paraId="52E490CF">
      <w:pPr>
        <w:spacing w:line="400" w:lineRule="exact"/>
        <w:rPr>
          <w:rFonts w:ascii="新宋体" w:eastAsia="新宋体"/>
          <w:color w:val="0F0F0F"/>
          <w:sz w:val="28"/>
          <w:szCs w:val="28"/>
        </w:rPr>
      </w:pPr>
      <w:r>
        <w:rPr>
          <w:rFonts w:hint="eastAsia" w:ascii="新宋体" w:eastAsia="新宋体"/>
          <w:color w:val="0F0F0F"/>
          <w:sz w:val="28"/>
          <w:szCs w:val="28"/>
        </w:rPr>
        <w:t>24. 争议的解决</w:t>
      </w:r>
      <w:bookmarkEnd w:id="753"/>
      <w:bookmarkEnd w:id="754"/>
      <w:bookmarkEnd w:id="755"/>
      <w:bookmarkEnd w:id="756"/>
      <w:bookmarkStart w:id="757" w:name="_Toc152042542"/>
      <w:bookmarkStart w:id="758" w:name="_Toc144974733"/>
      <w:bookmarkStart w:id="759" w:name="_Toc152045763"/>
      <w:bookmarkStart w:id="760" w:name="_Toc179632781"/>
    </w:p>
    <w:p w14:paraId="618775C9">
      <w:pPr>
        <w:spacing w:line="400" w:lineRule="exact"/>
        <w:rPr>
          <w:rFonts w:ascii="新宋体" w:eastAsia="新宋体"/>
          <w:color w:val="0F0F0F"/>
          <w:sz w:val="24"/>
        </w:rPr>
      </w:pPr>
      <w:r>
        <w:rPr>
          <w:rFonts w:hint="eastAsia" w:ascii="新宋体" w:eastAsia="新宋体"/>
          <w:color w:val="0F0F0F"/>
          <w:sz w:val="24"/>
        </w:rPr>
        <w:t>24.1 争议的解决方式</w:t>
      </w:r>
      <w:bookmarkEnd w:id="757"/>
      <w:bookmarkEnd w:id="758"/>
      <w:bookmarkEnd w:id="759"/>
      <w:bookmarkEnd w:id="760"/>
    </w:p>
    <w:p w14:paraId="1F13851F">
      <w:pPr>
        <w:spacing w:line="400" w:lineRule="exact"/>
        <w:ind w:firstLine="420" w:firstLineChars="200"/>
        <w:rPr>
          <w:rFonts w:ascii="新宋体" w:eastAsia="新宋体"/>
          <w:color w:val="0F0F0F"/>
        </w:rPr>
      </w:pPr>
      <w:r>
        <w:rPr>
          <w:rFonts w:hint="eastAsia" w:ascii="新宋体" w:eastAsia="新宋体"/>
          <w:color w:val="0F0F0F"/>
        </w:rPr>
        <w:t>发包人和承包人在履行合同中发生争议的，可以友好协商解决或者提请争议评审组评审。合同当事人友好协商解决不成、不愿提请争议评审或者不接受争议评审组意见的，可在专用合同条款中约定下列一种方式解决。</w:t>
      </w:r>
    </w:p>
    <w:p w14:paraId="14F27D19">
      <w:pPr>
        <w:spacing w:line="400" w:lineRule="exact"/>
        <w:ind w:firstLine="420" w:firstLineChars="200"/>
        <w:rPr>
          <w:rFonts w:ascii="新宋体" w:eastAsia="新宋体"/>
          <w:color w:val="0F0F0F"/>
        </w:rPr>
      </w:pPr>
      <w:r>
        <w:rPr>
          <w:rFonts w:hint="eastAsia" w:ascii="新宋体" w:eastAsia="新宋体"/>
          <w:color w:val="0F0F0F"/>
        </w:rPr>
        <w:t>（1）向约定的仲裁委员会申请仲裁；</w:t>
      </w:r>
    </w:p>
    <w:p w14:paraId="5D54DB12">
      <w:pPr>
        <w:spacing w:line="400" w:lineRule="exact"/>
        <w:ind w:firstLine="420" w:firstLineChars="200"/>
        <w:rPr>
          <w:rFonts w:ascii="新宋体" w:eastAsia="新宋体"/>
          <w:color w:val="0F0F0F"/>
        </w:rPr>
      </w:pPr>
      <w:r>
        <w:rPr>
          <w:rFonts w:hint="eastAsia" w:ascii="新宋体" w:eastAsia="新宋体"/>
          <w:color w:val="0F0F0F"/>
        </w:rPr>
        <w:t>（2）向有管辖权的人民法院提起诉讼。</w:t>
      </w:r>
      <w:bookmarkStart w:id="761" w:name="_Toc152042543"/>
      <w:bookmarkStart w:id="762" w:name="_Toc144974734"/>
      <w:bookmarkStart w:id="763" w:name="_Toc152045764"/>
      <w:bookmarkStart w:id="764" w:name="_Toc179632782"/>
    </w:p>
    <w:p w14:paraId="0B7F9FAD">
      <w:pPr>
        <w:spacing w:line="400" w:lineRule="exact"/>
        <w:rPr>
          <w:rFonts w:ascii="新宋体" w:eastAsia="新宋体"/>
          <w:color w:val="0F0F0F"/>
          <w:sz w:val="24"/>
        </w:rPr>
      </w:pPr>
      <w:r>
        <w:rPr>
          <w:rFonts w:hint="eastAsia" w:ascii="新宋体" w:eastAsia="新宋体"/>
          <w:color w:val="0F0F0F"/>
          <w:sz w:val="24"/>
        </w:rPr>
        <w:t>24.2 友好解决</w:t>
      </w:r>
      <w:bookmarkEnd w:id="761"/>
      <w:bookmarkEnd w:id="762"/>
      <w:bookmarkEnd w:id="763"/>
      <w:bookmarkEnd w:id="764"/>
    </w:p>
    <w:p w14:paraId="1A0977C6">
      <w:pPr>
        <w:spacing w:line="400" w:lineRule="exact"/>
        <w:ind w:firstLine="420" w:firstLineChars="200"/>
        <w:rPr>
          <w:rFonts w:ascii="新宋体" w:eastAsia="新宋体"/>
          <w:color w:val="0F0F0F"/>
        </w:rPr>
      </w:pPr>
      <w:r>
        <w:rPr>
          <w:rFonts w:hint="eastAsia" w:ascii="新宋体" w:eastAsia="新宋体"/>
          <w:color w:val="0F0F0F"/>
        </w:rPr>
        <w:t>在提请争议评审、仲裁或者诉讼前，以及在争议评审、仲裁或诉讼过程中，发包人和承包人均可共同努力友好协商解决争议。</w:t>
      </w:r>
      <w:bookmarkStart w:id="765" w:name="_Toc144974735"/>
      <w:bookmarkStart w:id="766" w:name="_Toc152042544"/>
      <w:bookmarkStart w:id="767" w:name="_Toc179632783"/>
      <w:bookmarkStart w:id="768" w:name="_Toc152045765"/>
    </w:p>
    <w:p w14:paraId="60FE1053">
      <w:pPr>
        <w:spacing w:line="400" w:lineRule="exact"/>
        <w:rPr>
          <w:rFonts w:ascii="新宋体" w:eastAsia="新宋体"/>
          <w:color w:val="0F0F0F"/>
          <w:sz w:val="24"/>
        </w:rPr>
      </w:pPr>
      <w:r>
        <w:rPr>
          <w:rFonts w:hint="eastAsia" w:ascii="新宋体" w:eastAsia="新宋体"/>
          <w:color w:val="0F0F0F"/>
          <w:sz w:val="24"/>
        </w:rPr>
        <w:t>24.3 争议评审</w:t>
      </w:r>
      <w:bookmarkEnd w:id="765"/>
      <w:bookmarkEnd w:id="766"/>
      <w:bookmarkEnd w:id="767"/>
      <w:bookmarkEnd w:id="768"/>
    </w:p>
    <w:p w14:paraId="581AFD09">
      <w:pPr>
        <w:spacing w:line="400" w:lineRule="exact"/>
        <w:ind w:firstLine="420" w:firstLineChars="200"/>
        <w:rPr>
          <w:rFonts w:ascii="新宋体" w:eastAsia="新宋体"/>
          <w:color w:val="0F0F0F"/>
        </w:rPr>
      </w:pPr>
      <w:r>
        <w:rPr>
          <w:rFonts w:hint="eastAsia" w:ascii="新宋体" w:eastAsia="新宋体"/>
          <w:color w:val="0F0F0F"/>
        </w:rPr>
        <w:t>24.3.1 采用争议评审的，发包人和承包人应在开工日后的28天内或在争议发生后，协商成立争议评审组。争议评审组由有合同管理和工程实践经验的专家组成。</w:t>
      </w:r>
    </w:p>
    <w:p w14:paraId="19EB2BCA">
      <w:pPr>
        <w:spacing w:line="400" w:lineRule="exact"/>
        <w:ind w:firstLine="420" w:firstLineChars="200"/>
        <w:rPr>
          <w:rFonts w:ascii="新宋体" w:eastAsia="新宋体"/>
          <w:color w:val="0F0F0F"/>
        </w:rPr>
      </w:pPr>
      <w:r>
        <w:rPr>
          <w:rFonts w:hint="eastAsia" w:ascii="新宋体" w:eastAsia="新宋体"/>
          <w:color w:val="0F0F0F"/>
        </w:rPr>
        <w:t>24.3.2 合同双方的争议，应首先由申请人向争议评审组提交一份详细的评审申请报告，并附必要的文件、图纸和证明材料，申请人还应将上述报告的副本同时提交给被申请人和监理人。</w:t>
      </w:r>
    </w:p>
    <w:p w14:paraId="0B987663">
      <w:pPr>
        <w:spacing w:line="400" w:lineRule="exact"/>
        <w:ind w:firstLine="420" w:firstLineChars="200"/>
        <w:rPr>
          <w:rFonts w:ascii="新宋体" w:eastAsia="新宋体"/>
          <w:color w:val="0F0F0F"/>
        </w:rPr>
      </w:pPr>
      <w:r>
        <w:rPr>
          <w:rFonts w:hint="eastAsia" w:ascii="新宋体" w:eastAsia="新宋体"/>
          <w:color w:val="0F0F0F"/>
        </w:rPr>
        <w:t>24.3.3 被申请人在收到申请人评审申请报告副本后的28天内，向争议评审组提交一份答辩报告，并附证明材料。被申请人应将答辩报告的副本同时提交给申请人和监理人。</w:t>
      </w:r>
    </w:p>
    <w:p w14:paraId="4AAA52BF">
      <w:pPr>
        <w:spacing w:line="400" w:lineRule="exact"/>
        <w:ind w:firstLine="420" w:firstLineChars="200"/>
        <w:rPr>
          <w:rFonts w:ascii="新宋体" w:eastAsia="新宋体"/>
          <w:color w:val="0F0F0F"/>
        </w:rPr>
      </w:pPr>
      <w:r>
        <w:rPr>
          <w:rFonts w:hint="eastAsia" w:ascii="新宋体" w:eastAsia="新宋体"/>
          <w:color w:val="0F0F0F"/>
        </w:rPr>
        <w:t>24.3.4 除专用合同条款另有约定外，争议评审组在收到合同双方报告后的14天内，邀请双方代表和有关人员举行调查会，向双方调查争议细节；必要时争议评审组可要求双方进一步提供补充材料。</w:t>
      </w:r>
    </w:p>
    <w:p w14:paraId="052C4709">
      <w:pPr>
        <w:spacing w:line="400" w:lineRule="exact"/>
        <w:ind w:firstLine="420" w:firstLineChars="200"/>
        <w:rPr>
          <w:rFonts w:ascii="新宋体" w:eastAsia="新宋体"/>
          <w:color w:val="0F0F0F"/>
        </w:rPr>
      </w:pPr>
      <w:r>
        <w:rPr>
          <w:rFonts w:hint="eastAsia" w:ascii="新宋体" w:eastAsia="新宋体"/>
          <w:color w:val="0F0F0F"/>
        </w:rPr>
        <w:t>24.3.5 除专用合同条款另有约定外，在调查会结束后的14天内，争议评审组应在不受任何干扰的情况下进行独立、公正的评审，作出书面评审意见，并说明理由。在争议评审期间，争议双方暂按总监理工程师的确定执行。</w:t>
      </w:r>
    </w:p>
    <w:p w14:paraId="3F93449C">
      <w:pPr>
        <w:spacing w:line="400" w:lineRule="exact"/>
        <w:ind w:firstLine="420" w:firstLineChars="200"/>
        <w:rPr>
          <w:rFonts w:ascii="新宋体" w:eastAsia="新宋体"/>
          <w:color w:val="0F0F0F"/>
        </w:rPr>
      </w:pPr>
      <w:r>
        <w:rPr>
          <w:rFonts w:hint="eastAsia" w:ascii="新宋体" w:eastAsia="新宋体"/>
          <w:color w:val="0F0F0F"/>
        </w:rPr>
        <w:t>24.3.6 发包人和承包人接受评审意见的，由监理人根据评审意见拟定执行协议，经争议双方签字后作为合同的补充文件，并遵照执行。</w:t>
      </w:r>
    </w:p>
    <w:p w14:paraId="5FBCDB57">
      <w:pPr>
        <w:rPr>
          <w:rFonts w:ascii="新宋体" w:eastAsia="新宋体"/>
          <w:b/>
          <w:color w:val="0F0F0F"/>
          <w:sz w:val="32"/>
          <w:szCs w:val="32"/>
        </w:rPr>
      </w:pPr>
      <w:r>
        <w:rPr>
          <w:rFonts w:hint="eastAsia" w:ascii="新宋体" w:eastAsia="新宋体"/>
          <w:color w:val="0F0F0F"/>
        </w:rPr>
        <w:t>24.3.7 发包人或承包人不接受评审意见，并要求提交仲裁或提起诉讼的，应在收到评审意见后的14天内将仲裁或起诉意向书面通知另一方，并抄送监理人，但在仲裁或诉讼结束前应暂按总监理工程师的确定执行</w:t>
      </w:r>
    </w:p>
    <w:p w14:paraId="5DD2941A">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第二节 专用合同条款</w:t>
      </w:r>
    </w:p>
    <w:p w14:paraId="16CC1912">
      <w:pPr>
        <w:jc w:val="center"/>
        <w:rPr>
          <w:rFonts w:ascii="新宋体" w:eastAsia="新宋体"/>
          <w:b/>
          <w:color w:val="0F0F0F"/>
          <w:sz w:val="32"/>
          <w:szCs w:val="32"/>
        </w:rPr>
      </w:pPr>
      <w:r>
        <w:rPr>
          <w:rFonts w:hint="eastAsia" w:ascii="新宋体" w:eastAsia="新宋体"/>
          <w:b/>
          <w:color w:val="0F0F0F"/>
          <w:sz w:val="32"/>
          <w:szCs w:val="32"/>
        </w:rPr>
        <w:t>A 公路工程专用合同条款</w:t>
      </w:r>
    </w:p>
    <w:p w14:paraId="386F30F0">
      <w:pPr>
        <w:spacing w:line="400" w:lineRule="exact"/>
        <w:rPr>
          <w:rFonts w:ascii="新宋体" w:eastAsia="新宋体"/>
          <w:color w:val="0F0F0F"/>
          <w:sz w:val="28"/>
          <w:szCs w:val="28"/>
        </w:rPr>
      </w:pPr>
      <w:r>
        <w:rPr>
          <w:rFonts w:ascii="新宋体" w:eastAsia="新宋体"/>
          <w:color w:val="0F0F0F"/>
          <w:sz w:val="28"/>
          <w:szCs w:val="28"/>
        </w:rPr>
        <w:t>1</w:t>
      </w:r>
      <w:r>
        <w:rPr>
          <w:rFonts w:hint="eastAsia" w:ascii="新宋体" w:eastAsia="新宋体"/>
          <w:color w:val="0F0F0F"/>
          <w:sz w:val="28"/>
          <w:szCs w:val="28"/>
        </w:rPr>
        <w:t>.</w:t>
      </w:r>
      <w:r>
        <w:rPr>
          <w:rFonts w:ascii="新宋体" w:eastAsia="新宋体"/>
          <w:color w:val="0F0F0F"/>
          <w:sz w:val="28"/>
          <w:szCs w:val="28"/>
        </w:rPr>
        <w:t>一般约定</w:t>
      </w:r>
    </w:p>
    <w:p w14:paraId="685D1CD1">
      <w:pPr>
        <w:spacing w:line="400" w:lineRule="exact"/>
        <w:rPr>
          <w:rFonts w:ascii="新宋体" w:eastAsia="新宋体"/>
          <w:color w:val="0F0F0F"/>
          <w:sz w:val="24"/>
        </w:rPr>
      </w:pPr>
      <w:r>
        <w:rPr>
          <w:rFonts w:ascii="新宋体" w:eastAsia="新宋体"/>
          <w:color w:val="0F0F0F"/>
          <w:sz w:val="24"/>
        </w:rPr>
        <w:t>1</w:t>
      </w:r>
      <w:r>
        <w:rPr>
          <w:rFonts w:hint="eastAsia" w:ascii="新宋体" w:eastAsia="新宋体"/>
          <w:color w:val="0F0F0F"/>
          <w:sz w:val="24"/>
        </w:rPr>
        <w:t>.</w:t>
      </w:r>
      <w:r>
        <w:rPr>
          <w:rFonts w:ascii="新宋体" w:eastAsia="新宋体"/>
          <w:color w:val="0F0F0F"/>
          <w:sz w:val="24"/>
        </w:rPr>
        <w:t>1词语定义</w:t>
      </w:r>
    </w:p>
    <w:p w14:paraId="1B80FE52">
      <w:pPr>
        <w:spacing w:line="400" w:lineRule="exact"/>
        <w:ind w:firstLine="525" w:firstLineChars="250"/>
        <w:rPr>
          <w:rFonts w:ascii="新宋体" w:eastAsia="新宋体"/>
          <w:color w:val="0F0F0F"/>
        </w:rPr>
      </w:pP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1合同</w:t>
      </w:r>
    </w:p>
    <w:p w14:paraId="280C70D0">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6目细化为：</w:t>
      </w:r>
    </w:p>
    <w:p w14:paraId="6776F3B9">
      <w:pPr>
        <w:spacing w:line="400" w:lineRule="exact"/>
        <w:ind w:firstLine="525" w:firstLineChars="250"/>
        <w:rPr>
          <w:rFonts w:ascii="新宋体" w:eastAsia="新宋体"/>
          <w:color w:val="0F0F0F"/>
        </w:rPr>
      </w:pPr>
      <w:r>
        <w:rPr>
          <w:rFonts w:ascii="新宋体" w:eastAsia="新宋体"/>
          <w:color w:val="0F0F0F"/>
        </w:rPr>
        <w:t>技术规范：指本合同所约定的技术标准和要求，是合同文件的</w:t>
      </w:r>
      <w:r>
        <w:rPr>
          <w:rFonts w:hint="eastAsia" w:ascii="新宋体" w:eastAsia="新宋体"/>
          <w:color w:val="0F0F0F"/>
        </w:rPr>
        <w:t>组</w:t>
      </w:r>
      <w:r>
        <w:rPr>
          <w:rFonts w:ascii="新宋体" w:eastAsia="新宋体"/>
          <w:color w:val="0F0F0F"/>
        </w:rPr>
        <w:t>成部分。通用合同</w:t>
      </w:r>
      <w:r>
        <w:rPr>
          <w:rFonts w:hint="eastAsia" w:ascii="新宋体" w:eastAsia="新宋体"/>
          <w:color w:val="0F0F0F"/>
        </w:rPr>
        <w:t>条款中“技术标准和要求”一词具有相同含义。</w:t>
      </w:r>
    </w:p>
    <w:p w14:paraId="2A2CC3F6">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8目细化为：</w:t>
      </w:r>
    </w:p>
    <w:p w14:paraId="091ECF93">
      <w:pPr>
        <w:spacing w:line="400" w:lineRule="exact"/>
        <w:ind w:firstLine="525" w:firstLineChars="250"/>
        <w:rPr>
          <w:rFonts w:ascii="新宋体" w:eastAsia="新宋体"/>
          <w:color w:val="0F0F0F"/>
        </w:rPr>
      </w:pPr>
      <w:r>
        <w:rPr>
          <w:rFonts w:ascii="新宋体" w:eastAsia="新宋体"/>
          <w:color w:val="0F0F0F"/>
        </w:rPr>
        <w:t>已标价</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量清单</w:t>
      </w:r>
      <w:r>
        <w:rPr>
          <w:rFonts w:ascii="新宋体" w:eastAsia="新宋体"/>
          <w:color w:val="0F0F0F"/>
        </w:rPr>
        <w:t>：指构成合同文件组成部分的已标</w:t>
      </w:r>
      <w:r>
        <w:rPr>
          <w:rFonts w:hint="eastAsia" w:ascii="新宋体" w:eastAsia="新宋体"/>
          <w:color w:val="0F0F0F"/>
        </w:rPr>
        <w:t>明</w:t>
      </w:r>
      <w:r>
        <w:rPr>
          <w:rFonts w:ascii="新宋体" w:eastAsia="新宋体"/>
          <w:color w:val="0F0F0F"/>
        </w:rPr>
        <w:t>价格、经算术性错误修正及</w:t>
      </w:r>
      <w:r>
        <w:rPr>
          <w:rFonts w:hint="eastAsia" w:ascii="新宋体" w:eastAsia="新宋体"/>
          <w:color w:val="0F0F0F"/>
        </w:rPr>
        <w:t>其他错误修正</w:t>
      </w:r>
      <w:r>
        <w:rPr>
          <w:rFonts w:ascii="新宋体" w:eastAsia="新宋体"/>
          <w:color w:val="0F0F0F"/>
        </w:rPr>
        <w:t>(如有)且承包人已确认的最终的工程量清单，包括工程量清单说明、投标</w:t>
      </w:r>
      <w:r>
        <w:rPr>
          <w:rFonts w:hint="eastAsia" w:ascii="新宋体" w:eastAsia="新宋体"/>
          <w:color w:val="0F0F0F"/>
        </w:rPr>
        <w:t>报价说明、计日工说明、其他说明及工程量清单各项表格</w:t>
      </w:r>
      <w:r>
        <w:rPr>
          <w:rFonts w:ascii="新宋体" w:eastAsia="新宋体"/>
          <w:color w:val="0F0F0F"/>
        </w:rPr>
        <w:t>(工程</w:t>
      </w:r>
      <w:r>
        <w:rPr>
          <w:rFonts w:hint="eastAsia" w:ascii="新宋体" w:eastAsia="新宋体"/>
          <w:color w:val="0F0F0F"/>
        </w:rPr>
        <w:t>清</w:t>
      </w:r>
      <w:r>
        <w:rPr>
          <w:rFonts w:ascii="新宋体" w:eastAsia="新宋体"/>
          <w:color w:val="0F0F0F"/>
        </w:rPr>
        <w:t>清单表5</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表5</w:t>
      </w:r>
      <w:r>
        <w:rPr>
          <w:rFonts w:hint="eastAsia" w:ascii="新宋体" w:eastAsia="新宋体"/>
          <w:color w:val="0F0F0F"/>
        </w:rPr>
        <w:t>.</w:t>
      </w:r>
      <w:r>
        <w:rPr>
          <w:rFonts w:ascii="新宋体" w:eastAsia="新宋体"/>
          <w:color w:val="0F0F0F"/>
        </w:rPr>
        <w:t>5)。</w:t>
      </w:r>
    </w:p>
    <w:p w14:paraId="71544054">
      <w:pPr>
        <w:spacing w:line="400" w:lineRule="exact"/>
        <w:ind w:firstLine="525" w:firstLineChars="250"/>
        <w:rPr>
          <w:rFonts w:ascii="新宋体" w:eastAsia="新宋体"/>
          <w:color w:val="0F0F0F"/>
        </w:rPr>
      </w:pPr>
      <w:r>
        <w:rPr>
          <w:rFonts w:ascii="新宋体" w:eastAsia="新宋体"/>
          <w:color w:val="0F0F0F"/>
        </w:rPr>
        <w:t>本项</w:t>
      </w:r>
      <w:r>
        <w:rPr>
          <w:rFonts w:hint="eastAsia" w:ascii="新宋体" w:eastAsia="新宋体"/>
          <w:color w:val="0F0F0F"/>
        </w:rPr>
        <w:t>补</w:t>
      </w:r>
      <w:r>
        <w:rPr>
          <w:rFonts w:ascii="新宋体" w:eastAsia="新宋体"/>
          <w:color w:val="0F0F0F"/>
        </w:rPr>
        <w:t>充第1</w:t>
      </w:r>
      <w:r>
        <w:rPr>
          <w:rFonts w:hint="eastAsia" w:ascii="新宋体" w:eastAsia="新宋体"/>
          <w:color w:val="0F0F0F"/>
        </w:rPr>
        <w:t>.1.</w:t>
      </w:r>
      <w:r>
        <w:rPr>
          <w:rFonts w:ascii="新宋体" w:eastAsia="新宋体"/>
          <w:color w:val="0F0F0F"/>
        </w:rPr>
        <w:t xml:space="preserve"> l</w:t>
      </w:r>
      <w:r>
        <w:rPr>
          <w:rFonts w:hint="eastAsia" w:ascii="新宋体" w:eastAsia="新宋体"/>
          <w:color w:val="0F0F0F"/>
        </w:rPr>
        <w:t>.</w:t>
      </w:r>
      <w:r>
        <w:rPr>
          <w:rFonts w:ascii="新宋体" w:eastAsia="新宋体"/>
          <w:color w:val="0F0F0F"/>
        </w:rPr>
        <w:t>10目：</w:t>
      </w:r>
    </w:p>
    <w:p w14:paraId="5B0C8A43">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10补遗书：指发出</w:t>
      </w:r>
      <w:r>
        <w:rPr>
          <w:rFonts w:hint="eastAsia" w:ascii="新宋体" w:eastAsia="新宋体"/>
          <w:color w:val="0F0F0F"/>
        </w:rPr>
        <w:t>竞争性磋商文件</w:t>
      </w:r>
      <w:r>
        <w:rPr>
          <w:rFonts w:ascii="新宋体" w:eastAsia="新宋体"/>
          <w:color w:val="0F0F0F"/>
        </w:rPr>
        <w:t>之后由</w:t>
      </w:r>
      <w:r>
        <w:rPr>
          <w:rFonts w:hint="eastAsia" w:ascii="新宋体" w:eastAsia="新宋体"/>
          <w:color w:val="0F0F0F"/>
          <w:lang w:eastAsia="zh-CN"/>
        </w:rPr>
        <w:t>采购人</w:t>
      </w:r>
      <w:r>
        <w:rPr>
          <w:rFonts w:ascii="新宋体" w:eastAsia="新宋体"/>
          <w:color w:val="0F0F0F"/>
        </w:rPr>
        <w:t>向已取得</w:t>
      </w:r>
      <w:r>
        <w:rPr>
          <w:rFonts w:hint="eastAsia" w:ascii="新宋体" w:eastAsia="新宋体"/>
          <w:color w:val="0F0F0F"/>
        </w:rPr>
        <w:t>竞争性磋商文件</w:t>
      </w:r>
      <w:r>
        <w:rPr>
          <w:rFonts w:ascii="新宋体" w:eastAsia="新宋体"/>
          <w:color w:val="0F0F0F"/>
        </w:rPr>
        <w:t>的</w:t>
      </w:r>
      <w:r>
        <w:rPr>
          <w:rFonts w:hint="eastAsia" w:ascii="新宋体" w:eastAsia="新宋体"/>
          <w:color w:val="0F0F0F"/>
          <w:lang w:eastAsia="zh-CN"/>
        </w:rPr>
        <w:t>供应商</w:t>
      </w:r>
      <w:r>
        <w:rPr>
          <w:rFonts w:ascii="新宋体" w:eastAsia="新宋体"/>
          <w:color w:val="0F0F0F"/>
        </w:rPr>
        <w:t>发</w:t>
      </w:r>
      <w:r>
        <w:rPr>
          <w:rFonts w:hint="eastAsia" w:ascii="新宋体" w:eastAsia="新宋体"/>
          <w:color w:val="0F0F0F"/>
        </w:rPr>
        <w:t>出的、编号的对竞争性磋商文件所作的澄清、修改书。</w:t>
      </w:r>
    </w:p>
    <w:p w14:paraId="0D8DB557">
      <w:pPr>
        <w:spacing w:line="400" w:lineRule="exact"/>
        <w:ind w:firstLine="525" w:firstLineChars="250"/>
        <w:rPr>
          <w:rFonts w:ascii="新宋体" w:eastAsia="新宋体"/>
          <w:color w:val="0F0F0F"/>
        </w:rPr>
      </w:pP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2合同当事人和人员</w:t>
      </w:r>
    </w:p>
    <w:p w14:paraId="0D81CBD0">
      <w:pPr>
        <w:spacing w:line="400" w:lineRule="exact"/>
        <w:ind w:firstLine="525" w:firstLineChars="250"/>
        <w:rPr>
          <w:rFonts w:ascii="新宋体" w:eastAsia="新宋体"/>
          <w:color w:val="0F0F0F"/>
        </w:rPr>
      </w:pPr>
      <w:r>
        <w:rPr>
          <w:rFonts w:ascii="新宋体" w:eastAsia="新宋体"/>
          <w:color w:val="0F0F0F"/>
        </w:rPr>
        <w:t>本项补充第1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8</w:t>
      </w:r>
      <w:r>
        <w:rPr>
          <w:rFonts w:hint="eastAsia" w:ascii="新宋体" w:eastAsia="新宋体"/>
          <w:color w:val="0F0F0F"/>
        </w:rPr>
        <w:t>目</w:t>
      </w:r>
      <w:r>
        <w:rPr>
          <w:rFonts w:ascii="新宋体" w:eastAsia="新宋体"/>
          <w:color w:val="0F0F0F"/>
        </w:rPr>
        <w:t>：</w:t>
      </w:r>
    </w:p>
    <w:p w14:paraId="31540601">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..1.</w:t>
      </w:r>
      <w:r>
        <w:rPr>
          <w:rFonts w:ascii="新宋体" w:eastAsia="新宋体"/>
          <w:color w:val="0F0F0F"/>
        </w:rPr>
        <w:t>2</w:t>
      </w:r>
      <w:r>
        <w:rPr>
          <w:rFonts w:hint="eastAsia" w:ascii="新宋体" w:eastAsia="新宋体"/>
          <w:color w:val="0F0F0F"/>
        </w:rPr>
        <w:t>.</w:t>
      </w:r>
      <w:r>
        <w:rPr>
          <w:rFonts w:ascii="新宋体" w:eastAsia="新宋体"/>
          <w:color w:val="0F0F0F"/>
        </w:rPr>
        <w:t>8承包人项目总工：指由承包人书面委派常驻现场负责管理本合同工程的</w:t>
      </w:r>
      <w:r>
        <w:rPr>
          <w:rFonts w:hint="eastAsia" w:ascii="新宋体" w:eastAsia="新宋体"/>
          <w:color w:val="0F0F0F"/>
        </w:rPr>
        <w:t>总工程师或技术总负责人。</w:t>
      </w:r>
    </w:p>
    <w:p w14:paraId="4B24A774">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..1.</w:t>
      </w:r>
      <w:r>
        <w:rPr>
          <w:rFonts w:ascii="新宋体" w:eastAsia="新宋体"/>
          <w:color w:val="0F0F0F"/>
        </w:rPr>
        <w:t>3</w:t>
      </w:r>
      <w:r>
        <w:rPr>
          <w:rFonts w:hint="eastAsia" w:ascii="新宋体" w:eastAsia="新宋体"/>
          <w:color w:val="0F0F0F"/>
        </w:rPr>
        <w:t>工</w:t>
      </w:r>
      <w:r>
        <w:rPr>
          <w:rFonts w:ascii="新宋体" w:eastAsia="新宋体"/>
          <w:color w:val="0F0F0F"/>
        </w:rPr>
        <w:t>程和设备</w:t>
      </w:r>
    </w:p>
    <w:p w14:paraId="38309B8B">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4目细化为：</w:t>
      </w:r>
    </w:p>
    <w:p w14:paraId="6D61EE9E">
      <w:pPr>
        <w:spacing w:line="400" w:lineRule="exact"/>
        <w:ind w:firstLine="525" w:firstLineChars="250"/>
        <w:rPr>
          <w:rFonts w:ascii="新宋体" w:eastAsia="新宋体"/>
          <w:color w:val="0F0F0F"/>
        </w:rPr>
      </w:pPr>
      <w:r>
        <w:rPr>
          <w:rFonts w:ascii="新宋体" w:eastAsia="新宋体"/>
          <w:color w:val="0F0F0F"/>
        </w:rPr>
        <w:t>单位</w:t>
      </w:r>
      <w:r>
        <w:rPr>
          <w:rFonts w:hint="eastAsia" w:ascii="新宋体" w:eastAsia="新宋体"/>
          <w:color w:val="0F0F0F"/>
        </w:rPr>
        <w:t>工</w:t>
      </w:r>
      <w:r>
        <w:rPr>
          <w:rFonts w:ascii="新宋体" w:eastAsia="新宋体"/>
          <w:color w:val="0F0F0F"/>
        </w:rPr>
        <w:t>程：指在建设项目中，根据签订的合同，具有独</w:t>
      </w:r>
      <w:r>
        <w:rPr>
          <w:rFonts w:hint="eastAsia" w:ascii="新宋体" w:eastAsia="新宋体"/>
          <w:color w:val="0F0F0F"/>
        </w:rPr>
        <w:t>立</w:t>
      </w:r>
      <w:r>
        <w:rPr>
          <w:rFonts w:ascii="新宋体" w:eastAsia="新宋体"/>
          <w:color w:val="0F0F0F"/>
        </w:rPr>
        <w:t>施工条件的</w:t>
      </w:r>
      <w:r>
        <w:rPr>
          <w:rFonts w:hint="eastAsia" w:ascii="新宋体" w:eastAsia="新宋体"/>
          <w:color w:val="0F0F0F"/>
        </w:rPr>
        <w:t>工</w:t>
      </w:r>
      <w:r>
        <w:rPr>
          <w:rFonts w:ascii="新宋体" w:eastAsia="新宋体"/>
          <w:color w:val="0F0F0F"/>
        </w:rPr>
        <w:t>程。</w:t>
      </w:r>
    </w:p>
    <w:p w14:paraId="678E1DBF">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10目细化为</w:t>
      </w:r>
      <w:r>
        <w:rPr>
          <w:rFonts w:hint="eastAsia" w:ascii="新宋体" w:eastAsia="新宋体"/>
          <w:color w:val="0F0F0F"/>
        </w:rPr>
        <w:t>：</w:t>
      </w:r>
    </w:p>
    <w:p w14:paraId="7DCF0FA1">
      <w:pPr>
        <w:spacing w:line="400" w:lineRule="exact"/>
        <w:ind w:firstLine="525" w:firstLineChars="250"/>
        <w:rPr>
          <w:rFonts w:ascii="新宋体" w:eastAsia="新宋体"/>
          <w:color w:val="0F0F0F"/>
        </w:rPr>
      </w:pPr>
      <w:r>
        <w:rPr>
          <w:rFonts w:ascii="新宋体" w:eastAsia="新宋体"/>
          <w:color w:val="0F0F0F"/>
        </w:rPr>
        <w:t>永久占地：指为实施本合同</w:t>
      </w:r>
      <w:r>
        <w:rPr>
          <w:rFonts w:hint="eastAsia" w:ascii="新宋体" w:eastAsia="新宋体"/>
          <w:color w:val="0F0F0F"/>
        </w:rPr>
        <w:t>工</w:t>
      </w:r>
      <w:r>
        <w:rPr>
          <w:rFonts w:ascii="新宋体" w:eastAsia="新宋体"/>
          <w:color w:val="0F0F0F"/>
        </w:rPr>
        <w:t>程而需要的一切永久占用的土地，包括公路</w:t>
      </w:r>
      <w:r>
        <w:rPr>
          <w:rFonts w:hint="eastAsia" w:ascii="新宋体" w:eastAsia="新宋体"/>
          <w:color w:val="0F0F0F"/>
        </w:rPr>
        <w:t>两</w:t>
      </w:r>
      <w:r>
        <w:rPr>
          <w:rFonts w:ascii="新宋体" w:eastAsia="新宋体"/>
          <w:color w:val="0F0F0F"/>
        </w:rPr>
        <w:t>侧路权</w:t>
      </w:r>
      <w:r>
        <w:rPr>
          <w:rFonts w:hint="eastAsia" w:ascii="新宋体" w:eastAsia="新宋体"/>
          <w:color w:val="0F0F0F"/>
        </w:rPr>
        <w:t>范围内的用地。</w:t>
      </w:r>
    </w:p>
    <w:p w14:paraId="4F4897A7">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 l目细化为</w:t>
      </w:r>
      <w:r>
        <w:rPr>
          <w:rFonts w:hint="eastAsia" w:ascii="新宋体" w:eastAsia="新宋体"/>
          <w:color w:val="0F0F0F"/>
        </w:rPr>
        <w:t>：</w:t>
      </w:r>
    </w:p>
    <w:p w14:paraId="2D62987B">
      <w:pPr>
        <w:spacing w:line="400" w:lineRule="exact"/>
        <w:ind w:firstLine="525" w:firstLineChars="250"/>
        <w:rPr>
          <w:rFonts w:ascii="新宋体" w:eastAsia="新宋体"/>
          <w:color w:val="0F0F0F"/>
        </w:rPr>
      </w:pPr>
      <w:r>
        <w:rPr>
          <w:rFonts w:ascii="新宋体" w:eastAsia="新宋体"/>
          <w:color w:val="0F0F0F"/>
        </w:rPr>
        <w:t>临时占地：指为实</w:t>
      </w:r>
      <w:r>
        <w:rPr>
          <w:rFonts w:hint="eastAsia" w:ascii="新宋体" w:eastAsia="新宋体"/>
          <w:color w:val="0F0F0F"/>
        </w:rPr>
        <w:t>施</w:t>
      </w:r>
      <w:r>
        <w:rPr>
          <w:rFonts w:ascii="新宋体" w:eastAsia="新宋体"/>
          <w:color w:val="0F0F0F"/>
        </w:rPr>
        <w:t>合同工程</w:t>
      </w:r>
      <w:r>
        <w:rPr>
          <w:rFonts w:hint="eastAsia" w:ascii="新宋体" w:eastAsia="新宋体"/>
          <w:color w:val="0F0F0F"/>
        </w:rPr>
        <w:t>而</w:t>
      </w:r>
      <w:r>
        <w:rPr>
          <w:rFonts w:ascii="新宋体" w:eastAsia="新宋体"/>
          <w:color w:val="0F0F0F"/>
        </w:rPr>
        <w:t>需要的一切临时占用的土地，包括施</w:t>
      </w:r>
      <w:r>
        <w:rPr>
          <w:rFonts w:hint="eastAsia" w:ascii="新宋体" w:eastAsia="新宋体"/>
          <w:color w:val="0F0F0F"/>
        </w:rPr>
        <w:t>工</w:t>
      </w:r>
      <w:r>
        <w:rPr>
          <w:rFonts w:ascii="新宋体" w:eastAsia="新宋体"/>
          <w:color w:val="0F0F0F"/>
        </w:rPr>
        <w:t>所用的临</w:t>
      </w:r>
      <w:r>
        <w:rPr>
          <w:rFonts w:hint="eastAsia" w:ascii="新宋体" w:eastAsia="新宋体"/>
          <w:color w:val="0F0F0F"/>
        </w:rPr>
        <w:t>时支线、便道、便桥和现场的临时出入通道，以及生产</w:t>
      </w:r>
      <w:r>
        <w:rPr>
          <w:rFonts w:ascii="新宋体" w:eastAsia="新宋体"/>
          <w:color w:val="0F0F0F"/>
        </w:rPr>
        <w:t>(办公)、生活等</w:t>
      </w:r>
      <w:r>
        <w:rPr>
          <w:rFonts w:hint="eastAsia" w:ascii="新宋体" w:eastAsia="新宋体"/>
          <w:color w:val="0F0F0F"/>
        </w:rPr>
        <w:t>临时</w:t>
      </w:r>
      <w:r>
        <w:rPr>
          <w:rFonts w:ascii="新宋体" w:eastAsia="新宋体"/>
          <w:color w:val="0F0F0F"/>
        </w:rPr>
        <w:t>设施用地等。</w:t>
      </w:r>
    </w:p>
    <w:p w14:paraId="3D2F1DC0">
      <w:pPr>
        <w:spacing w:line="400" w:lineRule="exact"/>
        <w:ind w:firstLine="525" w:firstLineChars="250"/>
        <w:rPr>
          <w:rFonts w:ascii="新宋体" w:eastAsia="新宋体"/>
          <w:color w:val="0F0F0F"/>
        </w:rPr>
      </w:pPr>
      <w:r>
        <w:rPr>
          <w:rFonts w:ascii="新宋体" w:eastAsia="新宋体"/>
          <w:color w:val="0F0F0F"/>
        </w:rPr>
        <w:t>本项补充第1</w:t>
      </w:r>
      <w:r>
        <w:rPr>
          <w:rFonts w:hint="eastAsia" w:ascii="新宋体" w:eastAsia="新宋体"/>
          <w:color w:val="0F0F0F"/>
        </w:rPr>
        <w:t>.1.</w:t>
      </w:r>
      <w:r>
        <w:rPr>
          <w:rFonts w:ascii="新宋体" w:eastAsia="新宋体"/>
          <w:color w:val="0F0F0F"/>
        </w:rPr>
        <w:t>3</w:t>
      </w:r>
      <w:r>
        <w:rPr>
          <w:rFonts w:hint="eastAsia" w:ascii="新宋体" w:eastAsia="新宋体"/>
          <w:color w:val="0F0F0F"/>
        </w:rPr>
        <w:t>.</w:t>
      </w:r>
      <w:r>
        <w:rPr>
          <w:rFonts w:ascii="新宋体" w:eastAsia="新宋体"/>
          <w:color w:val="0F0F0F"/>
        </w:rPr>
        <w:t>12</w:t>
      </w:r>
      <w:r>
        <w:rPr>
          <w:rFonts w:hint="eastAsia" w:ascii="新宋体" w:eastAsia="新宋体"/>
          <w:color w:val="0F0F0F"/>
        </w:rPr>
        <w:t>目</w:t>
      </w: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13</w:t>
      </w:r>
      <w:r>
        <w:rPr>
          <w:rFonts w:hint="eastAsia" w:ascii="新宋体" w:eastAsia="新宋体"/>
          <w:color w:val="0F0F0F"/>
        </w:rPr>
        <w:t>目</w:t>
      </w:r>
      <w:r>
        <w:rPr>
          <w:rFonts w:ascii="新宋体" w:eastAsia="新宋体"/>
          <w:color w:val="0F0F0F"/>
        </w:rPr>
        <w:t>：</w:t>
      </w:r>
    </w:p>
    <w:p w14:paraId="68880A0E">
      <w:pPr>
        <w:spacing w:line="400" w:lineRule="exact"/>
        <w:ind w:firstLine="525" w:firstLineChars="250"/>
        <w:rPr>
          <w:rFonts w:ascii="新宋体" w:eastAsia="新宋体"/>
          <w:color w:val="0F0F0F"/>
        </w:rPr>
      </w:pPr>
      <w:r>
        <w:rPr>
          <w:rFonts w:hint="eastAsia" w:ascii="新宋体" w:eastAsia="新宋体"/>
          <w:color w:val="0F0F0F"/>
        </w:rPr>
        <w:t>1.</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12分部工程：指在单位工程中，按结构部位、路段长度及施工特点或施工</w:t>
      </w:r>
      <w:r>
        <w:rPr>
          <w:rFonts w:hint="eastAsia" w:ascii="新宋体" w:eastAsia="新宋体"/>
          <w:color w:val="0F0F0F"/>
        </w:rPr>
        <w:t>任务划分的若干个工程。</w:t>
      </w:r>
    </w:p>
    <w:p w14:paraId="3C1A08EA">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13分项</w:t>
      </w:r>
      <w:r>
        <w:rPr>
          <w:rFonts w:hint="eastAsia" w:ascii="新宋体" w:eastAsia="新宋体"/>
          <w:color w:val="0F0F0F"/>
        </w:rPr>
        <w:t>工程：指在分部工程中，按不同的施工</w:t>
      </w:r>
      <w:r>
        <w:rPr>
          <w:rFonts w:ascii="新宋体" w:eastAsia="新宋体"/>
          <w:color w:val="0F0F0F"/>
        </w:rPr>
        <w:t>方法、材料、工净及路段长度</w:t>
      </w:r>
      <w:r>
        <w:rPr>
          <w:rFonts w:hint="eastAsia" w:ascii="新宋体" w:eastAsia="新宋体"/>
          <w:color w:val="0F0F0F"/>
        </w:rPr>
        <w:t>等划分的若干个工程。</w:t>
      </w:r>
    </w:p>
    <w:p w14:paraId="744C73A7">
      <w:pPr>
        <w:spacing w:line="400" w:lineRule="exact"/>
        <w:ind w:firstLine="525" w:firstLineChars="250"/>
        <w:rPr>
          <w:rFonts w:ascii="新宋体" w:eastAsia="新宋体"/>
          <w:color w:val="0F0F0F"/>
        </w:rPr>
      </w:pP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6其他</w:t>
      </w:r>
    </w:p>
    <w:p w14:paraId="0EE15DD7">
      <w:pPr>
        <w:ind w:firstLine="510"/>
        <w:rPr>
          <w:rFonts w:ascii="新宋体" w:hAnsi="宋体" w:eastAsia="新宋体"/>
          <w:b/>
          <w:color w:val="0F0F0F"/>
          <w:sz w:val="25"/>
          <w:szCs w:val="32"/>
        </w:rPr>
      </w:pPr>
      <w:r>
        <w:rPr>
          <w:rFonts w:hint="eastAsia" w:ascii="新宋体" w:eastAsia="新宋体"/>
          <w:color w:val="0F0F0F"/>
        </w:rPr>
        <w:t>本</w:t>
      </w:r>
      <w:r>
        <w:rPr>
          <w:rFonts w:ascii="新宋体" w:eastAsia="新宋体"/>
          <w:color w:val="0F0F0F"/>
        </w:rPr>
        <w:t>项补充第1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w:t>
      </w:r>
      <w:r>
        <w:rPr>
          <w:rFonts w:hint="eastAsia" w:ascii="新宋体" w:eastAsia="新宋体"/>
          <w:color w:val="0F0F0F"/>
        </w:rPr>
        <w:t>目~</w:t>
      </w: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8目：</w:t>
      </w:r>
    </w:p>
    <w:p w14:paraId="49BAC351">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2竣工验收：指《公路工程竣(交)工验收办法</w:t>
      </w:r>
      <w:r>
        <w:rPr>
          <w:rFonts w:hint="eastAsia" w:ascii="新宋体" w:eastAsia="新宋体"/>
          <w:color w:val="0F0F0F"/>
        </w:rPr>
        <w:t>》中</w:t>
      </w:r>
      <w:r>
        <w:rPr>
          <w:rFonts w:ascii="新宋体" w:eastAsia="新宋体"/>
          <w:color w:val="0F0F0F"/>
        </w:rPr>
        <w:t>的竣工验收。通用合同条</w:t>
      </w:r>
      <w:r>
        <w:rPr>
          <w:rFonts w:hint="eastAsia" w:ascii="新宋体" w:eastAsia="新宋体"/>
          <w:color w:val="0F0F0F"/>
        </w:rPr>
        <w:t>款中“国家验收”一词具有相同含义。</w:t>
      </w:r>
    </w:p>
    <w:p w14:paraId="62229B16">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.3</w:t>
      </w:r>
      <w:r>
        <w:rPr>
          <w:rFonts w:ascii="新宋体" w:eastAsia="新宋体"/>
          <w:color w:val="0F0F0F"/>
        </w:rPr>
        <w:t>交工：指《公路工程竣(交)工验收办法》</w:t>
      </w:r>
      <w:r>
        <w:rPr>
          <w:rFonts w:hint="eastAsia" w:ascii="新宋体" w:eastAsia="新宋体"/>
          <w:color w:val="0F0F0F"/>
        </w:rPr>
        <w:t>中</w:t>
      </w:r>
      <w:r>
        <w:rPr>
          <w:rFonts w:ascii="新宋体" w:eastAsia="新宋体"/>
          <w:color w:val="0F0F0F"/>
        </w:rPr>
        <w:t>的交工。通用合</w:t>
      </w:r>
      <w:r>
        <w:rPr>
          <w:rFonts w:hint="eastAsia" w:ascii="新宋体" w:eastAsia="新宋体"/>
          <w:color w:val="0F0F0F"/>
        </w:rPr>
        <w:t>同</w:t>
      </w:r>
      <w:r>
        <w:rPr>
          <w:rFonts w:ascii="新宋体" w:eastAsia="新宋体"/>
          <w:color w:val="0F0F0F"/>
        </w:rPr>
        <w:t>条款中“竣</w:t>
      </w:r>
      <w:r>
        <w:rPr>
          <w:rFonts w:hint="eastAsia" w:ascii="新宋体" w:eastAsia="新宋体"/>
          <w:color w:val="0F0F0F"/>
        </w:rPr>
        <w:t>工”一词具有相同含义。</w:t>
      </w:r>
    </w:p>
    <w:p w14:paraId="59667F5A">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3交工验收：指《公路</w:t>
      </w:r>
      <w:r>
        <w:rPr>
          <w:rFonts w:hint="eastAsia" w:ascii="新宋体" w:eastAsia="新宋体"/>
          <w:color w:val="0F0F0F"/>
        </w:rPr>
        <w:t>工</w:t>
      </w:r>
      <w:r>
        <w:rPr>
          <w:rFonts w:ascii="新宋体" w:eastAsia="新宋体"/>
          <w:color w:val="0F0F0F"/>
        </w:rPr>
        <w:t>程竣(交)工验收办法》中的交工验收。通用合同条</w:t>
      </w:r>
      <w:r>
        <w:rPr>
          <w:rFonts w:hint="eastAsia" w:ascii="新宋体" w:eastAsia="新宋体"/>
          <w:color w:val="0F0F0F"/>
        </w:rPr>
        <w:t>款中“竣工验收” 一词具有相同含义。</w:t>
      </w:r>
    </w:p>
    <w:p w14:paraId="7AEAC25D">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4交</w:t>
      </w:r>
      <w:r>
        <w:rPr>
          <w:rFonts w:hint="eastAsia" w:ascii="新宋体" w:eastAsia="新宋体"/>
          <w:color w:val="0F0F0F"/>
        </w:rPr>
        <w:t>工</w:t>
      </w:r>
      <w:r>
        <w:rPr>
          <w:rFonts w:ascii="新宋体" w:eastAsia="新宋体"/>
          <w:color w:val="0F0F0F"/>
        </w:rPr>
        <w:t>验收证书：指《公路工程竣(交)</w:t>
      </w:r>
      <w:r>
        <w:rPr>
          <w:rFonts w:hint="eastAsia" w:ascii="新宋体" w:eastAsia="新宋体"/>
          <w:color w:val="0F0F0F"/>
        </w:rPr>
        <w:t>工</w:t>
      </w:r>
      <w:r>
        <w:rPr>
          <w:rFonts w:ascii="新宋体" w:eastAsia="新宋体"/>
          <w:color w:val="0F0F0F"/>
        </w:rPr>
        <w:t>验收办</w:t>
      </w:r>
      <w:r>
        <w:rPr>
          <w:rFonts w:hint="eastAsia" w:ascii="新宋体" w:eastAsia="新宋体"/>
          <w:color w:val="0F0F0F"/>
        </w:rPr>
        <w:t>法》中的交工验收证书。通用合同条款中“工程接收证书”一词具有相同含义。</w:t>
      </w:r>
    </w:p>
    <w:p w14:paraId="59D8530E">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5转包：指承包人违反法律和不履符合同规定的责任和义务，将</w:t>
      </w:r>
      <w:r>
        <w:rPr>
          <w:rFonts w:hint="eastAsia" w:ascii="新宋体" w:eastAsia="新宋体"/>
          <w:color w:val="0F0F0F"/>
          <w:lang w:eastAsia="zh-CN"/>
        </w:rPr>
        <w:t>成交</w:t>
      </w:r>
      <w:r>
        <w:rPr>
          <w:rFonts w:ascii="新宋体" w:eastAsia="新宋体"/>
          <w:color w:val="0F0F0F"/>
        </w:rPr>
        <w:t>工程</w:t>
      </w:r>
      <w:r>
        <w:rPr>
          <w:rFonts w:hint="eastAsia" w:ascii="新宋体" w:eastAsia="新宋体"/>
          <w:color w:val="0F0F0F"/>
        </w:rPr>
        <w:t>全部委托或以专业分包的名义将</w:t>
      </w:r>
      <w:r>
        <w:rPr>
          <w:rFonts w:hint="eastAsia" w:ascii="新宋体" w:eastAsia="新宋体"/>
          <w:color w:val="0F0F0F"/>
          <w:lang w:eastAsia="zh-CN"/>
        </w:rPr>
        <w:t>成交</w:t>
      </w:r>
      <w:r>
        <w:rPr>
          <w:rFonts w:hint="eastAsia" w:ascii="新宋体" w:eastAsia="新宋体"/>
          <w:color w:val="0F0F0F"/>
        </w:rPr>
        <w:t>工程肢解后全部委托给其他施工企业施工的行为。</w:t>
      </w:r>
    </w:p>
    <w:p w14:paraId="0C80B5CC">
      <w:pPr>
        <w:ind w:firstLine="510"/>
        <w:rPr>
          <w:rFonts w:ascii="新宋体" w:hAnsi="宋体" w:eastAsia="新宋体"/>
          <w:b/>
          <w:color w:val="0F0F0F"/>
          <w:sz w:val="25"/>
          <w:szCs w:val="32"/>
        </w:rPr>
      </w:pPr>
      <w:r>
        <w:rPr>
          <w:rFonts w:ascii="新宋体" w:eastAsia="新宋体"/>
          <w:color w:val="0F0F0F"/>
        </w:rPr>
        <w:t>l.1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6专业分包：指承包人与具有相应资质的施工企业</w:t>
      </w:r>
      <w:r>
        <w:rPr>
          <w:rFonts w:hint="eastAsia" w:ascii="新宋体" w:eastAsia="新宋体"/>
          <w:color w:val="0F0F0F"/>
        </w:rPr>
        <w:t>签</w:t>
      </w:r>
      <w:r>
        <w:rPr>
          <w:rFonts w:ascii="新宋体" w:eastAsia="新宋体"/>
          <w:color w:val="0F0F0F"/>
        </w:rPr>
        <w:t>订专业分包合同，由</w:t>
      </w:r>
      <w:r>
        <w:rPr>
          <w:rFonts w:hint="eastAsia" w:ascii="新宋体" w:eastAsia="新宋体"/>
          <w:color w:val="0F0F0F"/>
        </w:rPr>
        <w:t>分包人承担承包人委托的分部工程、分项工程或适合专业化队伍施工的其他工程，整体结算，并能独立控制工程质量、施工进度、材料采购、生产安全的施工行为。</w:t>
      </w:r>
    </w:p>
    <w:p w14:paraId="68F8F162">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7劳务分包：指承</w:t>
      </w:r>
      <w:r>
        <w:rPr>
          <w:rFonts w:hint="eastAsia" w:ascii="新宋体" w:eastAsia="新宋体"/>
          <w:color w:val="0F0F0F"/>
        </w:rPr>
        <w:t>包人与具有劳务分包资质的劳务企业签订劳务分包合同，由劳务企业提供劳务人员及机具，由承包人统一组织施工，统一控制工程质量、施工进度、材料采购、生产安全的施工行为。</w:t>
      </w:r>
    </w:p>
    <w:p w14:paraId="12687B03">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8雇佣民</w:t>
      </w:r>
      <w:r>
        <w:rPr>
          <w:rFonts w:hint="eastAsia" w:ascii="新宋体" w:eastAsia="新宋体"/>
          <w:color w:val="0F0F0F"/>
        </w:rPr>
        <w:t>工</w:t>
      </w:r>
      <w:r>
        <w:rPr>
          <w:rFonts w:ascii="新宋体" w:eastAsia="新宋体"/>
          <w:color w:val="0F0F0F"/>
        </w:rPr>
        <w:t>：指承包人与具有相应劳动能力的自然人签订劳动合同，</w:t>
      </w:r>
      <w:r>
        <w:rPr>
          <w:rFonts w:hint="eastAsia" w:ascii="新宋体" w:eastAsia="新宋体"/>
          <w:color w:val="0F0F0F"/>
        </w:rPr>
        <w:t>由</w:t>
      </w:r>
      <w:r>
        <w:rPr>
          <w:rFonts w:ascii="新宋体" w:eastAsia="新宋体"/>
          <w:color w:val="0F0F0F"/>
        </w:rPr>
        <w:t>承</w:t>
      </w:r>
      <w:r>
        <w:rPr>
          <w:rFonts w:hint="eastAsia" w:ascii="新宋体" w:eastAsia="新宋体"/>
          <w:color w:val="0F0F0F"/>
        </w:rPr>
        <w:t>包人统一组织管理，从事分项工程施工或配套工程施工的行为。</w:t>
      </w:r>
    </w:p>
    <w:p w14:paraId="37BD2FE5">
      <w:pPr>
        <w:spacing w:line="400" w:lineRule="exact"/>
        <w:rPr>
          <w:rFonts w:ascii="新宋体" w:eastAsia="新宋体"/>
          <w:color w:val="0F0F0F"/>
          <w:sz w:val="24"/>
        </w:rPr>
      </w:pPr>
      <w:r>
        <w:rPr>
          <w:rFonts w:ascii="新宋体" w:eastAsia="新宋体"/>
          <w:color w:val="0F0F0F"/>
          <w:sz w:val="24"/>
        </w:rPr>
        <w:t>1</w:t>
      </w:r>
      <w:r>
        <w:rPr>
          <w:rFonts w:hint="eastAsia" w:ascii="新宋体" w:eastAsia="新宋体"/>
          <w:color w:val="0F0F0F"/>
          <w:sz w:val="24"/>
        </w:rPr>
        <w:t>.</w:t>
      </w:r>
      <w:r>
        <w:rPr>
          <w:rFonts w:ascii="新宋体" w:eastAsia="新宋体"/>
          <w:color w:val="0F0F0F"/>
          <w:sz w:val="24"/>
        </w:rPr>
        <w:t>4合</w:t>
      </w:r>
      <w:r>
        <w:rPr>
          <w:rFonts w:hint="eastAsia" w:ascii="新宋体" w:eastAsia="新宋体"/>
          <w:color w:val="0F0F0F"/>
          <w:sz w:val="24"/>
        </w:rPr>
        <w:t>同</w:t>
      </w:r>
      <w:r>
        <w:rPr>
          <w:rFonts w:ascii="新宋体" w:eastAsia="新宋体"/>
          <w:color w:val="0F0F0F"/>
          <w:sz w:val="24"/>
        </w:rPr>
        <w:t>文件的优先顺序</w:t>
      </w:r>
    </w:p>
    <w:p w14:paraId="0B0EE955">
      <w:pPr>
        <w:ind w:firstLine="525" w:firstLineChars="250"/>
        <w:rPr>
          <w:rFonts w:ascii="新宋体" w:hAnsi="宋体" w:eastAsia="新宋体"/>
          <w:b/>
          <w:color w:val="0F0F0F"/>
          <w:sz w:val="25"/>
          <w:szCs w:val="32"/>
        </w:rPr>
      </w:pPr>
      <w:r>
        <w:rPr>
          <w:rFonts w:ascii="新宋体" w:eastAsia="新宋体"/>
          <w:color w:val="0F0F0F"/>
        </w:rPr>
        <w:t>本款约定为：</w:t>
      </w:r>
    </w:p>
    <w:p w14:paraId="6C97E615">
      <w:pPr>
        <w:ind w:firstLine="525" w:firstLineChars="250"/>
        <w:rPr>
          <w:rFonts w:ascii="新宋体" w:hAnsi="宋体" w:eastAsia="新宋体"/>
          <w:b/>
          <w:color w:val="0F0F0F"/>
          <w:sz w:val="25"/>
          <w:szCs w:val="32"/>
        </w:rPr>
      </w:pPr>
      <w:r>
        <w:rPr>
          <w:rFonts w:ascii="新宋体" w:eastAsia="新宋体"/>
          <w:color w:val="0F0F0F"/>
        </w:rPr>
        <w:t>组成合同的各项文件应互相解释，互为说明。除项目专用合同条款另有约定外，解</w:t>
      </w:r>
      <w:r>
        <w:rPr>
          <w:rFonts w:hint="eastAsia" w:ascii="新宋体" w:eastAsia="新宋体"/>
          <w:color w:val="0F0F0F"/>
        </w:rPr>
        <w:t>释合同文件的优先顺序如下：</w:t>
      </w:r>
    </w:p>
    <w:p w14:paraId="3463F815">
      <w:pPr>
        <w:ind w:firstLine="525" w:firstLineChars="250"/>
        <w:rPr>
          <w:rFonts w:ascii="新宋体" w:hAnsi="宋体" w:eastAsia="新宋体"/>
          <w:b/>
          <w:color w:val="0F0F0F"/>
          <w:sz w:val="25"/>
          <w:szCs w:val="32"/>
        </w:rPr>
      </w:pPr>
      <w:r>
        <w:rPr>
          <w:rFonts w:ascii="新宋体" w:eastAsia="新宋体"/>
          <w:color w:val="0F0F0F"/>
        </w:rPr>
        <w:t>(1)合同协议书及各种合同附件(含评标</w:t>
      </w:r>
      <w:r>
        <w:rPr>
          <w:rFonts w:hint="eastAsia" w:ascii="新宋体" w:eastAsia="新宋体"/>
          <w:color w:val="0F0F0F"/>
        </w:rPr>
        <w:t>期间和合同谈判过程中的澄清文件和补充资料</w:t>
      </w:r>
      <w:r>
        <w:rPr>
          <w:rFonts w:ascii="新宋体" w:eastAsia="新宋体"/>
          <w:color w:val="0F0F0F"/>
        </w:rPr>
        <w:t>)；</w:t>
      </w:r>
    </w:p>
    <w:p w14:paraId="69F402CF">
      <w:pPr>
        <w:ind w:firstLine="525" w:firstLineChars="250"/>
        <w:rPr>
          <w:rFonts w:ascii="新宋体" w:eastAsia="新宋体"/>
          <w:color w:val="0F0F0F"/>
        </w:rPr>
      </w:pPr>
      <w:r>
        <w:rPr>
          <w:rFonts w:ascii="新宋体" w:eastAsia="新宋体"/>
          <w:color w:val="0F0F0F"/>
        </w:rPr>
        <w:t>(2)</w:t>
      </w:r>
      <w:r>
        <w:rPr>
          <w:rFonts w:hint="eastAsia" w:ascii="新宋体" w:eastAsia="新宋体"/>
          <w:color w:val="0F0F0F"/>
          <w:lang w:eastAsia="zh-CN"/>
        </w:rPr>
        <w:t>成交</w:t>
      </w:r>
      <w:r>
        <w:rPr>
          <w:rFonts w:ascii="新宋体" w:eastAsia="新宋体"/>
          <w:color w:val="0F0F0F"/>
        </w:rPr>
        <w:t>通知书；</w:t>
      </w:r>
    </w:p>
    <w:p w14:paraId="042567C1">
      <w:pPr>
        <w:ind w:firstLine="525" w:firstLineChars="250"/>
        <w:rPr>
          <w:rFonts w:ascii="新宋体" w:hAnsi="宋体" w:eastAsia="新宋体"/>
          <w:b/>
          <w:color w:val="0F0F0F"/>
          <w:sz w:val="25"/>
          <w:szCs w:val="32"/>
        </w:rPr>
      </w:pPr>
      <w:r>
        <w:rPr>
          <w:rFonts w:ascii="新宋体" w:eastAsia="新宋体"/>
          <w:color w:val="0F0F0F"/>
        </w:rPr>
        <w:t>(3)投标函录；</w:t>
      </w:r>
    </w:p>
    <w:p w14:paraId="77C1FCD0">
      <w:pPr>
        <w:ind w:firstLine="525" w:firstLineChars="250"/>
        <w:rPr>
          <w:rFonts w:ascii="新宋体" w:hAnsi="宋体" w:eastAsia="新宋体"/>
          <w:b/>
          <w:color w:val="0F0F0F"/>
          <w:sz w:val="25"/>
          <w:szCs w:val="32"/>
        </w:rPr>
      </w:pPr>
      <w:r>
        <w:rPr>
          <w:rFonts w:ascii="新宋体" w:eastAsia="新宋体"/>
          <w:color w:val="0F0F0F"/>
        </w:rPr>
        <w:t>(4)项目专用合同条款：</w:t>
      </w:r>
    </w:p>
    <w:p w14:paraId="7AAB1D4D">
      <w:pPr>
        <w:ind w:firstLine="525" w:firstLineChars="250"/>
        <w:rPr>
          <w:rFonts w:ascii="新宋体" w:hAnsi="宋体" w:eastAsia="新宋体"/>
          <w:b/>
          <w:color w:val="0F0F0F"/>
          <w:sz w:val="25"/>
          <w:szCs w:val="32"/>
        </w:rPr>
      </w:pPr>
      <w:r>
        <w:rPr>
          <w:rFonts w:ascii="新宋体" w:eastAsia="新宋体"/>
          <w:color w:val="0F0F0F"/>
        </w:rPr>
        <w:t>(5)公路工程专用合</w:t>
      </w:r>
      <w:r>
        <w:rPr>
          <w:rFonts w:hint="eastAsia" w:ascii="新宋体" w:eastAsia="新宋体"/>
          <w:color w:val="0F0F0F"/>
        </w:rPr>
        <w:t>同</w:t>
      </w:r>
      <w:r>
        <w:rPr>
          <w:rFonts w:ascii="新宋体" w:eastAsia="新宋体"/>
          <w:color w:val="0F0F0F"/>
        </w:rPr>
        <w:t>条款：</w:t>
      </w:r>
    </w:p>
    <w:p w14:paraId="581522DE">
      <w:pPr>
        <w:ind w:firstLine="525" w:firstLineChars="250"/>
        <w:rPr>
          <w:rFonts w:ascii="新宋体" w:hAnsi="宋体" w:eastAsia="新宋体"/>
          <w:b/>
          <w:color w:val="0F0F0F"/>
          <w:sz w:val="25"/>
          <w:szCs w:val="32"/>
        </w:rPr>
      </w:pPr>
      <w:r>
        <w:rPr>
          <w:rFonts w:ascii="新宋体" w:eastAsia="新宋体"/>
          <w:color w:val="0F0F0F"/>
        </w:rPr>
        <w:t>(6)通用合同条款；</w:t>
      </w:r>
    </w:p>
    <w:p w14:paraId="7A5098F3">
      <w:pPr>
        <w:ind w:firstLine="525" w:firstLineChars="250"/>
        <w:rPr>
          <w:rFonts w:ascii="新宋体" w:eastAsia="新宋体"/>
          <w:color w:val="0F0F0F"/>
        </w:rPr>
      </w:pPr>
      <w:r>
        <w:rPr>
          <w:rFonts w:ascii="新宋体" w:eastAsia="新宋体"/>
          <w:color w:val="0F0F0F"/>
        </w:rPr>
        <w:t>(7)技术规范；</w:t>
      </w:r>
    </w:p>
    <w:p w14:paraId="45E78B1A">
      <w:pPr>
        <w:ind w:firstLine="525" w:firstLineChars="250"/>
        <w:rPr>
          <w:rFonts w:ascii="新宋体" w:eastAsia="新宋体"/>
          <w:color w:val="0F0F0F"/>
        </w:rPr>
      </w:pPr>
      <w:r>
        <w:rPr>
          <w:rFonts w:ascii="新宋体" w:eastAsia="新宋体"/>
          <w:color w:val="0F0F0F"/>
        </w:rPr>
        <w:t>(8)</w:t>
      </w:r>
      <w:r>
        <w:rPr>
          <w:rFonts w:hint="eastAsia" w:ascii="新宋体" w:eastAsia="新宋体"/>
          <w:color w:val="0F0F0F"/>
        </w:rPr>
        <w:t>图</w:t>
      </w:r>
      <w:r>
        <w:rPr>
          <w:rFonts w:ascii="新宋体" w:eastAsia="新宋体"/>
          <w:color w:val="0F0F0F"/>
        </w:rPr>
        <w:t>纸</w:t>
      </w:r>
      <w:r>
        <w:rPr>
          <w:rFonts w:hint="eastAsia" w:ascii="新宋体" w:eastAsia="新宋体"/>
          <w:color w:val="0F0F0F"/>
        </w:rPr>
        <w:t>：</w:t>
      </w:r>
    </w:p>
    <w:p w14:paraId="648BE462">
      <w:pPr>
        <w:ind w:firstLine="525" w:firstLineChars="250"/>
        <w:rPr>
          <w:rFonts w:ascii="新宋体" w:eastAsia="新宋体"/>
          <w:color w:val="0F0F0F"/>
        </w:rPr>
      </w:pPr>
      <w:r>
        <w:rPr>
          <w:rFonts w:ascii="新宋体" w:eastAsia="新宋体"/>
          <w:color w:val="0F0F0F"/>
        </w:rPr>
        <w:t>(9)已标价工程</w:t>
      </w:r>
      <w:r>
        <w:rPr>
          <w:rFonts w:hint="eastAsia" w:ascii="新宋体" w:eastAsia="新宋体"/>
          <w:color w:val="0F0F0F"/>
        </w:rPr>
        <w:t>量</w:t>
      </w:r>
      <w:r>
        <w:rPr>
          <w:rFonts w:ascii="新宋体" w:eastAsia="新宋体"/>
          <w:color w:val="0F0F0F"/>
        </w:rPr>
        <w:t>清单；</w:t>
      </w:r>
    </w:p>
    <w:p w14:paraId="51438004">
      <w:pPr>
        <w:ind w:firstLine="525" w:firstLineChars="250"/>
        <w:rPr>
          <w:rFonts w:ascii="新宋体" w:eastAsia="新宋体"/>
          <w:color w:val="0F0F0F"/>
        </w:rPr>
      </w:pPr>
      <w:r>
        <w:rPr>
          <w:rFonts w:ascii="新宋体" w:eastAsia="新宋体"/>
          <w:color w:val="0F0F0F"/>
        </w:rPr>
        <w:t>(10)承包人有关人员、设备投入的承诺及</w:t>
      </w:r>
      <w:r>
        <w:rPr>
          <w:rFonts w:hint="eastAsia" w:ascii="新宋体" w:eastAsia="新宋体"/>
          <w:color w:val="0F0F0F"/>
        </w:rPr>
        <w:t>响应文件</w:t>
      </w:r>
      <w:r>
        <w:rPr>
          <w:rFonts w:ascii="新宋体" w:eastAsia="新宋体"/>
          <w:color w:val="0F0F0F"/>
        </w:rPr>
        <w:t>中的施</w:t>
      </w:r>
      <w:r>
        <w:rPr>
          <w:rFonts w:hint="eastAsia" w:ascii="新宋体" w:eastAsia="新宋体"/>
          <w:color w:val="0F0F0F"/>
        </w:rPr>
        <w:t>工</w:t>
      </w:r>
      <w:r>
        <w:rPr>
          <w:rFonts w:ascii="新宋体" w:eastAsia="新宋体"/>
          <w:color w:val="0F0F0F"/>
        </w:rPr>
        <w:t xml:space="preserve">组织设计； </w:t>
      </w:r>
    </w:p>
    <w:p w14:paraId="4BD818E8">
      <w:pPr>
        <w:ind w:firstLine="525" w:firstLineChars="250"/>
        <w:rPr>
          <w:rFonts w:ascii="新宋体" w:hAnsi="宋体" w:eastAsia="新宋体"/>
          <w:b/>
          <w:color w:val="0F0F0F"/>
          <w:sz w:val="25"/>
          <w:szCs w:val="32"/>
        </w:rPr>
      </w:pPr>
      <w:r>
        <w:rPr>
          <w:rFonts w:ascii="新宋体" w:eastAsia="新宋体"/>
          <w:color w:val="0F0F0F"/>
        </w:rPr>
        <w:t xml:space="preserve">(11)其他合同文件。    </w:t>
      </w:r>
    </w:p>
    <w:p w14:paraId="31B72C07">
      <w:pPr>
        <w:spacing w:line="400" w:lineRule="exact"/>
        <w:rPr>
          <w:rFonts w:ascii="新宋体" w:eastAsia="新宋体"/>
          <w:color w:val="0F0F0F"/>
          <w:sz w:val="24"/>
        </w:rPr>
      </w:pPr>
      <w:r>
        <w:rPr>
          <w:rFonts w:ascii="新宋体" w:eastAsia="新宋体"/>
          <w:color w:val="0F0F0F"/>
          <w:sz w:val="24"/>
        </w:rPr>
        <w:t>1</w:t>
      </w:r>
      <w:r>
        <w:rPr>
          <w:rFonts w:hint="eastAsia" w:ascii="新宋体" w:eastAsia="新宋体"/>
          <w:color w:val="0F0F0F"/>
          <w:sz w:val="24"/>
        </w:rPr>
        <w:t>.5</w:t>
      </w:r>
      <w:r>
        <w:rPr>
          <w:rFonts w:ascii="新宋体" w:eastAsia="新宋体"/>
          <w:color w:val="0F0F0F"/>
          <w:sz w:val="24"/>
        </w:rPr>
        <w:t>合同协议书</w:t>
      </w:r>
    </w:p>
    <w:p w14:paraId="40F6D091">
      <w:pPr>
        <w:ind w:firstLine="525" w:firstLineChars="250"/>
        <w:rPr>
          <w:rFonts w:ascii="新宋体" w:eastAsia="新宋体"/>
          <w:color w:val="0F0F0F"/>
        </w:rPr>
      </w:pPr>
      <w:r>
        <w:rPr>
          <w:rFonts w:ascii="新宋体" w:eastAsia="新宋体"/>
          <w:color w:val="0F0F0F"/>
        </w:rPr>
        <w:t>本款</w:t>
      </w:r>
      <w:r>
        <w:rPr>
          <w:rFonts w:hint="eastAsia" w:ascii="新宋体" w:eastAsia="新宋体"/>
          <w:color w:val="0F0F0F"/>
        </w:rPr>
        <w:t>补充</w:t>
      </w:r>
      <w:r>
        <w:rPr>
          <w:rFonts w:ascii="新宋体" w:eastAsia="新宋体"/>
          <w:color w:val="0F0F0F"/>
        </w:rPr>
        <w:t>：</w:t>
      </w:r>
    </w:p>
    <w:p w14:paraId="65B499F3">
      <w:pPr>
        <w:ind w:firstLine="525" w:firstLineChars="250"/>
        <w:rPr>
          <w:rFonts w:ascii="新宋体" w:eastAsia="新宋体"/>
          <w:color w:val="0F0F0F"/>
        </w:rPr>
      </w:pPr>
      <w:r>
        <w:rPr>
          <w:rFonts w:ascii="新宋体" w:eastAsia="新宋体"/>
          <w:color w:val="0F0F0F"/>
        </w:rPr>
        <w:t>制备本合同文件的费用由发包人承担。在合同协议书签订</w:t>
      </w:r>
      <w:r>
        <w:rPr>
          <w:rFonts w:hint="eastAsia" w:ascii="新宋体" w:eastAsia="新宋体"/>
          <w:color w:val="0F0F0F"/>
        </w:rPr>
        <w:t>并</w:t>
      </w:r>
      <w:r>
        <w:rPr>
          <w:rFonts w:ascii="新宋体" w:eastAsia="新宋体"/>
          <w:color w:val="0F0F0F"/>
        </w:rPr>
        <w:t>生效之前，投标</w:t>
      </w:r>
      <w:r>
        <w:rPr>
          <w:rFonts w:hint="eastAsia" w:ascii="新宋体" w:eastAsia="新宋体"/>
          <w:color w:val="0F0F0F"/>
        </w:rPr>
        <w:t>函</w:t>
      </w:r>
      <w:r>
        <w:rPr>
          <w:rFonts w:ascii="新宋体" w:eastAsia="新宋体"/>
          <w:color w:val="0F0F0F"/>
        </w:rPr>
        <w:t>和</w:t>
      </w:r>
      <w:r>
        <w:rPr>
          <w:rFonts w:hint="eastAsia" w:ascii="新宋体" w:eastAsia="新宋体"/>
          <w:color w:val="0F0F0F"/>
          <w:lang w:eastAsia="zh-CN"/>
        </w:rPr>
        <w:t>成交</w:t>
      </w:r>
      <w:r>
        <w:rPr>
          <w:rFonts w:hint="eastAsia" w:ascii="新宋体" w:eastAsia="新宋体"/>
          <w:color w:val="0F0F0F"/>
        </w:rPr>
        <w:t>通知书将对双方其有约束力。</w:t>
      </w:r>
    </w:p>
    <w:p w14:paraId="1420A731">
      <w:pPr>
        <w:spacing w:line="400" w:lineRule="exact"/>
        <w:rPr>
          <w:rFonts w:ascii="新宋体" w:eastAsia="新宋体"/>
          <w:color w:val="0F0F0F"/>
          <w:sz w:val="24"/>
        </w:rPr>
      </w:pPr>
      <w:r>
        <w:rPr>
          <w:rFonts w:ascii="新宋体" w:eastAsia="新宋体"/>
          <w:color w:val="0F0F0F"/>
          <w:sz w:val="24"/>
        </w:rPr>
        <w:t>I</w:t>
      </w:r>
      <w:r>
        <w:rPr>
          <w:rFonts w:hint="eastAsia" w:ascii="新宋体" w:eastAsia="新宋体"/>
          <w:color w:val="0F0F0F"/>
          <w:sz w:val="24"/>
        </w:rPr>
        <w:t>.</w:t>
      </w:r>
      <w:r>
        <w:rPr>
          <w:rFonts w:ascii="新宋体" w:eastAsia="新宋体"/>
          <w:color w:val="0F0F0F"/>
          <w:sz w:val="24"/>
        </w:rPr>
        <w:t>6</w:t>
      </w:r>
      <w:r>
        <w:rPr>
          <w:rFonts w:hint="eastAsia" w:ascii="新宋体" w:eastAsia="新宋体"/>
          <w:color w:val="0F0F0F"/>
          <w:sz w:val="24"/>
        </w:rPr>
        <w:t>图</w:t>
      </w:r>
      <w:r>
        <w:rPr>
          <w:rFonts w:ascii="新宋体" w:eastAsia="新宋体"/>
          <w:color w:val="0F0F0F"/>
          <w:sz w:val="24"/>
        </w:rPr>
        <w:t>纸和承包人文件</w:t>
      </w:r>
    </w:p>
    <w:p w14:paraId="6C746C60">
      <w:pPr>
        <w:ind w:firstLine="525" w:firstLineChars="250"/>
        <w:rPr>
          <w:rFonts w:ascii="新宋体" w:hAnsi="宋体" w:eastAsia="新宋体"/>
          <w:b/>
          <w:color w:val="0F0F0F"/>
          <w:sz w:val="25"/>
          <w:szCs w:val="32"/>
        </w:rPr>
      </w:pP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1图纸的提供</w:t>
      </w:r>
    </w:p>
    <w:p w14:paraId="70BEC88F">
      <w:pPr>
        <w:ind w:firstLine="525" w:firstLineChars="250"/>
        <w:rPr>
          <w:rFonts w:ascii="新宋体" w:hAnsi="宋体" w:eastAsia="新宋体"/>
          <w:b/>
          <w:color w:val="0F0F0F"/>
          <w:sz w:val="25"/>
          <w:szCs w:val="32"/>
        </w:rPr>
      </w:pPr>
      <w:r>
        <w:rPr>
          <w:rFonts w:hint="eastAsia" w:ascii="新宋体" w:eastAsia="新宋体"/>
          <w:color w:val="0F0F0F"/>
        </w:rPr>
        <w:t>本</w:t>
      </w:r>
      <w:r>
        <w:rPr>
          <w:rFonts w:ascii="新宋体" w:eastAsia="新宋体"/>
          <w:color w:val="0F0F0F"/>
        </w:rPr>
        <w:t>项细化为：</w:t>
      </w:r>
    </w:p>
    <w:p w14:paraId="33C86BF1">
      <w:pPr>
        <w:ind w:firstLine="525" w:firstLineChars="250"/>
        <w:rPr>
          <w:rFonts w:ascii="新宋体" w:hAnsi="宋体" w:eastAsia="新宋体"/>
          <w:b/>
          <w:color w:val="0F0F0F"/>
          <w:sz w:val="25"/>
          <w:szCs w:val="32"/>
        </w:rPr>
      </w:pPr>
      <w:r>
        <w:rPr>
          <w:rFonts w:hint="eastAsia" w:ascii="新宋体" w:eastAsia="新宋体"/>
          <w:color w:val="0F0F0F"/>
        </w:rPr>
        <w:t>监</w:t>
      </w:r>
      <w:r>
        <w:rPr>
          <w:rFonts w:ascii="新宋体" w:eastAsia="新宋体"/>
          <w:color w:val="0F0F0F"/>
        </w:rPr>
        <w:t>理人应在发出</w:t>
      </w:r>
      <w:r>
        <w:rPr>
          <w:rFonts w:hint="eastAsia" w:ascii="新宋体" w:eastAsia="新宋体"/>
          <w:color w:val="0F0F0F"/>
          <w:lang w:eastAsia="zh-CN"/>
        </w:rPr>
        <w:t>成交</w:t>
      </w:r>
      <w:r>
        <w:rPr>
          <w:rFonts w:ascii="新宋体" w:eastAsia="新宋体"/>
          <w:color w:val="0F0F0F"/>
        </w:rPr>
        <w:t>通知书之后42天内，向承包人免费提供</w:t>
      </w:r>
      <w:r>
        <w:rPr>
          <w:rFonts w:hint="eastAsia" w:ascii="新宋体" w:eastAsia="新宋体"/>
          <w:color w:val="0F0F0F"/>
        </w:rPr>
        <w:t>由</w:t>
      </w:r>
      <w:r>
        <w:rPr>
          <w:rFonts w:ascii="新宋体" w:eastAsia="新宋体"/>
          <w:color w:val="0F0F0F"/>
        </w:rPr>
        <w:t>发包人或其委托的</w:t>
      </w:r>
      <w:r>
        <w:rPr>
          <w:rFonts w:hint="eastAsia" w:ascii="新宋体" w:eastAsia="新宋体"/>
          <w:color w:val="0F0F0F"/>
        </w:rPr>
        <w:t>设计单位设计的施工</w:t>
      </w:r>
      <w:r>
        <w:rPr>
          <w:rFonts w:ascii="新宋体" w:eastAsia="新宋体"/>
          <w:color w:val="0F0F0F"/>
        </w:rPr>
        <w:t>图纸、技术规范</w:t>
      </w:r>
      <w:r>
        <w:rPr>
          <w:rFonts w:hint="eastAsia" w:ascii="新宋体" w:eastAsia="新宋体"/>
          <w:color w:val="0F0F0F"/>
        </w:rPr>
        <w:t>和</w:t>
      </w:r>
      <w:r>
        <w:rPr>
          <w:rFonts w:ascii="新宋体" w:eastAsia="新宋体"/>
          <w:color w:val="0F0F0F"/>
        </w:rPr>
        <w:t>其他技术资料2份，</w:t>
      </w:r>
      <w:r>
        <w:rPr>
          <w:rFonts w:hint="eastAsia" w:ascii="新宋体" w:eastAsia="新宋体"/>
          <w:color w:val="0F0F0F"/>
        </w:rPr>
        <w:t>并</w:t>
      </w:r>
      <w:r>
        <w:rPr>
          <w:rFonts w:ascii="新宋体" w:eastAsia="新宋体"/>
          <w:color w:val="0F0F0F"/>
        </w:rPr>
        <w:t>向承包人进行技术交底。</w:t>
      </w:r>
      <w:r>
        <w:rPr>
          <w:rFonts w:hint="eastAsia" w:ascii="新宋体" w:eastAsia="新宋体"/>
          <w:color w:val="0F0F0F"/>
        </w:rPr>
        <w:t>承包人需要更多份数时，应自费复制。由于发包人未按时提供图纸造成工期延误的，按第</w:t>
      </w:r>
      <w:r>
        <w:rPr>
          <w:rFonts w:ascii="新宋体" w:eastAsia="新宋体"/>
          <w:color w:val="0F0F0F"/>
        </w:rPr>
        <w:t>11</w:t>
      </w:r>
      <w:r>
        <w:rPr>
          <w:rFonts w:hint="eastAsia" w:ascii="新宋体" w:eastAsia="新宋体"/>
          <w:color w:val="0F0F0F"/>
        </w:rPr>
        <w:t>.</w:t>
      </w:r>
      <w:r>
        <w:rPr>
          <w:rFonts w:ascii="新宋体" w:eastAsia="新宋体"/>
          <w:color w:val="0F0F0F"/>
        </w:rPr>
        <w:t xml:space="preserve">3款的约定办理。 </w:t>
      </w:r>
    </w:p>
    <w:p w14:paraId="714F88E2">
      <w:pPr>
        <w:ind w:firstLine="525" w:firstLineChars="250"/>
        <w:rPr>
          <w:rFonts w:ascii="新宋体" w:hAnsi="宋体" w:eastAsia="新宋体"/>
          <w:b/>
          <w:color w:val="0F0F0F"/>
          <w:sz w:val="25"/>
          <w:szCs w:val="32"/>
        </w:rPr>
      </w:pP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2承包人提供的文件</w:t>
      </w:r>
    </w:p>
    <w:p w14:paraId="1524E241">
      <w:pPr>
        <w:ind w:firstLine="525" w:firstLineChars="250"/>
        <w:rPr>
          <w:rFonts w:ascii="新宋体" w:hAnsi="宋体" w:eastAsia="新宋体"/>
          <w:b/>
          <w:color w:val="0F0F0F"/>
          <w:sz w:val="25"/>
          <w:szCs w:val="32"/>
        </w:rPr>
      </w:pPr>
      <w:r>
        <w:rPr>
          <w:rFonts w:ascii="新宋体" w:eastAsia="新宋体"/>
          <w:color w:val="0F0F0F"/>
        </w:rPr>
        <w:t>本项细化为：</w:t>
      </w:r>
    </w:p>
    <w:p w14:paraId="64D85421">
      <w:pPr>
        <w:ind w:firstLine="525" w:firstLineChars="250"/>
        <w:rPr>
          <w:rFonts w:ascii="新宋体" w:hAnsi="宋体" w:eastAsia="新宋体"/>
          <w:b/>
          <w:color w:val="0F0F0F"/>
          <w:sz w:val="25"/>
          <w:szCs w:val="32"/>
        </w:rPr>
      </w:pPr>
      <w:r>
        <w:rPr>
          <w:rFonts w:ascii="新宋体" w:eastAsia="新宋体"/>
          <w:color w:val="0F0F0F"/>
        </w:rPr>
        <w:t>有下列情形之</w:t>
      </w:r>
      <w:r>
        <w:rPr>
          <w:rFonts w:hint="eastAsia" w:ascii="新宋体" w:eastAsia="新宋体"/>
          <w:color w:val="0F0F0F"/>
        </w:rPr>
        <w:t>一的</w:t>
      </w:r>
      <w:r>
        <w:rPr>
          <w:rFonts w:ascii="新宋体" w:eastAsia="新宋体"/>
          <w:color w:val="0F0F0F"/>
        </w:rPr>
        <w:t>，承包人应免费</w:t>
      </w:r>
      <w:r>
        <w:rPr>
          <w:rFonts w:hint="eastAsia" w:ascii="新宋体" w:eastAsia="新宋体"/>
          <w:color w:val="0F0F0F"/>
        </w:rPr>
        <w:t>向</w:t>
      </w:r>
      <w:r>
        <w:rPr>
          <w:rFonts w:ascii="新宋体" w:eastAsia="新宋体"/>
          <w:color w:val="0F0F0F"/>
        </w:rPr>
        <w:t>监理人提交</w:t>
      </w:r>
      <w:r>
        <w:rPr>
          <w:rFonts w:hint="eastAsia" w:ascii="新宋体" w:eastAsia="新宋体"/>
          <w:color w:val="0F0F0F"/>
        </w:rPr>
        <w:t>相</w:t>
      </w:r>
      <w:r>
        <w:rPr>
          <w:rFonts w:ascii="新宋体" w:eastAsia="新宋体"/>
          <w:color w:val="0F0F0F"/>
        </w:rPr>
        <w:t>关部分工程的施工图纸3份．并</w:t>
      </w:r>
      <w:r>
        <w:rPr>
          <w:rFonts w:hint="eastAsia" w:ascii="新宋体" w:eastAsia="新宋体"/>
          <w:color w:val="0F0F0F"/>
        </w:rPr>
        <w:t>附必要的计算书、技术资料，或施工工</w:t>
      </w:r>
      <w:r>
        <w:rPr>
          <w:rFonts w:ascii="新宋体" w:eastAsia="新宋体"/>
          <w:color w:val="0F0F0F"/>
        </w:rPr>
        <w:t>艺图、设备安装图及安装设备的使用和维护手册</w:t>
      </w:r>
      <w:r>
        <w:rPr>
          <w:rFonts w:hint="eastAsia" w:ascii="新宋体" w:eastAsia="新宋体"/>
          <w:color w:val="0F0F0F"/>
        </w:rPr>
        <w:t>各</w:t>
      </w:r>
      <w:r>
        <w:rPr>
          <w:rFonts w:ascii="新宋体" w:eastAsia="新宋体"/>
          <w:color w:val="0F0F0F"/>
        </w:rPr>
        <w:t>2份供监理人批准。</w:t>
      </w:r>
    </w:p>
    <w:p w14:paraId="5EDD647A">
      <w:pPr>
        <w:ind w:firstLine="525" w:firstLineChars="250"/>
        <w:rPr>
          <w:rFonts w:ascii="新宋体" w:hAnsi="宋体" w:eastAsia="新宋体"/>
          <w:b/>
          <w:color w:val="0F0F0F"/>
          <w:sz w:val="25"/>
          <w:szCs w:val="32"/>
        </w:rPr>
      </w:pPr>
      <w:r>
        <w:rPr>
          <w:rFonts w:ascii="新宋体" w:eastAsia="新宋体"/>
          <w:color w:val="0F0F0F"/>
        </w:rPr>
        <w:t>(1)为使第1</w:t>
      </w:r>
      <w:r>
        <w:rPr>
          <w:rFonts w:hint="eastAsia" w:ascii="新宋体" w:eastAsia="新宋体"/>
          <w:color w:val="0F0F0F"/>
        </w:rPr>
        <w:t>.6.</w:t>
      </w:r>
      <w:r>
        <w:rPr>
          <w:rFonts w:ascii="新宋体" w:eastAsia="新宋体"/>
          <w:color w:val="0F0F0F"/>
        </w:rPr>
        <w:t>1项所述的施工图纸适合于经施工测</w:t>
      </w:r>
      <w:r>
        <w:rPr>
          <w:rFonts w:hint="eastAsia" w:ascii="新宋体" w:eastAsia="新宋体"/>
          <w:color w:val="0F0F0F"/>
        </w:rPr>
        <w:t>量</w:t>
      </w:r>
      <w:r>
        <w:rPr>
          <w:rFonts w:ascii="新宋体" w:eastAsia="新宋体"/>
          <w:color w:val="0F0F0F"/>
        </w:rPr>
        <w:t>后的纵、横断面；</w:t>
      </w:r>
    </w:p>
    <w:p w14:paraId="0EEB6C14">
      <w:pPr>
        <w:ind w:firstLine="525" w:firstLineChars="250"/>
        <w:rPr>
          <w:rFonts w:ascii="新宋体" w:hAnsi="宋体" w:eastAsia="新宋体"/>
          <w:b/>
          <w:color w:val="0F0F0F"/>
          <w:sz w:val="25"/>
          <w:szCs w:val="32"/>
        </w:rPr>
      </w:pPr>
      <w:r>
        <w:rPr>
          <w:rFonts w:ascii="新宋体" w:eastAsia="新宋体"/>
          <w:color w:val="0F0F0F"/>
        </w:rPr>
        <w:t>(2)为使第1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1项所述的施工图纸适合</w:t>
      </w:r>
      <w:r>
        <w:rPr>
          <w:rFonts w:hint="eastAsia" w:ascii="新宋体" w:eastAsia="新宋体"/>
          <w:color w:val="0F0F0F"/>
        </w:rPr>
        <w:t>于</w:t>
      </w:r>
      <w:r>
        <w:rPr>
          <w:rFonts w:ascii="新宋体" w:eastAsia="新宋体"/>
          <w:color w:val="0F0F0F"/>
        </w:rPr>
        <w:t>现场具体地形；</w:t>
      </w:r>
    </w:p>
    <w:p w14:paraId="6AFAA350">
      <w:pPr>
        <w:ind w:firstLine="525" w:firstLineChars="250"/>
        <w:rPr>
          <w:rFonts w:ascii="新宋体" w:hAnsi="宋体" w:eastAsia="新宋体"/>
          <w:b/>
          <w:color w:val="0F0F0F"/>
          <w:sz w:val="25"/>
          <w:szCs w:val="32"/>
        </w:rPr>
      </w:pPr>
      <w:r>
        <w:rPr>
          <w:rFonts w:ascii="新宋体" w:eastAsia="新宋体"/>
          <w:color w:val="0F0F0F"/>
        </w:rPr>
        <w:t>(3)为使第1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1项所述的施</w:t>
      </w:r>
      <w:r>
        <w:rPr>
          <w:rFonts w:hint="eastAsia" w:ascii="新宋体" w:eastAsia="新宋体"/>
          <w:color w:val="0F0F0F"/>
        </w:rPr>
        <w:t>工</w:t>
      </w:r>
      <w:r>
        <w:rPr>
          <w:rFonts w:ascii="新宋体" w:eastAsia="新宋体"/>
          <w:color w:val="0F0F0F"/>
        </w:rPr>
        <w:t>图纸适合于因尺寸</w:t>
      </w:r>
      <w:r>
        <w:rPr>
          <w:rFonts w:hint="eastAsia" w:ascii="新宋体" w:eastAsia="新宋体"/>
          <w:color w:val="0F0F0F"/>
        </w:rPr>
        <w:t>与位置变化而引</w:t>
      </w:r>
      <w:r>
        <w:rPr>
          <w:rFonts w:ascii="新宋体" w:eastAsia="新宋体"/>
          <w:color w:val="0F0F0F"/>
        </w:rPr>
        <w:t>起局部变更；</w:t>
      </w:r>
    </w:p>
    <w:p w14:paraId="5F4D29B0">
      <w:pPr>
        <w:ind w:firstLine="525" w:firstLineChars="250"/>
        <w:rPr>
          <w:rFonts w:ascii="新宋体" w:hAnsi="宋体" w:eastAsia="新宋体"/>
          <w:b/>
          <w:color w:val="0F0F0F"/>
          <w:sz w:val="25"/>
          <w:szCs w:val="32"/>
        </w:rPr>
      </w:pPr>
      <w:r>
        <w:rPr>
          <w:rFonts w:ascii="新宋体" w:eastAsia="新宋体"/>
          <w:color w:val="0F0F0F"/>
        </w:rPr>
        <w:t>(4)由于合同要求与施</w:t>
      </w:r>
      <w:r>
        <w:rPr>
          <w:rFonts w:hint="eastAsia" w:ascii="新宋体" w:eastAsia="新宋体"/>
          <w:color w:val="0F0F0F"/>
        </w:rPr>
        <w:t>工</w:t>
      </w:r>
      <w:r>
        <w:rPr>
          <w:rFonts w:ascii="新宋体" w:eastAsia="新宋体"/>
          <w:color w:val="0F0F0F"/>
        </w:rPr>
        <w:t>需要。</w:t>
      </w:r>
    </w:p>
    <w:p w14:paraId="50C7EC2A">
      <w:pPr>
        <w:ind w:firstLine="525" w:firstLineChars="250"/>
        <w:rPr>
          <w:rFonts w:ascii="新宋体" w:hAnsi="宋体" w:eastAsia="新宋体"/>
          <w:b/>
          <w:color w:val="0F0F0F"/>
          <w:sz w:val="25"/>
          <w:szCs w:val="32"/>
        </w:rPr>
      </w:pPr>
      <w:r>
        <w:rPr>
          <w:rFonts w:ascii="新宋体" w:eastAsia="新宋体"/>
          <w:color w:val="0F0F0F"/>
        </w:rPr>
        <w:t>此类图纸应按监理人规定的格式和图幅绘制。监理人在收到由承包人绘制的上述</w:t>
      </w:r>
      <w:r>
        <w:rPr>
          <w:rFonts w:hint="eastAsia" w:ascii="新宋体" w:eastAsia="新宋体"/>
          <w:color w:val="0F0F0F"/>
        </w:rPr>
        <w:t>工程、工艺图纸、计算书和有关技术资料后</w:t>
      </w:r>
      <w:r>
        <w:rPr>
          <w:rFonts w:ascii="新宋体" w:eastAsia="新宋体"/>
          <w:color w:val="0F0F0F"/>
        </w:rPr>
        <w:t>14天内</w:t>
      </w:r>
      <w:r>
        <w:rPr>
          <w:rFonts w:hint="eastAsia" w:ascii="新宋体" w:eastAsia="新宋体"/>
          <w:color w:val="0F0F0F"/>
        </w:rPr>
        <w:t>应</w:t>
      </w:r>
      <w:r>
        <w:rPr>
          <w:rFonts w:ascii="新宋体" w:eastAsia="新宋体"/>
          <w:color w:val="0F0F0F"/>
        </w:rPr>
        <w:t>予批准或提出修改要求，承包人应</w:t>
      </w:r>
      <w:r>
        <w:rPr>
          <w:rFonts w:hint="eastAsia" w:ascii="新宋体" w:eastAsia="新宋体"/>
          <w:color w:val="0F0F0F"/>
        </w:rPr>
        <w:t>按监理人提出的要求做出修改，重新向监理人提交，监理人应在</w:t>
      </w:r>
      <w:r>
        <w:rPr>
          <w:rFonts w:ascii="新宋体" w:eastAsia="新宋体"/>
          <w:color w:val="0F0F0F"/>
        </w:rPr>
        <w:t>7天内批准或提出进一</w:t>
      </w:r>
      <w:r>
        <w:rPr>
          <w:rFonts w:hint="eastAsia" w:ascii="新宋体" w:eastAsia="新宋体"/>
          <w:color w:val="0F0F0F"/>
        </w:rPr>
        <w:t>步的修改意见。</w:t>
      </w:r>
    </w:p>
    <w:p w14:paraId="21E08920">
      <w:pPr>
        <w:ind w:firstLine="525" w:firstLineChars="250"/>
        <w:rPr>
          <w:rFonts w:ascii="新宋体" w:hAnsi="宋体" w:eastAsia="新宋体"/>
          <w:b/>
          <w:color w:val="0F0F0F"/>
          <w:sz w:val="25"/>
          <w:szCs w:val="32"/>
        </w:rPr>
      </w:pP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4圈纸的错误</w:t>
      </w:r>
    </w:p>
    <w:p w14:paraId="2C396A0F">
      <w:pPr>
        <w:ind w:firstLine="525" w:firstLineChars="250"/>
        <w:rPr>
          <w:rFonts w:ascii="新宋体" w:hAnsi="宋体" w:eastAsia="新宋体"/>
          <w:b/>
          <w:color w:val="0F0F0F"/>
          <w:sz w:val="25"/>
          <w:szCs w:val="32"/>
        </w:rPr>
      </w:pPr>
      <w:r>
        <w:rPr>
          <w:rFonts w:ascii="新宋体" w:eastAsia="新宋体"/>
          <w:color w:val="0F0F0F"/>
        </w:rPr>
        <w:t xml:space="preserve">本项细化为： </w:t>
      </w:r>
    </w:p>
    <w:p w14:paraId="4B1CF3CA">
      <w:pPr>
        <w:ind w:firstLine="525" w:firstLineChars="250"/>
        <w:rPr>
          <w:rFonts w:ascii="新宋体" w:hAnsi="宋体" w:eastAsia="新宋体"/>
          <w:b/>
          <w:color w:val="0F0F0F"/>
          <w:sz w:val="25"/>
          <w:szCs w:val="32"/>
        </w:rPr>
      </w:pPr>
      <w:r>
        <w:rPr>
          <w:rFonts w:ascii="新宋体" w:eastAsia="新宋体"/>
          <w:color w:val="0F0F0F"/>
        </w:rPr>
        <w:t>当承包人在查阅</w:t>
      </w:r>
      <w:r>
        <w:rPr>
          <w:rFonts w:hint="eastAsia" w:ascii="新宋体" w:eastAsia="新宋体"/>
          <w:color w:val="0F0F0F"/>
        </w:rPr>
        <w:t>合同</w:t>
      </w:r>
      <w:r>
        <w:rPr>
          <w:rFonts w:ascii="新宋体" w:eastAsia="新宋体"/>
          <w:color w:val="0F0F0F"/>
        </w:rPr>
        <w:t>文件或在本合同</w:t>
      </w:r>
      <w:r>
        <w:rPr>
          <w:rFonts w:hint="eastAsia" w:ascii="新宋体" w:eastAsia="新宋体"/>
          <w:color w:val="0F0F0F"/>
        </w:rPr>
        <w:t>工</w:t>
      </w:r>
      <w:r>
        <w:rPr>
          <w:rFonts w:ascii="新宋体" w:eastAsia="新宋体"/>
          <w:color w:val="0F0F0F"/>
        </w:rPr>
        <w:t>程实施过程中，发现有关的</w:t>
      </w:r>
      <w:r>
        <w:rPr>
          <w:rFonts w:hint="eastAsia" w:ascii="新宋体" w:eastAsia="新宋体"/>
          <w:color w:val="0F0F0F"/>
        </w:rPr>
        <w:t>工</w:t>
      </w:r>
      <w:r>
        <w:rPr>
          <w:rFonts w:ascii="新宋体" w:eastAsia="新宋体"/>
          <w:color w:val="0F0F0F"/>
        </w:rPr>
        <w:t>程设计、技术</w:t>
      </w:r>
      <w:r>
        <w:rPr>
          <w:rFonts w:hint="eastAsia" w:ascii="新宋体" w:eastAsia="新宋体"/>
          <w:color w:val="0F0F0F"/>
        </w:rPr>
        <w:t>规范、图纸或其他资料中的任何差错、遗漏或缺陷后，应及时通知监理人。监理人接到该通知后，应立即就此做出决定，并通知承包人和发包人。</w:t>
      </w:r>
    </w:p>
    <w:p w14:paraId="343DCEB6">
      <w:pPr>
        <w:rPr>
          <w:rFonts w:ascii="新宋体" w:hAnsi="宋体" w:eastAsia="新宋体"/>
          <w:b/>
          <w:color w:val="0F0F0F"/>
          <w:sz w:val="25"/>
          <w:szCs w:val="32"/>
        </w:rPr>
      </w:pPr>
      <w:r>
        <w:rPr>
          <w:rFonts w:ascii="新宋体" w:eastAsia="新宋体"/>
          <w:color w:val="0F0F0F"/>
          <w:sz w:val="24"/>
        </w:rPr>
        <w:t>l</w:t>
      </w:r>
      <w:r>
        <w:rPr>
          <w:rFonts w:hint="eastAsia" w:ascii="新宋体" w:eastAsia="新宋体"/>
          <w:color w:val="0F0F0F"/>
          <w:sz w:val="24"/>
        </w:rPr>
        <w:t>.</w:t>
      </w:r>
      <w:r>
        <w:rPr>
          <w:rFonts w:ascii="新宋体" w:eastAsia="新宋体"/>
          <w:color w:val="0F0F0F"/>
          <w:sz w:val="24"/>
        </w:rPr>
        <w:t xml:space="preserve">9严禁贿赂  </w:t>
      </w:r>
    </w:p>
    <w:p w14:paraId="5BCF2A27">
      <w:pPr>
        <w:ind w:firstLine="525" w:firstLineChars="250"/>
        <w:rPr>
          <w:rFonts w:ascii="新宋体" w:eastAsia="新宋体"/>
          <w:color w:val="0F0F0F"/>
        </w:rPr>
      </w:pPr>
      <w:r>
        <w:rPr>
          <w:rFonts w:ascii="新宋体" w:eastAsia="新宋体"/>
          <w:color w:val="0F0F0F"/>
        </w:rPr>
        <w:t>本</w:t>
      </w:r>
      <w:r>
        <w:rPr>
          <w:rFonts w:hint="eastAsia" w:ascii="新宋体" w:eastAsia="新宋体"/>
          <w:color w:val="0F0F0F"/>
        </w:rPr>
        <w:t>款</w:t>
      </w:r>
      <w:r>
        <w:rPr>
          <w:rFonts w:ascii="新宋体" w:eastAsia="新宋体"/>
          <w:color w:val="0F0F0F"/>
        </w:rPr>
        <w:t>补充：</w:t>
      </w:r>
    </w:p>
    <w:p w14:paraId="35743F5E">
      <w:pPr>
        <w:ind w:firstLine="525" w:firstLineChars="250"/>
        <w:rPr>
          <w:rFonts w:ascii="新宋体" w:eastAsia="新宋体"/>
          <w:color w:val="0F0F0F"/>
        </w:rPr>
      </w:pPr>
      <w:r>
        <w:rPr>
          <w:rFonts w:ascii="新宋体" w:eastAsia="新宋体"/>
          <w:color w:val="0F0F0F"/>
        </w:rPr>
        <w:t>在合同执行过程中，发包入和承包人应严格履行《廉政合同》约定的双方在廉政建</w:t>
      </w:r>
      <w:r>
        <w:rPr>
          <w:rFonts w:hint="eastAsia" w:ascii="新宋体" w:eastAsia="新宋体"/>
          <w:color w:val="0F0F0F"/>
        </w:rPr>
        <w:t>设方面</w:t>
      </w:r>
      <w:r>
        <w:rPr>
          <w:rFonts w:ascii="新宋体" w:eastAsia="新宋体"/>
          <w:color w:val="0F0F0F"/>
        </w:rPr>
        <w:t>的权利和义务以及应承担的违约赉任。承包人如果用行贿、送礼或其他不正当</w:t>
      </w:r>
      <w:r>
        <w:rPr>
          <w:rFonts w:hint="eastAsia" w:ascii="新宋体" w:eastAsia="新宋体"/>
          <w:color w:val="0F0F0F"/>
        </w:rPr>
        <w:t>手段企图影响或已经影响了发包人或监理人的行为和</w:t>
      </w:r>
      <w:r>
        <w:rPr>
          <w:rFonts w:ascii="新宋体" w:eastAsia="新宋体"/>
          <w:color w:val="0F0F0F"/>
        </w:rPr>
        <w:t>(或)欲获得或</w:t>
      </w:r>
      <w:r>
        <w:rPr>
          <w:rFonts w:hint="eastAsia" w:ascii="新宋体" w:eastAsia="新宋体"/>
          <w:color w:val="0F0F0F"/>
        </w:rPr>
        <w:t>已</w:t>
      </w:r>
      <w:r>
        <w:rPr>
          <w:rFonts w:ascii="新宋体" w:eastAsia="新宋体"/>
          <w:color w:val="0F0F0F"/>
        </w:rPr>
        <w:t>获得超出合同规</w:t>
      </w:r>
      <w:r>
        <w:rPr>
          <w:rFonts w:hint="eastAsia" w:ascii="新宋体" w:eastAsia="新宋体"/>
          <w:color w:val="0F0F0F"/>
        </w:rPr>
        <w:t>定以外的额外费</w:t>
      </w:r>
      <w:r>
        <w:rPr>
          <w:rFonts w:ascii="新宋体" w:eastAsia="新宋体"/>
          <w:color w:val="0F0F0F"/>
        </w:rPr>
        <w:t>用，</w:t>
      </w:r>
      <w:r>
        <w:rPr>
          <w:rFonts w:hint="eastAsia" w:ascii="新宋体" w:eastAsia="新宋体"/>
          <w:color w:val="0F0F0F"/>
        </w:rPr>
        <w:t>则</w:t>
      </w:r>
      <w:r>
        <w:rPr>
          <w:rFonts w:ascii="新宋体" w:eastAsia="新宋体"/>
          <w:color w:val="0F0F0F"/>
        </w:rPr>
        <w:t>发包人应</w:t>
      </w:r>
      <w:r>
        <w:rPr>
          <w:rFonts w:hint="eastAsia" w:ascii="新宋体" w:eastAsia="新宋体"/>
          <w:color w:val="0F0F0F"/>
        </w:rPr>
        <w:t>按有关</w:t>
      </w:r>
      <w:r>
        <w:rPr>
          <w:rFonts w:ascii="新宋体" w:eastAsia="新宋体"/>
          <w:color w:val="0F0F0F"/>
        </w:rPr>
        <w:t>法纪严肃处理当事人，且承包人应对其上述行为</w:t>
      </w:r>
      <w:r>
        <w:rPr>
          <w:rFonts w:hint="eastAsia" w:ascii="新宋体" w:eastAsia="新宋体"/>
          <w:color w:val="0F0F0F"/>
        </w:rPr>
        <w:t>造成的工程损害、发包人的经济损失等承担一切责任，</w:t>
      </w:r>
      <w:r>
        <w:rPr>
          <w:rFonts w:ascii="新宋体" w:eastAsia="新宋体"/>
          <w:color w:val="0F0F0F"/>
        </w:rPr>
        <w:t>并予赔偿。情节严重者，发包人</w:t>
      </w:r>
      <w:r>
        <w:rPr>
          <w:rFonts w:hint="eastAsia" w:ascii="新宋体" w:eastAsia="新宋体"/>
          <w:color w:val="0F0F0F"/>
        </w:rPr>
        <w:t>有权终止承包人在本合同项下的承包。</w:t>
      </w:r>
    </w:p>
    <w:p w14:paraId="435AACEE">
      <w:pPr>
        <w:spacing w:line="400" w:lineRule="exact"/>
        <w:rPr>
          <w:rFonts w:ascii="新宋体" w:eastAsia="新宋体"/>
          <w:color w:val="0F0F0F"/>
          <w:sz w:val="28"/>
          <w:szCs w:val="28"/>
        </w:rPr>
      </w:pPr>
      <w:r>
        <w:rPr>
          <w:rFonts w:ascii="新宋体" w:eastAsia="新宋体"/>
          <w:color w:val="0F0F0F"/>
          <w:sz w:val="28"/>
          <w:szCs w:val="28"/>
        </w:rPr>
        <w:t>2</w:t>
      </w:r>
      <w:r>
        <w:rPr>
          <w:rFonts w:hint="eastAsia" w:ascii="新宋体" w:eastAsia="新宋体"/>
          <w:color w:val="0F0F0F"/>
          <w:sz w:val="28"/>
          <w:szCs w:val="28"/>
        </w:rPr>
        <w:t>.</w:t>
      </w:r>
      <w:r>
        <w:rPr>
          <w:rFonts w:ascii="新宋体" w:eastAsia="新宋体"/>
          <w:color w:val="0F0F0F"/>
          <w:sz w:val="28"/>
          <w:szCs w:val="28"/>
        </w:rPr>
        <w:t>发包人义务</w:t>
      </w:r>
    </w:p>
    <w:p w14:paraId="30B11B74">
      <w:pPr>
        <w:rPr>
          <w:rFonts w:ascii="新宋体" w:eastAsia="新宋体"/>
          <w:color w:val="0F0F0F"/>
          <w:sz w:val="24"/>
        </w:rPr>
      </w:pPr>
      <w:r>
        <w:rPr>
          <w:rFonts w:ascii="新宋体" w:eastAsia="新宋体"/>
          <w:color w:val="0F0F0F"/>
          <w:sz w:val="24"/>
        </w:rPr>
        <w:t>2</w:t>
      </w:r>
      <w:r>
        <w:rPr>
          <w:rFonts w:hint="eastAsia" w:ascii="新宋体" w:eastAsia="新宋体"/>
          <w:color w:val="0F0F0F"/>
          <w:sz w:val="24"/>
        </w:rPr>
        <w:t>.</w:t>
      </w:r>
      <w:r>
        <w:rPr>
          <w:rFonts w:ascii="新宋体" w:eastAsia="新宋体"/>
          <w:color w:val="0F0F0F"/>
          <w:sz w:val="24"/>
        </w:rPr>
        <w:t>3提供施工场地</w:t>
      </w:r>
    </w:p>
    <w:p w14:paraId="49D690B3">
      <w:pPr>
        <w:ind w:firstLine="525" w:firstLineChars="250"/>
        <w:rPr>
          <w:rFonts w:ascii="新宋体" w:hAnsi="宋体" w:eastAsia="新宋体"/>
          <w:b/>
          <w:color w:val="0F0F0F"/>
          <w:sz w:val="25"/>
          <w:szCs w:val="32"/>
        </w:rPr>
      </w:pPr>
      <w:r>
        <w:rPr>
          <w:rFonts w:ascii="新宋体" w:eastAsia="新宋体"/>
          <w:color w:val="0F0F0F"/>
        </w:rPr>
        <w:t>本款补充：</w:t>
      </w:r>
    </w:p>
    <w:p w14:paraId="52BB96DD">
      <w:pPr>
        <w:ind w:firstLine="525" w:firstLineChars="250"/>
        <w:rPr>
          <w:rFonts w:ascii="新宋体" w:hAnsi="宋体" w:eastAsia="新宋体"/>
          <w:b/>
          <w:color w:val="0F0F0F"/>
          <w:sz w:val="25"/>
          <w:szCs w:val="32"/>
        </w:rPr>
      </w:pPr>
      <w:r>
        <w:rPr>
          <w:rFonts w:ascii="新宋体" w:eastAsia="新宋体"/>
          <w:color w:val="0F0F0F"/>
        </w:rPr>
        <w:t>发包人负</w:t>
      </w:r>
      <w:r>
        <w:rPr>
          <w:rFonts w:hint="eastAsia" w:ascii="新宋体" w:eastAsia="新宋体"/>
          <w:color w:val="0F0F0F"/>
        </w:rPr>
        <w:t>责</w:t>
      </w:r>
      <w:r>
        <w:rPr>
          <w:rFonts w:ascii="新宋体" w:eastAsia="新宋体"/>
          <w:color w:val="0F0F0F"/>
        </w:rPr>
        <w:t>办理永久占地的征用及</w:t>
      </w:r>
      <w:r>
        <w:rPr>
          <w:rFonts w:hint="eastAsia" w:ascii="新宋体" w:eastAsia="新宋体"/>
          <w:color w:val="0F0F0F"/>
        </w:rPr>
        <w:t>与</w:t>
      </w:r>
      <w:r>
        <w:rPr>
          <w:rFonts w:ascii="新宋体" w:eastAsia="新宋体"/>
          <w:color w:val="0F0F0F"/>
        </w:rPr>
        <w:t>之有关的拆迁赔偿手续并承担相关</w:t>
      </w:r>
      <w:r>
        <w:rPr>
          <w:rFonts w:hint="eastAsia" w:ascii="新宋体" w:eastAsia="新宋体"/>
          <w:color w:val="0F0F0F"/>
        </w:rPr>
        <w:t>费</w:t>
      </w:r>
      <w:r>
        <w:rPr>
          <w:rFonts w:ascii="新宋体" w:eastAsia="新宋体"/>
          <w:color w:val="0F0F0F"/>
        </w:rPr>
        <w:t>用。承</w:t>
      </w:r>
      <w:r>
        <w:rPr>
          <w:rFonts w:hint="eastAsia" w:ascii="新宋体" w:eastAsia="新宋体"/>
          <w:color w:val="0F0F0F"/>
        </w:rPr>
        <w:t>包人在按第</w:t>
      </w:r>
      <w:r>
        <w:rPr>
          <w:rFonts w:ascii="新宋体" w:eastAsia="新宋体"/>
          <w:color w:val="0F0F0F"/>
        </w:rPr>
        <w:t>lO条规定提交施工进度计划的同时，应向监理人提交一份按施工先后次序</w:t>
      </w:r>
      <w:r>
        <w:rPr>
          <w:rFonts w:hint="eastAsia" w:ascii="新宋体" w:eastAsia="新宋体"/>
          <w:color w:val="0F0F0F"/>
        </w:rPr>
        <w:t>所需的永久占地计划。监理人应在收到此计划后的</w:t>
      </w:r>
      <w:r>
        <w:rPr>
          <w:rFonts w:ascii="新宋体" w:eastAsia="新宋体"/>
          <w:color w:val="0F0F0F"/>
        </w:rPr>
        <w:t>14天内审核并转</w:t>
      </w:r>
      <w:r>
        <w:rPr>
          <w:rFonts w:hint="eastAsia" w:ascii="新宋体" w:eastAsia="新宋体"/>
          <w:color w:val="0F0F0F"/>
        </w:rPr>
        <w:t>报</w:t>
      </w:r>
      <w:r>
        <w:rPr>
          <w:rFonts w:ascii="新宋体" w:eastAsia="新宋体"/>
          <w:color w:val="0F0F0F"/>
        </w:rPr>
        <w:t>发包人核备。发</w:t>
      </w:r>
      <w:r>
        <w:rPr>
          <w:rFonts w:hint="eastAsia" w:ascii="新宋体" w:eastAsia="新宋体"/>
          <w:color w:val="0F0F0F"/>
        </w:rPr>
        <w:t>包人应在监理人发出本工程或分部工程开工通知之前，对承包人开工所需的永久占地办妥征用手续和相关拆迁赔偿手续，通知承包人使用，以使承包人能够及时开工；此后按承包人提交并经监理人同意的合同进度计划的安排，分期</w:t>
      </w:r>
      <w:r>
        <w:rPr>
          <w:rFonts w:ascii="新宋体" w:eastAsia="新宋体"/>
          <w:color w:val="0F0F0F"/>
        </w:rPr>
        <w:t>(也可以一次)将施工所需</w:t>
      </w:r>
      <w:r>
        <w:rPr>
          <w:rFonts w:hint="eastAsia" w:ascii="新宋体" w:eastAsia="新宋体"/>
          <w:color w:val="0F0F0F"/>
        </w:rPr>
        <w:t>的其余永久占地办妥征用以及拆迁赔偿手续，通知承包人使用，以使承包人能够连续不间断地施工</w:t>
      </w:r>
      <w:r>
        <w:rPr>
          <w:rFonts w:ascii="新宋体" w:eastAsia="新宋体"/>
          <w:color w:val="0F0F0F"/>
        </w:rPr>
        <w:t>。由于承包人施</w:t>
      </w:r>
      <w:r>
        <w:rPr>
          <w:rFonts w:hint="eastAsia" w:ascii="新宋体" w:eastAsia="新宋体"/>
          <w:color w:val="0F0F0F"/>
        </w:rPr>
        <w:t>工</w:t>
      </w:r>
      <w:r>
        <w:rPr>
          <w:rFonts w:ascii="新宋体" w:eastAsia="新宋体"/>
          <w:color w:val="0F0F0F"/>
        </w:rPr>
        <w:t>考虑不周或措施不当等原因而造成的超计划占地或拆迁</w:t>
      </w:r>
      <w:r>
        <w:rPr>
          <w:rFonts w:hint="eastAsia" w:ascii="新宋体" w:eastAsia="新宋体"/>
          <w:color w:val="0F0F0F"/>
        </w:rPr>
        <w:t>等所发生的征用和赔偿费用，应由承包人承担。</w:t>
      </w:r>
    </w:p>
    <w:p w14:paraId="51920911">
      <w:pPr>
        <w:ind w:firstLine="525" w:firstLineChars="250"/>
        <w:rPr>
          <w:rFonts w:ascii="新宋体" w:hAnsi="宋体" w:eastAsia="新宋体"/>
          <w:b/>
          <w:color w:val="0F0F0F"/>
          <w:sz w:val="25"/>
          <w:szCs w:val="32"/>
        </w:rPr>
      </w:pPr>
      <w:r>
        <w:rPr>
          <w:rFonts w:ascii="新宋体" w:eastAsia="新宋体"/>
          <w:color w:val="0F0F0F"/>
        </w:rPr>
        <w:t>由于发包人未</w:t>
      </w:r>
      <w:r>
        <w:rPr>
          <w:rFonts w:hint="eastAsia" w:ascii="新宋体" w:eastAsia="新宋体"/>
          <w:color w:val="0F0F0F"/>
        </w:rPr>
        <w:t>能按照本项规定办妥永久占地征用手续，影响承包人及时使用永久占地造成的费用增加和</w:t>
      </w:r>
      <w:r>
        <w:rPr>
          <w:rFonts w:ascii="新宋体" w:eastAsia="新宋体"/>
          <w:color w:val="0F0F0F"/>
        </w:rPr>
        <w:t>(或)工期延误应由发包人承担。由于承包人未能按照本项规定</w:t>
      </w:r>
      <w:r>
        <w:rPr>
          <w:rFonts w:hint="eastAsia" w:ascii="新宋体" w:eastAsia="新宋体"/>
          <w:color w:val="0F0F0F"/>
        </w:rPr>
        <w:t>提交占地计划，影响发包人办理永久占地征用手续造成的费用增加和</w:t>
      </w:r>
      <w:r>
        <w:rPr>
          <w:rFonts w:ascii="新宋体" w:eastAsia="新宋体"/>
          <w:color w:val="0F0F0F"/>
        </w:rPr>
        <w:t>(或)工期延误由</w:t>
      </w:r>
      <w:r>
        <w:rPr>
          <w:rFonts w:hint="eastAsia" w:ascii="新宋体" w:eastAsia="新宋体"/>
          <w:color w:val="0F0F0F"/>
        </w:rPr>
        <w:t>承包人承担。</w:t>
      </w:r>
    </w:p>
    <w:p w14:paraId="46918868">
      <w:pPr>
        <w:spacing w:line="400" w:lineRule="exact"/>
        <w:rPr>
          <w:rFonts w:ascii="新宋体" w:eastAsia="新宋体"/>
          <w:color w:val="0F0F0F"/>
          <w:sz w:val="28"/>
          <w:szCs w:val="28"/>
        </w:rPr>
      </w:pPr>
      <w:r>
        <w:rPr>
          <w:rFonts w:ascii="新宋体" w:eastAsia="新宋体"/>
          <w:color w:val="0F0F0F"/>
          <w:sz w:val="28"/>
          <w:szCs w:val="28"/>
        </w:rPr>
        <w:t>3</w:t>
      </w:r>
      <w:r>
        <w:rPr>
          <w:rFonts w:hint="eastAsia" w:ascii="新宋体" w:eastAsia="新宋体"/>
          <w:color w:val="0F0F0F"/>
          <w:sz w:val="28"/>
          <w:szCs w:val="28"/>
        </w:rPr>
        <w:t>.</w:t>
      </w:r>
      <w:r>
        <w:rPr>
          <w:rFonts w:ascii="新宋体" w:eastAsia="新宋体"/>
          <w:color w:val="0F0F0F"/>
          <w:sz w:val="28"/>
          <w:szCs w:val="28"/>
        </w:rPr>
        <w:t>监理人</w:t>
      </w:r>
    </w:p>
    <w:p w14:paraId="31F37757">
      <w:pPr>
        <w:rPr>
          <w:rFonts w:ascii="新宋体" w:eastAsia="新宋体"/>
          <w:color w:val="0F0F0F"/>
          <w:sz w:val="24"/>
        </w:rPr>
      </w:pPr>
      <w:r>
        <w:rPr>
          <w:rFonts w:ascii="新宋体" w:eastAsia="新宋体"/>
          <w:color w:val="0F0F0F"/>
          <w:sz w:val="24"/>
        </w:rPr>
        <w:t>3</w:t>
      </w:r>
      <w:r>
        <w:rPr>
          <w:rFonts w:hint="eastAsia" w:ascii="新宋体" w:eastAsia="新宋体"/>
          <w:color w:val="0F0F0F"/>
          <w:sz w:val="24"/>
        </w:rPr>
        <w:t>.</w:t>
      </w:r>
      <w:r>
        <w:rPr>
          <w:rFonts w:ascii="新宋体" w:eastAsia="新宋体"/>
          <w:color w:val="0F0F0F"/>
          <w:sz w:val="24"/>
        </w:rPr>
        <w:t>1监理人的职责和权力</w:t>
      </w:r>
    </w:p>
    <w:p w14:paraId="5FFC544F">
      <w:pPr>
        <w:ind w:firstLine="525" w:firstLineChars="250"/>
        <w:rPr>
          <w:rFonts w:ascii="新宋体" w:hAnsi="宋体" w:eastAsia="新宋体"/>
          <w:b/>
          <w:color w:val="0F0F0F"/>
          <w:sz w:val="25"/>
          <w:szCs w:val="32"/>
        </w:rPr>
      </w:pPr>
      <w:r>
        <w:rPr>
          <w:rFonts w:ascii="新宋体" w:eastAsia="新宋体"/>
          <w:color w:val="0F0F0F"/>
        </w:rPr>
        <w:t>第3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w:t>
      </w:r>
      <w:r>
        <w:rPr>
          <w:rFonts w:hint="eastAsia" w:ascii="新宋体" w:eastAsia="新宋体"/>
          <w:color w:val="0F0F0F"/>
        </w:rPr>
        <w:t>补</w:t>
      </w:r>
      <w:r>
        <w:rPr>
          <w:rFonts w:ascii="新宋体" w:eastAsia="新宋体"/>
          <w:color w:val="0F0F0F"/>
        </w:rPr>
        <w:t>充：</w:t>
      </w:r>
    </w:p>
    <w:p w14:paraId="0BF83EA5">
      <w:pPr>
        <w:ind w:firstLine="525" w:firstLineChars="250"/>
        <w:rPr>
          <w:rFonts w:ascii="新宋体" w:hAnsi="宋体" w:eastAsia="新宋体"/>
          <w:b/>
          <w:color w:val="0F0F0F"/>
          <w:sz w:val="25"/>
          <w:szCs w:val="32"/>
        </w:rPr>
      </w:pPr>
      <w:r>
        <w:rPr>
          <w:rFonts w:ascii="新宋体" w:eastAsia="新宋体"/>
          <w:color w:val="0F0F0F"/>
        </w:rPr>
        <w:t>监理人在行使下列权力前需要经发包人事先批准：</w:t>
      </w:r>
    </w:p>
    <w:p w14:paraId="24333711">
      <w:pPr>
        <w:ind w:firstLine="525" w:firstLineChars="250"/>
        <w:rPr>
          <w:rFonts w:ascii="新宋体" w:hAnsi="宋体" w:eastAsia="新宋体"/>
          <w:b/>
          <w:color w:val="0F0F0F"/>
          <w:sz w:val="25"/>
          <w:szCs w:val="32"/>
        </w:rPr>
      </w:pPr>
      <w:r>
        <w:rPr>
          <w:rFonts w:ascii="新宋体" w:eastAsia="新宋体"/>
          <w:color w:val="0F0F0F"/>
        </w:rPr>
        <w:t>(1)根据第4</w:t>
      </w:r>
      <w:r>
        <w:rPr>
          <w:rFonts w:hint="eastAsia" w:ascii="新宋体" w:eastAsia="新宋体"/>
          <w:color w:val="0F0F0F"/>
        </w:rPr>
        <w:t>.</w:t>
      </w:r>
      <w:r>
        <w:rPr>
          <w:rFonts w:ascii="新宋体" w:eastAsia="新宋体"/>
          <w:color w:val="0F0F0F"/>
        </w:rPr>
        <w:t>3款，同意分包本工程</w:t>
      </w:r>
      <w:r>
        <w:rPr>
          <w:rFonts w:hint="eastAsia" w:ascii="新宋体" w:eastAsia="新宋体"/>
          <w:color w:val="0F0F0F"/>
        </w:rPr>
        <w:t>的某</w:t>
      </w:r>
      <w:r>
        <w:rPr>
          <w:rFonts w:ascii="新宋体" w:eastAsia="新宋体"/>
          <w:color w:val="0F0F0F"/>
        </w:rPr>
        <w:t>些非主体和非关键性工作；</w:t>
      </w:r>
    </w:p>
    <w:p w14:paraId="5DE5927A">
      <w:pPr>
        <w:ind w:firstLine="525" w:firstLineChars="250"/>
        <w:rPr>
          <w:rFonts w:ascii="新宋体" w:hAnsi="宋体" w:eastAsia="新宋体"/>
          <w:b/>
          <w:color w:val="0F0F0F"/>
          <w:sz w:val="25"/>
          <w:szCs w:val="32"/>
        </w:rPr>
      </w:pPr>
      <w:r>
        <w:rPr>
          <w:rFonts w:ascii="新宋体" w:eastAsia="新宋体"/>
          <w:color w:val="0F0F0F"/>
        </w:rPr>
        <w:t>(2)确定第4</w:t>
      </w:r>
      <w:r>
        <w:rPr>
          <w:rFonts w:hint="eastAsia" w:ascii="新宋体" w:eastAsia="新宋体"/>
          <w:color w:val="0F0F0F"/>
        </w:rPr>
        <w:t>.</w:t>
      </w:r>
      <w:r>
        <w:rPr>
          <w:rFonts w:ascii="新宋体" w:eastAsia="新宋体"/>
          <w:color w:val="0F0F0F"/>
        </w:rPr>
        <w:t>1l款下产生的</w:t>
      </w:r>
      <w:r>
        <w:rPr>
          <w:rFonts w:hint="eastAsia" w:ascii="新宋体" w:eastAsia="新宋体"/>
          <w:color w:val="0F0F0F"/>
        </w:rPr>
        <w:t>费</w:t>
      </w:r>
      <w:r>
        <w:rPr>
          <w:rFonts w:ascii="新宋体" w:eastAsia="新宋体"/>
          <w:color w:val="0F0F0F"/>
        </w:rPr>
        <w:t>用增加额；</w:t>
      </w:r>
    </w:p>
    <w:p w14:paraId="04247B0E">
      <w:pPr>
        <w:ind w:firstLine="525" w:firstLineChars="250"/>
        <w:rPr>
          <w:rFonts w:ascii="新宋体" w:hAnsi="宋体" w:eastAsia="新宋体"/>
          <w:b/>
          <w:color w:val="0F0F0F"/>
          <w:sz w:val="25"/>
          <w:szCs w:val="32"/>
        </w:rPr>
      </w:pPr>
      <w:r>
        <w:rPr>
          <w:rFonts w:ascii="新宋体" w:eastAsia="新宋体"/>
          <w:color w:val="0F0F0F"/>
        </w:rPr>
        <w:t>(3)根据第</w:t>
      </w:r>
      <w:r>
        <w:rPr>
          <w:rFonts w:hint="eastAsia" w:ascii="新宋体" w:eastAsia="新宋体"/>
          <w:color w:val="0F0F0F"/>
        </w:rPr>
        <w:t>11.</w:t>
      </w:r>
      <w:r>
        <w:rPr>
          <w:rFonts w:ascii="新宋体" w:eastAsia="新宋体"/>
          <w:color w:val="0F0F0F"/>
        </w:rPr>
        <w:t>l款、第12</w:t>
      </w:r>
      <w:r>
        <w:rPr>
          <w:rFonts w:hint="eastAsia" w:ascii="新宋体" w:eastAsia="新宋体"/>
          <w:color w:val="0F0F0F"/>
        </w:rPr>
        <w:t>.</w:t>
      </w:r>
      <w:r>
        <w:rPr>
          <w:rFonts w:ascii="新宋体" w:eastAsia="新宋体"/>
          <w:color w:val="0F0F0F"/>
        </w:rPr>
        <w:t>3款、第12</w:t>
      </w:r>
      <w:r>
        <w:rPr>
          <w:rFonts w:hint="eastAsia" w:ascii="新宋体" w:eastAsia="新宋体"/>
          <w:color w:val="0F0F0F"/>
        </w:rPr>
        <w:t>.</w:t>
      </w:r>
      <w:r>
        <w:rPr>
          <w:rFonts w:ascii="新宋体" w:eastAsia="新宋体"/>
          <w:color w:val="0F0F0F"/>
        </w:rPr>
        <w:t>4款发布开工通知、暂停施工</w:t>
      </w:r>
      <w:r>
        <w:rPr>
          <w:rFonts w:hint="eastAsia" w:ascii="新宋体" w:eastAsia="新宋体"/>
          <w:color w:val="0F0F0F"/>
        </w:rPr>
        <w:t>指</w:t>
      </w:r>
      <w:r>
        <w:rPr>
          <w:rFonts w:ascii="新宋体" w:eastAsia="新宋体"/>
          <w:color w:val="0F0F0F"/>
        </w:rPr>
        <w:t>示或复工</w:t>
      </w:r>
      <w:r>
        <w:rPr>
          <w:rFonts w:hint="eastAsia" w:ascii="新宋体" w:eastAsia="新宋体"/>
          <w:color w:val="0F0F0F"/>
        </w:rPr>
        <w:t>通知；</w:t>
      </w:r>
    </w:p>
    <w:p w14:paraId="4F15E7C1">
      <w:pPr>
        <w:ind w:firstLine="525" w:firstLineChars="250"/>
        <w:rPr>
          <w:rFonts w:ascii="新宋体" w:hAnsi="宋体" w:eastAsia="新宋体"/>
          <w:b/>
          <w:color w:val="0F0F0F"/>
          <w:sz w:val="25"/>
          <w:szCs w:val="32"/>
        </w:rPr>
      </w:pPr>
      <w:r>
        <w:rPr>
          <w:rFonts w:ascii="新宋体" w:eastAsia="新宋体"/>
          <w:color w:val="0F0F0F"/>
        </w:rPr>
        <w:t>(4)决定第11</w:t>
      </w:r>
      <w:r>
        <w:rPr>
          <w:rFonts w:hint="eastAsia" w:ascii="新宋体" w:eastAsia="新宋体"/>
          <w:color w:val="0F0F0F"/>
        </w:rPr>
        <w:t>.</w:t>
      </w:r>
      <w:r>
        <w:rPr>
          <w:rFonts w:ascii="新宋体" w:eastAsia="新宋体"/>
          <w:color w:val="0F0F0F"/>
        </w:rPr>
        <w:t>3款、第</w:t>
      </w:r>
      <w:r>
        <w:rPr>
          <w:rFonts w:hint="eastAsia" w:ascii="新宋体" w:eastAsia="新宋体"/>
          <w:color w:val="0F0F0F"/>
        </w:rPr>
        <w:t>11.4</w:t>
      </w:r>
      <w:r>
        <w:rPr>
          <w:rFonts w:ascii="新宋体" w:eastAsia="新宋体"/>
          <w:color w:val="0F0F0F"/>
        </w:rPr>
        <w:t>款下的工期延长</w:t>
      </w:r>
      <w:r>
        <w:rPr>
          <w:rFonts w:hint="eastAsia" w:ascii="新宋体" w:eastAsia="新宋体"/>
          <w:color w:val="0F0F0F"/>
        </w:rPr>
        <w:t>；</w:t>
      </w:r>
    </w:p>
    <w:p w14:paraId="7A8D4273">
      <w:pPr>
        <w:ind w:firstLine="525" w:firstLineChars="250"/>
        <w:rPr>
          <w:rFonts w:ascii="新宋体" w:hAnsi="宋体" w:eastAsia="新宋体"/>
          <w:b/>
          <w:color w:val="0F0F0F"/>
          <w:sz w:val="25"/>
          <w:szCs w:val="32"/>
        </w:rPr>
      </w:pPr>
      <w:r>
        <w:rPr>
          <w:rFonts w:ascii="新宋体" w:eastAsia="新宋体"/>
          <w:color w:val="0F0F0F"/>
        </w:rPr>
        <w:t>(5)审查批准技术规范或设计的变更；</w:t>
      </w:r>
    </w:p>
    <w:p w14:paraId="16C89A66">
      <w:pPr>
        <w:ind w:firstLine="525" w:firstLineChars="250"/>
        <w:rPr>
          <w:rFonts w:ascii="新宋体" w:hAnsi="宋体" w:eastAsia="新宋体"/>
          <w:b/>
          <w:color w:val="0F0F0F"/>
          <w:sz w:val="25"/>
          <w:szCs w:val="32"/>
        </w:rPr>
      </w:pPr>
      <w:r>
        <w:rPr>
          <w:rFonts w:ascii="新宋体" w:eastAsia="新宋体"/>
          <w:color w:val="0F0F0F"/>
        </w:rPr>
        <w:t>(6)根据第15·</w:t>
      </w:r>
      <w:r>
        <w:rPr>
          <w:rFonts w:hint="eastAsia" w:ascii="新宋体" w:eastAsia="新宋体"/>
          <w:color w:val="0F0F0F"/>
        </w:rPr>
        <w:t>.</w:t>
      </w:r>
      <w:r>
        <w:rPr>
          <w:rFonts w:ascii="新宋体" w:eastAsia="新宋体"/>
          <w:color w:val="0F0F0F"/>
        </w:rPr>
        <w:t>款发出的变更指示，其单项工程变更或累计变更涉及的金额超过</w:t>
      </w:r>
      <w:r>
        <w:rPr>
          <w:rFonts w:hint="eastAsia" w:ascii="新宋体" w:eastAsia="新宋体"/>
          <w:color w:val="0F0F0F"/>
        </w:rPr>
        <w:t>了项目专用合同</w:t>
      </w:r>
      <w:r>
        <w:rPr>
          <w:rFonts w:ascii="新宋体" w:eastAsia="新宋体"/>
          <w:color w:val="0F0F0F"/>
        </w:rPr>
        <w:t>条款数据表中规定的金额；</w:t>
      </w:r>
    </w:p>
    <w:p w14:paraId="489E9C92">
      <w:pPr>
        <w:ind w:firstLine="525" w:firstLineChars="250"/>
        <w:rPr>
          <w:rFonts w:ascii="新宋体" w:hAnsi="宋体" w:eastAsia="新宋体"/>
          <w:b/>
          <w:color w:val="0F0F0F"/>
          <w:sz w:val="25"/>
          <w:szCs w:val="32"/>
        </w:rPr>
      </w:pPr>
      <w:r>
        <w:rPr>
          <w:rFonts w:ascii="新宋体" w:eastAsia="新宋体"/>
          <w:color w:val="0F0F0F"/>
        </w:rPr>
        <w:t>(7)确定第15</w:t>
      </w:r>
      <w:r>
        <w:rPr>
          <w:rFonts w:hint="eastAsia" w:ascii="新宋体" w:eastAsia="新宋体"/>
          <w:color w:val="0F0F0F"/>
        </w:rPr>
        <w:t>.</w:t>
      </w:r>
      <w:r>
        <w:rPr>
          <w:rFonts w:ascii="新宋体" w:eastAsia="新宋体"/>
          <w:color w:val="0F0F0F"/>
        </w:rPr>
        <w:t>4</w:t>
      </w:r>
      <w:r>
        <w:rPr>
          <w:rFonts w:hint="eastAsia" w:ascii="新宋体" w:eastAsia="新宋体"/>
          <w:color w:val="0F0F0F"/>
        </w:rPr>
        <w:t>款</w:t>
      </w:r>
      <w:r>
        <w:rPr>
          <w:rFonts w:ascii="新宋体" w:eastAsia="新宋体"/>
          <w:color w:val="0F0F0F"/>
        </w:rPr>
        <w:t>下变更</w:t>
      </w:r>
      <w:r>
        <w:rPr>
          <w:rFonts w:hint="eastAsia" w:ascii="新宋体" w:eastAsia="新宋体"/>
          <w:color w:val="0F0F0F"/>
        </w:rPr>
        <w:t>工</w:t>
      </w:r>
      <w:r>
        <w:rPr>
          <w:rFonts w:ascii="新宋体" w:eastAsia="新宋体"/>
          <w:color w:val="0F0F0F"/>
        </w:rPr>
        <w:t>作的单价；</w:t>
      </w:r>
    </w:p>
    <w:p w14:paraId="6BD5F836">
      <w:pPr>
        <w:ind w:firstLine="525" w:firstLineChars="250"/>
        <w:rPr>
          <w:rFonts w:ascii="新宋体" w:hAnsi="宋体" w:eastAsia="新宋体"/>
          <w:b/>
          <w:color w:val="0F0F0F"/>
          <w:sz w:val="25"/>
          <w:szCs w:val="32"/>
        </w:rPr>
      </w:pPr>
      <w:r>
        <w:rPr>
          <w:rFonts w:ascii="新宋体" w:eastAsia="新宋体"/>
          <w:color w:val="0F0F0F"/>
        </w:rPr>
        <w:t>(8)按照第15</w:t>
      </w:r>
      <w:r>
        <w:rPr>
          <w:rFonts w:hint="eastAsia" w:ascii="新宋体" w:eastAsia="新宋体"/>
          <w:color w:val="0F0F0F"/>
        </w:rPr>
        <w:t>.</w:t>
      </w:r>
      <w:r>
        <w:rPr>
          <w:rFonts w:ascii="新宋体" w:eastAsia="新宋体"/>
          <w:color w:val="0F0F0F"/>
        </w:rPr>
        <w:t>6款决定有关暂列金额的使用；</w:t>
      </w:r>
    </w:p>
    <w:p w14:paraId="3DAC56C0">
      <w:pPr>
        <w:ind w:firstLine="525" w:firstLineChars="250"/>
        <w:rPr>
          <w:rFonts w:ascii="新宋体" w:hAnsi="宋体" w:eastAsia="新宋体"/>
          <w:b/>
          <w:color w:val="0F0F0F"/>
          <w:sz w:val="25"/>
          <w:szCs w:val="32"/>
        </w:rPr>
      </w:pPr>
      <w:r>
        <w:rPr>
          <w:rFonts w:ascii="新宋体" w:eastAsia="新宋体"/>
          <w:color w:val="0F0F0F"/>
        </w:rPr>
        <w:t>(9)确定第15</w:t>
      </w:r>
      <w:r>
        <w:rPr>
          <w:rFonts w:hint="eastAsia" w:ascii="新宋体" w:eastAsia="新宋体"/>
          <w:color w:val="0F0F0F"/>
        </w:rPr>
        <w:t>.</w:t>
      </w:r>
      <w:r>
        <w:rPr>
          <w:rFonts w:ascii="新宋体" w:eastAsia="新宋体"/>
          <w:color w:val="0F0F0F"/>
        </w:rPr>
        <w:t>8款项下的暂估价金额；</w:t>
      </w:r>
    </w:p>
    <w:p w14:paraId="58BA1463">
      <w:pPr>
        <w:ind w:firstLine="525" w:firstLineChars="250"/>
        <w:rPr>
          <w:rFonts w:ascii="新宋体" w:hAnsi="宋体" w:eastAsia="新宋体"/>
          <w:b/>
          <w:color w:val="0F0F0F"/>
          <w:sz w:val="25"/>
          <w:szCs w:val="32"/>
        </w:rPr>
      </w:pPr>
      <w:r>
        <w:rPr>
          <w:rFonts w:ascii="新宋体" w:eastAsia="新宋体"/>
          <w:color w:val="0F0F0F"/>
        </w:rPr>
        <w:t>(10)确定第23</w:t>
      </w:r>
      <w:r>
        <w:rPr>
          <w:rFonts w:hint="eastAsia" w:ascii="新宋体" w:eastAsia="新宋体"/>
          <w:color w:val="0F0F0F"/>
        </w:rPr>
        <w:t>.</w:t>
      </w:r>
      <w:r>
        <w:rPr>
          <w:rFonts w:ascii="新宋体" w:eastAsia="新宋体"/>
          <w:color w:val="0F0F0F"/>
        </w:rPr>
        <w:t>1款项下的索赔额。</w:t>
      </w:r>
    </w:p>
    <w:p w14:paraId="2D992ED5">
      <w:pPr>
        <w:ind w:firstLine="525" w:firstLineChars="250"/>
        <w:rPr>
          <w:rFonts w:ascii="新宋体" w:hAnsi="宋体" w:eastAsia="新宋体"/>
          <w:b/>
          <w:color w:val="0F0F0F"/>
          <w:sz w:val="25"/>
          <w:szCs w:val="32"/>
        </w:rPr>
      </w:pPr>
      <w:r>
        <w:rPr>
          <w:rFonts w:ascii="新宋体" w:eastAsia="新宋体"/>
          <w:color w:val="0F0F0F"/>
        </w:rPr>
        <w:t>如果发生紧急情况，监理人认为将造成人员伤亡，或危及本工程或邻近的财产</w:t>
      </w:r>
      <w:r>
        <w:rPr>
          <w:rFonts w:hint="eastAsia" w:ascii="新宋体" w:eastAsia="新宋体"/>
          <w:color w:val="0F0F0F"/>
        </w:rPr>
        <w:t>需</w:t>
      </w:r>
      <w:r>
        <w:rPr>
          <w:rFonts w:ascii="新宋体" w:eastAsia="新宋体"/>
          <w:color w:val="0F0F0F"/>
        </w:rPr>
        <w:t>立</w:t>
      </w:r>
      <w:r>
        <w:rPr>
          <w:rFonts w:hint="eastAsia" w:ascii="新宋体" w:eastAsia="新宋体"/>
          <w:color w:val="0F0F0F"/>
        </w:rPr>
        <w:t>即采取行动，监理人有权在未征得发包人的批准的情况下发布处理紧急情况所必需的指令，承包人应予执行，由此造成的费用增加由监理人按第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w:t>
      </w:r>
    </w:p>
    <w:p w14:paraId="5DB1838A">
      <w:pPr>
        <w:rPr>
          <w:rFonts w:ascii="新宋体" w:eastAsia="新宋体"/>
          <w:color w:val="0F0F0F"/>
          <w:sz w:val="24"/>
        </w:rPr>
      </w:pPr>
      <w:r>
        <w:rPr>
          <w:rFonts w:ascii="新宋体" w:eastAsia="新宋体"/>
          <w:color w:val="0F0F0F"/>
          <w:sz w:val="24"/>
        </w:rPr>
        <w:t>3</w:t>
      </w:r>
      <w:r>
        <w:rPr>
          <w:rFonts w:hint="eastAsia" w:ascii="新宋体" w:eastAsia="新宋体"/>
          <w:color w:val="0F0F0F"/>
          <w:sz w:val="24"/>
        </w:rPr>
        <w:t>.</w:t>
      </w:r>
      <w:r>
        <w:rPr>
          <w:rFonts w:ascii="新宋体" w:eastAsia="新宋体"/>
          <w:color w:val="0F0F0F"/>
          <w:sz w:val="24"/>
        </w:rPr>
        <w:t>5商定或确定</w:t>
      </w:r>
    </w:p>
    <w:p w14:paraId="7C1032AA">
      <w:pPr>
        <w:ind w:firstLine="525" w:firstLineChars="250"/>
        <w:rPr>
          <w:rFonts w:ascii="新宋体" w:eastAsia="新宋体"/>
          <w:color w:val="0F0F0F"/>
          <w:sz w:val="24"/>
        </w:rPr>
      </w:pPr>
      <w:r>
        <w:rPr>
          <w:rFonts w:hint="eastAsia" w:ascii="新宋体" w:eastAsia="新宋体"/>
          <w:color w:val="0F0F0F"/>
        </w:rPr>
        <w:t>第</w:t>
      </w:r>
      <w:r>
        <w:rPr>
          <w:rFonts w:ascii="新宋体" w:eastAsia="新宋体"/>
          <w:color w:val="0F0F0F"/>
        </w:rPr>
        <w:t>3</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1项</w:t>
      </w:r>
      <w:r>
        <w:rPr>
          <w:rFonts w:hint="eastAsia" w:ascii="新宋体" w:eastAsia="新宋体"/>
          <w:color w:val="0F0F0F"/>
        </w:rPr>
        <w:t>补</w:t>
      </w:r>
      <w:r>
        <w:rPr>
          <w:rFonts w:ascii="新宋体" w:eastAsia="新宋体"/>
          <w:color w:val="0F0F0F"/>
        </w:rPr>
        <w:t xml:space="preserve">充： </w:t>
      </w:r>
    </w:p>
    <w:p w14:paraId="75CF34E2">
      <w:pPr>
        <w:ind w:firstLine="525" w:firstLineChars="250"/>
        <w:rPr>
          <w:rFonts w:ascii="新宋体" w:eastAsia="新宋体"/>
          <w:color w:val="0F0F0F"/>
          <w:sz w:val="24"/>
        </w:rPr>
      </w:pPr>
      <w:r>
        <w:rPr>
          <w:rFonts w:ascii="新宋体" w:eastAsia="新宋体"/>
          <w:color w:val="0F0F0F"/>
        </w:rPr>
        <w:t>如</w:t>
      </w:r>
      <w:r>
        <w:rPr>
          <w:rFonts w:hint="eastAsia" w:ascii="新宋体" w:eastAsia="新宋体"/>
          <w:color w:val="0F0F0F"/>
        </w:rPr>
        <w:t>果</w:t>
      </w:r>
      <w:r>
        <w:rPr>
          <w:rFonts w:ascii="新宋体" w:eastAsia="新宋体"/>
          <w:color w:val="0F0F0F"/>
        </w:rPr>
        <w:t>这项商定或确定导致</w:t>
      </w:r>
      <w:r>
        <w:rPr>
          <w:rFonts w:hint="eastAsia" w:ascii="新宋体" w:eastAsia="新宋体"/>
          <w:color w:val="0F0F0F"/>
        </w:rPr>
        <w:t>费</w:t>
      </w:r>
      <w:r>
        <w:rPr>
          <w:rFonts w:ascii="新宋体" w:eastAsia="新宋体"/>
          <w:color w:val="0F0F0F"/>
        </w:rPr>
        <w:t>用增加和(或)工期延</w:t>
      </w:r>
      <w:r>
        <w:rPr>
          <w:rFonts w:hint="eastAsia" w:ascii="新宋体" w:eastAsia="新宋体"/>
          <w:color w:val="0F0F0F"/>
        </w:rPr>
        <w:t>长</w:t>
      </w:r>
      <w:r>
        <w:rPr>
          <w:rFonts w:ascii="新宋体" w:eastAsia="新宋体"/>
          <w:color w:val="0F0F0F"/>
        </w:rPr>
        <w:t>，或者涉及确定变更工</w:t>
      </w:r>
      <w:r>
        <w:rPr>
          <w:rFonts w:hint="eastAsia" w:ascii="新宋体" w:eastAsia="新宋体"/>
          <w:color w:val="0F0F0F"/>
        </w:rPr>
        <w:t>程</w:t>
      </w:r>
      <w:r>
        <w:rPr>
          <w:rFonts w:ascii="新宋体" w:eastAsia="新宋体"/>
          <w:color w:val="0F0F0F"/>
        </w:rPr>
        <w:t>的价</w:t>
      </w:r>
      <w:r>
        <w:rPr>
          <w:rFonts w:hint="eastAsia" w:ascii="新宋体" w:eastAsia="新宋体"/>
          <w:color w:val="0F0F0F"/>
        </w:rPr>
        <w:t>格，则总监理工程师在发出通知前，应征得发包人的同意。</w:t>
      </w:r>
    </w:p>
    <w:p w14:paraId="3EBB7CA3">
      <w:pPr>
        <w:spacing w:line="400" w:lineRule="exact"/>
        <w:rPr>
          <w:rFonts w:ascii="新宋体" w:eastAsia="新宋体"/>
          <w:color w:val="0F0F0F"/>
          <w:sz w:val="28"/>
          <w:szCs w:val="28"/>
        </w:rPr>
      </w:pPr>
      <w:r>
        <w:rPr>
          <w:rFonts w:ascii="新宋体" w:eastAsia="新宋体"/>
          <w:color w:val="0F0F0F"/>
          <w:sz w:val="28"/>
          <w:szCs w:val="28"/>
        </w:rPr>
        <w:t>4</w:t>
      </w:r>
      <w:r>
        <w:rPr>
          <w:rFonts w:hint="eastAsia" w:ascii="新宋体" w:eastAsia="新宋体"/>
          <w:color w:val="0F0F0F"/>
          <w:sz w:val="28"/>
          <w:szCs w:val="28"/>
        </w:rPr>
        <w:t>.</w:t>
      </w:r>
      <w:r>
        <w:rPr>
          <w:rFonts w:ascii="新宋体" w:eastAsia="新宋体"/>
          <w:color w:val="0F0F0F"/>
          <w:sz w:val="28"/>
          <w:szCs w:val="28"/>
        </w:rPr>
        <w:t>承包人</w:t>
      </w:r>
    </w:p>
    <w:p w14:paraId="258003CE">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1承包人的一般义务</w:t>
      </w:r>
    </w:p>
    <w:p w14:paraId="747ED6F8">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9工程的维护和照管</w:t>
      </w:r>
    </w:p>
    <w:p w14:paraId="0B8D19CF">
      <w:pPr>
        <w:ind w:firstLine="525" w:firstLineChars="250"/>
        <w:rPr>
          <w:rFonts w:ascii="新宋体" w:eastAsia="新宋体"/>
          <w:color w:val="0F0F0F"/>
        </w:rPr>
      </w:pPr>
      <w:r>
        <w:rPr>
          <w:rFonts w:ascii="新宋体" w:eastAsia="新宋体"/>
          <w:color w:val="0F0F0F"/>
        </w:rPr>
        <w:t>本项细化为：</w:t>
      </w:r>
    </w:p>
    <w:p w14:paraId="672F2B94">
      <w:pPr>
        <w:ind w:firstLine="525" w:firstLineChars="250"/>
        <w:rPr>
          <w:rFonts w:ascii="新宋体" w:eastAsia="新宋体"/>
          <w:color w:val="0F0F0F"/>
        </w:rPr>
      </w:pPr>
      <w:r>
        <w:rPr>
          <w:rFonts w:ascii="新宋体" w:eastAsia="新宋体"/>
          <w:color w:val="0F0F0F"/>
        </w:rPr>
        <w:t>(1)交</w:t>
      </w:r>
      <w:r>
        <w:rPr>
          <w:rFonts w:hint="eastAsia" w:ascii="新宋体" w:eastAsia="新宋体"/>
          <w:color w:val="0F0F0F"/>
        </w:rPr>
        <w:t>工</w:t>
      </w:r>
      <w:r>
        <w:rPr>
          <w:rFonts w:ascii="新宋体" w:eastAsia="新宋体"/>
          <w:color w:val="0F0F0F"/>
        </w:rPr>
        <w:t>验收证书颁发前，承包人应负责照管和维护工程及将用于或安装在本</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中的材料、设备。</w:t>
      </w:r>
      <w:r>
        <w:rPr>
          <w:rFonts w:ascii="新宋体" w:eastAsia="新宋体"/>
          <w:color w:val="0F0F0F"/>
        </w:rPr>
        <w:t>交工验收证书颁发时尚有部分未交</w:t>
      </w:r>
      <w:r>
        <w:rPr>
          <w:rFonts w:hint="eastAsia" w:ascii="新宋体" w:eastAsia="新宋体"/>
          <w:color w:val="0F0F0F"/>
        </w:rPr>
        <w:t>工</w:t>
      </w:r>
      <w:r>
        <w:rPr>
          <w:rFonts w:ascii="新宋体" w:eastAsia="新宋体"/>
          <w:color w:val="0F0F0F"/>
        </w:rPr>
        <w:t>程的，承包人还应负责该未交</w:t>
      </w:r>
      <w:r>
        <w:rPr>
          <w:rFonts w:hint="eastAsia" w:ascii="新宋体" w:eastAsia="新宋体"/>
          <w:color w:val="0F0F0F"/>
        </w:rPr>
        <w:t>工工程、材料、设备的照管和维护工</w:t>
      </w:r>
      <w:r>
        <w:rPr>
          <w:rFonts w:ascii="新宋体" w:eastAsia="新宋体"/>
          <w:color w:val="0F0F0F"/>
        </w:rPr>
        <w:t>作，直至交</w:t>
      </w:r>
      <w:r>
        <w:rPr>
          <w:rFonts w:hint="eastAsia" w:ascii="新宋体" w:eastAsia="新宋体"/>
          <w:color w:val="0F0F0F"/>
        </w:rPr>
        <w:t>工</w:t>
      </w:r>
      <w:r>
        <w:rPr>
          <w:rFonts w:ascii="新宋体" w:eastAsia="新宋体"/>
          <w:color w:val="0F0F0F"/>
        </w:rPr>
        <w:t>后移交给发包人为止。</w:t>
      </w:r>
    </w:p>
    <w:p w14:paraId="233B7385">
      <w:pPr>
        <w:ind w:firstLine="525" w:firstLineChars="250"/>
        <w:rPr>
          <w:rFonts w:ascii="新宋体" w:eastAsia="新宋体"/>
          <w:color w:val="0F0F0F"/>
        </w:rPr>
      </w:pPr>
      <w:r>
        <w:rPr>
          <w:rFonts w:ascii="新宋体" w:eastAsia="新宋体"/>
          <w:color w:val="0F0F0F"/>
        </w:rPr>
        <w:t>(2)在</w:t>
      </w:r>
      <w:r>
        <w:rPr>
          <w:rFonts w:hint="eastAsia" w:ascii="新宋体" w:eastAsia="新宋体"/>
          <w:color w:val="0F0F0F"/>
        </w:rPr>
        <w:t>承包人负责照管与维护期间，如果本工程或材料、设备等发生损失或损害，除不可抗力原因之外，承包人均应自费弥补，并达到合同要求。承包人还应对按第</w:t>
      </w:r>
      <w:r>
        <w:rPr>
          <w:rFonts w:ascii="新宋体" w:eastAsia="新宋体"/>
          <w:color w:val="0F0F0F"/>
        </w:rPr>
        <w:t>19条规</w:t>
      </w:r>
      <w:r>
        <w:rPr>
          <w:rFonts w:hint="eastAsia" w:ascii="新宋体" w:eastAsia="新宋体"/>
          <w:color w:val="0F0F0F"/>
        </w:rPr>
        <w:t>定而实施作业的过程中由承包人造成的对工程的任何损失或损害负责。</w:t>
      </w:r>
    </w:p>
    <w:p w14:paraId="1140BA1B">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10其他义务</w:t>
      </w:r>
    </w:p>
    <w:p w14:paraId="2E42E85A">
      <w:pPr>
        <w:ind w:firstLine="525" w:firstLineChars="250"/>
        <w:rPr>
          <w:rFonts w:ascii="新宋体" w:eastAsia="新宋体"/>
          <w:color w:val="0F0F0F"/>
        </w:rPr>
      </w:pPr>
      <w:r>
        <w:rPr>
          <w:rFonts w:ascii="新宋体" w:eastAsia="新宋体"/>
          <w:color w:val="0F0F0F"/>
        </w:rPr>
        <w:t>本项细化为：</w:t>
      </w:r>
    </w:p>
    <w:p w14:paraId="15C657A7">
      <w:pPr>
        <w:ind w:firstLine="525" w:firstLineChars="250"/>
        <w:rPr>
          <w:rFonts w:ascii="新宋体" w:eastAsia="新宋体"/>
          <w:color w:val="0F0F0F"/>
        </w:rPr>
      </w:pPr>
      <w:r>
        <w:rPr>
          <w:rFonts w:ascii="新宋体" w:eastAsia="新宋体"/>
          <w:color w:val="0F0F0F"/>
        </w:rPr>
        <w:t>(1)临时占地由承包人向当地政府土地管理部门申请，并办理租用手续，承包人按</w:t>
      </w:r>
      <w:r>
        <w:rPr>
          <w:rFonts w:hint="eastAsia" w:ascii="新宋体" w:eastAsia="新宋体"/>
          <w:color w:val="0F0F0F"/>
        </w:rPr>
        <w:t>有关规定直接支付其费用，发包人对此将予以协调。</w:t>
      </w:r>
    </w:p>
    <w:p w14:paraId="60E11815">
      <w:pPr>
        <w:ind w:firstLine="525" w:firstLineChars="250"/>
        <w:rPr>
          <w:rFonts w:ascii="新宋体" w:eastAsia="新宋体"/>
          <w:color w:val="0F0F0F"/>
        </w:rPr>
      </w:pPr>
      <w:r>
        <w:rPr>
          <w:rFonts w:ascii="新宋体" w:eastAsia="新宋体"/>
          <w:color w:val="0F0F0F"/>
        </w:rPr>
        <w:t>临时占地范围包括承包人驻地的办公室、食堂、</w:t>
      </w:r>
      <w:r>
        <w:rPr>
          <w:rFonts w:hint="eastAsia" w:ascii="新宋体" w:eastAsia="新宋体"/>
          <w:color w:val="0F0F0F"/>
        </w:rPr>
        <w:t>宿舍</w:t>
      </w:r>
      <w:r>
        <w:rPr>
          <w:rFonts w:ascii="新宋体" w:eastAsia="新宋体"/>
          <w:color w:val="0F0F0F"/>
        </w:rPr>
        <w:t>、道路和机械设备停放场、材料</w:t>
      </w:r>
      <w:r>
        <w:rPr>
          <w:rFonts w:hint="eastAsia" w:ascii="新宋体" w:eastAsia="新宋体"/>
          <w:color w:val="0F0F0F"/>
        </w:rPr>
        <w:t>堆放场地、弃土场、预制场、拌和场、仓库、进场临时道路、临时便道、便桥等。承包人应在“临时占地计划表”范围内按实际需要与先后次序，提出具体计划报监理人同意，并报发包人。临时占地的面积和使用期应满足．工程需要，费用包括临时占地数量、时间及因此而发生的协调、租用、复耕、地薪附着物</w:t>
      </w:r>
      <w:r>
        <w:rPr>
          <w:rFonts w:ascii="新宋体" w:eastAsia="新宋体"/>
          <w:color w:val="0F0F0F"/>
        </w:rPr>
        <w:t>(电力、电信、房屋、坟</w:t>
      </w:r>
      <w:r>
        <w:rPr>
          <w:rFonts w:hint="eastAsia" w:ascii="新宋体" w:eastAsia="新宋体"/>
          <w:color w:val="0F0F0F"/>
        </w:rPr>
        <w:t>墓</w:t>
      </w:r>
      <w:r>
        <w:rPr>
          <w:rFonts w:ascii="新宋体" w:eastAsia="新宋体"/>
          <w:color w:val="0F0F0F"/>
        </w:rPr>
        <w:t>除外)的拆迁补偿等相</w:t>
      </w:r>
      <w:r>
        <w:rPr>
          <w:rFonts w:hint="eastAsia" w:ascii="新宋体" w:eastAsia="新宋体"/>
          <w:color w:val="0F0F0F"/>
        </w:rPr>
        <w:t>关费用。除项目专用合同条款另有约定外，临时占</w:t>
      </w:r>
      <w:r>
        <w:rPr>
          <w:rFonts w:ascii="新宋体" w:eastAsia="新宋体"/>
          <w:color w:val="0F0F0F"/>
        </w:rPr>
        <w:t>地的租地</w:t>
      </w:r>
      <w:r>
        <w:rPr>
          <w:rFonts w:hint="eastAsia" w:ascii="新宋体" w:eastAsia="新宋体"/>
          <w:color w:val="0F0F0F"/>
        </w:rPr>
        <w:t>费</w:t>
      </w:r>
      <w:r>
        <w:rPr>
          <w:rFonts w:ascii="新宋体" w:eastAsia="新宋体"/>
          <w:color w:val="0F0F0F"/>
        </w:rPr>
        <w:t>用实行总额包干。列</w:t>
      </w:r>
      <w:r>
        <w:rPr>
          <w:rFonts w:hint="eastAsia" w:ascii="新宋体" w:eastAsia="新宋体"/>
          <w:color w:val="0F0F0F"/>
        </w:rPr>
        <w:t>入程量清单</w:t>
      </w:r>
      <w:r>
        <w:rPr>
          <w:rFonts w:ascii="新宋体" w:eastAsia="新宋体"/>
          <w:color w:val="0F0F0F"/>
        </w:rPr>
        <w:t>100章中由承包人按总额报价。</w:t>
      </w:r>
    </w:p>
    <w:p w14:paraId="35E242EC">
      <w:pPr>
        <w:ind w:firstLine="525" w:firstLineChars="250"/>
        <w:rPr>
          <w:rFonts w:ascii="新宋体" w:eastAsia="新宋体"/>
          <w:color w:val="0F0F0F"/>
        </w:rPr>
      </w:pPr>
      <w:r>
        <w:rPr>
          <w:rFonts w:ascii="新宋体" w:eastAsia="新宋体"/>
          <w:color w:val="0F0F0F"/>
        </w:rPr>
        <w:t>临时占</w:t>
      </w:r>
      <w:r>
        <w:rPr>
          <w:rFonts w:hint="eastAsia" w:ascii="新宋体" w:eastAsia="新宋体"/>
          <w:color w:val="0F0F0F"/>
        </w:rPr>
        <w:t>地</w:t>
      </w:r>
      <w:r>
        <w:rPr>
          <w:rFonts w:ascii="新宋体" w:eastAsia="新宋体"/>
          <w:color w:val="0F0F0F"/>
        </w:rPr>
        <w:t>退还前，承包人应</w:t>
      </w:r>
      <w:r>
        <w:rPr>
          <w:rFonts w:hint="eastAsia" w:ascii="新宋体" w:eastAsia="新宋体"/>
          <w:color w:val="0F0F0F"/>
        </w:rPr>
        <w:t>自费</w:t>
      </w:r>
      <w:r>
        <w:rPr>
          <w:rFonts w:ascii="新宋体" w:eastAsia="新宋体"/>
          <w:color w:val="0F0F0F"/>
        </w:rPr>
        <w:t>恢复到临时占地使用前的状况。如因承包人撤离</w:t>
      </w:r>
      <w:r>
        <w:rPr>
          <w:rFonts w:hint="eastAsia" w:ascii="新宋体" w:eastAsia="新宋体"/>
          <w:color w:val="0F0F0F"/>
        </w:rPr>
        <w:t>后来按要求对临时占地进行恢复或虽进行了恢复但未达到使用标准的，将由发包人委托第三方对其恢复，所发生的费用将从应付给承包人的任何款项内扣除。</w:t>
      </w:r>
    </w:p>
    <w:p w14:paraId="13C7F27D">
      <w:pPr>
        <w:ind w:firstLine="525" w:firstLineChars="250"/>
        <w:rPr>
          <w:rFonts w:ascii="新宋体" w:eastAsia="新宋体"/>
          <w:color w:val="0F0F0F"/>
        </w:rPr>
      </w:pPr>
      <w:r>
        <w:rPr>
          <w:rFonts w:ascii="新宋体" w:eastAsia="新宋体"/>
          <w:color w:val="0F0F0F"/>
        </w:rPr>
        <w:t>(2)除项目专用合同条款另</w:t>
      </w:r>
      <w:r>
        <w:rPr>
          <w:rFonts w:hint="eastAsia" w:ascii="新宋体" w:eastAsia="新宋体"/>
          <w:color w:val="0F0F0F"/>
        </w:rPr>
        <w:t>有</w:t>
      </w:r>
      <w:r>
        <w:rPr>
          <w:rFonts w:ascii="新宋体" w:eastAsia="新宋体"/>
          <w:color w:val="0F0F0F"/>
        </w:rPr>
        <w:t>约定外，承包人应承担并支付为获得本合同工程所需</w:t>
      </w:r>
      <w:r>
        <w:rPr>
          <w:rFonts w:hint="eastAsia" w:ascii="新宋体" w:eastAsia="新宋体"/>
          <w:color w:val="0F0F0F"/>
        </w:rPr>
        <w:t>的石料、砂、砾石、黏±或其他当地材料等所发生的料场使用费及其他开支或补偿费。发包人应尽可能协助承包人办理料场租用手续及解决使用过程中的有关问题。</w:t>
      </w:r>
    </w:p>
    <w:p w14:paraId="3D5000BB">
      <w:pPr>
        <w:ind w:firstLine="525" w:firstLineChars="250"/>
        <w:rPr>
          <w:rFonts w:ascii="新宋体" w:eastAsia="新宋体"/>
          <w:color w:val="0F0F0F"/>
        </w:rPr>
      </w:pPr>
      <w:r>
        <w:rPr>
          <w:rFonts w:ascii="新宋体" w:eastAsia="新宋体"/>
          <w:color w:val="0F0F0F"/>
        </w:rPr>
        <w:t>(3)承包人应严格遵守</w:t>
      </w:r>
      <w:r>
        <w:rPr>
          <w:rFonts w:hint="eastAsia" w:ascii="新宋体" w:eastAsia="新宋体"/>
          <w:color w:val="0F0F0F"/>
        </w:rPr>
        <w:t>国</w:t>
      </w:r>
      <w:r>
        <w:rPr>
          <w:rFonts w:ascii="新宋体" w:eastAsia="新宋体"/>
          <w:color w:val="0F0F0F"/>
        </w:rPr>
        <w:t>家有关解决拖欠工程款和民</w:t>
      </w:r>
      <w:r>
        <w:rPr>
          <w:rFonts w:hint="eastAsia" w:ascii="新宋体" w:eastAsia="新宋体"/>
          <w:color w:val="0F0F0F"/>
        </w:rPr>
        <w:t>工工</w:t>
      </w:r>
      <w:r>
        <w:rPr>
          <w:rFonts w:ascii="新宋体" w:eastAsia="新宋体"/>
          <w:color w:val="0F0F0F"/>
        </w:rPr>
        <w:t>资的法律、法规，及时支</w:t>
      </w:r>
      <w:r>
        <w:rPr>
          <w:rFonts w:hint="eastAsia" w:ascii="新宋体" w:eastAsia="新宋体"/>
          <w:color w:val="0F0F0F"/>
        </w:rPr>
        <w:t>付工程中的材料、设备贷款及民工工资等费用。承包人不得以任何借口拖欠材料、设备货款及民工工</w:t>
      </w:r>
      <w:r>
        <w:rPr>
          <w:rFonts w:ascii="新宋体" w:eastAsia="新宋体"/>
          <w:color w:val="0F0F0F"/>
        </w:rPr>
        <w:t>资等费用，如果</w:t>
      </w:r>
      <w:r>
        <w:rPr>
          <w:rFonts w:hint="eastAsia" w:ascii="新宋体" w:eastAsia="新宋体"/>
          <w:color w:val="0F0F0F"/>
        </w:rPr>
        <w:t>出</w:t>
      </w:r>
      <w:r>
        <w:rPr>
          <w:rFonts w:ascii="新宋体" w:eastAsia="新宋体"/>
          <w:color w:val="0F0F0F"/>
        </w:rPr>
        <w:t>现此种现象，发包人有权代为支付其拖欠的材料、设备</w:t>
      </w:r>
      <w:r>
        <w:rPr>
          <w:rFonts w:hint="eastAsia" w:ascii="新宋体" w:eastAsia="新宋体"/>
          <w:color w:val="0F0F0F"/>
        </w:rPr>
        <w:t>货款及民工工</w:t>
      </w:r>
      <w:r>
        <w:rPr>
          <w:rFonts w:ascii="新宋体" w:eastAsia="新宋体"/>
          <w:color w:val="0F0F0F"/>
        </w:rPr>
        <w:t>资，并从应付给承包人的工程款</w:t>
      </w:r>
      <w:r>
        <w:rPr>
          <w:rFonts w:hint="eastAsia" w:ascii="新宋体" w:eastAsia="新宋体"/>
          <w:color w:val="0F0F0F"/>
        </w:rPr>
        <w:t>中</w:t>
      </w:r>
      <w:r>
        <w:rPr>
          <w:rFonts w:ascii="新宋体" w:eastAsia="新宋体"/>
          <w:color w:val="0F0F0F"/>
        </w:rPr>
        <w:t>扣除相应款项。对恶意拖欠和拒不按</w:t>
      </w:r>
      <w:r>
        <w:rPr>
          <w:rFonts w:hint="eastAsia" w:ascii="新宋体" w:eastAsia="新宋体"/>
          <w:color w:val="0F0F0F"/>
        </w:rPr>
        <w:t>计划支付的，作为不良记录纳入公路建设市场信用信息管理系统。</w:t>
      </w:r>
    </w:p>
    <w:p w14:paraId="0A6E6EBA">
      <w:pPr>
        <w:ind w:firstLine="525" w:firstLineChars="250"/>
        <w:rPr>
          <w:rFonts w:ascii="新宋体" w:eastAsia="新宋体"/>
          <w:color w:val="0F0F0F"/>
        </w:rPr>
      </w:pPr>
      <w:r>
        <w:rPr>
          <w:rFonts w:ascii="新宋体" w:eastAsia="新宋体"/>
          <w:color w:val="0F0F0F"/>
        </w:rPr>
        <w:t>承包人的项</w:t>
      </w:r>
      <w:r>
        <w:rPr>
          <w:rFonts w:hint="eastAsia" w:ascii="新宋体" w:eastAsia="新宋体"/>
          <w:color w:val="0F0F0F"/>
        </w:rPr>
        <w:t>目经</w:t>
      </w:r>
      <w:r>
        <w:rPr>
          <w:rFonts w:ascii="新宋体" w:eastAsia="新宋体"/>
          <w:color w:val="0F0F0F"/>
        </w:rPr>
        <w:t>理部是民工工资支付行为的主体，承包人的</w:t>
      </w:r>
      <w:r>
        <w:rPr>
          <w:rFonts w:hint="eastAsia" w:ascii="新宋体" w:eastAsia="新宋体"/>
          <w:color w:val="0F0F0F"/>
        </w:rPr>
        <w:t>项目</w:t>
      </w:r>
      <w:r>
        <w:rPr>
          <w:rFonts w:ascii="新宋体" w:eastAsia="新宋体"/>
          <w:color w:val="0F0F0F"/>
        </w:rPr>
        <w:t>经理是</w:t>
      </w:r>
      <w:r>
        <w:rPr>
          <w:rFonts w:hint="eastAsia" w:ascii="新宋体" w:eastAsia="新宋体"/>
          <w:color w:val="0F0F0F"/>
        </w:rPr>
        <w:t>民工工</w:t>
      </w:r>
      <w:r>
        <w:rPr>
          <w:rFonts w:ascii="新宋体" w:eastAsia="新宋体"/>
          <w:color w:val="0F0F0F"/>
        </w:rPr>
        <w:t>资</w:t>
      </w:r>
      <w:r>
        <w:rPr>
          <w:rFonts w:hint="eastAsia" w:ascii="新宋体" w:eastAsia="新宋体"/>
          <w:color w:val="0F0F0F"/>
        </w:rPr>
        <w:t>支付的责任人。项目经理部要建立全体民工花名册和工资支付表，确保将工资直接发放给民工本人，或委托银行发放民工工</w:t>
      </w:r>
      <w:r>
        <w:rPr>
          <w:rFonts w:ascii="新宋体" w:eastAsia="新宋体"/>
          <w:color w:val="0F0F0F"/>
        </w:rPr>
        <w:t>资，严禁发放给“包</w:t>
      </w:r>
      <w:r>
        <w:rPr>
          <w:rFonts w:hint="eastAsia" w:ascii="新宋体" w:eastAsia="新宋体"/>
          <w:color w:val="0F0F0F"/>
        </w:rPr>
        <w:t>工</w:t>
      </w:r>
      <w:r>
        <w:rPr>
          <w:rFonts w:ascii="新宋体" w:eastAsia="新宋体"/>
          <w:color w:val="0F0F0F"/>
        </w:rPr>
        <w:t>头”或其他不</w:t>
      </w:r>
      <w:r>
        <w:rPr>
          <w:rFonts w:hint="eastAsia" w:ascii="新宋体" w:eastAsia="新宋体"/>
          <w:color w:val="0F0F0F"/>
        </w:rPr>
        <w:t>具</w:t>
      </w:r>
      <w:r>
        <w:rPr>
          <w:rFonts w:ascii="新宋体" w:eastAsia="新宋体"/>
          <w:color w:val="0F0F0F"/>
        </w:rPr>
        <w:t>备用工主体</w:t>
      </w:r>
      <w:r>
        <w:rPr>
          <w:rFonts w:hint="eastAsia" w:ascii="新宋体" w:eastAsia="新宋体"/>
          <w:color w:val="0F0F0F"/>
        </w:rPr>
        <w:t>资格的组织和个人。</w:t>
      </w:r>
    </w:p>
    <w:p w14:paraId="4A81C915">
      <w:pPr>
        <w:ind w:firstLine="525" w:firstLineChars="250"/>
        <w:rPr>
          <w:rFonts w:ascii="新宋体" w:eastAsia="新宋体"/>
          <w:color w:val="0F0F0F"/>
        </w:rPr>
      </w:pPr>
      <w:r>
        <w:rPr>
          <w:rFonts w:hint="eastAsia" w:ascii="新宋体" w:eastAsia="新宋体"/>
          <w:color w:val="0F0F0F"/>
        </w:rPr>
        <w:t>工</w:t>
      </w:r>
      <w:r>
        <w:rPr>
          <w:rFonts w:ascii="新宋体" w:eastAsia="新宋体"/>
          <w:color w:val="0F0F0F"/>
        </w:rPr>
        <w:t>资支付表应如实记录支付单位、支付时</w:t>
      </w:r>
      <w:r>
        <w:rPr>
          <w:rFonts w:hint="eastAsia" w:ascii="新宋体" w:eastAsia="新宋体"/>
          <w:color w:val="0F0F0F"/>
        </w:rPr>
        <w:t>间</w:t>
      </w:r>
      <w:r>
        <w:rPr>
          <w:rFonts w:ascii="新宋体" w:eastAsia="新宋体"/>
          <w:color w:val="0F0F0F"/>
        </w:rPr>
        <w:t>、支付对象、支付数额、支付对象的身份</w:t>
      </w:r>
      <w:r>
        <w:rPr>
          <w:rFonts w:hint="eastAsia" w:ascii="新宋体" w:eastAsia="新宋体"/>
          <w:color w:val="0F0F0F"/>
        </w:rPr>
        <w:t>证号和签字等信息。民工花名册和工资支付表应报监理人备查。</w:t>
      </w:r>
    </w:p>
    <w:p w14:paraId="640943AE">
      <w:pPr>
        <w:ind w:firstLine="525" w:firstLineChars="250"/>
        <w:rPr>
          <w:rFonts w:ascii="新宋体" w:eastAsia="新宋体"/>
          <w:color w:val="0F0F0F"/>
        </w:rPr>
      </w:pPr>
      <w:r>
        <w:rPr>
          <w:rFonts w:ascii="新宋体" w:eastAsia="新宋体"/>
          <w:color w:val="0F0F0F"/>
        </w:rPr>
        <w:t>(4)承包人应履行项目专用合同条款约定的其他义务。</w:t>
      </w:r>
    </w:p>
    <w:p w14:paraId="2DD0EC81">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3分包</w:t>
      </w:r>
    </w:p>
    <w:p w14:paraId="4F87F13B">
      <w:pPr>
        <w:ind w:firstLine="525" w:firstLineChars="250"/>
        <w:rPr>
          <w:rFonts w:ascii="新宋体" w:eastAsia="新宋体"/>
          <w:color w:val="0F0F0F"/>
        </w:rPr>
      </w:pPr>
      <w:r>
        <w:rPr>
          <w:rFonts w:ascii="新宋体" w:eastAsia="新宋体"/>
          <w:color w:val="0F0F0F"/>
        </w:rPr>
        <w:t>第4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2项</w:t>
      </w:r>
      <w:r>
        <w:rPr>
          <w:rFonts w:hint="eastAsia" w:ascii="新宋体" w:eastAsia="新宋体"/>
          <w:color w:val="0F0F0F"/>
        </w:rPr>
        <w:t>~</w:t>
      </w:r>
      <w:r>
        <w:rPr>
          <w:rFonts w:ascii="新宋体" w:eastAsia="新宋体"/>
          <w:color w:val="0F0F0F"/>
        </w:rPr>
        <w:t>第4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4项细化为：</w:t>
      </w:r>
    </w:p>
    <w:p w14:paraId="21CD2209">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2承包人不得将工程主体、关键</w:t>
      </w:r>
      <w:r>
        <w:rPr>
          <w:rFonts w:hint="eastAsia" w:ascii="新宋体" w:eastAsia="新宋体"/>
          <w:color w:val="0F0F0F"/>
        </w:rPr>
        <w:t>性</w:t>
      </w:r>
      <w:r>
        <w:rPr>
          <w:rFonts w:ascii="新宋体" w:eastAsia="新宋体"/>
          <w:color w:val="0F0F0F"/>
        </w:rPr>
        <w:t>工作分包给第三人。经发包人同意，承包</w:t>
      </w:r>
      <w:r>
        <w:rPr>
          <w:rFonts w:hint="eastAsia" w:ascii="新宋体" w:eastAsia="新宋体"/>
          <w:color w:val="0F0F0F"/>
        </w:rPr>
        <w:t>人可将工程的其他部分或工</w:t>
      </w:r>
      <w:r>
        <w:rPr>
          <w:rFonts w:ascii="新宋体" w:eastAsia="新宋体"/>
          <w:color w:val="0F0F0F"/>
        </w:rPr>
        <w:t>作分包</w:t>
      </w:r>
      <w:r>
        <w:rPr>
          <w:rFonts w:hint="eastAsia" w:ascii="新宋体" w:eastAsia="新宋体"/>
          <w:color w:val="0F0F0F"/>
        </w:rPr>
        <w:t>给</w:t>
      </w:r>
      <w:r>
        <w:rPr>
          <w:rFonts w:ascii="新宋体" w:eastAsia="新宋体"/>
          <w:color w:val="0F0F0F"/>
        </w:rPr>
        <w:t>第三人。分包包括专业分包和劳务分包。</w:t>
      </w:r>
    </w:p>
    <w:p w14:paraId="236E586B">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3专业分包</w:t>
      </w:r>
    </w:p>
    <w:p w14:paraId="2F49FFBC">
      <w:pPr>
        <w:ind w:firstLine="525" w:firstLineChars="250"/>
        <w:rPr>
          <w:rFonts w:ascii="新宋体" w:eastAsia="新宋体"/>
          <w:color w:val="0F0F0F"/>
        </w:rPr>
      </w:pPr>
      <w:r>
        <w:rPr>
          <w:rFonts w:ascii="新宋体" w:eastAsia="新宋体"/>
          <w:color w:val="0F0F0F"/>
        </w:rPr>
        <w:t>在</w:t>
      </w:r>
      <w:r>
        <w:rPr>
          <w:rFonts w:hint="eastAsia" w:ascii="新宋体" w:eastAsia="新宋体"/>
          <w:color w:val="0F0F0F"/>
        </w:rPr>
        <w:t>工程施工过程中，承包人进行专业分包必须遵守以下规定：</w:t>
      </w:r>
    </w:p>
    <w:p w14:paraId="71ED9366">
      <w:pPr>
        <w:ind w:firstLine="525" w:firstLineChars="250"/>
        <w:rPr>
          <w:rFonts w:ascii="新宋体" w:eastAsia="新宋体"/>
          <w:color w:val="0F0F0F"/>
        </w:rPr>
      </w:pPr>
      <w:r>
        <w:rPr>
          <w:rFonts w:ascii="新宋体" w:eastAsia="新宋体"/>
          <w:color w:val="0F0F0F"/>
        </w:rPr>
        <w:t>(1)允许专业分包的</w:t>
      </w:r>
      <w:r>
        <w:rPr>
          <w:rFonts w:hint="eastAsia" w:ascii="新宋体" w:eastAsia="新宋体"/>
          <w:color w:val="0F0F0F"/>
        </w:rPr>
        <w:t>工</w:t>
      </w:r>
      <w:r>
        <w:rPr>
          <w:rFonts w:ascii="新宋体" w:eastAsia="新宋体"/>
          <w:color w:val="0F0F0F"/>
        </w:rPr>
        <w:t>程范</w:t>
      </w:r>
      <w:r>
        <w:rPr>
          <w:rFonts w:hint="eastAsia" w:ascii="新宋体" w:eastAsia="新宋体"/>
          <w:color w:val="0F0F0F"/>
        </w:rPr>
        <w:t>围权</w:t>
      </w:r>
      <w:r>
        <w:rPr>
          <w:rFonts w:ascii="新宋体" w:eastAsia="新宋体"/>
          <w:color w:val="0F0F0F"/>
        </w:rPr>
        <w:t>限于分部王程或分项工程、适合专业化队伍施</w:t>
      </w:r>
      <w:r>
        <w:rPr>
          <w:rFonts w:hint="eastAsia" w:ascii="新宋体" w:eastAsia="新宋体"/>
          <w:color w:val="0F0F0F"/>
        </w:rPr>
        <w:t>工</w:t>
      </w:r>
      <w:r>
        <w:rPr>
          <w:rFonts w:ascii="新宋体" w:eastAsia="新宋体"/>
          <w:color w:val="0F0F0F"/>
        </w:rPr>
        <w:t>的</w:t>
      </w:r>
      <w:r>
        <w:rPr>
          <w:rFonts w:hint="eastAsia" w:ascii="新宋体" w:eastAsia="新宋体"/>
          <w:color w:val="0F0F0F"/>
        </w:rPr>
        <w:t>工程，专业分包的工程量累计不得超过总工</w:t>
      </w:r>
      <w:r>
        <w:rPr>
          <w:rFonts w:ascii="新宋体" w:eastAsia="新宋体"/>
          <w:color w:val="0F0F0F"/>
        </w:rPr>
        <w:t>程</w:t>
      </w:r>
      <w:r>
        <w:rPr>
          <w:rFonts w:hint="eastAsia" w:ascii="新宋体" w:eastAsia="新宋体"/>
          <w:color w:val="0F0F0F"/>
        </w:rPr>
        <w:t>量</w:t>
      </w:r>
      <w:r>
        <w:rPr>
          <w:rFonts w:ascii="新宋体" w:eastAsia="新宋体"/>
          <w:color w:val="0F0F0F"/>
        </w:rPr>
        <w:t>的30％。</w:t>
      </w:r>
    </w:p>
    <w:p w14:paraId="45FA33DB">
      <w:pPr>
        <w:ind w:firstLine="525" w:firstLineChars="250"/>
        <w:rPr>
          <w:rFonts w:ascii="新宋体" w:eastAsia="新宋体"/>
          <w:color w:val="0F0F0F"/>
        </w:rPr>
      </w:pPr>
      <w:r>
        <w:rPr>
          <w:rFonts w:ascii="新宋体" w:eastAsia="新宋体"/>
          <w:color w:val="0F0F0F"/>
        </w:rPr>
        <w:t>(2)专业分包人的资格能力(</w:t>
      </w:r>
      <w:r>
        <w:rPr>
          <w:rFonts w:hint="eastAsia" w:ascii="新宋体" w:eastAsia="新宋体"/>
          <w:color w:val="0F0F0F"/>
        </w:rPr>
        <w:t>含</w:t>
      </w:r>
      <w:r>
        <w:rPr>
          <w:rFonts w:ascii="新宋体" w:eastAsia="新宋体"/>
          <w:color w:val="0F0F0F"/>
        </w:rPr>
        <w:t>安全生产能力)应与其分包工程的标准和规模</w:t>
      </w:r>
      <w:r>
        <w:rPr>
          <w:rFonts w:hint="eastAsia" w:ascii="新宋体" w:eastAsia="新宋体"/>
          <w:color w:val="0F0F0F"/>
        </w:rPr>
        <w:t>相</w:t>
      </w:r>
      <w:r>
        <w:rPr>
          <w:rFonts w:ascii="新宋体" w:eastAsia="新宋体"/>
          <w:color w:val="0F0F0F"/>
        </w:rPr>
        <w:t>适</w:t>
      </w:r>
      <w:r>
        <w:rPr>
          <w:rFonts w:hint="eastAsia" w:ascii="新宋体" w:eastAsia="新宋体"/>
          <w:color w:val="0F0F0F"/>
        </w:rPr>
        <w:t>应，具备相应的专业承包资质。</w:t>
      </w:r>
    </w:p>
    <w:p w14:paraId="6A27A3FC">
      <w:pPr>
        <w:ind w:firstLine="525" w:firstLineChars="250"/>
        <w:rPr>
          <w:rFonts w:ascii="新宋体" w:eastAsia="新宋体"/>
          <w:color w:val="0F0F0F"/>
        </w:rPr>
      </w:pPr>
      <w:r>
        <w:rPr>
          <w:rFonts w:ascii="新宋体" w:eastAsia="新宋体"/>
          <w:color w:val="0F0F0F"/>
        </w:rPr>
        <w:t>(3)专业分包</w:t>
      </w:r>
      <w:r>
        <w:rPr>
          <w:rFonts w:hint="eastAsia" w:ascii="新宋体" w:eastAsia="新宋体"/>
          <w:color w:val="0F0F0F"/>
        </w:rPr>
        <w:t>工</w:t>
      </w:r>
      <w:r>
        <w:rPr>
          <w:rFonts w:ascii="新宋体" w:eastAsia="新宋体"/>
          <w:color w:val="0F0F0F"/>
        </w:rPr>
        <w:t>程不得再次分包。</w:t>
      </w:r>
    </w:p>
    <w:p w14:paraId="70A7B6A8">
      <w:pPr>
        <w:ind w:firstLine="525" w:firstLineChars="250"/>
        <w:rPr>
          <w:rFonts w:ascii="新宋体" w:eastAsia="新宋体"/>
          <w:color w:val="0F0F0F"/>
        </w:rPr>
      </w:pPr>
      <w:r>
        <w:rPr>
          <w:rFonts w:ascii="新宋体" w:eastAsia="新宋体"/>
          <w:color w:val="0F0F0F"/>
        </w:rPr>
        <w:t>(4)承包人和专业分包人应当依法签订专业分包合同。并按照合同履行约定的义</w:t>
      </w:r>
      <w:r>
        <w:rPr>
          <w:rFonts w:hint="eastAsia" w:ascii="新宋体" w:eastAsia="新宋体"/>
          <w:color w:val="0F0F0F"/>
        </w:rPr>
        <w:t>务。专业分包含同必须明确约定工程款支付条款、结算方式以及保证按期支付的相应措施，确保工程款的支付。</w:t>
      </w:r>
    </w:p>
    <w:p w14:paraId="3303110A">
      <w:pPr>
        <w:ind w:firstLine="525" w:firstLineChars="250"/>
        <w:rPr>
          <w:rFonts w:ascii="新宋体" w:eastAsia="新宋体"/>
          <w:color w:val="0F0F0F"/>
        </w:rPr>
      </w:pPr>
      <w:r>
        <w:rPr>
          <w:rFonts w:ascii="新宋体" w:eastAsia="新宋体"/>
          <w:color w:val="0F0F0F"/>
        </w:rPr>
        <w:t>(5)承包人对施</w:t>
      </w:r>
      <w:r>
        <w:rPr>
          <w:rFonts w:hint="eastAsia" w:ascii="新宋体" w:eastAsia="新宋体"/>
          <w:color w:val="0F0F0F"/>
        </w:rPr>
        <w:t>工</w:t>
      </w:r>
      <w:r>
        <w:rPr>
          <w:rFonts w:ascii="新宋体" w:eastAsia="新宋体"/>
          <w:color w:val="0F0F0F"/>
        </w:rPr>
        <w:t>现场安全负总责，并对专业分包人的安全生产进行培训和管理。</w:t>
      </w:r>
      <w:r>
        <w:rPr>
          <w:rFonts w:hint="eastAsia" w:ascii="新宋体" w:eastAsia="新宋体"/>
          <w:color w:val="0F0F0F"/>
        </w:rPr>
        <w:t>专业分包人应将其专业分包工程的施工组织设计和施工安全方案报承包入备案。专业分包人对分包施工</w:t>
      </w:r>
      <w:r>
        <w:rPr>
          <w:rFonts w:ascii="新宋体" w:eastAsia="新宋体"/>
          <w:color w:val="0F0F0F"/>
        </w:rPr>
        <w:t>现场安全负责，发现事故隐患，应及时处理。</w:t>
      </w:r>
    </w:p>
    <w:p w14:paraId="3BB7537C">
      <w:pPr>
        <w:ind w:firstLine="525" w:firstLineChars="250"/>
        <w:rPr>
          <w:rFonts w:ascii="新宋体" w:eastAsia="新宋体"/>
          <w:color w:val="0F0F0F"/>
        </w:rPr>
      </w:pPr>
      <w:r>
        <w:rPr>
          <w:rFonts w:ascii="新宋体" w:eastAsia="新宋体"/>
          <w:color w:val="0F0F0F"/>
        </w:rPr>
        <w:t>(6)所有专业分包计划和专业分包合同须报监理人审批，并报发包人核备．。监理人</w:t>
      </w:r>
      <w:r>
        <w:rPr>
          <w:rFonts w:hint="eastAsia" w:ascii="新宋体" w:eastAsia="新宋体"/>
          <w:color w:val="0F0F0F"/>
        </w:rPr>
        <w:t>审批专业分包并不解除合同规定的承包人的任何责任或义务。</w:t>
      </w:r>
    </w:p>
    <w:p w14:paraId="72B8BF67">
      <w:pPr>
        <w:ind w:firstLine="525" w:firstLineChars="250"/>
        <w:rPr>
          <w:rFonts w:ascii="新宋体" w:eastAsia="新宋体"/>
          <w:color w:val="0F0F0F"/>
        </w:rPr>
      </w:pPr>
      <w:r>
        <w:rPr>
          <w:rFonts w:ascii="新宋体" w:eastAsia="新宋体"/>
          <w:color w:val="0F0F0F"/>
        </w:rPr>
        <w:t>违反上述规定之一者</w:t>
      </w:r>
      <w:r>
        <w:rPr>
          <w:rFonts w:hint="eastAsia" w:ascii="新宋体" w:eastAsia="新宋体"/>
          <w:color w:val="0F0F0F"/>
        </w:rPr>
        <w:t>属</w:t>
      </w:r>
      <w:r>
        <w:rPr>
          <w:rFonts w:ascii="新宋体" w:eastAsia="新宋体"/>
          <w:color w:val="0F0F0F"/>
        </w:rPr>
        <w:t>违规分包。</w:t>
      </w:r>
    </w:p>
    <w:p w14:paraId="22ADA81F">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.4</w:t>
      </w:r>
      <w:r>
        <w:rPr>
          <w:rFonts w:ascii="新宋体" w:eastAsia="新宋体"/>
          <w:color w:val="0F0F0F"/>
        </w:rPr>
        <w:t>劳务分包</w:t>
      </w:r>
    </w:p>
    <w:p w14:paraId="405FC4CF">
      <w:pPr>
        <w:ind w:firstLine="525" w:firstLineChars="250"/>
        <w:rPr>
          <w:rFonts w:ascii="新宋体" w:eastAsia="新宋体"/>
          <w:color w:val="0F0F0F"/>
        </w:rPr>
      </w:pPr>
      <w:r>
        <w:rPr>
          <w:rFonts w:ascii="新宋体" w:eastAsia="新宋体"/>
          <w:color w:val="0F0F0F"/>
        </w:rPr>
        <w:t>在工程施工过程</w:t>
      </w:r>
      <w:r>
        <w:rPr>
          <w:rFonts w:hint="eastAsia" w:ascii="新宋体" w:eastAsia="新宋体"/>
          <w:color w:val="0F0F0F"/>
        </w:rPr>
        <w:t>中</w:t>
      </w:r>
      <w:r>
        <w:rPr>
          <w:rFonts w:ascii="新宋体" w:eastAsia="新宋体"/>
          <w:color w:val="0F0F0F"/>
        </w:rPr>
        <w:t>，承包人进行劳务分包必须遵守以下规定：</w:t>
      </w:r>
    </w:p>
    <w:p w14:paraId="2358820E">
      <w:pPr>
        <w:ind w:firstLine="525" w:firstLineChars="250"/>
        <w:rPr>
          <w:rFonts w:ascii="新宋体" w:eastAsia="新宋体"/>
          <w:color w:val="0F0F0F"/>
        </w:rPr>
      </w:pPr>
      <w:r>
        <w:rPr>
          <w:rFonts w:ascii="新宋体" w:eastAsia="新宋体"/>
          <w:color w:val="0F0F0F"/>
        </w:rPr>
        <w:t>(1)劳务分包人应具有劳务分包资质。</w:t>
      </w:r>
    </w:p>
    <w:p w14:paraId="770C8D3F">
      <w:pPr>
        <w:ind w:firstLine="525" w:firstLineChars="250"/>
        <w:rPr>
          <w:rFonts w:ascii="新宋体" w:eastAsia="新宋体"/>
          <w:color w:val="0F0F0F"/>
        </w:rPr>
      </w:pPr>
      <w:r>
        <w:rPr>
          <w:rFonts w:ascii="新宋体" w:eastAsia="新宋体"/>
          <w:color w:val="0F0F0F"/>
        </w:rPr>
        <w:t>(2)劳</w:t>
      </w:r>
      <w:r>
        <w:rPr>
          <w:rFonts w:hint="eastAsia" w:ascii="新宋体" w:eastAsia="新宋体"/>
          <w:color w:val="0F0F0F"/>
        </w:rPr>
        <w:t>务</w:t>
      </w:r>
      <w:r>
        <w:rPr>
          <w:rFonts w:ascii="新宋体" w:eastAsia="新宋体"/>
          <w:color w:val="0F0F0F"/>
        </w:rPr>
        <w:t>分包应当依法签订</w:t>
      </w:r>
      <w:r>
        <w:rPr>
          <w:rFonts w:hint="eastAsia" w:ascii="新宋体" w:eastAsia="新宋体"/>
          <w:color w:val="0F0F0F"/>
        </w:rPr>
        <w:t>劳</w:t>
      </w:r>
      <w:r>
        <w:rPr>
          <w:rFonts w:ascii="新宋体" w:eastAsia="新宋体"/>
          <w:color w:val="0F0F0F"/>
        </w:rPr>
        <w:t>务分包合同，劳务分包合同必须由承包人的法定代表</w:t>
      </w:r>
      <w:r>
        <w:rPr>
          <w:rFonts w:hint="eastAsia" w:ascii="新宋体" w:eastAsia="新宋体"/>
          <w:color w:val="0F0F0F"/>
        </w:rPr>
        <w:t>人或其委托代理人与劳务分包人直接签订，不得由他人代签。承包人的项目经理部、项目经理、施工班组等不具备用工主体资格，不能与劳务分包人签订劳务分包合同。承包人应向发包人和监理人提交劳务分包合同副本并报项目所在地劳动保障部门备案。</w:t>
      </w:r>
    </w:p>
    <w:p w14:paraId="4B2A9AD8">
      <w:pPr>
        <w:ind w:firstLine="525" w:firstLineChars="250"/>
        <w:rPr>
          <w:rFonts w:ascii="新宋体" w:eastAsia="新宋体"/>
          <w:color w:val="0F0F0F"/>
        </w:rPr>
      </w:pPr>
      <w:r>
        <w:rPr>
          <w:rFonts w:ascii="新宋体" w:eastAsia="新宋体"/>
          <w:color w:val="0F0F0F"/>
        </w:rPr>
        <w:t>(3)承包人</w:t>
      </w:r>
      <w:r>
        <w:rPr>
          <w:rFonts w:hint="eastAsia" w:ascii="新宋体" w:eastAsia="新宋体"/>
          <w:color w:val="0F0F0F"/>
        </w:rPr>
        <w:t>雇</w:t>
      </w:r>
      <w:r>
        <w:rPr>
          <w:rFonts w:ascii="新宋体" w:eastAsia="新宋体"/>
          <w:color w:val="0F0F0F"/>
        </w:rPr>
        <w:t>用的</w:t>
      </w:r>
      <w:r>
        <w:rPr>
          <w:rFonts w:hint="eastAsia" w:ascii="新宋体" w:eastAsia="新宋体"/>
          <w:color w:val="0F0F0F"/>
        </w:rPr>
        <w:t>劳</w:t>
      </w:r>
      <w:r>
        <w:rPr>
          <w:rFonts w:ascii="新宋体" w:eastAsia="新宋体"/>
          <w:color w:val="0F0F0F"/>
        </w:rPr>
        <w:t>务作业应加入到承包人的施工班组统一管理。有关施</w:t>
      </w:r>
      <w:r>
        <w:rPr>
          <w:rFonts w:hint="eastAsia" w:ascii="新宋体" w:eastAsia="新宋体"/>
          <w:color w:val="0F0F0F"/>
        </w:rPr>
        <w:t>工</w:t>
      </w:r>
      <w:r>
        <w:rPr>
          <w:rFonts w:ascii="新宋体" w:eastAsia="新宋体"/>
          <w:color w:val="0F0F0F"/>
        </w:rPr>
        <w:t>质量、</w:t>
      </w:r>
      <w:r>
        <w:rPr>
          <w:rFonts w:hint="eastAsia" w:ascii="新宋体" w:eastAsia="新宋体"/>
          <w:color w:val="0F0F0F"/>
        </w:rPr>
        <w:t>施工安全、施工进度、环境保护、技术方案、试验检测、材料保管与供应、机械设备等都必须由承包人管理与调配，不得以包代管。</w:t>
      </w:r>
    </w:p>
    <w:p w14:paraId="233E0D22">
      <w:pPr>
        <w:ind w:firstLine="525" w:firstLineChars="250"/>
        <w:rPr>
          <w:rFonts w:ascii="新宋体" w:eastAsia="新宋体"/>
          <w:color w:val="0F0F0F"/>
        </w:rPr>
      </w:pPr>
      <w:r>
        <w:rPr>
          <w:rFonts w:ascii="新宋体" w:eastAsia="新宋体"/>
          <w:color w:val="0F0F0F"/>
        </w:rPr>
        <w:t>(4)承包人应当对劳务分包人员进行安全培训和管理，劳务分包</w:t>
      </w:r>
      <w:r>
        <w:rPr>
          <w:rFonts w:hint="eastAsia" w:ascii="新宋体" w:eastAsia="新宋体"/>
          <w:color w:val="0F0F0F"/>
        </w:rPr>
        <w:t>人</w:t>
      </w:r>
      <w:r>
        <w:rPr>
          <w:rFonts w:ascii="新宋体" w:eastAsia="新宋体"/>
          <w:color w:val="0F0F0F"/>
        </w:rPr>
        <w:t>不得将其分包的</w:t>
      </w:r>
      <w:r>
        <w:rPr>
          <w:rFonts w:hint="eastAsia" w:ascii="新宋体" w:eastAsia="新宋体"/>
          <w:color w:val="0F0F0F"/>
        </w:rPr>
        <w:t>劳务作业再次分包。</w:t>
      </w:r>
    </w:p>
    <w:p w14:paraId="01AA3F30">
      <w:pPr>
        <w:ind w:firstLine="525" w:firstLineChars="250"/>
        <w:rPr>
          <w:rFonts w:ascii="新宋体" w:eastAsia="新宋体"/>
          <w:color w:val="0F0F0F"/>
        </w:rPr>
      </w:pPr>
      <w:r>
        <w:rPr>
          <w:rFonts w:ascii="新宋体" w:eastAsia="新宋体"/>
          <w:color w:val="0F0F0F"/>
        </w:rPr>
        <w:t>违反上述规定之</w:t>
      </w:r>
      <w:r>
        <w:rPr>
          <w:rFonts w:hint="eastAsia" w:ascii="新宋体" w:eastAsia="新宋体"/>
          <w:color w:val="0F0F0F"/>
        </w:rPr>
        <w:t>一</w:t>
      </w:r>
      <w:r>
        <w:rPr>
          <w:rFonts w:ascii="新宋体" w:eastAsia="新宋体"/>
          <w:color w:val="0F0F0F"/>
        </w:rPr>
        <w:t>者</w:t>
      </w:r>
      <w:r>
        <w:rPr>
          <w:rFonts w:hint="eastAsia" w:ascii="新宋体" w:eastAsia="新宋体"/>
          <w:color w:val="0F0F0F"/>
        </w:rPr>
        <w:t>属违</w:t>
      </w:r>
      <w:r>
        <w:rPr>
          <w:rFonts w:ascii="新宋体" w:eastAsia="新宋体"/>
          <w:color w:val="0F0F0F"/>
        </w:rPr>
        <w:t>规分包。</w:t>
      </w:r>
    </w:p>
    <w:p w14:paraId="55DAC8E9">
      <w:pPr>
        <w:ind w:firstLine="525" w:firstLineChars="250"/>
        <w:rPr>
          <w:rFonts w:ascii="新宋体" w:eastAsia="新宋体"/>
          <w:color w:val="0F0F0F"/>
        </w:rPr>
      </w:pPr>
      <w:r>
        <w:rPr>
          <w:rFonts w:ascii="新宋体" w:eastAsia="新宋体"/>
          <w:color w:val="0F0F0F"/>
        </w:rPr>
        <w:t>本款补充第4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6项：</w:t>
      </w:r>
    </w:p>
    <w:p w14:paraId="408AD76C">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6发包人对承包人与分包人之间的法律与经济纠纷不承</w:t>
      </w:r>
      <w:r>
        <w:rPr>
          <w:rFonts w:hint="eastAsia" w:ascii="新宋体" w:eastAsia="新宋体"/>
          <w:color w:val="0F0F0F"/>
        </w:rPr>
        <w:t>担</w:t>
      </w:r>
      <w:r>
        <w:rPr>
          <w:rFonts w:ascii="新宋体" w:eastAsia="新宋体"/>
          <w:color w:val="0F0F0F"/>
        </w:rPr>
        <w:t>任何资任和义务。</w:t>
      </w:r>
    </w:p>
    <w:p w14:paraId="5B87D121">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4联合体</w:t>
      </w:r>
    </w:p>
    <w:p w14:paraId="7BB33438">
      <w:pPr>
        <w:ind w:firstLine="525" w:firstLineChars="250"/>
        <w:rPr>
          <w:rFonts w:ascii="新宋体" w:hAnsi="宋体" w:eastAsia="新宋体"/>
          <w:b/>
          <w:color w:val="0F0F0F"/>
          <w:sz w:val="25"/>
          <w:szCs w:val="32"/>
        </w:rPr>
      </w:pPr>
      <w:r>
        <w:rPr>
          <w:rFonts w:ascii="新宋体" w:eastAsia="新宋体"/>
          <w:color w:val="0F0F0F"/>
        </w:rPr>
        <w:t>本款</w:t>
      </w:r>
      <w:r>
        <w:rPr>
          <w:rFonts w:hint="eastAsia" w:ascii="新宋体" w:eastAsia="新宋体"/>
          <w:color w:val="0F0F0F"/>
        </w:rPr>
        <w:t>补</w:t>
      </w:r>
      <w:r>
        <w:rPr>
          <w:rFonts w:ascii="新宋体" w:eastAsia="新宋体"/>
          <w:color w:val="0F0F0F"/>
        </w:rPr>
        <w:t>充第4</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4项：</w:t>
      </w:r>
    </w:p>
    <w:p w14:paraId="0AB96CEE">
      <w:pPr>
        <w:ind w:firstLine="525" w:firstLineChars="250"/>
        <w:rPr>
          <w:rFonts w:ascii="新宋体" w:hAnsi="宋体" w:eastAsia="新宋体"/>
          <w:b/>
          <w:color w:val="0F0F0F"/>
          <w:sz w:val="25"/>
          <w:szCs w:val="32"/>
        </w:rPr>
      </w:pPr>
      <w:r>
        <w:rPr>
          <w:rFonts w:ascii="新宋体" w:eastAsia="新宋体"/>
          <w:color w:val="0F0F0F"/>
        </w:rPr>
        <w:t>4</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4未经发包人</w:t>
      </w:r>
      <w:r>
        <w:rPr>
          <w:rFonts w:hint="eastAsia" w:ascii="新宋体" w:eastAsia="新宋体"/>
          <w:color w:val="0F0F0F"/>
        </w:rPr>
        <w:t>事</w:t>
      </w:r>
      <w:r>
        <w:rPr>
          <w:rFonts w:ascii="新宋体" w:eastAsia="新宋体"/>
          <w:color w:val="0F0F0F"/>
        </w:rPr>
        <w:t>先同意，联合体的组成与结构不得变动。</w:t>
      </w:r>
    </w:p>
    <w:p w14:paraId="0F5D8F53">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6承包人人员的管理</w:t>
      </w:r>
    </w:p>
    <w:p w14:paraId="3F0AD821">
      <w:pPr>
        <w:ind w:firstLine="525" w:firstLineChars="250"/>
        <w:rPr>
          <w:rFonts w:ascii="新宋体" w:hAnsi="宋体" w:eastAsia="新宋体"/>
          <w:b/>
          <w:color w:val="0F0F0F"/>
          <w:sz w:val="25"/>
          <w:szCs w:val="32"/>
        </w:rPr>
      </w:pPr>
      <w:r>
        <w:rPr>
          <w:rFonts w:ascii="新宋体" w:eastAsia="新宋体"/>
          <w:color w:val="0F0F0F"/>
        </w:rPr>
        <w:t>第4</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3项细化为：</w:t>
      </w:r>
    </w:p>
    <w:p w14:paraId="178C78B2">
      <w:pPr>
        <w:ind w:firstLine="525" w:firstLineChars="250"/>
        <w:rPr>
          <w:rFonts w:ascii="新宋体" w:hAnsi="宋体" w:eastAsia="新宋体"/>
          <w:b/>
          <w:color w:val="0F0F0F"/>
          <w:sz w:val="25"/>
          <w:szCs w:val="32"/>
        </w:rPr>
      </w:pPr>
      <w:r>
        <w:rPr>
          <w:rFonts w:ascii="新宋体" w:eastAsia="新宋体"/>
          <w:color w:val="0F0F0F"/>
        </w:rPr>
        <w:t>承包人安排在施工场地的主要管理人员和技术骨干应与承包人承诺的名单一致</w:t>
      </w:r>
      <w:r>
        <w:rPr>
          <w:rFonts w:hint="eastAsia" w:ascii="新宋体" w:eastAsia="新宋体"/>
          <w:color w:val="0F0F0F"/>
        </w:rPr>
        <w:t>，并保持相对稳定。未经监理人批准，上述人员不应无故不到位或被替换；若确实无法到位或需替换，需经监理人审核并报发包人批准后，用同等资质和经历的人员替换。</w:t>
      </w:r>
    </w:p>
    <w:p w14:paraId="75F40B2F">
      <w:pPr>
        <w:ind w:firstLine="525" w:firstLineChars="250"/>
        <w:rPr>
          <w:rFonts w:ascii="新宋体" w:hAnsi="宋体" w:eastAsia="新宋体"/>
          <w:b/>
          <w:color w:val="0F0F0F"/>
          <w:sz w:val="25"/>
          <w:szCs w:val="32"/>
        </w:rPr>
      </w:pPr>
      <w:r>
        <w:rPr>
          <w:rFonts w:ascii="新宋体" w:eastAsia="新宋体"/>
          <w:color w:val="0F0F0F"/>
        </w:rPr>
        <w:t>本款补充第4</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5项：</w:t>
      </w:r>
    </w:p>
    <w:p w14:paraId="5F9EC094">
      <w:pPr>
        <w:ind w:firstLine="525" w:firstLineChars="250"/>
        <w:rPr>
          <w:rFonts w:ascii="新宋体" w:hAnsi="宋体" w:eastAsia="新宋体"/>
          <w:b/>
          <w:color w:val="0F0F0F"/>
          <w:sz w:val="25"/>
          <w:szCs w:val="32"/>
        </w:rPr>
      </w:pPr>
      <w:r>
        <w:rPr>
          <w:rFonts w:ascii="新宋体" w:eastAsia="新宋体"/>
          <w:color w:val="0F0F0F"/>
        </w:rPr>
        <w:t>4</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5尽管承包人已按承诺派遣了上述</w:t>
      </w:r>
      <w:r>
        <w:rPr>
          <w:rFonts w:hint="eastAsia" w:ascii="新宋体" w:eastAsia="新宋体"/>
          <w:color w:val="0F0F0F"/>
        </w:rPr>
        <w:t>各</w:t>
      </w:r>
      <w:r>
        <w:rPr>
          <w:rFonts w:ascii="新宋体" w:eastAsia="新宋体"/>
          <w:color w:val="0F0F0F"/>
        </w:rPr>
        <w:t>类人员，但若这</w:t>
      </w:r>
      <w:r>
        <w:rPr>
          <w:rFonts w:hint="eastAsia" w:ascii="新宋体" w:eastAsia="新宋体"/>
          <w:color w:val="0F0F0F"/>
        </w:rPr>
        <w:t>些</w:t>
      </w:r>
      <w:r>
        <w:rPr>
          <w:rFonts w:ascii="新宋体" w:eastAsia="新宋体"/>
          <w:color w:val="0F0F0F"/>
        </w:rPr>
        <w:t>人员仍不能满足</w:t>
      </w:r>
      <w:r>
        <w:rPr>
          <w:rFonts w:hint="eastAsia" w:ascii="新宋体" w:eastAsia="新宋体"/>
          <w:color w:val="0F0F0F"/>
        </w:rPr>
        <w:t>合</w:t>
      </w:r>
      <w:r>
        <w:rPr>
          <w:rFonts w:ascii="新宋体" w:eastAsia="新宋体"/>
          <w:color w:val="0F0F0F"/>
        </w:rPr>
        <w:t>同</w:t>
      </w:r>
      <w:r>
        <w:rPr>
          <w:rFonts w:hint="eastAsia" w:ascii="新宋体" w:eastAsia="新宋体"/>
          <w:color w:val="0F0F0F"/>
        </w:rPr>
        <w:t>进度计划和</w:t>
      </w:r>
      <w:r>
        <w:rPr>
          <w:rFonts w:ascii="新宋体" w:eastAsia="新宋体"/>
          <w:color w:val="0F0F0F"/>
        </w:rPr>
        <w:t>(或)质量要求时，监理人有权要求承包人继续增派或</w:t>
      </w:r>
      <w:r>
        <w:rPr>
          <w:rFonts w:hint="eastAsia" w:ascii="新宋体" w:eastAsia="新宋体"/>
          <w:color w:val="0F0F0F"/>
        </w:rPr>
        <w:t>雇</w:t>
      </w:r>
      <w:r>
        <w:rPr>
          <w:rFonts w:ascii="新宋体" w:eastAsia="新宋体"/>
          <w:color w:val="0F0F0F"/>
        </w:rPr>
        <w:t>用这类人员，</w:t>
      </w:r>
      <w:r>
        <w:rPr>
          <w:rFonts w:hint="eastAsia" w:ascii="新宋体" w:eastAsia="新宋体"/>
          <w:color w:val="0F0F0F"/>
        </w:rPr>
        <w:t>并</w:t>
      </w:r>
      <w:r>
        <w:rPr>
          <w:rFonts w:ascii="新宋体" w:eastAsia="新宋体"/>
          <w:color w:val="0F0F0F"/>
        </w:rPr>
        <w:t>书</w:t>
      </w:r>
      <w:r>
        <w:rPr>
          <w:rFonts w:hint="eastAsia" w:ascii="新宋体" w:eastAsia="新宋体"/>
          <w:color w:val="0F0F0F"/>
        </w:rPr>
        <w:t>面通知承包人和抄送发包人。承包人在接到上述通知后应立即执行监理人的上述指示，不得无故拖延，由此增加的费用和</w:t>
      </w:r>
      <w:r>
        <w:rPr>
          <w:rFonts w:ascii="新宋体" w:eastAsia="新宋体"/>
          <w:color w:val="0F0F0F"/>
        </w:rPr>
        <w:t xml:space="preserve">(或)工期延误由承包人承担。   </w:t>
      </w:r>
    </w:p>
    <w:p w14:paraId="4E0207E7">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7撤换承包人项目经</w:t>
      </w:r>
      <w:r>
        <w:rPr>
          <w:rFonts w:hint="eastAsia" w:ascii="新宋体" w:eastAsia="新宋体"/>
          <w:color w:val="0F0F0F"/>
          <w:sz w:val="24"/>
        </w:rPr>
        <w:t>理</w:t>
      </w:r>
      <w:r>
        <w:rPr>
          <w:rFonts w:ascii="新宋体" w:eastAsia="新宋体"/>
          <w:color w:val="0F0F0F"/>
          <w:sz w:val="24"/>
        </w:rPr>
        <w:t>和其他人员</w:t>
      </w:r>
    </w:p>
    <w:p w14:paraId="4DD453E4">
      <w:pPr>
        <w:ind w:firstLine="525" w:firstLineChars="250"/>
        <w:rPr>
          <w:rFonts w:ascii="新宋体" w:hAnsi="宋体" w:eastAsia="新宋体"/>
          <w:b/>
          <w:color w:val="0F0F0F"/>
          <w:sz w:val="25"/>
          <w:szCs w:val="32"/>
        </w:rPr>
      </w:pPr>
      <w:r>
        <w:rPr>
          <w:rFonts w:ascii="新宋体" w:eastAsia="新宋体"/>
          <w:color w:val="0F0F0F"/>
        </w:rPr>
        <w:t>本款细化为：</w:t>
      </w:r>
    </w:p>
    <w:p w14:paraId="45DA2B69">
      <w:pPr>
        <w:ind w:firstLine="525" w:firstLineChars="250"/>
        <w:rPr>
          <w:rFonts w:ascii="新宋体" w:hAnsi="宋体" w:eastAsia="新宋体"/>
          <w:b/>
          <w:color w:val="0F0F0F"/>
          <w:sz w:val="25"/>
          <w:szCs w:val="32"/>
        </w:rPr>
      </w:pPr>
      <w:r>
        <w:rPr>
          <w:rFonts w:ascii="新宋体" w:eastAsia="新宋体"/>
          <w:color w:val="0F0F0F"/>
        </w:rPr>
        <w:t>承包人应对其项目经理</w:t>
      </w:r>
      <w:r>
        <w:rPr>
          <w:rFonts w:hint="eastAsia" w:ascii="新宋体" w:eastAsia="新宋体"/>
          <w:color w:val="0F0F0F"/>
        </w:rPr>
        <w:t>和</w:t>
      </w:r>
      <w:r>
        <w:rPr>
          <w:rFonts w:ascii="新宋体" w:eastAsia="新宋体"/>
          <w:color w:val="0F0F0F"/>
        </w:rPr>
        <w:t>其他人员进行有效管理。监理人要求撤换不能胜任本职</w:t>
      </w:r>
      <w:r>
        <w:rPr>
          <w:rFonts w:hint="eastAsia" w:ascii="新宋体" w:eastAsia="新宋体"/>
          <w:color w:val="0F0F0F"/>
        </w:rPr>
        <w:t>工作、行为不端或玩忽职守的承包人项目经理和其他人员的，承包人应予以撤换，同时委派经发包人与监理人同意的新的项目经理和其他人员。</w:t>
      </w:r>
    </w:p>
    <w:p w14:paraId="2E21C651">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9工稷价款应专款专用</w:t>
      </w:r>
    </w:p>
    <w:p w14:paraId="5192593C">
      <w:pPr>
        <w:ind w:firstLine="525" w:firstLineChars="250"/>
        <w:rPr>
          <w:rFonts w:ascii="新宋体" w:hAnsi="宋体" w:eastAsia="新宋体"/>
          <w:b/>
          <w:color w:val="0F0F0F"/>
          <w:sz w:val="25"/>
          <w:szCs w:val="32"/>
        </w:rPr>
      </w:pPr>
      <w:r>
        <w:rPr>
          <w:rFonts w:ascii="新宋体" w:eastAsia="新宋体"/>
          <w:color w:val="0F0F0F"/>
        </w:rPr>
        <w:t>本款细化为：</w:t>
      </w:r>
    </w:p>
    <w:p w14:paraId="179DC33E">
      <w:pPr>
        <w:ind w:firstLine="525" w:firstLineChars="250"/>
        <w:rPr>
          <w:rFonts w:ascii="新宋体" w:hAnsi="宋体" w:eastAsia="新宋体"/>
          <w:b/>
          <w:color w:val="0F0F0F"/>
          <w:sz w:val="25"/>
          <w:szCs w:val="32"/>
        </w:rPr>
      </w:pPr>
      <w:r>
        <w:rPr>
          <w:rFonts w:ascii="新宋体" w:eastAsia="新宋体"/>
          <w:color w:val="0F0F0F"/>
        </w:rPr>
        <w:t>发包人按合同约定支付</w:t>
      </w:r>
      <w:r>
        <w:rPr>
          <w:rFonts w:hint="eastAsia" w:ascii="新宋体" w:eastAsia="新宋体"/>
          <w:color w:val="0F0F0F"/>
        </w:rPr>
        <w:t>给</w:t>
      </w:r>
      <w:r>
        <w:rPr>
          <w:rFonts w:ascii="新宋体" w:eastAsia="新宋体"/>
          <w:color w:val="0F0F0F"/>
        </w:rPr>
        <w:t>承包人的各项价</w:t>
      </w:r>
      <w:r>
        <w:rPr>
          <w:rFonts w:hint="eastAsia" w:ascii="新宋体" w:eastAsia="新宋体"/>
          <w:color w:val="0F0F0F"/>
        </w:rPr>
        <w:t>款</w:t>
      </w:r>
      <w:r>
        <w:rPr>
          <w:rFonts w:ascii="新宋体" w:eastAsia="新宋体"/>
          <w:color w:val="0F0F0F"/>
        </w:rPr>
        <w:t>应专用于合同工</w:t>
      </w:r>
      <w:r>
        <w:rPr>
          <w:rFonts w:hint="eastAsia" w:ascii="新宋体" w:eastAsia="新宋体"/>
          <w:color w:val="0F0F0F"/>
        </w:rPr>
        <w:t>程</w:t>
      </w:r>
      <w:r>
        <w:rPr>
          <w:rFonts w:ascii="新宋体" w:eastAsia="新宋体"/>
          <w:color w:val="0F0F0F"/>
        </w:rPr>
        <w:t>。承包人必须在发</w:t>
      </w:r>
      <w:r>
        <w:rPr>
          <w:rFonts w:hint="eastAsia" w:ascii="新宋体" w:eastAsia="新宋体"/>
          <w:color w:val="0F0F0F"/>
        </w:rPr>
        <w:t>包人指定的银行开户，并与发包人、银行共同签订《工程资金监管协议》，接受发包人和银行对资金的监管。承包人应向发包人授权进行本合同工程开户银行工程资金的查询。发包人支付的工程进度款应为本工程的专款专用资金，不得转移或用于其他工程。发包人的期中支付款将转入该银行所设的专门账户，发包人及其派出机构有权不定期对承包人工程资金使用情况进行检查，发现问题及时责令承包人限期改正，否则，将终止月支付，直至承包人改正为止。</w:t>
      </w:r>
    </w:p>
    <w:p w14:paraId="197D1A25">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10承包人现场查勘</w:t>
      </w:r>
    </w:p>
    <w:p w14:paraId="09E936D1">
      <w:pPr>
        <w:ind w:firstLine="525" w:firstLineChars="250"/>
        <w:rPr>
          <w:rFonts w:ascii="新宋体" w:eastAsia="新宋体"/>
          <w:color w:val="0F0F0F"/>
        </w:rPr>
      </w:pPr>
      <w:r>
        <w:rPr>
          <w:rFonts w:ascii="新宋体" w:eastAsia="新宋体"/>
          <w:color w:val="0F0F0F"/>
        </w:rPr>
        <w:t>第4</w:t>
      </w:r>
      <w:r>
        <w:rPr>
          <w:rFonts w:hint="eastAsia" w:ascii="新宋体" w:eastAsia="新宋体"/>
          <w:color w:val="0F0F0F"/>
        </w:rPr>
        <w:t>.</w:t>
      </w:r>
      <w:r>
        <w:rPr>
          <w:rFonts w:ascii="新宋体" w:eastAsia="新宋体"/>
          <w:color w:val="0F0F0F"/>
        </w:rPr>
        <w:t>10</w:t>
      </w:r>
      <w:r>
        <w:rPr>
          <w:rFonts w:hint="eastAsia" w:ascii="新宋体" w:eastAsia="新宋体"/>
          <w:color w:val="0F0F0F"/>
        </w:rPr>
        <w:t>.</w:t>
      </w:r>
      <w:r>
        <w:rPr>
          <w:rFonts w:ascii="新宋体" w:eastAsia="新宋体"/>
          <w:color w:val="0F0F0F"/>
        </w:rPr>
        <w:t>1项细化为：</w:t>
      </w:r>
    </w:p>
    <w:p w14:paraId="43D8126B">
      <w:pPr>
        <w:ind w:firstLine="525" w:firstLineChars="250"/>
        <w:rPr>
          <w:rFonts w:ascii="新宋体" w:eastAsia="新宋体"/>
          <w:color w:val="0F0F0F"/>
        </w:rPr>
      </w:pPr>
      <w:r>
        <w:rPr>
          <w:rFonts w:ascii="新宋体" w:eastAsia="新宋体"/>
          <w:color w:val="0F0F0F"/>
        </w:rPr>
        <w:t>发包人提供的本合同工程的水文、地质、气象和料场分布、取土场、弃</w:t>
      </w:r>
      <w:r>
        <w:rPr>
          <w:rFonts w:hint="eastAsia" w:ascii="新宋体" w:eastAsia="新宋体"/>
          <w:color w:val="0F0F0F"/>
        </w:rPr>
        <w:t>土</w:t>
      </w:r>
      <w:r>
        <w:rPr>
          <w:rFonts w:ascii="新宋体" w:eastAsia="新宋体"/>
          <w:color w:val="0F0F0F"/>
        </w:rPr>
        <w:t>场位置等资</w:t>
      </w:r>
      <w:r>
        <w:rPr>
          <w:rFonts w:hint="eastAsia" w:ascii="新宋体" w:eastAsia="新宋体"/>
          <w:color w:val="0F0F0F"/>
        </w:rPr>
        <w:t>料均属于参考资料，并不构成合同文件的组成部分。承包人应对自己就上述资料的解释、推论和应用负责，发包人不对承包人据此做出的判断和决策承担任何责任。</w:t>
      </w:r>
    </w:p>
    <w:p w14:paraId="25A56270">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1l不利物质条件</w:t>
      </w:r>
    </w:p>
    <w:p w14:paraId="6EC8C22F">
      <w:pPr>
        <w:ind w:firstLine="525" w:firstLineChars="250"/>
        <w:rPr>
          <w:rFonts w:ascii="新宋体" w:eastAsia="新宋体"/>
          <w:color w:val="0F0F0F"/>
          <w:sz w:val="24"/>
        </w:rPr>
      </w:pPr>
      <w:r>
        <w:rPr>
          <w:rFonts w:ascii="新宋体" w:eastAsia="新宋体"/>
          <w:color w:val="0F0F0F"/>
        </w:rPr>
        <w:t>第4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2项细化为：</w:t>
      </w:r>
    </w:p>
    <w:p w14:paraId="4BC0D9C9">
      <w:pPr>
        <w:ind w:firstLine="525" w:firstLineChars="250"/>
        <w:rPr>
          <w:rFonts w:ascii="新宋体" w:eastAsia="新宋体"/>
          <w:color w:val="0F0F0F"/>
          <w:sz w:val="24"/>
        </w:rPr>
      </w:pPr>
      <w:r>
        <w:rPr>
          <w:rFonts w:ascii="新宋体" w:eastAsia="新宋体"/>
          <w:color w:val="0F0F0F"/>
        </w:rPr>
        <w:t>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2承包人遇到不可预见的不利物质条件时，应采取适应不利物质条件的合</w:t>
      </w:r>
      <w:r>
        <w:rPr>
          <w:rFonts w:hint="eastAsia" w:ascii="新宋体" w:eastAsia="新宋体"/>
          <w:color w:val="0F0F0F"/>
        </w:rPr>
        <w:t>理措施继续施工，并及时通知监理人。监理人应当及时发出指示，指示构成变更的。按第</w:t>
      </w:r>
      <w:r>
        <w:rPr>
          <w:rFonts w:ascii="新宋体" w:eastAsia="新宋体"/>
          <w:color w:val="0F0F0F"/>
        </w:rPr>
        <w:t>15条约定办理。监理人没有发出指示的，承包人因采取合理措施而增加的费用和(</w:t>
      </w:r>
      <w:r>
        <w:rPr>
          <w:rFonts w:hint="eastAsia" w:ascii="新宋体" w:eastAsia="新宋体"/>
          <w:color w:val="0F0F0F"/>
        </w:rPr>
        <w:t>或</w:t>
      </w:r>
      <w:r>
        <w:rPr>
          <w:rFonts w:ascii="新宋体" w:eastAsia="新宋体"/>
          <w:color w:val="0F0F0F"/>
        </w:rPr>
        <w:t>)工期延误，由发包人承担。</w:t>
      </w:r>
    </w:p>
    <w:p w14:paraId="47ADA9CF">
      <w:pPr>
        <w:ind w:firstLine="525" w:firstLineChars="250"/>
        <w:rPr>
          <w:rFonts w:ascii="新宋体" w:eastAsia="新宋体"/>
          <w:color w:val="0F0F0F"/>
          <w:sz w:val="24"/>
        </w:rPr>
      </w:pPr>
      <w:r>
        <w:rPr>
          <w:rFonts w:ascii="新宋体" w:eastAsia="新宋体"/>
          <w:color w:val="0F0F0F"/>
        </w:rPr>
        <w:t>本款补充第4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3项：</w:t>
      </w:r>
    </w:p>
    <w:p w14:paraId="34C607F4">
      <w:pPr>
        <w:ind w:firstLine="525" w:firstLineChars="250"/>
        <w:rPr>
          <w:rFonts w:ascii="新宋体" w:eastAsia="新宋体"/>
          <w:color w:val="0F0F0F"/>
          <w:sz w:val="24"/>
        </w:rPr>
      </w:pPr>
      <w:r>
        <w:rPr>
          <w:rFonts w:ascii="新宋体" w:eastAsia="新宋体"/>
          <w:color w:val="0F0F0F"/>
        </w:rPr>
        <w:t>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3可预见的不利物质条件</w:t>
      </w:r>
    </w:p>
    <w:p w14:paraId="4710AE8A">
      <w:pPr>
        <w:ind w:firstLine="525" w:firstLineChars="250"/>
        <w:rPr>
          <w:rFonts w:ascii="新宋体" w:eastAsia="新宋体"/>
          <w:color w:val="0F0F0F"/>
          <w:sz w:val="24"/>
        </w:rPr>
      </w:pPr>
      <w:r>
        <w:rPr>
          <w:rFonts w:ascii="新宋体" w:eastAsia="新宋体"/>
          <w:color w:val="0F0F0F"/>
        </w:rPr>
        <w:t>(1)对</w:t>
      </w:r>
      <w:r>
        <w:rPr>
          <w:rFonts w:hint="eastAsia" w:ascii="新宋体" w:eastAsia="新宋体"/>
          <w:color w:val="0F0F0F"/>
        </w:rPr>
        <w:t>于</w:t>
      </w:r>
      <w:r>
        <w:rPr>
          <w:rFonts w:ascii="新宋体" w:eastAsia="新宋体"/>
          <w:color w:val="0F0F0F"/>
        </w:rPr>
        <w:t>项目专用合同条款中已经明确指出的不</w:t>
      </w:r>
      <w:r>
        <w:rPr>
          <w:rFonts w:hint="eastAsia" w:ascii="新宋体" w:eastAsia="新宋体"/>
          <w:color w:val="0F0F0F"/>
        </w:rPr>
        <w:t>利</w:t>
      </w:r>
      <w:r>
        <w:rPr>
          <w:rFonts w:ascii="新宋体" w:eastAsia="新宋体"/>
          <w:color w:val="0F0F0F"/>
        </w:rPr>
        <w:t>物质条件无论承包人是否有其</w:t>
      </w:r>
      <w:r>
        <w:rPr>
          <w:rFonts w:hint="eastAsia" w:ascii="新宋体" w:eastAsia="新宋体"/>
          <w:color w:val="0F0F0F"/>
        </w:rPr>
        <w:t>经历和经验均视为承包人在接受合同时已预见其影响，并已在签约合同价中计入因其影响而可能发生的一切费用。</w:t>
      </w:r>
    </w:p>
    <w:p w14:paraId="6C35FC7B">
      <w:pPr>
        <w:ind w:firstLine="525" w:firstLineChars="250"/>
        <w:rPr>
          <w:rFonts w:ascii="新宋体" w:eastAsia="新宋体"/>
          <w:color w:val="0F0F0F"/>
          <w:sz w:val="24"/>
        </w:rPr>
      </w:pPr>
      <w:r>
        <w:rPr>
          <w:rFonts w:ascii="新宋体" w:eastAsia="新宋体"/>
          <w:color w:val="0F0F0F"/>
        </w:rPr>
        <w:t>(2)对于项目专用</w:t>
      </w:r>
      <w:r>
        <w:rPr>
          <w:rFonts w:hint="eastAsia" w:ascii="新宋体" w:eastAsia="新宋体"/>
          <w:color w:val="0F0F0F"/>
        </w:rPr>
        <w:t>合</w:t>
      </w:r>
      <w:r>
        <w:rPr>
          <w:rFonts w:ascii="新宋体" w:eastAsia="新宋体"/>
          <w:color w:val="0F0F0F"/>
        </w:rPr>
        <w:t>同条款未明确指出，但是在不利物质条件发生之前，监理人已</w:t>
      </w:r>
      <w:r>
        <w:rPr>
          <w:rFonts w:hint="eastAsia" w:ascii="新宋体" w:eastAsia="新宋体"/>
          <w:color w:val="0F0F0F"/>
        </w:rPr>
        <w:t>经指示承包人有可能发生，但承包人未能及时采取有效措施，而导致的损失和后果均由承包人承担。</w:t>
      </w:r>
    </w:p>
    <w:p w14:paraId="38505B32">
      <w:pPr>
        <w:ind w:firstLine="525" w:firstLineChars="250"/>
        <w:rPr>
          <w:rFonts w:ascii="新宋体" w:eastAsia="新宋体"/>
          <w:color w:val="0F0F0F"/>
          <w:sz w:val="24"/>
        </w:rPr>
      </w:pPr>
      <w:r>
        <w:rPr>
          <w:rFonts w:ascii="新宋体" w:eastAsia="新宋体"/>
          <w:color w:val="0F0F0F"/>
        </w:rPr>
        <w:t>补充第4</w:t>
      </w:r>
      <w:r>
        <w:rPr>
          <w:rFonts w:hint="eastAsia" w:ascii="新宋体" w:eastAsia="新宋体"/>
          <w:color w:val="0F0F0F"/>
        </w:rPr>
        <w:t>.</w:t>
      </w:r>
      <w:r>
        <w:rPr>
          <w:rFonts w:ascii="新宋体" w:eastAsia="新宋体"/>
          <w:color w:val="0F0F0F"/>
        </w:rPr>
        <w:t>12</w:t>
      </w:r>
      <w:r>
        <w:rPr>
          <w:rFonts w:hint="eastAsia" w:ascii="新宋体" w:eastAsia="新宋体"/>
          <w:color w:val="0F0F0F"/>
        </w:rPr>
        <w:t>款</w:t>
      </w:r>
      <w:r>
        <w:rPr>
          <w:rFonts w:ascii="新宋体" w:eastAsia="新宋体"/>
          <w:color w:val="0F0F0F"/>
        </w:rPr>
        <w:t>：</w:t>
      </w:r>
    </w:p>
    <w:p w14:paraId="1C7887B0">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12</w:t>
      </w:r>
      <w:r>
        <w:rPr>
          <w:rFonts w:hint="eastAsia" w:ascii="新宋体" w:eastAsia="新宋体"/>
          <w:color w:val="0F0F0F"/>
          <w:sz w:val="24"/>
        </w:rPr>
        <w:t>响应文件</w:t>
      </w:r>
      <w:r>
        <w:rPr>
          <w:rFonts w:ascii="新宋体" w:eastAsia="新宋体"/>
          <w:color w:val="0F0F0F"/>
          <w:sz w:val="24"/>
        </w:rPr>
        <w:t>的完备性</w:t>
      </w:r>
    </w:p>
    <w:p w14:paraId="18577F10">
      <w:pPr>
        <w:ind w:firstLine="525" w:firstLineChars="250"/>
        <w:rPr>
          <w:rFonts w:ascii="新宋体" w:eastAsia="新宋体"/>
          <w:color w:val="0F0F0F"/>
          <w:sz w:val="24"/>
        </w:rPr>
      </w:pPr>
      <w:r>
        <w:rPr>
          <w:rFonts w:ascii="新宋体" w:eastAsia="新宋体"/>
          <w:color w:val="0F0F0F"/>
        </w:rPr>
        <w:t>合同双方一致认为，承包人在递交</w:t>
      </w:r>
      <w:r>
        <w:rPr>
          <w:rFonts w:hint="eastAsia" w:ascii="新宋体" w:eastAsia="新宋体"/>
          <w:color w:val="0F0F0F"/>
        </w:rPr>
        <w:t>响应文件</w:t>
      </w:r>
      <w:r>
        <w:rPr>
          <w:rFonts w:ascii="新宋体" w:eastAsia="新宋体"/>
          <w:color w:val="0F0F0F"/>
        </w:rPr>
        <w:t>前，对本合同工程的</w:t>
      </w:r>
      <w:r>
        <w:rPr>
          <w:rFonts w:hint="eastAsia" w:ascii="新宋体" w:eastAsia="新宋体"/>
          <w:color w:val="0F0F0F"/>
        </w:rPr>
        <w:t>响应文件</w:t>
      </w:r>
      <w:r>
        <w:rPr>
          <w:rFonts w:ascii="新宋体" w:eastAsia="新宋体"/>
          <w:color w:val="0F0F0F"/>
        </w:rPr>
        <w:t>和已标价</w:t>
      </w:r>
      <w:r>
        <w:rPr>
          <w:rFonts w:hint="eastAsia" w:ascii="新宋体" w:eastAsia="新宋体"/>
          <w:color w:val="0F0F0F"/>
        </w:rPr>
        <w:t>工程量清单中开列的单价和总额价已查明是正确的和完备的。投标的单价和总额价应已包括了合同中规定的承包人的全部义务</w:t>
      </w:r>
      <w:r>
        <w:rPr>
          <w:rFonts w:ascii="新宋体" w:eastAsia="新宋体"/>
          <w:color w:val="0F0F0F"/>
        </w:rPr>
        <w:t>(包括提</w:t>
      </w:r>
      <w:r>
        <w:rPr>
          <w:rFonts w:hint="eastAsia" w:ascii="新宋体" w:eastAsia="新宋体"/>
          <w:color w:val="0F0F0F"/>
        </w:rPr>
        <w:t>施工</w:t>
      </w:r>
      <w:r>
        <w:rPr>
          <w:rFonts w:ascii="新宋体" w:eastAsia="新宋体"/>
          <w:color w:val="0F0F0F"/>
        </w:rPr>
        <w:t>物、材料、设备、服务的义务，并</w:t>
      </w:r>
      <w:r>
        <w:rPr>
          <w:rFonts w:hint="eastAsia" w:ascii="新宋体" w:eastAsia="新宋体"/>
          <w:color w:val="0F0F0F"/>
        </w:rPr>
        <w:t>包括了暂列金额和暂估价范围内的额外工作的义务</w:t>
      </w:r>
      <w:r>
        <w:rPr>
          <w:rFonts w:ascii="新宋体" w:eastAsia="新宋体"/>
          <w:color w:val="0F0F0F"/>
        </w:rPr>
        <w:t>)以及为实施和</w:t>
      </w:r>
      <w:r>
        <w:rPr>
          <w:rFonts w:hint="eastAsia" w:ascii="新宋体" w:eastAsia="新宋体"/>
          <w:color w:val="0F0F0F"/>
        </w:rPr>
        <w:t>完</w:t>
      </w:r>
      <w:r>
        <w:rPr>
          <w:rFonts w:ascii="新宋体" w:eastAsia="新宋体"/>
          <w:color w:val="0F0F0F"/>
        </w:rPr>
        <w:t>成</w:t>
      </w:r>
      <w:r>
        <w:rPr>
          <w:rFonts w:hint="eastAsia" w:ascii="新宋体" w:eastAsia="新宋体"/>
          <w:color w:val="0F0F0F"/>
        </w:rPr>
        <w:t>本</w:t>
      </w:r>
      <w:r>
        <w:rPr>
          <w:rFonts w:ascii="新宋体" w:eastAsia="新宋体"/>
          <w:color w:val="0F0F0F"/>
        </w:rPr>
        <w:t>合</w:t>
      </w:r>
      <w:r>
        <w:rPr>
          <w:rFonts w:hint="eastAsia" w:ascii="新宋体" w:eastAsia="新宋体"/>
          <w:color w:val="0F0F0F"/>
        </w:rPr>
        <w:t>同</w:t>
      </w:r>
      <w:r>
        <w:rPr>
          <w:rFonts w:ascii="新宋体" w:eastAsia="新宋体"/>
          <w:color w:val="0F0F0F"/>
        </w:rPr>
        <w:t>工程及</w:t>
      </w:r>
      <w:r>
        <w:rPr>
          <w:rFonts w:hint="eastAsia" w:ascii="新宋体" w:eastAsia="新宋体"/>
          <w:color w:val="0F0F0F"/>
        </w:rPr>
        <w:t>其缺陷修复所必需的一切工作和条件。</w:t>
      </w:r>
    </w:p>
    <w:p w14:paraId="2EEBACEC">
      <w:pPr>
        <w:spacing w:line="400" w:lineRule="exact"/>
        <w:rPr>
          <w:rFonts w:ascii="新宋体" w:eastAsia="新宋体"/>
          <w:color w:val="0F0F0F"/>
          <w:sz w:val="28"/>
          <w:szCs w:val="28"/>
        </w:rPr>
      </w:pPr>
      <w:r>
        <w:rPr>
          <w:rFonts w:ascii="新宋体" w:eastAsia="新宋体"/>
          <w:color w:val="0F0F0F"/>
          <w:sz w:val="28"/>
          <w:szCs w:val="28"/>
        </w:rPr>
        <w:t>5</w:t>
      </w:r>
      <w:r>
        <w:rPr>
          <w:rFonts w:hint="eastAsia" w:ascii="新宋体" w:eastAsia="新宋体"/>
          <w:color w:val="0F0F0F"/>
          <w:sz w:val="28"/>
          <w:szCs w:val="28"/>
        </w:rPr>
        <w:t>.</w:t>
      </w:r>
      <w:r>
        <w:rPr>
          <w:rFonts w:ascii="新宋体" w:eastAsia="新宋体"/>
          <w:color w:val="0F0F0F"/>
          <w:sz w:val="28"/>
          <w:szCs w:val="28"/>
        </w:rPr>
        <w:t>材</w:t>
      </w:r>
      <w:r>
        <w:rPr>
          <w:rFonts w:hint="eastAsia" w:ascii="新宋体" w:eastAsia="新宋体"/>
          <w:color w:val="0F0F0F"/>
          <w:sz w:val="28"/>
          <w:szCs w:val="28"/>
        </w:rPr>
        <w:t>料</w:t>
      </w:r>
      <w:r>
        <w:rPr>
          <w:rFonts w:ascii="新宋体" w:eastAsia="新宋体"/>
          <w:color w:val="0F0F0F"/>
          <w:sz w:val="28"/>
          <w:szCs w:val="28"/>
        </w:rPr>
        <w:t>和工程设备</w:t>
      </w:r>
    </w:p>
    <w:p w14:paraId="1EC0F187">
      <w:pPr>
        <w:rPr>
          <w:rFonts w:ascii="新宋体" w:eastAsia="新宋体"/>
          <w:color w:val="0F0F0F"/>
          <w:sz w:val="24"/>
        </w:rPr>
      </w:pPr>
      <w:r>
        <w:rPr>
          <w:rFonts w:hint="eastAsia" w:ascii="新宋体" w:eastAsia="新宋体"/>
          <w:color w:val="0F0F0F"/>
          <w:sz w:val="24"/>
        </w:rPr>
        <w:t>5.</w:t>
      </w:r>
      <w:r>
        <w:rPr>
          <w:rFonts w:ascii="新宋体" w:eastAsia="新宋体"/>
          <w:color w:val="0F0F0F"/>
          <w:sz w:val="24"/>
        </w:rPr>
        <w:t>2发包人提供的材料和工程设备</w:t>
      </w:r>
    </w:p>
    <w:p w14:paraId="5B02250B">
      <w:pPr>
        <w:ind w:firstLine="525" w:firstLineChars="250"/>
        <w:rPr>
          <w:rFonts w:ascii="新宋体" w:eastAsia="新宋体"/>
          <w:color w:val="0F0F0F"/>
        </w:rPr>
      </w:pPr>
      <w:r>
        <w:rPr>
          <w:rFonts w:ascii="新宋体" w:eastAsia="新宋体"/>
          <w:color w:val="0F0F0F"/>
        </w:rPr>
        <w:t>第5</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3项补充：</w:t>
      </w:r>
    </w:p>
    <w:p w14:paraId="46E31D51">
      <w:pPr>
        <w:ind w:firstLine="525" w:firstLineChars="250"/>
        <w:rPr>
          <w:rFonts w:ascii="新宋体" w:eastAsia="新宋体"/>
          <w:color w:val="0F0F0F"/>
        </w:rPr>
      </w:pPr>
      <w:r>
        <w:rPr>
          <w:rFonts w:ascii="新宋体" w:eastAsia="新宋体"/>
          <w:color w:val="0F0F0F"/>
        </w:rPr>
        <w:t>承包人负</w:t>
      </w:r>
      <w:r>
        <w:rPr>
          <w:rFonts w:hint="eastAsia" w:ascii="新宋体" w:eastAsia="新宋体"/>
          <w:color w:val="0F0F0F"/>
        </w:rPr>
        <w:t>责</w:t>
      </w:r>
      <w:r>
        <w:rPr>
          <w:rFonts w:ascii="新宋体" w:eastAsia="新宋体"/>
          <w:color w:val="0F0F0F"/>
        </w:rPr>
        <w:t>接收并按规定对材料进行抽样检验和对工程设备进行</w:t>
      </w:r>
      <w:r>
        <w:rPr>
          <w:rFonts w:hint="eastAsia" w:ascii="新宋体" w:eastAsia="新宋体"/>
          <w:color w:val="0F0F0F"/>
        </w:rPr>
        <w:t>检</w:t>
      </w:r>
      <w:r>
        <w:rPr>
          <w:rFonts w:ascii="新宋体" w:eastAsia="新宋体"/>
          <w:color w:val="0F0F0F"/>
        </w:rPr>
        <w:t>验测试，若发</w:t>
      </w:r>
      <w:r>
        <w:rPr>
          <w:rFonts w:hint="eastAsia" w:ascii="新宋体" w:eastAsia="新宋体"/>
          <w:color w:val="0F0F0F"/>
        </w:rPr>
        <w:t>现材</w:t>
      </w:r>
      <w:r>
        <w:rPr>
          <w:rFonts w:ascii="新宋体" w:eastAsia="新宋体"/>
          <w:color w:val="0F0F0F"/>
        </w:rPr>
        <w:t>料和工程设备</w:t>
      </w:r>
      <w:r>
        <w:rPr>
          <w:rFonts w:hint="eastAsia" w:ascii="新宋体" w:eastAsia="新宋体"/>
          <w:color w:val="0F0F0F"/>
        </w:rPr>
        <w:t>存</w:t>
      </w:r>
      <w:r>
        <w:rPr>
          <w:rFonts w:ascii="新宋体" w:eastAsia="新宋体"/>
          <w:color w:val="0F0F0F"/>
        </w:rPr>
        <w:t>在缺陷，承包人</w:t>
      </w:r>
      <w:r>
        <w:rPr>
          <w:rFonts w:hint="eastAsia" w:ascii="新宋体" w:eastAsia="新宋体"/>
          <w:color w:val="0F0F0F"/>
        </w:rPr>
        <w:t>应</w:t>
      </w:r>
      <w:r>
        <w:rPr>
          <w:rFonts w:ascii="新宋体" w:eastAsia="新宋体"/>
          <w:color w:val="0F0F0F"/>
        </w:rPr>
        <w:t>及时通知监理人，发包人应及时改</w:t>
      </w:r>
      <w:r>
        <w:rPr>
          <w:rFonts w:hint="eastAsia" w:ascii="新宋体" w:eastAsia="新宋体"/>
          <w:color w:val="0F0F0F"/>
        </w:rPr>
        <w:t>正</w:t>
      </w:r>
      <w:r>
        <w:rPr>
          <w:rFonts w:ascii="新宋体" w:eastAsia="新宋体"/>
          <w:color w:val="0F0F0F"/>
        </w:rPr>
        <w:t>通知中指</w:t>
      </w:r>
      <w:r>
        <w:rPr>
          <w:rFonts w:hint="eastAsia" w:ascii="新宋体" w:eastAsia="新宋体"/>
          <w:color w:val="0F0F0F"/>
        </w:rPr>
        <w:t>出的缺陷。承包人负责接收后的运输和保管，因承包人的原因发生丢失、损坏或进度拖延，由承包人承担相应责任。</w:t>
      </w:r>
    </w:p>
    <w:p w14:paraId="7E6FDD29">
      <w:pPr>
        <w:spacing w:line="400" w:lineRule="exact"/>
        <w:rPr>
          <w:rFonts w:ascii="新宋体" w:eastAsia="新宋体"/>
          <w:color w:val="0F0F0F"/>
          <w:sz w:val="28"/>
          <w:szCs w:val="28"/>
        </w:rPr>
      </w:pPr>
      <w:r>
        <w:rPr>
          <w:rFonts w:ascii="新宋体" w:eastAsia="新宋体"/>
          <w:color w:val="0F0F0F"/>
          <w:sz w:val="28"/>
          <w:szCs w:val="28"/>
        </w:rPr>
        <w:t>6</w:t>
      </w:r>
      <w:r>
        <w:rPr>
          <w:rFonts w:hint="eastAsia" w:ascii="新宋体" w:eastAsia="新宋体"/>
          <w:color w:val="0F0F0F"/>
          <w:sz w:val="28"/>
          <w:szCs w:val="28"/>
        </w:rPr>
        <w:t>.</w:t>
      </w:r>
      <w:r>
        <w:rPr>
          <w:rFonts w:ascii="新宋体" w:eastAsia="新宋体"/>
          <w:color w:val="0F0F0F"/>
          <w:sz w:val="28"/>
          <w:szCs w:val="28"/>
        </w:rPr>
        <w:t>施工设备和临时设施</w:t>
      </w:r>
    </w:p>
    <w:p w14:paraId="00F65E33">
      <w:pPr>
        <w:rPr>
          <w:rFonts w:ascii="新宋体" w:eastAsia="新宋体"/>
          <w:color w:val="0F0F0F"/>
          <w:sz w:val="24"/>
        </w:rPr>
      </w:pPr>
      <w:r>
        <w:rPr>
          <w:rFonts w:ascii="新宋体" w:eastAsia="新宋体"/>
          <w:color w:val="0F0F0F"/>
          <w:sz w:val="24"/>
        </w:rPr>
        <w:t>6</w:t>
      </w:r>
      <w:r>
        <w:rPr>
          <w:rFonts w:hint="eastAsia" w:ascii="新宋体" w:eastAsia="新宋体"/>
          <w:color w:val="0F0F0F"/>
          <w:sz w:val="24"/>
        </w:rPr>
        <w:t>.</w:t>
      </w:r>
      <w:r>
        <w:rPr>
          <w:rFonts w:ascii="新宋体" w:eastAsia="新宋体"/>
          <w:color w:val="0F0F0F"/>
          <w:sz w:val="24"/>
        </w:rPr>
        <w:t>1承包人提供的施工设备和</w:t>
      </w:r>
      <w:r>
        <w:rPr>
          <w:rFonts w:hint="eastAsia" w:ascii="新宋体" w:eastAsia="新宋体"/>
          <w:color w:val="0F0F0F"/>
          <w:sz w:val="24"/>
        </w:rPr>
        <w:t>临</w:t>
      </w:r>
      <w:r>
        <w:rPr>
          <w:rFonts w:ascii="新宋体" w:eastAsia="新宋体"/>
          <w:color w:val="0F0F0F"/>
          <w:sz w:val="24"/>
        </w:rPr>
        <w:t>时设施</w:t>
      </w:r>
    </w:p>
    <w:p w14:paraId="1A970173">
      <w:pPr>
        <w:ind w:firstLine="525" w:firstLineChars="250"/>
        <w:rPr>
          <w:rFonts w:ascii="新宋体" w:eastAsia="新宋体"/>
          <w:color w:val="0F0F0F"/>
        </w:rPr>
      </w:pPr>
      <w:r>
        <w:rPr>
          <w:rFonts w:ascii="新宋体" w:eastAsia="新宋体"/>
          <w:color w:val="0F0F0F"/>
        </w:rPr>
        <w:t>第6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2项约定为：</w:t>
      </w:r>
    </w:p>
    <w:p w14:paraId="210209F1">
      <w:pPr>
        <w:ind w:firstLine="525" w:firstLineChars="250"/>
        <w:rPr>
          <w:rFonts w:ascii="新宋体" w:eastAsia="新宋体"/>
          <w:color w:val="0F0F0F"/>
        </w:rPr>
      </w:pPr>
      <w:r>
        <w:rPr>
          <w:rFonts w:ascii="新宋体" w:eastAsia="新宋体"/>
          <w:color w:val="0F0F0F"/>
        </w:rPr>
        <w:t>承包人应自行承担修建临时设施的</w:t>
      </w:r>
      <w:r>
        <w:rPr>
          <w:rFonts w:hint="eastAsia" w:ascii="新宋体" w:eastAsia="新宋体"/>
          <w:color w:val="0F0F0F"/>
        </w:rPr>
        <w:t>费</w:t>
      </w:r>
      <w:r>
        <w:rPr>
          <w:rFonts w:ascii="新宋体" w:eastAsia="新宋体"/>
          <w:color w:val="0F0F0F"/>
        </w:rPr>
        <w:t>用，需</w:t>
      </w:r>
      <w:r>
        <w:rPr>
          <w:rFonts w:hint="eastAsia" w:ascii="新宋体" w:eastAsia="新宋体"/>
          <w:color w:val="0F0F0F"/>
        </w:rPr>
        <w:t>要</w:t>
      </w:r>
      <w:r>
        <w:rPr>
          <w:rFonts w:ascii="新宋体" w:eastAsia="新宋体"/>
          <w:color w:val="0F0F0F"/>
        </w:rPr>
        <w:t>临时占地的，应由承包人按第4.1</w:t>
      </w:r>
      <w:r>
        <w:rPr>
          <w:rFonts w:hint="eastAsia" w:ascii="新宋体" w:eastAsia="新宋体"/>
          <w:color w:val="0F0F0F"/>
        </w:rPr>
        <w:t>.</w:t>
      </w:r>
      <w:r>
        <w:rPr>
          <w:rFonts w:ascii="新宋体" w:eastAsia="新宋体"/>
          <w:color w:val="0F0F0F"/>
        </w:rPr>
        <w:t>10</w:t>
      </w:r>
      <w:r>
        <w:rPr>
          <w:rFonts w:hint="eastAsia" w:ascii="新宋体" w:eastAsia="新宋体"/>
          <w:color w:val="0F0F0F"/>
        </w:rPr>
        <w:t>项</w:t>
      </w:r>
      <w:r>
        <w:rPr>
          <w:rFonts w:ascii="新宋体" w:eastAsia="新宋体"/>
          <w:color w:val="0F0F0F"/>
        </w:rPr>
        <w:t>(1)目的规定办理。</w:t>
      </w:r>
    </w:p>
    <w:p w14:paraId="534F8793">
      <w:pPr>
        <w:rPr>
          <w:rFonts w:ascii="新宋体" w:eastAsia="新宋体"/>
          <w:color w:val="0F0F0F"/>
          <w:sz w:val="24"/>
        </w:rPr>
      </w:pPr>
      <w:r>
        <w:rPr>
          <w:rFonts w:ascii="新宋体" w:eastAsia="新宋体"/>
          <w:color w:val="0F0F0F"/>
          <w:sz w:val="24"/>
        </w:rPr>
        <w:t>6</w:t>
      </w:r>
      <w:r>
        <w:rPr>
          <w:rFonts w:hint="eastAsia" w:ascii="新宋体" w:eastAsia="新宋体"/>
          <w:color w:val="0F0F0F"/>
          <w:sz w:val="24"/>
        </w:rPr>
        <w:t>.</w:t>
      </w:r>
      <w:r>
        <w:rPr>
          <w:rFonts w:ascii="新宋体" w:eastAsia="新宋体"/>
          <w:color w:val="0F0F0F"/>
          <w:sz w:val="24"/>
        </w:rPr>
        <w:t>3要求承包人增加或更换施工设备</w:t>
      </w:r>
    </w:p>
    <w:p w14:paraId="33652782">
      <w:pPr>
        <w:ind w:firstLine="525" w:firstLineChars="250"/>
        <w:rPr>
          <w:rFonts w:ascii="新宋体" w:eastAsia="新宋体"/>
          <w:color w:val="0F0F0F"/>
        </w:rPr>
      </w:pPr>
      <w:r>
        <w:rPr>
          <w:rFonts w:ascii="新宋体" w:eastAsia="新宋体"/>
          <w:color w:val="0F0F0F"/>
        </w:rPr>
        <w:t>本款细化为：</w:t>
      </w:r>
    </w:p>
    <w:p w14:paraId="7916D79C">
      <w:pPr>
        <w:ind w:firstLine="525" w:firstLineChars="250"/>
        <w:rPr>
          <w:rFonts w:ascii="新宋体" w:eastAsia="新宋体"/>
          <w:color w:val="0F0F0F"/>
        </w:rPr>
      </w:pPr>
      <w:r>
        <w:rPr>
          <w:rFonts w:ascii="新宋体" w:eastAsia="新宋体"/>
          <w:color w:val="0F0F0F"/>
        </w:rPr>
        <w:t>承包</w:t>
      </w:r>
      <w:r>
        <w:rPr>
          <w:rFonts w:hint="eastAsia" w:ascii="新宋体" w:eastAsia="新宋体"/>
          <w:color w:val="0F0F0F"/>
        </w:rPr>
        <w:t>人</w:t>
      </w:r>
      <w:r>
        <w:rPr>
          <w:rFonts w:ascii="新宋体" w:eastAsia="新宋体"/>
          <w:color w:val="0F0F0F"/>
        </w:rPr>
        <w:t>承诺的施工设备必须按时到达现场，不得拖延、缺短或任意更换。尽管承包</w:t>
      </w:r>
      <w:r>
        <w:rPr>
          <w:rFonts w:hint="eastAsia" w:ascii="新宋体" w:eastAsia="新宋体"/>
          <w:color w:val="0F0F0F"/>
        </w:rPr>
        <w:t>人已按承诺提供了上述设备，但若承包人使用的施工设备不能满足合同进度计划和</w:t>
      </w:r>
      <w:r>
        <w:rPr>
          <w:rFonts w:ascii="新宋体" w:eastAsia="新宋体"/>
          <w:color w:val="0F0F0F"/>
        </w:rPr>
        <w:t>(或)质</w:t>
      </w:r>
      <w:r>
        <w:rPr>
          <w:rFonts w:hint="eastAsia" w:ascii="新宋体" w:eastAsia="新宋体"/>
          <w:color w:val="0F0F0F"/>
        </w:rPr>
        <w:t>量</w:t>
      </w:r>
      <w:r>
        <w:rPr>
          <w:rFonts w:ascii="新宋体" w:eastAsia="新宋体"/>
          <w:color w:val="0F0F0F"/>
        </w:rPr>
        <w:t>要求时，监理人有权要求承包人增加或</w:t>
      </w:r>
      <w:r>
        <w:rPr>
          <w:rFonts w:hint="eastAsia" w:ascii="新宋体" w:eastAsia="新宋体"/>
          <w:color w:val="0F0F0F"/>
        </w:rPr>
        <w:t>更</w:t>
      </w:r>
      <w:r>
        <w:rPr>
          <w:rFonts w:ascii="新宋体" w:eastAsia="新宋体"/>
          <w:color w:val="0F0F0F"/>
        </w:rPr>
        <w:t>换施工设备，承包人</w:t>
      </w:r>
      <w:r>
        <w:rPr>
          <w:rFonts w:hint="eastAsia" w:ascii="新宋体" w:eastAsia="新宋体"/>
          <w:color w:val="0F0F0F"/>
        </w:rPr>
        <w:t>应</w:t>
      </w:r>
      <w:r>
        <w:rPr>
          <w:rFonts w:ascii="新宋体" w:eastAsia="新宋体"/>
          <w:color w:val="0F0F0F"/>
        </w:rPr>
        <w:t>及时增加或更</w:t>
      </w:r>
      <w:r>
        <w:rPr>
          <w:rFonts w:hint="eastAsia" w:ascii="新宋体" w:eastAsia="新宋体"/>
          <w:color w:val="0F0F0F"/>
        </w:rPr>
        <w:t>换，由此增加的费用和</w:t>
      </w:r>
      <w:r>
        <w:rPr>
          <w:rFonts w:ascii="新宋体" w:eastAsia="新宋体"/>
          <w:color w:val="0F0F0F"/>
        </w:rPr>
        <w:t>(或)工期延误</w:t>
      </w:r>
      <w:r>
        <w:rPr>
          <w:rFonts w:hint="eastAsia" w:ascii="新宋体" w:eastAsia="新宋体"/>
          <w:color w:val="0F0F0F"/>
        </w:rPr>
        <w:t>由</w:t>
      </w:r>
      <w:r>
        <w:rPr>
          <w:rFonts w:ascii="新宋体" w:eastAsia="新宋体"/>
          <w:color w:val="0F0F0F"/>
        </w:rPr>
        <w:t>承包人承担。</w:t>
      </w:r>
    </w:p>
    <w:p w14:paraId="38C66542">
      <w:pPr>
        <w:spacing w:line="400" w:lineRule="exact"/>
        <w:rPr>
          <w:rFonts w:ascii="新宋体" w:eastAsia="新宋体"/>
          <w:color w:val="0F0F0F"/>
          <w:sz w:val="28"/>
          <w:szCs w:val="28"/>
        </w:rPr>
      </w:pPr>
      <w:r>
        <w:rPr>
          <w:rFonts w:ascii="新宋体" w:eastAsia="新宋体"/>
          <w:color w:val="0F0F0F"/>
          <w:sz w:val="28"/>
          <w:szCs w:val="28"/>
        </w:rPr>
        <w:t>7．交通运输</w:t>
      </w:r>
    </w:p>
    <w:p w14:paraId="1B7AA649">
      <w:pPr>
        <w:rPr>
          <w:rFonts w:ascii="新宋体" w:eastAsia="新宋体"/>
          <w:color w:val="0F0F0F"/>
          <w:sz w:val="24"/>
        </w:rPr>
      </w:pPr>
      <w:r>
        <w:rPr>
          <w:rFonts w:ascii="新宋体" w:eastAsia="新宋体"/>
          <w:color w:val="0F0F0F"/>
          <w:sz w:val="24"/>
        </w:rPr>
        <w:t>7</w:t>
      </w:r>
      <w:r>
        <w:rPr>
          <w:rFonts w:hint="eastAsia" w:ascii="新宋体" w:eastAsia="新宋体"/>
          <w:color w:val="0F0F0F"/>
          <w:sz w:val="24"/>
        </w:rPr>
        <w:t>.</w:t>
      </w:r>
      <w:r>
        <w:rPr>
          <w:rFonts w:ascii="新宋体" w:eastAsia="新宋体"/>
          <w:color w:val="0F0F0F"/>
          <w:sz w:val="24"/>
        </w:rPr>
        <w:t>1道路通行权和场外设施</w:t>
      </w:r>
    </w:p>
    <w:p w14:paraId="608D8471">
      <w:pPr>
        <w:ind w:firstLine="525" w:firstLineChars="250"/>
        <w:rPr>
          <w:rFonts w:ascii="新宋体" w:eastAsia="新宋体"/>
          <w:color w:val="0F0F0F"/>
        </w:rPr>
      </w:pPr>
      <w:r>
        <w:rPr>
          <w:rFonts w:ascii="新宋体" w:eastAsia="新宋体"/>
          <w:color w:val="0F0F0F"/>
        </w:rPr>
        <w:t>本款约定为：</w:t>
      </w:r>
    </w:p>
    <w:p w14:paraId="77075CBE">
      <w:pPr>
        <w:ind w:firstLine="525" w:firstLineChars="250"/>
        <w:rPr>
          <w:rFonts w:ascii="新宋体" w:eastAsia="新宋体"/>
          <w:color w:val="0F0F0F"/>
        </w:rPr>
      </w:pPr>
      <w:r>
        <w:rPr>
          <w:rFonts w:ascii="新宋体" w:eastAsia="新宋体"/>
          <w:color w:val="0F0F0F"/>
        </w:rPr>
        <w:t>承包人应根据合同工程的施工</w:t>
      </w:r>
      <w:r>
        <w:rPr>
          <w:rFonts w:hint="eastAsia" w:ascii="新宋体" w:eastAsia="新宋体"/>
          <w:color w:val="0F0F0F"/>
        </w:rPr>
        <w:t>需</w:t>
      </w:r>
      <w:r>
        <w:rPr>
          <w:rFonts w:ascii="新宋体" w:eastAsia="新宋体"/>
          <w:color w:val="0F0F0F"/>
        </w:rPr>
        <w:t>要，负</w:t>
      </w:r>
      <w:r>
        <w:rPr>
          <w:rFonts w:hint="eastAsia" w:ascii="新宋体" w:eastAsia="新宋体"/>
          <w:color w:val="0F0F0F"/>
        </w:rPr>
        <w:t>责</w:t>
      </w:r>
      <w:r>
        <w:rPr>
          <w:rFonts w:ascii="新宋体" w:eastAsia="新宋体"/>
          <w:color w:val="0F0F0F"/>
        </w:rPr>
        <w:t>办理取得出入施工场地的专用和</w:t>
      </w:r>
      <w:r>
        <w:rPr>
          <w:rFonts w:hint="eastAsia" w:ascii="新宋体" w:eastAsia="新宋体"/>
          <w:color w:val="0F0F0F"/>
        </w:rPr>
        <w:t>临</w:t>
      </w:r>
      <w:r>
        <w:rPr>
          <w:rFonts w:ascii="新宋体" w:eastAsia="新宋体"/>
          <w:color w:val="0F0F0F"/>
        </w:rPr>
        <w:t>时道</w:t>
      </w:r>
      <w:r>
        <w:rPr>
          <w:rFonts w:hint="eastAsia" w:ascii="新宋体" w:eastAsia="新宋体"/>
          <w:color w:val="0F0F0F"/>
        </w:rPr>
        <w:t>路的通行权，以及取得为工程建设所需修建场外设施的权利，并承担有关费用。需要发包人协调时，发包人应协助承包人办理相关手续。</w:t>
      </w:r>
    </w:p>
    <w:p w14:paraId="260F267C">
      <w:pPr>
        <w:spacing w:line="400" w:lineRule="exact"/>
        <w:rPr>
          <w:rFonts w:ascii="新宋体" w:eastAsia="新宋体"/>
          <w:color w:val="0F0F0F"/>
          <w:sz w:val="28"/>
          <w:szCs w:val="28"/>
        </w:rPr>
      </w:pPr>
      <w:r>
        <w:rPr>
          <w:rFonts w:ascii="新宋体" w:eastAsia="新宋体"/>
          <w:color w:val="0F0F0F"/>
          <w:sz w:val="28"/>
          <w:szCs w:val="28"/>
        </w:rPr>
        <w:t xml:space="preserve"> 8</w:t>
      </w:r>
      <w:r>
        <w:rPr>
          <w:rFonts w:hint="eastAsia" w:ascii="新宋体" w:eastAsia="新宋体"/>
          <w:color w:val="0F0F0F"/>
          <w:sz w:val="28"/>
          <w:szCs w:val="28"/>
        </w:rPr>
        <w:t>.</w:t>
      </w:r>
      <w:r>
        <w:rPr>
          <w:rFonts w:ascii="新宋体" w:eastAsia="新宋体"/>
          <w:color w:val="0F0F0F"/>
          <w:sz w:val="28"/>
          <w:szCs w:val="28"/>
        </w:rPr>
        <w:t>测量放线</w:t>
      </w:r>
    </w:p>
    <w:p w14:paraId="07C8078E">
      <w:pPr>
        <w:rPr>
          <w:rFonts w:ascii="新宋体" w:eastAsia="新宋体"/>
          <w:color w:val="0F0F0F"/>
          <w:sz w:val="24"/>
        </w:rPr>
      </w:pPr>
      <w:r>
        <w:rPr>
          <w:rFonts w:ascii="新宋体" w:eastAsia="新宋体"/>
          <w:color w:val="0F0F0F"/>
          <w:sz w:val="24"/>
        </w:rPr>
        <w:t>8</w:t>
      </w:r>
      <w:r>
        <w:rPr>
          <w:rFonts w:hint="eastAsia" w:ascii="新宋体" w:eastAsia="新宋体"/>
          <w:color w:val="0F0F0F"/>
          <w:sz w:val="24"/>
        </w:rPr>
        <w:t>.</w:t>
      </w:r>
      <w:r>
        <w:rPr>
          <w:rFonts w:ascii="新宋体" w:eastAsia="新宋体"/>
          <w:color w:val="0F0F0F"/>
          <w:sz w:val="24"/>
        </w:rPr>
        <w:t>4监</w:t>
      </w:r>
      <w:r>
        <w:rPr>
          <w:rFonts w:hint="eastAsia" w:ascii="新宋体" w:eastAsia="新宋体"/>
          <w:color w:val="0F0F0F"/>
          <w:sz w:val="24"/>
        </w:rPr>
        <w:t>理</w:t>
      </w:r>
      <w:r>
        <w:rPr>
          <w:rFonts w:ascii="新宋体" w:eastAsia="新宋体"/>
          <w:color w:val="0F0F0F"/>
          <w:sz w:val="24"/>
        </w:rPr>
        <w:t>人使用施工控制网</w:t>
      </w:r>
    </w:p>
    <w:p w14:paraId="5766988D">
      <w:pPr>
        <w:ind w:firstLine="525" w:firstLineChars="250"/>
        <w:rPr>
          <w:rFonts w:ascii="新宋体" w:eastAsia="新宋体"/>
          <w:color w:val="0F0F0F"/>
        </w:rPr>
      </w:pPr>
      <w:r>
        <w:rPr>
          <w:rFonts w:ascii="新宋体" w:eastAsia="新宋体"/>
          <w:color w:val="0F0F0F"/>
        </w:rPr>
        <w:t>本款补充：</w:t>
      </w:r>
    </w:p>
    <w:p w14:paraId="20D0FA86">
      <w:pPr>
        <w:ind w:firstLine="525" w:firstLineChars="250"/>
        <w:rPr>
          <w:rFonts w:ascii="新宋体" w:eastAsia="新宋体"/>
          <w:color w:val="0F0F0F"/>
        </w:rPr>
      </w:pPr>
      <w:r>
        <w:rPr>
          <w:rFonts w:ascii="新宋体" w:eastAsia="新宋体"/>
          <w:color w:val="0F0F0F"/>
        </w:rPr>
        <w:t>经监理人批准，其他</w:t>
      </w:r>
      <w:r>
        <w:rPr>
          <w:rFonts w:hint="eastAsia" w:ascii="新宋体" w:eastAsia="新宋体"/>
          <w:color w:val="0F0F0F"/>
        </w:rPr>
        <w:t>相关</w:t>
      </w:r>
      <w:r>
        <w:rPr>
          <w:rFonts w:ascii="新宋体" w:eastAsia="新宋体"/>
          <w:color w:val="0F0F0F"/>
        </w:rPr>
        <w:t>承包人也可免</w:t>
      </w:r>
      <w:r>
        <w:rPr>
          <w:rFonts w:hint="eastAsia" w:ascii="新宋体" w:eastAsia="新宋体"/>
          <w:color w:val="0F0F0F"/>
        </w:rPr>
        <w:t>费</w:t>
      </w:r>
      <w:r>
        <w:rPr>
          <w:rFonts w:ascii="新宋体" w:eastAsia="新宋体"/>
          <w:color w:val="0F0F0F"/>
        </w:rPr>
        <w:t>使用施工控制网。</w:t>
      </w:r>
    </w:p>
    <w:p w14:paraId="31C87130">
      <w:pPr>
        <w:spacing w:line="400" w:lineRule="exact"/>
        <w:rPr>
          <w:rFonts w:ascii="新宋体" w:eastAsia="新宋体"/>
          <w:color w:val="0F0F0F"/>
          <w:sz w:val="28"/>
          <w:szCs w:val="28"/>
        </w:rPr>
      </w:pPr>
      <w:r>
        <w:rPr>
          <w:rFonts w:ascii="新宋体" w:eastAsia="新宋体"/>
          <w:color w:val="0F0F0F"/>
          <w:sz w:val="28"/>
          <w:szCs w:val="28"/>
        </w:rPr>
        <w:t>9</w:t>
      </w:r>
      <w:r>
        <w:rPr>
          <w:rFonts w:hint="eastAsia" w:ascii="新宋体" w:eastAsia="新宋体"/>
          <w:color w:val="0F0F0F"/>
          <w:sz w:val="28"/>
          <w:szCs w:val="28"/>
        </w:rPr>
        <w:t>.</w:t>
      </w:r>
      <w:r>
        <w:rPr>
          <w:rFonts w:ascii="新宋体" w:eastAsia="新宋体"/>
          <w:color w:val="0F0F0F"/>
          <w:sz w:val="28"/>
          <w:szCs w:val="28"/>
        </w:rPr>
        <w:t>施工安全、治安保卫和环境保护</w:t>
      </w:r>
    </w:p>
    <w:p w14:paraId="07DACE6E">
      <w:pPr>
        <w:rPr>
          <w:rFonts w:ascii="新宋体" w:eastAsia="新宋体"/>
          <w:color w:val="0F0F0F"/>
          <w:sz w:val="24"/>
        </w:rPr>
      </w:pPr>
      <w:r>
        <w:rPr>
          <w:rFonts w:ascii="新宋体" w:eastAsia="新宋体"/>
          <w:color w:val="0F0F0F"/>
          <w:sz w:val="24"/>
        </w:rPr>
        <w:t>9</w:t>
      </w:r>
      <w:r>
        <w:rPr>
          <w:rFonts w:hint="eastAsia" w:ascii="新宋体" w:eastAsia="新宋体"/>
          <w:color w:val="0F0F0F"/>
          <w:sz w:val="24"/>
        </w:rPr>
        <w:t>.</w:t>
      </w:r>
      <w:r>
        <w:rPr>
          <w:rFonts w:ascii="新宋体" w:eastAsia="新宋体"/>
          <w:color w:val="0F0F0F"/>
          <w:sz w:val="24"/>
        </w:rPr>
        <w:t>2承包人的施</w:t>
      </w:r>
      <w:r>
        <w:rPr>
          <w:rFonts w:hint="eastAsia" w:ascii="新宋体" w:eastAsia="新宋体"/>
          <w:color w:val="0F0F0F"/>
          <w:sz w:val="24"/>
        </w:rPr>
        <w:t>工</w:t>
      </w:r>
      <w:r>
        <w:rPr>
          <w:rFonts w:ascii="新宋体" w:eastAsia="新宋体"/>
          <w:color w:val="0F0F0F"/>
          <w:sz w:val="24"/>
        </w:rPr>
        <w:t xml:space="preserve">安全责任    </w:t>
      </w:r>
    </w:p>
    <w:p w14:paraId="242B9953">
      <w:pPr>
        <w:ind w:firstLine="525" w:firstLineChars="250"/>
        <w:rPr>
          <w:rFonts w:ascii="新宋体" w:eastAsia="新宋体"/>
          <w:color w:val="0F0F0F"/>
        </w:rPr>
      </w:pPr>
      <w:r>
        <w:rPr>
          <w:rFonts w:ascii="新宋体" w:eastAsia="新宋体"/>
          <w:color w:val="0F0F0F"/>
        </w:rPr>
        <w:t>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1项细化为：</w:t>
      </w:r>
    </w:p>
    <w:p w14:paraId="68C58F29">
      <w:pPr>
        <w:ind w:firstLine="525" w:firstLineChars="250"/>
        <w:rPr>
          <w:rFonts w:ascii="新宋体" w:hAnsi="宋体" w:eastAsia="新宋体"/>
          <w:b/>
          <w:color w:val="0F0F0F"/>
          <w:sz w:val="25"/>
          <w:szCs w:val="32"/>
        </w:rPr>
      </w:pPr>
      <w:r>
        <w:rPr>
          <w:rFonts w:ascii="新宋体" w:eastAsia="新宋体"/>
          <w:color w:val="0F0F0F"/>
        </w:rPr>
        <w:t>承包人应按合同约定履行安全职</w:t>
      </w:r>
      <w:r>
        <w:rPr>
          <w:rFonts w:hint="eastAsia" w:ascii="新宋体" w:eastAsia="新宋体"/>
          <w:color w:val="0F0F0F"/>
        </w:rPr>
        <w:t>责</w:t>
      </w:r>
      <w:r>
        <w:rPr>
          <w:rFonts w:ascii="新宋体" w:eastAsia="新宋体"/>
          <w:color w:val="0F0F0F"/>
        </w:rPr>
        <w:t>，严格执行</w:t>
      </w:r>
      <w:r>
        <w:rPr>
          <w:rFonts w:hint="eastAsia" w:ascii="新宋体" w:eastAsia="新宋体"/>
          <w:color w:val="0F0F0F"/>
        </w:rPr>
        <w:t>国</w:t>
      </w:r>
      <w:r>
        <w:rPr>
          <w:rFonts w:ascii="新宋体" w:eastAsia="新宋体"/>
          <w:color w:val="0F0F0F"/>
        </w:rPr>
        <w:t>家、地方政府有关施工安全管理方</w:t>
      </w:r>
      <w:r>
        <w:rPr>
          <w:rFonts w:hint="eastAsia" w:ascii="新宋体" w:eastAsia="新宋体"/>
          <w:color w:val="0F0F0F"/>
        </w:rPr>
        <w:t>面的法律、法规及规章制度，同时严格执行发包人制订的本项目安全生产管理方面的规章制度、安全检查程序及施工安全管理要求，以及监理人有关安全工</w:t>
      </w:r>
      <w:r>
        <w:rPr>
          <w:rFonts w:ascii="新宋体" w:eastAsia="新宋体"/>
          <w:color w:val="0F0F0F"/>
        </w:rPr>
        <w:t>作的指示。</w:t>
      </w:r>
    </w:p>
    <w:p w14:paraId="07C6815A">
      <w:pPr>
        <w:ind w:firstLine="525" w:firstLineChars="250"/>
        <w:rPr>
          <w:rFonts w:ascii="新宋体" w:hAnsi="宋体" w:eastAsia="新宋体"/>
          <w:b/>
          <w:color w:val="0F0F0F"/>
          <w:sz w:val="25"/>
          <w:szCs w:val="32"/>
        </w:rPr>
      </w:pPr>
      <w:r>
        <w:rPr>
          <w:rFonts w:ascii="新宋体" w:eastAsia="新宋体"/>
          <w:color w:val="0F0F0F"/>
        </w:rPr>
        <w:t>承包人</w:t>
      </w:r>
      <w:r>
        <w:rPr>
          <w:rFonts w:hint="eastAsia" w:ascii="新宋体" w:eastAsia="新宋体"/>
          <w:color w:val="0F0F0F"/>
        </w:rPr>
        <w:t>应</w:t>
      </w:r>
      <w:r>
        <w:rPr>
          <w:rFonts w:ascii="新宋体" w:eastAsia="新宋体"/>
          <w:color w:val="0F0F0F"/>
        </w:rPr>
        <w:t>根据本工程的实</w:t>
      </w:r>
      <w:r>
        <w:rPr>
          <w:rFonts w:hint="eastAsia" w:ascii="新宋体" w:eastAsia="新宋体"/>
          <w:color w:val="0F0F0F"/>
        </w:rPr>
        <w:t>际安全施工</w:t>
      </w:r>
      <w:r>
        <w:rPr>
          <w:rFonts w:ascii="新宋体" w:eastAsia="新宋体"/>
          <w:color w:val="0F0F0F"/>
        </w:rPr>
        <w:t>要求，编制施工安全技术</w:t>
      </w:r>
      <w:r>
        <w:rPr>
          <w:rFonts w:hint="eastAsia" w:ascii="新宋体" w:eastAsia="新宋体"/>
          <w:color w:val="0F0F0F"/>
        </w:rPr>
        <w:t>措</w:t>
      </w:r>
      <w:r>
        <w:rPr>
          <w:rFonts w:ascii="新宋体" w:eastAsia="新宋体"/>
          <w:color w:val="0F0F0F"/>
        </w:rPr>
        <w:t>施，并在签订合同</w:t>
      </w:r>
      <w:r>
        <w:rPr>
          <w:rFonts w:hint="eastAsia" w:ascii="新宋体" w:eastAsia="新宋体"/>
          <w:color w:val="0F0F0F"/>
        </w:rPr>
        <w:t>协议书后</w:t>
      </w:r>
      <w:r>
        <w:rPr>
          <w:rFonts w:ascii="新宋体" w:eastAsia="新宋体"/>
          <w:color w:val="0F0F0F"/>
        </w:rPr>
        <w:t>28</w:t>
      </w:r>
      <w:r>
        <w:rPr>
          <w:rFonts w:hint="eastAsia" w:ascii="新宋体" w:eastAsia="新宋体"/>
          <w:color w:val="0F0F0F"/>
        </w:rPr>
        <w:t>天</w:t>
      </w:r>
      <w:r>
        <w:rPr>
          <w:rFonts w:ascii="新宋体" w:eastAsia="新宋体"/>
          <w:color w:val="0F0F0F"/>
        </w:rPr>
        <w:t>内，报监理</w:t>
      </w:r>
      <w:r>
        <w:rPr>
          <w:rFonts w:hint="eastAsia" w:ascii="新宋体" w:eastAsia="新宋体"/>
          <w:color w:val="0F0F0F"/>
        </w:rPr>
        <w:t>人</w:t>
      </w:r>
      <w:r>
        <w:rPr>
          <w:rFonts w:ascii="新宋体" w:eastAsia="新宋体"/>
          <w:color w:val="0F0F0F"/>
        </w:rPr>
        <w:t>和发包人批准。该施</w:t>
      </w:r>
      <w:r>
        <w:rPr>
          <w:rFonts w:hint="eastAsia" w:ascii="新宋体" w:eastAsia="新宋体"/>
          <w:color w:val="0F0F0F"/>
        </w:rPr>
        <w:t>工</w:t>
      </w:r>
      <w:r>
        <w:rPr>
          <w:rFonts w:ascii="新宋体" w:eastAsia="新宋体"/>
          <w:color w:val="0F0F0F"/>
        </w:rPr>
        <w:t>安全技术</w:t>
      </w:r>
      <w:r>
        <w:rPr>
          <w:rFonts w:hint="eastAsia" w:ascii="新宋体" w:eastAsia="新宋体"/>
          <w:color w:val="0F0F0F"/>
        </w:rPr>
        <w:t>措</w:t>
      </w:r>
      <w:r>
        <w:rPr>
          <w:rFonts w:ascii="新宋体" w:eastAsia="新宋体"/>
          <w:color w:val="0F0F0F"/>
        </w:rPr>
        <w:t>施包括(但不限于)施</w:t>
      </w:r>
      <w:r>
        <w:rPr>
          <w:rFonts w:hint="eastAsia" w:ascii="新宋体" w:eastAsia="新宋体"/>
          <w:color w:val="0F0F0F"/>
        </w:rPr>
        <w:t>工安全保障体系，安全生产责任制，安全生产管理规章制度，安全防护施工</w:t>
      </w:r>
      <w:r>
        <w:rPr>
          <w:rFonts w:ascii="新宋体" w:eastAsia="新宋体"/>
          <w:color w:val="0F0F0F"/>
        </w:rPr>
        <w:t>方案，施</w:t>
      </w:r>
      <w:r>
        <w:rPr>
          <w:rFonts w:hint="eastAsia" w:ascii="新宋体" w:eastAsia="新宋体"/>
          <w:color w:val="0F0F0F"/>
        </w:rPr>
        <w:t>工</w:t>
      </w:r>
      <w:r>
        <w:rPr>
          <w:rFonts w:ascii="新宋体" w:eastAsia="新宋体"/>
          <w:color w:val="0F0F0F"/>
        </w:rPr>
        <w:t>现场</w:t>
      </w:r>
      <w:r>
        <w:rPr>
          <w:rFonts w:hint="eastAsia" w:ascii="新宋体" w:eastAsia="新宋体"/>
          <w:color w:val="0F0F0F"/>
        </w:rPr>
        <w:t>临时用电方案，施工安全评估，安全预控及保证措施方案，紧急应变措施，安全标识、警示和围护方案等。对影响安全的重要工序和下列危险性较大的工程应编制专项施工方案，并附安全验算结果，经承包人项目总工签字并报监理人和发包人批准后实施，由专职安全生产管理人员进行现场监督。</w:t>
      </w:r>
    </w:p>
    <w:p w14:paraId="1A37AE4A">
      <w:pPr>
        <w:ind w:firstLine="525" w:firstLineChars="250"/>
        <w:rPr>
          <w:rFonts w:ascii="新宋体" w:hAnsi="宋体" w:eastAsia="新宋体"/>
          <w:b/>
          <w:color w:val="0F0F0F"/>
          <w:sz w:val="25"/>
          <w:szCs w:val="32"/>
        </w:rPr>
      </w:pPr>
      <w:r>
        <w:rPr>
          <w:rFonts w:ascii="新宋体" w:eastAsia="新宋体"/>
          <w:color w:val="0F0F0F"/>
        </w:rPr>
        <w:t>本项目</w:t>
      </w:r>
      <w:r>
        <w:rPr>
          <w:rFonts w:hint="eastAsia" w:ascii="新宋体" w:eastAsia="新宋体"/>
          <w:color w:val="0F0F0F"/>
        </w:rPr>
        <w:t>需要编制专项施工方案的工程包括但不限于以下内容：</w:t>
      </w:r>
    </w:p>
    <w:p w14:paraId="6579898E">
      <w:pPr>
        <w:ind w:firstLine="525" w:firstLineChars="250"/>
        <w:rPr>
          <w:rFonts w:ascii="新宋体" w:hAnsi="宋体" w:eastAsia="新宋体"/>
          <w:b/>
          <w:color w:val="0F0F0F"/>
          <w:sz w:val="25"/>
          <w:szCs w:val="32"/>
        </w:rPr>
      </w:pPr>
      <w:r>
        <w:rPr>
          <w:rFonts w:ascii="新宋体" w:eastAsia="新宋体"/>
          <w:color w:val="0F0F0F"/>
        </w:rPr>
        <w:t>(1)不良地质条件下有潜在危险性的土方、石方开挖；</w:t>
      </w:r>
    </w:p>
    <w:p w14:paraId="467E2284">
      <w:pPr>
        <w:ind w:firstLine="525" w:firstLineChars="250"/>
        <w:rPr>
          <w:rFonts w:ascii="新宋体" w:hAnsi="宋体" w:eastAsia="新宋体"/>
          <w:b/>
          <w:color w:val="0F0F0F"/>
          <w:sz w:val="25"/>
          <w:szCs w:val="32"/>
        </w:rPr>
      </w:pPr>
      <w:r>
        <w:rPr>
          <w:rFonts w:ascii="新宋体" w:eastAsia="新宋体"/>
          <w:color w:val="0F0F0F"/>
        </w:rPr>
        <w:t>(2)滑坡和</w:t>
      </w:r>
      <w:r>
        <w:rPr>
          <w:rFonts w:hint="eastAsia" w:ascii="新宋体" w:eastAsia="新宋体"/>
          <w:color w:val="0F0F0F"/>
        </w:rPr>
        <w:t>高</w:t>
      </w:r>
      <w:r>
        <w:rPr>
          <w:rFonts w:ascii="新宋体" w:eastAsia="新宋体"/>
          <w:color w:val="0F0F0F"/>
        </w:rPr>
        <w:t>边坡处理；</w:t>
      </w:r>
    </w:p>
    <w:p w14:paraId="28A8E6D5">
      <w:pPr>
        <w:ind w:firstLine="525" w:firstLineChars="250"/>
        <w:rPr>
          <w:rFonts w:ascii="新宋体" w:hAnsi="宋体" w:eastAsia="新宋体"/>
          <w:b/>
          <w:color w:val="0F0F0F"/>
          <w:sz w:val="25"/>
          <w:szCs w:val="32"/>
        </w:rPr>
      </w:pPr>
      <w:r>
        <w:rPr>
          <w:rFonts w:ascii="新宋体" w:eastAsia="新宋体"/>
          <w:color w:val="0F0F0F"/>
        </w:rPr>
        <w:t>(3)桩基础、</w:t>
      </w:r>
      <w:r>
        <w:rPr>
          <w:rFonts w:hint="eastAsia" w:ascii="新宋体" w:eastAsia="新宋体"/>
          <w:color w:val="0F0F0F"/>
        </w:rPr>
        <w:t>挡</w:t>
      </w:r>
      <w:r>
        <w:rPr>
          <w:rFonts w:ascii="新宋体" w:eastAsia="新宋体"/>
          <w:color w:val="0F0F0F"/>
        </w:rPr>
        <w:t>墙基础、深水基</w:t>
      </w:r>
      <w:r>
        <w:rPr>
          <w:rFonts w:hint="eastAsia" w:ascii="新宋体" w:eastAsia="新宋体"/>
          <w:color w:val="0F0F0F"/>
        </w:rPr>
        <w:t>础</w:t>
      </w:r>
      <w:r>
        <w:rPr>
          <w:rFonts w:ascii="新宋体" w:eastAsia="新宋体"/>
          <w:color w:val="0F0F0F"/>
        </w:rPr>
        <w:t>及</w:t>
      </w:r>
      <w:r>
        <w:rPr>
          <w:rFonts w:hint="eastAsia" w:ascii="新宋体" w:eastAsia="新宋体"/>
          <w:color w:val="0F0F0F"/>
        </w:rPr>
        <w:t>围</w:t>
      </w:r>
      <w:r>
        <w:rPr>
          <w:rFonts w:ascii="新宋体" w:eastAsia="新宋体"/>
          <w:color w:val="0F0F0F"/>
        </w:rPr>
        <w:t>堰</w:t>
      </w:r>
      <w:r>
        <w:rPr>
          <w:rFonts w:hint="eastAsia" w:ascii="新宋体" w:eastAsia="新宋体"/>
          <w:color w:val="0F0F0F"/>
        </w:rPr>
        <w:t>工</w:t>
      </w:r>
      <w:r>
        <w:rPr>
          <w:rFonts w:ascii="新宋体" w:eastAsia="新宋体"/>
          <w:color w:val="0F0F0F"/>
        </w:rPr>
        <w:t>程；</w:t>
      </w:r>
    </w:p>
    <w:p w14:paraId="77A76CBD">
      <w:pPr>
        <w:ind w:firstLine="525" w:firstLineChars="250"/>
        <w:rPr>
          <w:rFonts w:ascii="新宋体" w:hAnsi="宋体" w:eastAsia="新宋体"/>
          <w:b/>
          <w:color w:val="0F0F0F"/>
          <w:sz w:val="25"/>
          <w:szCs w:val="32"/>
        </w:rPr>
      </w:pPr>
      <w:r>
        <w:rPr>
          <w:rFonts w:ascii="新宋体" w:eastAsia="新宋体"/>
          <w:color w:val="0F0F0F"/>
        </w:rPr>
        <w:t>(4)桥梁工程中的粱、拱、柱等构件施工等；</w:t>
      </w:r>
    </w:p>
    <w:p w14:paraId="7F65CE1A">
      <w:pPr>
        <w:ind w:firstLine="525" w:firstLineChars="250"/>
        <w:rPr>
          <w:rFonts w:ascii="新宋体" w:hAnsi="宋体" w:eastAsia="新宋体"/>
          <w:b/>
          <w:color w:val="0F0F0F"/>
          <w:sz w:val="25"/>
          <w:szCs w:val="32"/>
        </w:rPr>
      </w:pPr>
      <w:r>
        <w:rPr>
          <w:rFonts w:ascii="新宋体" w:eastAsia="新宋体"/>
          <w:color w:val="0F0F0F"/>
        </w:rPr>
        <w:t>(5)隧道</w:t>
      </w:r>
      <w:r>
        <w:rPr>
          <w:rFonts w:hint="eastAsia" w:ascii="新宋体" w:eastAsia="新宋体"/>
          <w:color w:val="0F0F0F"/>
        </w:rPr>
        <w:t>工</w:t>
      </w:r>
      <w:r>
        <w:rPr>
          <w:rFonts w:ascii="新宋体" w:eastAsia="新宋体"/>
          <w:color w:val="0F0F0F"/>
        </w:rPr>
        <w:t>程中的不良地质隧道、高瓦斯隧道等；</w:t>
      </w:r>
    </w:p>
    <w:p w14:paraId="10896854">
      <w:pPr>
        <w:ind w:firstLine="525" w:firstLineChars="250"/>
        <w:rPr>
          <w:rFonts w:ascii="新宋体" w:hAnsi="宋体" w:eastAsia="新宋体"/>
          <w:b/>
          <w:color w:val="0F0F0F"/>
          <w:sz w:val="25"/>
          <w:szCs w:val="32"/>
        </w:rPr>
      </w:pPr>
      <w:r>
        <w:rPr>
          <w:rFonts w:ascii="新宋体" w:eastAsia="新宋体"/>
          <w:color w:val="0F0F0F"/>
        </w:rPr>
        <w:t>(6)水上工程</w:t>
      </w:r>
      <w:r>
        <w:rPr>
          <w:rFonts w:hint="eastAsia" w:ascii="新宋体" w:eastAsia="新宋体"/>
          <w:color w:val="0F0F0F"/>
        </w:rPr>
        <w:t>中</w:t>
      </w:r>
      <w:r>
        <w:rPr>
          <w:rFonts w:ascii="新宋体" w:eastAsia="新宋体"/>
          <w:color w:val="0F0F0F"/>
        </w:rPr>
        <w:t>的打桩船作业、施工船作业、外海孤岛作业、边通航边施工作业等；</w:t>
      </w:r>
    </w:p>
    <w:p w14:paraId="0E5912D0">
      <w:pPr>
        <w:ind w:firstLine="525" w:firstLineChars="250"/>
        <w:rPr>
          <w:rFonts w:ascii="新宋体" w:hAnsi="宋体" w:eastAsia="新宋体"/>
          <w:b/>
          <w:color w:val="0F0F0F"/>
          <w:sz w:val="25"/>
          <w:szCs w:val="32"/>
        </w:rPr>
      </w:pPr>
      <w:r>
        <w:rPr>
          <w:rFonts w:ascii="新宋体" w:eastAsia="新宋体"/>
          <w:color w:val="0F0F0F"/>
        </w:rPr>
        <w:t>(7)水下工程中</w:t>
      </w:r>
      <w:r>
        <w:rPr>
          <w:rFonts w:hint="eastAsia" w:ascii="新宋体" w:eastAsia="新宋体"/>
          <w:color w:val="0F0F0F"/>
        </w:rPr>
        <w:t>的</w:t>
      </w:r>
      <w:r>
        <w:rPr>
          <w:rFonts w:ascii="新宋体" w:eastAsia="新宋体"/>
          <w:color w:val="0F0F0F"/>
        </w:rPr>
        <w:t>水下焊接、混凝</w:t>
      </w:r>
      <w:r>
        <w:rPr>
          <w:rFonts w:hint="eastAsia" w:ascii="新宋体" w:eastAsia="新宋体"/>
          <w:color w:val="0F0F0F"/>
        </w:rPr>
        <w:t>土</w:t>
      </w:r>
      <w:r>
        <w:rPr>
          <w:rFonts w:ascii="新宋体" w:eastAsia="新宋体"/>
          <w:color w:val="0F0F0F"/>
        </w:rPr>
        <w:t>浇筑、爆破工程等；</w:t>
      </w:r>
    </w:p>
    <w:p w14:paraId="2D8B80E6">
      <w:pPr>
        <w:ind w:firstLine="525" w:firstLineChars="250"/>
        <w:rPr>
          <w:rFonts w:ascii="新宋体" w:hAnsi="宋体" w:eastAsia="新宋体"/>
          <w:b/>
          <w:color w:val="0F0F0F"/>
          <w:sz w:val="25"/>
          <w:szCs w:val="32"/>
        </w:rPr>
      </w:pPr>
      <w:r>
        <w:rPr>
          <w:rFonts w:ascii="新宋体" w:eastAsia="新宋体"/>
          <w:color w:val="0F0F0F"/>
        </w:rPr>
        <w:t>(8)爆破工程；</w:t>
      </w:r>
    </w:p>
    <w:p w14:paraId="5EE7C008">
      <w:pPr>
        <w:ind w:firstLine="525" w:firstLineChars="250"/>
        <w:rPr>
          <w:rFonts w:ascii="新宋体" w:hAnsi="宋体" w:eastAsia="新宋体"/>
          <w:b/>
          <w:color w:val="0F0F0F"/>
          <w:sz w:val="25"/>
          <w:szCs w:val="32"/>
        </w:rPr>
      </w:pPr>
      <w:r>
        <w:rPr>
          <w:rFonts w:ascii="新宋体" w:eastAsia="新宋体"/>
          <w:color w:val="0F0F0F"/>
        </w:rPr>
        <w:t>(9)大型临时工程</w:t>
      </w:r>
      <w:r>
        <w:rPr>
          <w:rFonts w:hint="eastAsia" w:ascii="新宋体" w:eastAsia="新宋体"/>
          <w:color w:val="0F0F0F"/>
        </w:rPr>
        <w:t>中的大型支架、模叛、便桥的架设与拆除；桥</w:t>
      </w:r>
      <w:r>
        <w:rPr>
          <w:rFonts w:ascii="新宋体" w:eastAsia="新宋体"/>
          <w:color w:val="0F0F0F"/>
        </w:rPr>
        <w:t>梁、码</w:t>
      </w:r>
      <w:r>
        <w:rPr>
          <w:rFonts w:hint="eastAsia" w:ascii="新宋体" w:eastAsia="新宋体"/>
          <w:color w:val="0F0F0F"/>
        </w:rPr>
        <w:t>头</w:t>
      </w:r>
      <w:r>
        <w:rPr>
          <w:rFonts w:ascii="新宋体" w:eastAsia="新宋体"/>
          <w:color w:val="0F0F0F"/>
        </w:rPr>
        <w:t>的加固与</w:t>
      </w:r>
      <w:r>
        <w:rPr>
          <w:rFonts w:hint="eastAsia" w:ascii="新宋体" w:eastAsia="新宋体"/>
          <w:color w:val="0F0F0F"/>
        </w:rPr>
        <w:t>拆除；</w:t>
      </w:r>
    </w:p>
    <w:p w14:paraId="0437A997">
      <w:pPr>
        <w:ind w:firstLine="525" w:firstLineChars="250"/>
        <w:rPr>
          <w:rFonts w:ascii="新宋体" w:hAnsi="宋体" w:eastAsia="新宋体"/>
          <w:b/>
          <w:color w:val="0F0F0F"/>
          <w:sz w:val="25"/>
          <w:szCs w:val="32"/>
        </w:rPr>
      </w:pPr>
      <w:r>
        <w:rPr>
          <w:rFonts w:ascii="新宋体" w:eastAsia="新宋体"/>
          <w:color w:val="0F0F0F"/>
        </w:rPr>
        <w:t>(10)其他危险性较大的工程。</w:t>
      </w:r>
    </w:p>
    <w:p w14:paraId="29D8FFE8">
      <w:pPr>
        <w:ind w:firstLine="525" w:firstLineChars="250"/>
        <w:rPr>
          <w:rFonts w:ascii="新宋体" w:hAnsi="宋体" w:eastAsia="新宋体"/>
          <w:b/>
          <w:color w:val="0F0F0F"/>
          <w:sz w:val="25"/>
          <w:szCs w:val="32"/>
        </w:rPr>
      </w:pPr>
      <w:r>
        <w:rPr>
          <w:rFonts w:ascii="新宋体" w:eastAsia="新宋体"/>
          <w:color w:val="0F0F0F"/>
        </w:rPr>
        <w:t>监理人和发包人在检查中发现有安全</w:t>
      </w:r>
      <w:r>
        <w:rPr>
          <w:rFonts w:hint="eastAsia" w:ascii="新宋体" w:eastAsia="新宋体"/>
          <w:color w:val="0F0F0F"/>
        </w:rPr>
        <w:t>问</w:t>
      </w:r>
      <w:r>
        <w:rPr>
          <w:rFonts w:ascii="新宋体" w:eastAsia="新宋体"/>
          <w:color w:val="0F0F0F"/>
        </w:rPr>
        <w:t>题或有违反安全管理规章制度的情况时，</w:t>
      </w:r>
      <w:r>
        <w:rPr>
          <w:rFonts w:hint="eastAsia" w:ascii="新宋体" w:eastAsia="新宋体"/>
          <w:color w:val="0F0F0F"/>
        </w:rPr>
        <w:t>可视为承包人违约，应按第</w:t>
      </w:r>
      <w:r>
        <w:rPr>
          <w:rFonts w:ascii="新宋体" w:eastAsia="新宋体"/>
          <w:color w:val="0F0F0F"/>
        </w:rPr>
        <w:t>22</w:t>
      </w:r>
      <w:r>
        <w:rPr>
          <w:rFonts w:hint="eastAsia" w:ascii="新宋体" w:eastAsia="新宋体"/>
          <w:color w:val="0F0F0F"/>
        </w:rPr>
        <w:t>.</w:t>
      </w:r>
      <w:r>
        <w:rPr>
          <w:rFonts w:ascii="新宋体" w:eastAsia="新宋体"/>
          <w:color w:val="0F0F0F"/>
        </w:rPr>
        <w:t>1款的规定办理。</w:t>
      </w:r>
    </w:p>
    <w:p w14:paraId="2C5565FC">
      <w:pPr>
        <w:ind w:firstLine="525" w:firstLineChars="250"/>
        <w:rPr>
          <w:rFonts w:ascii="新宋体" w:hAnsi="宋体" w:eastAsia="新宋体"/>
          <w:b/>
          <w:color w:val="0F0F0F"/>
          <w:sz w:val="25"/>
          <w:szCs w:val="32"/>
        </w:rPr>
      </w:pPr>
      <w:r>
        <w:rPr>
          <w:rFonts w:ascii="新宋体" w:eastAsia="新宋体"/>
          <w:color w:val="0F0F0F"/>
        </w:rPr>
        <w:t>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5项细化为：</w:t>
      </w:r>
    </w:p>
    <w:p w14:paraId="597A0DAA">
      <w:pPr>
        <w:ind w:firstLine="525" w:firstLineChars="250"/>
        <w:rPr>
          <w:rFonts w:ascii="新宋体" w:hAnsi="宋体" w:eastAsia="新宋体"/>
          <w:b/>
          <w:color w:val="0F0F0F"/>
          <w:sz w:val="25"/>
          <w:szCs w:val="32"/>
        </w:rPr>
      </w:pPr>
      <w:r>
        <w:rPr>
          <w:rFonts w:ascii="新宋体" w:eastAsia="新宋体"/>
          <w:color w:val="0F0F0F"/>
        </w:rPr>
        <w:t>除项目专用合同条款另有约定外，安全生产</w:t>
      </w:r>
      <w:r>
        <w:rPr>
          <w:rFonts w:hint="eastAsia" w:ascii="新宋体" w:eastAsia="新宋体"/>
          <w:color w:val="0F0F0F"/>
        </w:rPr>
        <w:t>费</w:t>
      </w:r>
      <w:r>
        <w:rPr>
          <w:rFonts w:ascii="新宋体" w:eastAsia="新宋体"/>
          <w:color w:val="0F0F0F"/>
        </w:rPr>
        <w:t>用应为投标价(不含安全生产</w:t>
      </w:r>
      <w:r>
        <w:rPr>
          <w:rFonts w:hint="eastAsia" w:ascii="新宋体" w:eastAsia="新宋体"/>
          <w:color w:val="0F0F0F"/>
        </w:rPr>
        <w:t>费</w:t>
      </w:r>
      <w:r>
        <w:rPr>
          <w:rFonts w:ascii="新宋体" w:eastAsia="新宋体"/>
          <w:color w:val="0F0F0F"/>
        </w:rPr>
        <w:t>及建</w:t>
      </w:r>
      <w:r>
        <w:rPr>
          <w:rFonts w:hint="eastAsia" w:ascii="新宋体" w:eastAsia="新宋体"/>
          <w:color w:val="0F0F0F"/>
        </w:rPr>
        <w:t>筑工程一切险及第三者责任险的保险费</w:t>
      </w:r>
      <w:r>
        <w:rPr>
          <w:rFonts w:ascii="新宋体" w:eastAsia="新宋体"/>
          <w:color w:val="0F0F0F"/>
        </w:rPr>
        <w:t>)的l％(</w:t>
      </w:r>
      <w:r>
        <w:rPr>
          <w:rFonts w:hint="eastAsia" w:ascii="新宋体" w:eastAsia="新宋体"/>
          <w:color w:val="0F0F0F"/>
        </w:rPr>
        <w:t>若</w:t>
      </w:r>
      <w:r>
        <w:rPr>
          <w:rFonts w:ascii="新宋体" w:eastAsia="新宋体"/>
          <w:color w:val="0F0F0F"/>
        </w:rPr>
        <w:t>发包人公布</w:t>
      </w:r>
      <w:r>
        <w:rPr>
          <w:rFonts w:hint="eastAsia" w:ascii="新宋体" w:eastAsia="新宋体"/>
          <w:color w:val="0F0F0F"/>
        </w:rPr>
        <w:t>了</w:t>
      </w:r>
      <w:r>
        <w:rPr>
          <w:rFonts w:ascii="新宋体" w:eastAsia="新宋体"/>
          <w:color w:val="0F0F0F"/>
        </w:rPr>
        <w:t>投标控制价上限时，按</w:t>
      </w:r>
      <w:r>
        <w:rPr>
          <w:rFonts w:hint="eastAsia" w:ascii="新宋体" w:eastAsia="新宋体"/>
          <w:color w:val="0F0F0F"/>
        </w:rPr>
        <w:t>投标控制价上限的</w:t>
      </w:r>
      <w:r>
        <w:rPr>
          <w:rFonts w:ascii="新宋体" w:eastAsia="新宋体"/>
          <w:color w:val="0F0F0F"/>
        </w:rPr>
        <w:t>l％计)。安全生产</w:t>
      </w:r>
      <w:r>
        <w:rPr>
          <w:rFonts w:hint="eastAsia" w:ascii="新宋体" w:eastAsia="新宋体"/>
          <w:color w:val="0F0F0F"/>
        </w:rPr>
        <w:t>费</w:t>
      </w:r>
      <w:r>
        <w:rPr>
          <w:rFonts w:ascii="新宋体" w:eastAsia="新宋体"/>
          <w:color w:val="0F0F0F"/>
        </w:rPr>
        <w:t>用应用于施工安全防护用具及设施的采购和更</w:t>
      </w:r>
      <w:r>
        <w:rPr>
          <w:rFonts w:hint="eastAsia" w:ascii="新宋体" w:eastAsia="新宋体"/>
          <w:color w:val="0F0F0F"/>
        </w:rPr>
        <w:t>新、安全施工措施的落实、安全生产条件的改善，不得挪作他用。如承包人在此基础上增加安全生产费用以满足项目施工需要，则</w:t>
      </w:r>
      <w:r>
        <w:rPr>
          <w:rFonts w:ascii="新宋体" w:eastAsia="新宋体"/>
          <w:color w:val="0F0F0F"/>
        </w:rPr>
        <w:t>承包人应在本项目工程</w:t>
      </w:r>
      <w:r>
        <w:rPr>
          <w:rFonts w:hint="eastAsia" w:ascii="新宋体" w:eastAsia="新宋体"/>
          <w:color w:val="0F0F0F"/>
        </w:rPr>
        <w:t>量清</w:t>
      </w:r>
      <w:r>
        <w:rPr>
          <w:rFonts w:ascii="新宋体" w:eastAsia="新宋体"/>
          <w:color w:val="0F0F0F"/>
        </w:rPr>
        <w:t>单其他相关</w:t>
      </w:r>
      <w:r>
        <w:rPr>
          <w:rFonts w:hint="eastAsia" w:ascii="新宋体" w:eastAsia="新宋体"/>
          <w:color w:val="0F0F0F"/>
        </w:rPr>
        <w:t>子目的单价或总额</w:t>
      </w:r>
      <w:r>
        <w:rPr>
          <w:rFonts w:ascii="新宋体" w:eastAsia="新宋体"/>
          <w:color w:val="0F0F0F"/>
        </w:rPr>
        <w:t>价中予以考虑，发包人不再另行支付。因采取合同未约定的特殊防护</w:t>
      </w:r>
      <w:r>
        <w:rPr>
          <w:rFonts w:hint="eastAsia" w:ascii="新宋体" w:eastAsia="新宋体"/>
          <w:color w:val="0F0F0F"/>
        </w:rPr>
        <w:t>措施增加的费用，由监理人按第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w:t>
      </w:r>
    </w:p>
    <w:p w14:paraId="66B071CF">
      <w:pPr>
        <w:ind w:firstLine="525" w:firstLineChars="250"/>
        <w:rPr>
          <w:rFonts w:ascii="新宋体" w:hAnsi="宋体" w:eastAsia="新宋体"/>
          <w:b/>
          <w:color w:val="0F0F0F"/>
          <w:sz w:val="25"/>
          <w:szCs w:val="32"/>
        </w:rPr>
      </w:pPr>
      <w:r>
        <w:rPr>
          <w:rFonts w:ascii="新宋体" w:eastAsia="新宋体"/>
          <w:color w:val="0F0F0F"/>
        </w:rPr>
        <w:t>本款补充第9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8项</w:t>
      </w:r>
      <w:r>
        <w:rPr>
          <w:rFonts w:hint="eastAsia" w:ascii="新宋体" w:eastAsia="新宋体"/>
          <w:color w:val="0F0F0F"/>
        </w:rPr>
        <w:t>~</w:t>
      </w:r>
      <w:r>
        <w:rPr>
          <w:rFonts w:ascii="新宋体" w:eastAsia="新宋体"/>
          <w:color w:val="0F0F0F"/>
        </w:rPr>
        <w:t>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1l项：</w:t>
      </w:r>
    </w:p>
    <w:p w14:paraId="5AA6F52B">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8  承包人应充分关注和保障所有在现场工作的人员的安全，采取以下有效措</w:t>
      </w:r>
      <w:r>
        <w:rPr>
          <w:rFonts w:hint="eastAsia" w:ascii="新宋体" w:eastAsia="新宋体"/>
          <w:color w:val="0F0F0F"/>
        </w:rPr>
        <w:t>施，使现场和本合同工程的实施保持有条不紊，以免使上述人员的安全受到威胁。</w:t>
      </w:r>
    </w:p>
    <w:p w14:paraId="273F83F3">
      <w:pPr>
        <w:ind w:firstLine="525" w:firstLineChars="250"/>
        <w:rPr>
          <w:rFonts w:ascii="新宋体" w:hAnsi="宋体" w:eastAsia="新宋体"/>
          <w:b/>
          <w:color w:val="0F0F0F"/>
          <w:sz w:val="25"/>
          <w:szCs w:val="32"/>
        </w:rPr>
      </w:pPr>
      <w:r>
        <w:rPr>
          <w:rFonts w:ascii="新宋体" w:eastAsia="新宋体"/>
          <w:color w:val="0F0F0F"/>
        </w:rPr>
        <w:t>(1)按《公路水运工程安全生产监督管理办法》规定的最低数量和资质条件配备专</w:t>
      </w:r>
      <w:r>
        <w:rPr>
          <w:rFonts w:hint="eastAsia" w:ascii="新宋体" w:eastAsia="新宋体"/>
          <w:color w:val="0F0F0F"/>
        </w:rPr>
        <w:t>职安全生产管理人员；</w:t>
      </w:r>
    </w:p>
    <w:p w14:paraId="2800266A">
      <w:pPr>
        <w:ind w:firstLine="525" w:firstLineChars="250"/>
        <w:rPr>
          <w:rFonts w:ascii="新宋体" w:hAnsi="宋体" w:eastAsia="新宋体"/>
          <w:b/>
          <w:color w:val="0F0F0F"/>
          <w:sz w:val="25"/>
          <w:szCs w:val="32"/>
        </w:rPr>
      </w:pPr>
      <w:r>
        <w:rPr>
          <w:rFonts w:ascii="新宋体" w:eastAsia="新宋体"/>
          <w:color w:val="0F0F0F"/>
        </w:rPr>
        <w:t>(2)承包人的垂直运输机械作业人员、施工船</w:t>
      </w:r>
      <w:r>
        <w:rPr>
          <w:rFonts w:hint="eastAsia" w:ascii="新宋体" w:eastAsia="新宋体"/>
          <w:color w:val="0F0F0F"/>
        </w:rPr>
        <w:t>舶</w:t>
      </w:r>
      <w:r>
        <w:rPr>
          <w:rFonts w:ascii="新宋体" w:eastAsia="新宋体"/>
          <w:color w:val="0F0F0F"/>
        </w:rPr>
        <w:t>作业人员、爆破作业人员、安装拆</w:t>
      </w:r>
      <w:r>
        <w:rPr>
          <w:rFonts w:hint="eastAsia" w:ascii="新宋体" w:eastAsia="新宋体"/>
          <w:color w:val="0F0F0F"/>
        </w:rPr>
        <w:t>卸工、起重信号工、电工、焊工等国家规定的特种作业人员，必须按照国家规定经过专门的安全作业培训，井取得特种作业操作资格证书后，方可上岗作业；</w:t>
      </w:r>
    </w:p>
    <w:p w14:paraId="782D8594">
      <w:pPr>
        <w:ind w:firstLine="525" w:firstLineChars="250"/>
        <w:rPr>
          <w:rFonts w:ascii="新宋体" w:hAnsi="宋体" w:eastAsia="新宋体"/>
          <w:b/>
          <w:color w:val="0F0F0F"/>
          <w:sz w:val="25"/>
          <w:szCs w:val="32"/>
        </w:rPr>
      </w:pPr>
      <w:r>
        <w:rPr>
          <w:rFonts w:ascii="新宋体" w:eastAsia="新宋体"/>
          <w:color w:val="0F0F0F"/>
        </w:rPr>
        <w:t>(3)所</w:t>
      </w:r>
      <w:r>
        <w:rPr>
          <w:rFonts w:hint="eastAsia" w:ascii="新宋体" w:eastAsia="新宋体"/>
          <w:color w:val="0F0F0F"/>
        </w:rPr>
        <w:t>有施</w:t>
      </w:r>
      <w:r>
        <w:rPr>
          <w:rFonts w:ascii="新宋体" w:eastAsia="新宋体"/>
          <w:color w:val="0F0F0F"/>
        </w:rPr>
        <w:t>工机具设备和高空作业设备均应定期检查，并有安全</w:t>
      </w:r>
      <w:r>
        <w:rPr>
          <w:rFonts w:hint="eastAsia" w:ascii="新宋体" w:eastAsia="新宋体"/>
          <w:color w:val="0F0F0F"/>
        </w:rPr>
        <w:t>员</w:t>
      </w:r>
      <w:r>
        <w:rPr>
          <w:rFonts w:ascii="新宋体" w:eastAsia="新宋体"/>
          <w:color w:val="0F0F0F"/>
        </w:rPr>
        <w:t>的签字记录；</w:t>
      </w:r>
    </w:p>
    <w:p w14:paraId="4605C9BA">
      <w:pPr>
        <w:ind w:firstLine="525" w:firstLineChars="250"/>
        <w:rPr>
          <w:rFonts w:ascii="新宋体" w:hAnsi="宋体" w:eastAsia="新宋体"/>
          <w:b/>
          <w:color w:val="0F0F0F"/>
          <w:sz w:val="25"/>
          <w:szCs w:val="32"/>
        </w:rPr>
      </w:pPr>
      <w:r>
        <w:rPr>
          <w:rFonts w:ascii="新宋体" w:eastAsia="新宋体"/>
          <w:color w:val="0F0F0F"/>
        </w:rPr>
        <w:t>(4)根据本合同各单位工程的施工特点，严格执行《公路水运工</w:t>
      </w:r>
      <w:r>
        <w:rPr>
          <w:rFonts w:hint="eastAsia" w:ascii="新宋体" w:eastAsia="新宋体"/>
          <w:color w:val="0F0F0F"/>
        </w:rPr>
        <w:t>程</w:t>
      </w:r>
      <w:r>
        <w:rPr>
          <w:rFonts w:ascii="新宋体" w:eastAsia="新宋体"/>
          <w:color w:val="0F0F0F"/>
        </w:rPr>
        <w:t>安全生产监督管</w:t>
      </w:r>
      <w:r>
        <w:rPr>
          <w:rFonts w:hint="eastAsia" w:ascii="新宋体" w:eastAsia="新宋体"/>
          <w:color w:val="0F0F0F"/>
        </w:rPr>
        <w:t>理办法》、《公路工程施工</w:t>
      </w:r>
      <w:r>
        <w:rPr>
          <w:rFonts w:ascii="新宋体" w:eastAsia="新宋体"/>
          <w:color w:val="0F0F0F"/>
        </w:rPr>
        <w:t>安全技术规程》与《公路筑养路机械操作规程》的具体规定。</w:t>
      </w:r>
    </w:p>
    <w:p w14:paraId="50AF3652">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9为了保护本合</w:t>
      </w:r>
      <w:r>
        <w:rPr>
          <w:rFonts w:hint="eastAsia" w:ascii="新宋体" w:eastAsia="新宋体"/>
          <w:color w:val="0F0F0F"/>
        </w:rPr>
        <w:t>同</w:t>
      </w:r>
      <w:r>
        <w:rPr>
          <w:rFonts w:ascii="新宋体" w:eastAsia="新宋体"/>
          <w:color w:val="0F0F0F"/>
        </w:rPr>
        <w:t>工</w:t>
      </w:r>
      <w:r>
        <w:rPr>
          <w:rFonts w:hint="eastAsia" w:ascii="新宋体" w:eastAsia="新宋体"/>
          <w:color w:val="0F0F0F"/>
        </w:rPr>
        <w:t>程</w:t>
      </w:r>
      <w:r>
        <w:rPr>
          <w:rFonts w:ascii="新宋体" w:eastAsia="新宋体"/>
          <w:color w:val="0F0F0F"/>
        </w:rPr>
        <w:t>免遭损坏，或为了现场附近和过</w:t>
      </w:r>
      <w:r>
        <w:rPr>
          <w:rFonts w:hint="eastAsia" w:ascii="新宋体" w:eastAsia="新宋体"/>
          <w:color w:val="0F0F0F"/>
        </w:rPr>
        <w:t>往</w:t>
      </w:r>
      <w:r>
        <w:rPr>
          <w:rFonts w:ascii="新宋体" w:eastAsia="新宋体"/>
          <w:color w:val="0F0F0F"/>
        </w:rPr>
        <w:t>群众的安全与方</w:t>
      </w:r>
      <w:r>
        <w:rPr>
          <w:rFonts w:hint="eastAsia" w:ascii="新宋体" w:eastAsia="新宋体"/>
          <w:color w:val="0F0F0F"/>
        </w:rPr>
        <w:t>便，在确有必要的时候和地方，或当监理人或有关主管部门要求时，承包人应自费提供照明、警卫、护栅、警告标志等安全防护设施。</w:t>
      </w:r>
    </w:p>
    <w:p w14:paraId="4C959175">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10在通航水域施工时，承包人应与当地主管部门取得联系，设</w:t>
      </w:r>
      <w:r>
        <w:rPr>
          <w:rFonts w:hint="eastAsia" w:ascii="新宋体" w:eastAsia="新宋体"/>
          <w:color w:val="0F0F0F"/>
        </w:rPr>
        <w:t>置</w:t>
      </w:r>
      <w:r>
        <w:rPr>
          <w:rFonts w:ascii="新宋体" w:eastAsia="新宋体"/>
          <w:color w:val="0F0F0F"/>
        </w:rPr>
        <w:t>必要的导航</w:t>
      </w:r>
      <w:r>
        <w:rPr>
          <w:rFonts w:hint="eastAsia" w:ascii="新宋体" w:eastAsia="新宋体"/>
          <w:color w:val="0F0F0F"/>
        </w:rPr>
        <w:t>标志，及时发布航行通告，确保施工水域安全。</w:t>
      </w:r>
    </w:p>
    <w:p w14:paraId="11587E55">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11  在整个施工过程中对承包人采取的施工安全措施，发包人和监理人有权</w:t>
      </w:r>
      <w:r>
        <w:rPr>
          <w:rFonts w:hint="eastAsia" w:ascii="新宋体" w:eastAsia="新宋体"/>
          <w:color w:val="0F0F0F"/>
        </w:rPr>
        <w:t>监督，并向承包人提出整改要求。如果出于承包人未能对其负责的上述事项采取各种必要的措施而导致或发生与此有关的人身伤亡、罚款、索赔、损失补偿、诉讼费用及其他一切责任应由承包人负责。</w:t>
      </w:r>
    </w:p>
    <w:p w14:paraId="02ECEA6E">
      <w:pPr>
        <w:rPr>
          <w:rFonts w:ascii="新宋体" w:eastAsia="新宋体"/>
          <w:color w:val="0F0F0F"/>
          <w:sz w:val="24"/>
        </w:rPr>
      </w:pPr>
      <w:r>
        <w:rPr>
          <w:rFonts w:ascii="新宋体" w:eastAsia="新宋体"/>
          <w:color w:val="0F0F0F"/>
          <w:sz w:val="24"/>
        </w:rPr>
        <w:t>9</w:t>
      </w:r>
      <w:r>
        <w:rPr>
          <w:rFonts w:hint="eastAsia" w:ascii="新宋体" w:eastAsia="新宋体"/>
          <w:color w:val="0F0F0F"/>
          <w:sz w:val="24"/>
        </w:rPr>
        <w:t>.</w:t>
      </w:r>
      <w:r>
        <w:rPr>
          <w:rFonts w:ascii="新宋体" w:eastAsia="新宋体"/>
          <w:color w:val="0F0F0F"/>
          <w:sz w:val="24"/>
        </w:rPr>
        <w:t>4环境保护</w:t>
      </w:r>
    </w:p>
    <w:p w14:paraId="210326CD">
      <w:pPr>
        <w:ind w:firstLine="525" w:firstLineChars="250"/>
        <w:rPr>
          <w:rFonts w:ascii="新宋体" w:hAnsi="宋体" w:eastAsia="新宋体"/>
          <w:b/>
          <w:color w:val="0F0F0F"/>
          <w:sz w:val="25"/>
          <w:szCs w:val="32"/>
        </w:rPr>
      </w:pPr>
      <w:r>
        <w:rPr>
          <w:rFonts w:ascii="新宋体" w:eastAsia="新宋体"/>
          <w:color w:val="0F0F0F"/>
        </w:rPr>
        <w:t>本款补充第9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7项</w:t>
      </w:r>
      <w:r>
        <w:rPr>
          <w:rFonts w:hint="eastAsia" w:ascii="新宋体" w:eastAsia="新宋体"/>
          <w:color w:val="0F0F0F"/>
        </w:rPr>
        <w:t>~</w:t>
      </w:r>
      <w:r>
        <w:rPr>
          <w:rFonts w:ascii="新宋体" w:eastAsia="新宋体"/>
          <w:color w:val="0F0F0F"/>
        </w:rPr>
        <w:t>第9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1l项：</w:t>
      </w:r>
    </w:p>
    <w:p w14:paraId="6F784102">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7承包人应切实执行技术规范</w:t>
      </w:r>
      <w:r>
        <w:rPr>
          <w:rFonts w:hint="eastAsia" w:ascii="新宋体" w:eastAsia="新宋体"/>
          <w:color w:val="0F0F0F"/>
        </w:rPr>
        <w:t>中</w:t>
      </w:r>
      <w:r>
        <w:rPr>
          <w:rFonts w:ascii="新宋体" w:eastAsia="新宋体"/>
          <w:color w:val="0F0F0F"/>
        </w:rPr>
        <w:t>有关环境保护方</w:t>
      </w:r>
      <w:r>
        <w:rPr>
          <w:rFonts w:hint="eastAsia" w:ascii="新宋体" w:eastAsia="新宋体"/>
          <w:color w:val="0F0F0F"/>
        </w:rPr>
        <w:t>面</w:t>
      </w:r>
      <w:r>
        <w:rPr>
          <w:rFonts w:ascii="新宋体" w:eastAsia="新宋体"/>
          <w:color w:val="0F0F0F"/>
        </w:rPr>
        <w:t>的条款和规定。</w:t>
      </w:r>
    </w:p>
    <w:p w14:paraId="0C83D388">
      <w:pPr>
        <w:ind w:firstLine="525" w:firstLineChars="250"/>
        <w:rPr>
          <w:rFonts w:ascii="新宋体" w:hAnsi="宋体" w:eastAsia="新宋体"/>
          <w:b/>
          <w:color w:val="0F0F0F"/>
          <w:sz w:val="25"/>
          <w:szCs w:val="32"/>
        </w:rPr>
      </w:pPr>
      <w:r>
        <w:rPr>
          <w:rFonts w:ascii="新宋体" w:eastAsia="新宋体"/>
          <w:color w:val="0F0F0F"/>
        </w:rPr>
        <w:t>(1)对于来自施</w:t>
      </w:r>
      <w:r>
        <w:rPr>
          <w:rFonts w:hint="eastAsia" w:ascii="新宋体" w:eastAsia="新宋体"/>
          <w:color w:val="0F0F0F"/>
        </w:rPr>
        <w:t>工</w:t>
      </w:r>
      <w:r>
        <w:rPr>
          <w:rFonts w:ascii="新宋体" w:eastAsia="新宋体"/>
          <w:color w:val="0F0F0F"/>
        </w:rPr>
        <w:t>机械和运输车辆的施工噪声，为保护施工人员的健康，应遵守《中</w:t>
      </w:r>
      <w:r>
        <w:rPr>
          <w:rFonts w:hint="eastAsia" w:ascii="新宋体" w:eastAsia="新宋体"/>
          <w:color w:val="0F0F0F"/>
        </w:rPr>
        <w:t>华人民共和国环境噪声污染防治法》并依据《工业众业噪声卫生标准》合理安排工作人员轮流操作筑路机械，减少接触高噪声的时间，或间歇安排高噪声的工作。对距噪声源较近的施工人员，除采取使用防护耳塞或头盔等有效措施外，还应当缩短其劳动时间。同</w:t>
      </w:r>
      <w:r>
        <w:rPr>
          <w:rFonts w:ascii="新宋体" w:eastAsia="新宋体"/>
          <w:color w:val="0F0F0F"/>
        </w:rPr>
        <w:t>时，要注意对机械的经常性保养，尽</w:t>
      </w:r>
      <w:r>
        <w:rPr>
          <w:rFonts w:hint="eastAsia" w:ascii="新宋体" w:eastAsia="新宋体"/>
          <w:color w:val="0F0F0F"/>
        </w:rPr>
        <w:t>量</w:t>
      </w:r>
      <w:r>
        <w:rPr>
          <w:rFonts w:ascii="新宋体" w:eastAsia="新宋体"/>
          <w:color w:val="0F0F0F"/>
        </w:rPr>
        <w:t>使其噪声降低到最低水平。为保护施工现场</w:t>
      </w:r>
      <w:r>
        <w:rPr>
          <w:rFonts w:hint="eastAsia" w:ascii="新宋体" w:eastAsia="新宋体"/>
          <w:color w:val="0F0F0F"/>
        </w:rPr>
        <w:t>附近居民的夜间休息，对居民区</w:t>
      </w:r>
      <w:r>
        <w:rPr>
          <w:rFonts w:ascii="新宋体" w:eastAsia="新宋体"/>
          <w:color w:val="0F0F0F"/>
        </w:rPr>
        <w:t>150m以内的施</w:t>
      </w:r>
      <w:r>
        <w:rPr>
          <w:rFonts w:hint="eastAsia" w:ascii="新宋体" w:eastAsia="新宋体"/>
          <w:color w:val="0F0F0F"/>
        </w:rPr>
        <w:t>工</w:t>
      </w:r>
      <w:r>
        <w:rPr>
          <w:rFonts w:ascii="新宋体" w:eastAsia="新宋体"/>
          <w:color w:val="0F0F0F"/>
        </w:rPr>
        <w:t>现场，施工时间</w:t>
      </w:r>
      <w:r>
        <w:rPr>
          <w:rFonts w:hint="eastAsia" w:ascii="新宋体" w:eastAsia="新宋体"/>
          <w:color w:val="0F0F0F"/>
        </w:rPr>
        <w:t>应</w:t>
      </w:r>
      <w:r>
        <w:rPr>
          <w:rFonts w:ascii="新宋体" w:eastAsia="新宋体"/>
          <w:color w:val="0F0F0F"/>
        </w:rPr>
        <w:t>加以控制。</w:t>
      </w:r>
    </w:p>
    <w:p w14:paraId="6AFE6BB4">
      <w:pPr>
        <w:ind w:firstLine="525" w:firstLineChars="250"/>
        <w:rPr>
          <w:rFonts w:ascii="新宋体" w:hAnsi="宋体" w:eastAsia="新宋体"/>
          <w:b/>
          <w:color w:val="0F0F0F"/>
          <w:sz w:val="25"/>
          <w:szCs w:val="32"/>
        </w:rPr>
      </w:pPr>
      <w:r>
        <w:rPr>
          <w:rFonts w:ascii="新宋体" w:eastAsia="新宋体"/>
          <w:color w:val="0F0F0F"/>
        </w:rPr>
        <w:t>(2)对于公路</w:t>
      </w:r>
      <w:r>
        <w:rPr>
          <w:rFonts w:hint="eastAsia" w:ascii="新宋体" w:eastAsia="新宋体"/>
          <w:color w:val="0F0F0F"/>
        </w:rPr>
        <w:t>施工</w:t>
      </w:r>
      <w:r>
        <w:rPr>
          <w:rFonts w:ascii="新宋体" w:eastAsia="新宋体"/>
          <w:color w:val="0F0F0F"/>
        </w:rPr>
        <w:t>中粉尘</w:t>
      </w:r>
      <w:r>
        <w:rPr>
          <w:rFonts w:hint="eastAsia" w:ascii="新宋体" w:eastAsia="新宋体"/>
          <w:color w:val="0F0F0F"/>
        </w:rPr>
        <w:t>污</w:t>
      </w:r>
      <w:r>
        <w:rPr>
          <w:rFonts w:ascii="新宋体" w:eastAsia="新宋体"/>
          <w:color w:val="0F0F0F"/>
        </w:rPr>
        <w:t>染的主要</w:t>
      </w:r>
      <w:r>
        <w:rPr>
          <w:rFonts w:hint="eastAsia" w:ascii="新宋体" w:eastAsia="新宋体"/>
          <w:color w:val="0F0F0F"/>
        </w:rPr>
        <w:t>污</w:t>
      </w:r>
      <w:r>
        <w:rPr>
          <w:rFonts w:ascii="新宋体" w:eastAsia="新宋体"/>
          <w:color w:val="0F0F0F"/>
        </w:rPr>
        <w:t>染源——灰土拌和、施</w:t>
      </w:r>
      <w:r>
        <w:rPr>
          <w:rFonts w:hint="eastAsia" w:ascii="新宋体" w:eastAsia="新宋体"/>
          <w:color w:val="0F0F0F"/>
        </w:rPr>
        <w:t>工</w:t>
      </w:r>
      <w:r>
        <w:rPr>
          <w:rFonts w:ascii="新宋体" w:eastAsia="新宋体"/>
          <w:color w:val="0F0F0F"/>
        </w:rPr>
        <w:t>车辆和筑路机械运</w:t>
      </w:r>
      <w:r>
        <w:rPr>
          <w:rFonts w:hint="eastAsia" w:ascii="新宋体" w:eastAsia="新宋体"/>
          <w:color w:val="0F0F0F"/>
        </w:rPr>
        <w:t>行及运输产生的扬尘，应采取有效措施减轻其对施工现场的大气污染，保护人民健康，如：</w:t>
      </w:r>
    </w:p>
    <w:p w14:paraId="70035F7A">
      <w:pPr>
        <w:ind w:firstLine="525" w:firstLineChars="250"/>
        <w:rPr>
          <w:rFonts w:ascii="新宋体" w:hAnsi="宋体" w:eastAsia="新宋体"/>
          <w:b/>
          <w:color w:val="0F0F0F"/>
          <w:sz w:val="25"/>
          <w:szCs w:val="32"/>
        </w:rPr>
      </w:pPr>
      <w:r>
        <w:rPr>
          <w:rFonts w:ascii="新宋体" w:eastAsia="新宋体"/>
          <w:color w:val="0F0F0F"/>
        </w:rPr>
        <w:t>a．拌和设备应有较好的密封，或有防尘设备。</w:t>
      </w:r>
    </w:p>
    <w:p w14:paraId="6F2CDB77">
      <w:pPr>
        <w:ind w:firstLine="525" w:firstLineChars="250"/>
        <w:rPr>
          <w:rFonts w:ascii="新宋体" w:hAnsi="宋体" w:eastAsia="新宋体"/>
          <w:b/>
          <w:color w:val="0F0F0F"/>
          <w:sz w:val="25"/>
          <w:szCs w:val="32"/>
        </w:rPr>
      </w:pPr>
      <w:r>
        <w:rPr>
          <w:rFonts w:ascii="新宋体" w:eastAsia="新宋体"/>
          <w:color w:val="0F0F0F"/>
        </w:rPr>
        <w:t>b．施</w:t>
      </w:r>
      <w:r>
        <w:rPr>
          <w:rFonts w:hint="eastAsia" w:ascii="新宋体" w:eastAsia="新宋体"/>
          <w:color w:val="0F0F0F"/>
        </w:rPr>
        <w:t>工通</w:t>
      </w:r>
      <w:r>
        <w:rPr>
          <w:rFonts w:ascii="新宋体" w:eastAsia="新宋体"/>
          <w:color w:val="0F0F0F"/>
        </w:rPr>
        <w:t>道、沥青混凝土拌和站及灰土拌和站应经常进</w:t>
      </w:r>
      <w:r>
        <w:rPr>
          <w:rFonts w:hint="eastAsia" w:ascii="新宋体" w:eastAsia="新宋体"/>
          <w:color w:val="0F0F0F"/>
        </w:rPr>
        <w:t>行</w:t>
      </w:r>
      <w:r>
        <w:rPr>
          <w:rFonts w:ascii="新宋体" w:eastAsia="新宋体"/>
          <w:color w:val="0F0F0F"/>
        </w:rPr>
        <w:t>洒水降尘。</w:t>
      </w:r>
    </w:p>
    <w:p w14:paraId="3B3840E9">
      <w:pPr>
        <w:ind w:firstLine="525" w:firstLineChars="250"/>
        <w:rPr>
          <w:rFonts w:ascii="新宋体" w:hAnsi="宋体" w:eastAsia="新宋体"/>
          <w:b/>
          <w:color w:val="0F0F0F"/>
          <w:sz w:val="25"/>
          <w:szCs w:val="32"/>
        </w:rPr>
      </w:pPr>
      <w:r>
        <w:rPr>
          <w:rFonts w:hint="eastAsia" w:ascii="新宋体" w:eastAsia="新宋体"/>
          <w:color w:val="0F0F0F"/>
        </w:rPr>
        <w:t>c</w:t>
      </w:r>
      <w:r>
        <w:rPr>
          <w:rFonts w:ascii="新宋体" w:eastAsia="新宋体"/>
          <w:color w:val="0F0F0F"/>
        </w:rPr>
        <w:t>．路面施</w:t>
      </w:r>
      <w:r>
        <w:rPr>
          <w:rFonts w:hint="eastAsia" w:ascii="新宋体" w:eastAsia="新宋体"/>
          <w:color w:val="0F0F0F"/>
        </w:rPr>
        <w:t>工</w:t>
      </w:r>
      <w:r>
        <w:rPr>
          <w:rFonts w:ascii="新宋体" w:eastAsia="新宋体"/>
          <w:color w:val="0F0F0F"/>
        </w:rPr>
        <w:t>应注意保持水分，以免扬尘。</w:t>
      </w:r>
    </w:p>
    <w:p w14:paraId="36651F4D">
      <w:pPr>
        <w:ind w:firstLine="525" w:firstLineChars="250"/>
        <w:rPr>
          <w:rFonts w:ascii="新宋体" w:hAnsi="宋体" w:eastAsia="新宋体"/>
          <w:b/>
          <w:color w:val="0F0F0F"/>
          <w:sz w:val="25"/>
          <w:szCs w:val="32"/>
        </w:rPr>
      </w:pPr>
      <w:r>
        <w:rPr>
          <w:rFonts w:hint="eastAsia" w:ascii="新宋体" w:eastAsia="新宋体"/>
          <w:color w:val="0F0F0F"/>
        </w:rPr>
        <w:t>d．隧道出渣和桥梁钻孔灌注桩施工时排出的泥浆要进行妥善处理，严禁向河流或农田排放。</w:t>
      </w:r>
    </w:p>
    <w:p w14:paraId="04D1076D">
      <w:pPr>
        <w:ind w:firstLine="525" w:firstLineChars="250"/>
        <w:rPr>
          <w:rFonts w:ascii="新宋体" w:hAnsi="宋体" w:eastAsia="新宋体"/>
          <w:b/>
          <w:color w:val="0F0F0F"/>
          <w:sz w:val="25"/>
          <w:szCs w:val="32"/>
        </w:rPr>
      </w:pPr>
      <w:r>
        <w:rPr>
          <w:rFonts w:ascii="新宋体" w:eastAsia="新宋体"/>
          <w:color w:val="0F0F0F"/>
        </w:rPr>
        <w:t>(3)采取可靠措施保证</w:t>
      </w:r>
      <w:r>
        <w:rPr>
          <w:rFonts w:hint="eastAsia" w:ascii="新宋体" w:eastAsia="新宋体"/>
          <w:color w:val="0F0F0F"/>
        </w:rPr>
        <w:t>原</w:t>
      </w:r>
      <w:r>
        <w:rPr>
          <w:rFonts w:ascii="新宋体" w:eastAsia="新宋体"/>
          <w:color w:val="0F0F0F"/>
        </w:rPr>
        <w:t>有交通的正常</w:t>
      </w:r>
      <w:r>
        <w:rPr>
          <w:rFonts w:hint="eastAsia" w:ascii="新宋体" w:eastAsia="新宋体"/>
          <w:color w:val="0F0F0F"/>
        </w:rPr>
        <w:t>通</w:t>
      </w:r>
      <w:r>
        <w:rPr>
          <w:rFonts w:ascii="新宋体" w:eastAsia="新宋体"/>
          <w:color w:val="0F0F0F"/>
        </w:rPr>
        <w:t>行，维持沿线村镇的居民饮水、农</w:t>
      </w:r>
      <w:r>
        <w:rPr>
          <w:rFonts w:hint="eastAsia" w:ascii="新宋体" w:eastAsia="新宋体"/>
          <w:color w:val="0F0F0F"/>
        </w:rPr>
        <w:t>田</w:t>
      </w:r>
      <w:r>
        <w:rPr>
          <w:rFonts w:ascii="新宋体" w:eastAsia="新宋体"/>
          <w:color w:val="0F0F0F"/>
        </w:rPr>
        <w:t>灌溉，</w:t>
      </w:r>
      <w:r>
        <w:rPr>
          <w:rFonts w:hint="eastAsia" w:ascii="新宋体" w:eastAsia="新宋体"/>
          <w:color w:val="0F0F0F"/>
        </w:rPr>
        <w:t>生产生活用电及通信等管线的正常使用。</w:t>
      </w:r>
    </w:p>
    <w:p w14:paraId="50241A16">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8在整个施工过程中</w:t>
      </w:r>
      <w:r>
        <w:rPr>
          <w:rFonts w:hint="eastAsia" w:ascii="新宋体" w:eastAsia="新宋体"/>
          <w:color w:val="0F0F0F"/>
        </w:rPr>
        <w:t>对承</w:t>
      </w:r>
      <w:r>
        <w:rPr>
          <w:rFonts w:ascii="新宋体" w:eastAsia="新宋体"/>
          <w:color w:val="0F0F0F"/>
        </w:rPr>
        <w:t>包人采取的环境保护措施，发包人和监理人有权</w:t>
      </w:r>
      <w:r>
        <w:rPr>
          <w:rFonts w:hint="eastAsia" w:ascii="新宋体" w:eastAsia="新宋体"/>
          <w:color w:val="0F0F0F"/>
        </w:rPr>
        <w:t>监督，并向承包人提出整改要求。如果由于承包人未能对其负责的上述事项采取各种必要的措施而导致或发生与此有关的人身伤亡、罚款、索赔、损失补</w:t>
      </w:r>
      <w:r>
        <w:rPr>
          <w:rFonts w:ascii="新宋体" w:eastAsia="新宋体"/>
          <w:color w:val="0F0F0F"/>
        </w:rPr>
        <w:t>偿、诉讼费用及其他一</w:t>
      </w:r>
      <w:r>
        <w:rPr>
          <w:rFonts w:hint="eastAsia" w:ascii="新宋体" w:eastAsia="新宋体"/>
          <w:color w:val="0F0F0F"/>
        </w:rPr>
        <w:t>切责任应由承包人负责。</w:t>
      </w:r>
    </w:p>
    <w:p w14:paraId="4AE17163">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9</w:t>
      </w:r>
      <w:r>
        <w:rPr>
          <w:rFonts w:hint="eastAsia" w:ascii="新宋体" w:eastAsia="新宋体"/>
          <w:color w:val="0F0F0F"/>
        </w:rPr>
        <w:t>在施工</w:t>
      </w:r>
      <w:r>
        <w:rPr>
          <w:rFonts w:ascii="新宋体" w:eastAsia="新宋体"/>
          <w:color w:val="0F0F0F"/>
        </w:rPr>
        <w:t>期</w:t>
      </w:r>
      <w:r>
        <w:rPr>
          <w:rFonts w:hint="eastAsia" w:ascii="新宋体" w:eastAsia="新宋体"/>
          <w:color w:val="0F0F0F"/>
        </w:rPr>
        <w:t>间，承包人应随时保持现场整洁，施工设备和材料、工程设备应整齐妥善存放和储存，废料与垃圾及不再需要的临时设施应及时从现场清除、拆除并运走。</w:t>
      </w:r>
    </w:p>
    <w:p w14:paraId="3144DCB4">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lO在施</w:t>
      </w:r>
      <w:r>
        <w:rPr>
          <w:rFonts w:hint="eastAsia" w:ascii="新宋体" w:eastAsia="新宋体"/>
          <w:color w:val="0F0F0F"/>
        </w:rPr>
        <w:t>工</w:t>
      </w:r>
      <w:r>
        <w:rPr>
          <w:rFonts w:ascii="新宋体" w:eastAsia="新宋体"/>
          <w:color w:val="0F0F0F"/>
        </w:rPr>
        <w:t>期</w:t>
      </w:r>
      <w:r>
        <w:rPr>
          <w:rFonts w:hint="eastAsia" w:ascii="新宋体" w:eastAsia="新宋体"/>
          <w:color w:val="0F0F0F"/>
        </w:rPr>
        <w:t>间</w:t>
      </w:r>
      <w:r>
        <w:rPr>
          <w:rFonts w:ascii="新宋体" w:eastAsia="新宋体"/>
          <w:color w:val="0F0F0F"/>
        </w:rPr>
        <w:t>，承包人应严格遵守《关于在公路建设中实行最严格的耕地</w:t>
      </w:r>
      <w:r>
        <w:rPr>
          <w:rFonts w:hint="eastAsia" w:ascii="新宋体" w:eastAsia="新宋体"/>
          <w:color w:val="0F0F0F"/>
        </w:rPr>
        <w:t>保护制度的若干意见》的相关规定，规范用地、科学用地、合理用地和节约用地。承包人应合理利用所占耕地地表的耕作层，用于重新造地；合理设置取土坑和弃土场。取土坑和弃土场的施工防护要符合要求，防止水土流失。承包人应严格控制临时占地数最，施工便道、各种料场、预制场要根据工程进度统筹考虑，尽可能设置在公路用地范围内或利用荒坡、废弃地解决，不得占用农田。施工过程中要采取有效措施防止污染农田，项目完工后承包人应将临时占地自费恢复到临时占地使用前的状况。</w:t>
      </w:r>
    </w:p>
    <w:p w14:paraId="690BEEA2">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ll承包人应严格按照</w:t>
      </w:r>
      <w:r>
        <w:rPr>
          <w:rFonts w:hint="eastAsia" w:ascii="新宋体" w:eastAsia="新宋体"/>
          <w:color w:val="0F0F0F"/>
        </w:rPr>
        <w:t>国</w:t>
      </w:r>
      <w:r>
        <w:rPr>
          <w:rFonts w:ascii="新宋体" w:eastAsia="新宋体"/>
          <w:color w:val="0F0F0F"/>
        </w:rPr>
        <w:t>家有关法规要求，做好施工过程中的生态保护和水</w:t>
      </w:r>
      <w:r>
        <w:rPr>
          <w:rFonts w:hint="eastAsia" w:ascii="新宋体" w:eastAsia="新宋体"/>
          <w:color w:val="0F0F0F"/>
        </w:rPr>
        <w:t>土保持工作。施工中要尽可能减少对原地面的扰动，减少对地面草木的破坏，需要爆破作业的，应按规定进行控爆设计。雨季填筑路基应随挖、随运、随填、随压，要完善施工中的临时排水系统，加强施工</w:t>
      </w:r>
      <w:r>
        <w:rPr>
          <w:rFonts w:ascii="新宋体" w:eastAsia="新宋体"/>
          <w:color w:val="0F0F0F"/>
        </w:rPr>
        <w:t>便道的管理。取(</w:t>
      </w:r>
      <w:r>
        <w:rPr>
          <w:rFonts w:hint="eastAsia" w:ascii="新宋体" w:eastAsia="新宋体"/>
          <w:color w:val="0F0F0F"/>
        </w:rPr>
        <w:t>弃</w:t>
      </w:r>
      <w:r>
        <w:rPr>
          <w:rFonts w:ascii="新宋体" w:eastAsia="新宋体"/>
          <w:color w:val="0F0F0F"/>
        </w:rPr>
        <w:t>)土场必须先挡后</w:t>
      </w:r>
      <w:r>
        <w:rPr>
          <w:rFonts w:hint="eastAsia" w:ascii="新宋体" w:eastAsia="新宋体"/>
          <w:color w:val="0F0F0F"/>
        </w:rPr>
        <w:t>弃</w:t>
      </w:r>
      <w:r>
        <w:rPr>
          <w:rFonts w:ascii="新宋体" w:eastAsia="新宋体"/>
          <w:color w:val="0F0F0F"/>
        </w:rPr>
        <w:t>，严禁在指定的取(弃)</w:t>
      </w:r>
      <w:r>
        <w:rPr>
          <w:rFonts w:hint="eastAsia" w:ascii="新宋体" w:eastAsia="新宋体"/>
          <w:color w:val="0F0F0F"/>
        </w:rPr>
        <w:t>土场以外的地方乱挖乱弃。</w:t>
      </w:r>
    </w:p>
    <w:p w14:paraId="7E302F09">
      <w:pPr>
        <w:spacing w:line="400" w:lineRule="exact"/>
        <w:rPr>
          <w:rFonts w:ascii="新宋体" w:eastAsia="新宋体"/>
          <w:color w:val="0F0F0F"/>
          <w:sz w:val="28"/>
          <w:szCs w:val="28"/>
        </w:rPr>
      </w:pPr>
      <w:r>
        <w:rPr>
          <w:rFonts w:ascii="新宋体" w:eastAsia="新宋体"/>
          <w:color w:val="0F0F0F"/>
          <w:sz w:val="28"/>
          <w:szCs w:val="28"/>
        </w:rPr>
        <w:t>lO</w:t>
      </w:r>
      <w:r>
        <w:rPr>
          <w:rFonts w:hint="eastAsia" w:ascii="新宋体" w:eastAsia="新宋体"/>
          <w:color w:val="0F0F0F"/>
          <w:sz w:val="28"/>
          <w:szCs w:val="28"/>
        </w:rPr>
        <w:t>.</w:t>
      </w:r>
      <w:r>
        <w:rPr>
          <w:rFonts w:ascii="新宋体" w:eastAsia="新宋体"/>
          <w:color w:val="0F0F0F"/>
          <w:sz w:val="28"/>
          <w:szCs w:val="28"/>
        </w:rPr>
        <w:t>进度计划</w:t>
      </w:r>
    </w:p>
    <w:p w14:paraId="56ABEE58">
      <w:pPr>
        <w:rPr>
          <w:rFonts w:ascii="新宋体" w:hAnsi="宋体" w:eastAsia="新宋体"/>
          <w:b/>
          <w:color w:val="0F0F0F"/>
          <w:sz w:val="25"/>
          <w:szCs w:val="32"/>
        </w:rPr>
      </w:pPr>
      <w:r>
        <w:rPr>
          <w:rFonts w:ascii="新宋体" w:eastAsia="新宋体"/>
          <w:color w:val="0F0F0F"/>
          <w:sz w:val="24"/>
        </w:rPr>
        <w:t>lO</w:t>
      </w:r>
      <w:r>
        <w:rPr>
          <w:rFonts w:hint="eastAsia" w:ascii="新宋体" w:eastAsia="新宋体"/>
          <w:color w:val="0F0F0F"/>
          <w:sz w:val="24"/>
        </w:rPr>
        <w:t>.</w:t>
      </w:r>
      <w:r>
        <w:rPr>
          <w:rFonts w:ascii="新宋体" w:eastAsia="新宋体"/>
          <w:color w:val="0F0F0F"/>
          <w:sz w:val="24"/>
        </w:rPr>
        <w:t>1</w:t>
      </w:r>
      <w:r>
        <w:rPr>
          <w:rFonts w:hint="eastAsia" w:ascii="新宋体" w:eastAsia="新宋体"/>
          <w:color w:val="0F0F0F"/>
          <w:sz w:val="24"/>
        </w:rPr>
        <w:t>合同</w:t>
      </w:r>
      <w:r>
        <w:rPr>
          <w:rFonts w:ascii="新宋体" w:eastAsia="新宋体"/>
          <w:color w:val="0F0F0F"/>
          <w:sz w:val="24"/>
        </w:rPr>
        <w:t>进度计</w:t>
      </w:r>
      <w:r>
        <w:rPr>
          <w:rFonts w:hint="eastAsia" w:ascii="新宋体" w:eastAsia="新宋体"/>
          <w:color w:val="0F0F0F"/>
          <w:sz w:val="24"/>
        </w:rPr>
        <w:t>划</w:t>
      </w:r>
    </w:p>
    <w:p w14:paraId="10C0ECB0">
      <w:pPr>
        <w:ind w:firstLine="525" w:firstLineChars="250"/>
        <w:rPr>
          <w:rFonts w:ascii="新宋体" w:eastAsia="新宋体"/>
          <w:color w:val="0F0F0F"/>
        </w:rPr>
      </w:pPr>
      <w:r>
        <w:rPr>
          <w:rFonts w:ascii="新宋体" w:eastAsia="新宋体"/>
          <w:color w:val="0F0F0F"/>
        </w:rPr>
        <w:t>本款补充：</w:t>
      </w:r>
    </w:p>
    <w:p w14:paraId="48AAD5EC">
      <w:pPr>
        <w:ind w:firstLine="525" w:firstLineChars="250"/>
        <w:rPr>
          <w:rFonts w:ascii="新宋体" w:eastAsia="新宋体"/>
          <w:color w:val="0F0F0F"/>
        </w:rPr>
      </w:pPr>
      <w:r>
        <w:rPr>
          <w:rFonts w:ascii="新宋体" w:eastAsia="新宋体"/>
          <w:color w:val="0F0F0F"/>
        </w:rPr>
        <w:t>承包人编制施工方案说明的</w:t>
      </w:r>
      <w:r>
        <w:rPr>
          <w:rFonts w:hint="eastAsia" w:ascii="新宋体" w:eastAsia="新宋体"/>
          <w:color w:val="0F0F0F"/>
        </w:rPr>
        <w:t>内</w:t>
      </w:r>
      <w:r>
        <w:rPr>
          <w:rFonts w:ascii="新宋体" w:eastAsia="新宋体"/>
          <w:color w:val="0F0F0F"/>
        </w:rPr>
        <w:t>容见项目专用合同条款。</w:t>
      </w:r>
    </w:p>
    <w:p w14:paraId="114E2B3B">
      <w:pPr>
        <w:ind w:firstLine="525" w:firstLineChars="250"/>
        <w:rPr>
          <w:rFonts w:ascii="新宋体" w:eastAsia="新宋体"/>
          <w:color w:val="0F0F0F"/>
        </w:rPr>
      </w:pPr>
      <w:r>
        <w:rPr>
          <w:rFonts w:ascii="新宋体" w:eastAsia="新宋体"/>
          <w:color w:val="0F0F0F"/>
        </w:rPr>
        <w:t>承包人向监理人报送施工进度计划和</w:t>
      </w:r>
      <w:r>
        <w:rPr>
          <w:rFonts w:hint="eastAsia" w:ascii="新宋体" w:eastAsia="新宋体"/>
          <w:color w:val="0F0F0F"/>
        </w:rPr>
        <w:t>施</w:t>
      </w:r>
      <w:r>
        <w:rPr>
          <w:rFonts w:ascii="新宋体" w:eastAsia="新宋体"/>
          <w:color w:val="0F0F0F"/>
        </w:rPr>
        <w:t>工方案说明的期限：签订合同协议书后2</w:t>
      </w:r>
      <w:r>
        <w:rPr>
          <w:rFonts w:hint="eastAsia" w:ascii="新宋体" w:eastAsia="新宋体"/>
          <w:color w:val="0F0F0F"/>
        </w:rPr>
        <w:t>8天之内。</w:t>
      </w:r>
    </w:p>
    <w:p w14:paraId="6D871DEE">
      <w:pPr>
        <w:ind w:firstLine="525" w:firstLineChars="250"/>
        <w:rPr>
          <w:rFonts w:ascii="新宋体" w:eastAsia="新宋体"/>
          <w:color w:val="0F0F0F"/>
        </w:rPr>
      </w:pPr>
      <w:r>
        <w:rPr>
          <w:rFonts w:ascii="新宋体" w:eastAsia="新宋体"/>
          <w:color w:val="0F0F0F"/>
        </w:rPr>
        <w:t>监理人应在14天内对承包</w:t>
      </w:r>
      <w:r>
        <w:rPr>
          <w:rFonts w:hint="eastAsia" w:ascii="新宋体" w:eastAsia="新宋体"/>
          <w:color w:val="0F0F0F"/>
        </w:rPr>
        <w:t>人</w:t>
      </w:r>
      <w:r>
        <w:rPr>
          <w:rFonts w:ascii="新宋体" w:eastAsia="新宋体"/>
          <w:color w:val="0F0F0F"/>
        </w:rPr>
        <w:t>施工进度计划和施</w:t>
      </w:r>
      <w:r>
        <w:rPr>
          <w:rFonts w:hint="eastAsia" w:ascii="新宋体" w:eastAsia="新宋体"/>
          <w:color w:val="0F0F0F"/>
        </w:rPr>
        <w:t>工</w:t>
      </w:r>
      <w:r>
        <w:rPr>
          <w:rFonts w:ascii="新宋体" w:eastAsia="新宋体"/>
          <w:color w:val="0F0F0F"/>
        </w:rPr>
        <w:t>方案说明予以批复或提出修改意见。</w:t>
      </w:r>
    </w:p>
    <w:p w14:paraId="7CAE60CC">
      <w:pPr>
        <w:ind w:firstLine="525" w:firstLineChars="250"/>
        <w:rPr>
          <w:rFonts w:ascii="新宋体" w:eastAsia="新宋体"/>
          <w:color w:val="0F0F0F"/>
        </w:rPr>
      </w:pPr>
      <w:r>
        <w:rPr>
          <w:rFonts w:ascii="新宋体" w:eastAsia="新宋体"/>
          <w:color w:val="0F0F0F"/>
        </w:rPr>
        <w:t>合同进度计划应按照关键线路</w:t>
      </w:r>
      <w:r>
        <w:rPr>
          <w:rFonts w:hint="eastAsia" w:ascii="新宋体" w:eastAsia="新宋体"/>
          <w:color w:val="0F0F0F"/>
        </w:rPr>
        <w:t>网</w:t>
      </w:r>
      <w:r>
        <w:rPr>
          <w:rFonts w:ascii="新宋体" w:eastAsia="新宋体"/>
          <w:color w:val="0F0F0F"/>
        </w:rPr>
        <w:t>络</w:t>
      </w:r>
      <w:r>
        <w:rPr>
          <w:rFonts w:hint="eastAsia" w:ascii="新宋体" w:eastAsia="新宋体"/>
          <w:color w:val="0F0F0F"/>
        </w:rPr>
        <w:t>图</w:t>
      </w:r>
      <w:r>
        <w:rPr>
          <w:rFonts w:ascii="新宋体" w:eastAsia="新宋体"/>
          <w:color w:val="0F0F0F"/>
        </w:rPr>
        <w:t>和主要工作横道</w:t>
      </w:r>
      <w:r>
        <w:rPr>
          <w:rFonts w:hint="eastAsia" w:ascii="新宋体" w:eastAsia="新宋体"/>
          <w:color w:val="0F0F0F"/>
        </w:rPr>
        <w:t>图</w:t>
      </w:r>
      <w:r>
        <w:rPr>
          <w:rFonts w:ascii="新宋体" w:eastAsia="新宋体"/>
          <w:color w:val="0F0F0F"/>
        </w:rPr>
        <w:t>两种形式分别编绘，</w:t>
      </w:r>
      <w:r>
        <w:rPr>
          <w:rFonts w:hint="eastAsia" w:ascii="新宋体" w:eastAsia="新宋体"/>
          <w:color w:val="0F0F0F"/>
        </w:rPr>
        <w:t>并应</w:t>
      </w:r>
      <w:r>
        <w:rPr>
          <w:rFonts w:ascii="新宋体" w:eastAsia="新宋体"/>
          <w:color w:val="0F0F0F"/>
        </w:rPr>
        <w:t>包括每月预计完成的</w:t>
      </w:r>
      <w:r>
        <w:rPr>
          <w:rFonts w:hint="eastAsia" w:ascii="新宋体" w:eastAsia="新宋体"/>
          <w:color w:val="0F0F0F"/>
        </w:rPr>
        <w:t>工</w:t>
      </w:r>
      <w:r>
        <w:rPr>
          <w:rFonts w:ascii="新宋体" w:eastAsia="新宋体"/>
          <w:color w:val="0F0F0F"/>
        </w:rPr>
        <w:t>作</w:t>
      </w:r>
      <w:r>
        <w:rPr>
          <w:rFonts w:hint="eastAsia" w:ascii="新宋体" w:eastAsia="新宋体"/>
          <w:color w:val="0F0F0F"/>
        </w:rPr>
        <w:t>量</w:t>
      </w:r>
      <w:r>
        <w:rPr>
          <w:rFonts w:ascii="新宋体" w:eastAsia="新宋体"/>
          <w:color w:val="0F0F0F"/>
        </w:rPr>
        <w:t>和形象进度。</w:t>
      </w:r>
    </w:p>
    <w:p w14:paraId="494DF280">
      <w:pPr>
        <w:rPr>
          <w:rFonts w:ascii="新宋体" w:eastAsia="新宋体"/>
          <w:color w:val="0F0F0F"/>
          <w:sz w:val="24"/>
        </w:rPr>
      </w:pPr>
      <w:r>
        <w:rPr>
          <w:rFonts w:ascii="新宋体" w:eastAsia="新宋体"/>
          <w:color w:val="0F0F0F"/>
          <w:sz w:val="24"/>
        </w:rPr>
        <w:t>10</w:t>
      </w:r>
      <w:r>
        <w:rPr>
          <w:rFonts w:hint="eastAsia" w:ascii="新宋体" w:eastAsia="新宋体"/>
          <w:color w:val="0F0F0F"/>
          <w:sz w:val="24"/>
        </w:rPr>
        <w:t>.</w:t>
      </w:r>
      <w:r>
        <w:rPr>
          <w:rFonts w:ascii="新宋体" w:eastAsia="新宋体"/>
          <w:color w:val="0F0F0F"/>
          <w:sz w:val="24"/>
        </w:rPr>
        <w:t>2合</w:t>
      </w:r>
      <w:r>
        <w:rPr>
          <w:rFonts w:hint="eastAsia" w:ascii="新宋体" w:eastAsia="新宋体"/>
          <w:color w:val="0F0F0F"/>
          <w:sz w:val="24"/>
        </w:rPr>
        <w:t>同</w:t>
      </w:r>
      <w:r>
        <w:rPr>
          <w:rFonts w:ascii="新宋体" w:eastAsia="新宋体"/>
          <w:color w:val="0F0F0F"/>
          <w:sz w:val="24"/>
        </w:rPr>
        <w:t>进度计</w:t>
      </w:r>
      <w:r>
        <w:rPr>
          <w:rFonts w:hint="eastAsia" w:ascii="新宋体" w:eastAsia="新宋体"/>
          <w:color w:val="0F0F0F"/>
          <w:sz w:val="24"/>
        </w:rPr>
        <w:t>划</w:t>
      </w:r>
      <w:r>
        <w:rPr>
          <w:rFonts w:ascii="新宋体" w:eastAsia="新宋体"/>
          <w:color w:val="0F0F0F"/>
          <w:sz w:val="24"/>
        </w:rPr>
        <w:t>的修订</w:t>
      </w:r>
    </w:p>
    <w:p w14:paraId="3EE8F021">
      <w:pPr>
        <w:ind w:firstLine="525" w:firstLineChars="250"/>
        <w:rPr>
          <w:rFonts w:ascii="新宋体" w:eastAsia="新宋体"/>
          <w:color w:val="0F0F0F"/>
        </w:rPr>
      </w:pPr>
      <w:r>
        <w:rPr>
          <w:rFonts w:ascii="新宋体" w:eastAsia="新宋体"/>
          <w:color w:val="0F0F0F"/>
        </w:rPr>
        <w:t>本款补充：</w:t>
      </w:r>
    </w:p>
    <w:p w14:paraId="02BB61C1">
      <w:pPr>
        <w:ind w:firstLine="525" w:firstLineChars="250"/>
        <w:rPr>
          <w:rFonts w:ascii="新宋体" w:eastAsia="新宋体"/>
          <w:color w:val="0F0F0F"/>
        </w:rPr>
      </w:pPr>
      <w:r>
        <w:rPr>
          <w:rFonts w:ascii="新宋体" w:eastAsia="新宋体"/>
          <w:color w:val="0F0F0F"/>
        </w:rPr>
        <w:t>承包人提交合同进度计划修订申请报</w:t>
      </w:r>
      <w:r>
        <w:rPr>
          <w:rFonts w:hint="eastAsia" w:ascii="新宋体" w:eastAsia="新宋体"/>
          <w:color w:val="0F0F0F"/>
        </w:rPr>
        <w:t>告</w:t>
      </w:r>
      <w:r>
        <w:rPr>
          <w:rFonts w:ascii="新宋体" w:eastAsia="新宋体"/>
          <w:color w:val="0F0F0F"/>
        </w:rPr>
        <w:t>，并附有关措施和相关资料的期限：实际</w:t>
      </w:r>
      <w:r>
        <w:rPr>
          <w:rFonts w:hint="eastAsia" w:ascii="新宋体" w:eastAsia="新宋体"/>
          <w:color w:val="0F0F0F"/>
        </w:rPr>
        <w:t>进</w:t>
      </w:r>
      <w:r>
        <w:rPr>
          <w:rFonts w:ascii="新宋体" w:eastAsia="新宋体"/>
          <w:color w:val="0F0F0F"/>
        </w:rPr>
        <w:t>度发生滞</w:t>
      </w:r>
      <w:r>
        <w:rPr>
          <w:rFonts w:hint="eastAsia" w:ascii="新宋体" w:eastAsia="新宋体"/>
          <w:color w:val="0F0F0F"/>
        </w:rPr>
        <w:t>后</w:t>
      </w:r>
      <w:r>
        <w:rPr>
          <w:rFonts w:ascii="新宋体" w:eastAsia="新宋体"/>
          <w:color w:val="0F0F0F"/>
        </w:rPr>
        <w:t>的当月25目前。</w:t>
      </w:r>
    </w:p>
    <w:p w14:paraId="0AA16AE1">
      <w:pPr>
        <w:ind w:firstLine="525" w:firstLineChars="250"/>
        <w:rPr>
          <w:rFonts w:ascii="新宋体" w:eastAsia="新宋体"/>
          <w:color w:val="0F0F0F"/>
        </w:rPr>
      </w:pPr>
      <w:r>
        <w:rPr>
          <w:rFonts w:ascii="新宋体" w:eastAsia="新宋体"/>
          <w:color w:val="0F0F0F"/>
        </w:rPr>
        <w:t>监理人批复修订合同进度计划的期限：</w:t>
      </w:r>
      <w:r>
        <w:rPr>
          <w:rFonts w:hint="eastAsia" w:ascii="新宋体" w:eastAsia="新宋体"/>
          <w:color w:val="0F0F0F"/>
        </w:rPr>
        <w:t>收</w:t>
      </w:r>
      <w:r>
        <w:rPr>
          <w:rFonts w:ascii="新宋体" w:eastAsia="新宋体"/>
          <w:color w:val="0F0F0F"/>
        </w:rPr>
        <w:t>到修订会同</w:t>
      </w:r>
      <w:r>
        <w:rPr>
          <w:rFonts w:hint="eastAsia" w:ascii="新宋体" w:eastAsia="新宋体"/>
          <w:color w:val="0F0F0F"/>
        </w:rPr>
        <w:t>进度计划后</w:t>
      </w:r>
      <w:r>
        <w:rPr>
          <w:rFonts w:ascii="新宋体" w:eastAsia="新宋体"/>
          <w:color w:val="0F0F0F"/>
        </w:rPr>
        <w:t>14天内。</w:t>
      </w:r>
    </w:p>
    <w:p w14:paraId="7381CB9C">
      <w:pPr>
        <w:ind w:firstLine="525" w:firstLineChars="250"/>
        <w:rPr>
          <w:rFonts w:ascii="新宋体" w:eastAsia="新宋体"/>
          <w:color w:val="0F0F0F"/>
        </w:rPr>
      </w:pPr>
      <w:r>
        <w:rPr>
          <w:rFonts w:ascii="新宋体" w:eastAsia="新宋体"/>
          <w:color w:val="0F0F0F"/>
        </w:rPr>
        <w:t>补充第10</w:t>
      </w:r>
      <w:r>
        <w:rPr>
          <w:rFonts w:hint="eastAsia" w:ascii="新宋体" w:eastAsia="新宋体"/>
          <w:color w:val="0F0F0F"/>
        </w:rPr>
        <w:t>.</w:t>
      </w:r>
      <w:r>
        <w:rPr>
          <w:rFonts w:ascii="新宋体" w:eastAsia="新宋体"/>
          <w:color w:val="0F0F0F"/>
        </w:rPr>
        <w:t>3款、第l0.4款：</w:t>
      </w:r>
    </w:p>
    <w:p w14:paraId="4D161851">
      <w:pPr>
        <w:rPr>
          <w:rFonts w:ascii="新宋体" w:eastAsia="新宋体"/>
          <w:color w:val="0F0F0F"/>
          <w:sz w:val="24"/>
        </w:rPr>
      </w:pPr>
      <w:r>
        <w:rPr>
          <w:rFonts w:ascii="新宋体" w:eastAsia="新宋体"/>
          <w:color w:val="0F0F0F"/>
          <w:sz w:val="24"/>
        </w:rPr>
        <w:t>lO</w:t>
      </w:r>
      <w:r>
        <w:rPr>
          <w:rFonts w:hint="eastAsia" w:ascii="新宋体" w:eastAsia="新宋体"/>
          <w:color w:val="0F0F0F"/>
          <w:sz w:val="24"/>
        </w:rPr>
        <w:t>.</w:t>
      </w:r>
      <w:r>
        <w:rPr>
          <w:rFonts w:ascii="新宋体" w:eastAsia="新宋体"/>
          <w:color w:val="0F0F0F"/>
          <w:sz w:val="24"/>
        </w:rPr>
        <w:t>3年度施</w:t>
      </w:r>
      <w:r>
        <w:rPr>
          <w:rFonts w:hint="eastAsia" w:ascii="新宋体" w:eastAsia="新宋体"/>
          <w:color w:val="0F0F0F"/>
          <w:sz w:val="24"/>
        </w:rPr>
        <w:t>工</w:t>
      </w:r>
      <w:r>
        <w:rPr>
          <w:rFonts w:ascii="新宋体" w:eastAsia="新宋体"/>
          <w:color w:val="0F0F0F"/>
          <w:sz w:val="24"/>
        </w:rPr>
        <w:t>计</w:t>
      </w:r>
      <w:r>
        <w:rPr>
          <w:rFonts w:hint="eastAsia" w:ascii="新宋体" w:eastAsia="新宋体"/>
          <w:color w:val="0F0F0F"/>
          <w:sz w:val="24"/>
        </w:rPr>
        <w:t>划</w:t>
      </w:r>
    </w:p>
    <w:p w14:paraId="17262A92">
      <w:pPr>
        <w:ind w:firstLine="525" w:firstLineChars="250"/>
        <w:rPr>
          <w:rFonts w:ascii="新宋体" w:eastAsia="新宋体"/>
          <w:color w:val="0F0F0F"/>
        </w:rPr>
      </w:pPr>
      <w:r>
        <w:rPr>
          <w:rFonts w:ascii="新宋体" w:eastAsia="新宋体"/>
          <w:color w:val="0F0F0F"/>
        </w:rPr>
        <w:t>承包人应在每年11月底前，根据</w:t>
      </w:r>
      <w:r>
        <w:rPr>
          <w:rFonts w:hint="eastAsia" w:ascii="新宋体" w:eastAsia="新宋体"/>
          <w:color w:val="0F0F0F"/>
        </w:rPr>
        <w:t>已同</w:t>
      </w:r>
      <w:r>
        <w:rPr>
          <w:rFonts w:ascii="新宋体" w:eastAsia="新宋体"/>
          <w:color w:val="0F0F0F"/>
        </w:rPr>
        <w:t>意的合</w:t>
      </w:r>
      <w:r>
        <w:rPr>
          <w:rFonts w:hint="eastAsia" w:ascii="新宋体" w:eastAsia="新宋体"/>
          <w:color w:val="0F0F0F"/>
        </w:rPr>
        <w:t>同</w:t>
      </w:r>
      <w:r>
        <w:rPr>
          <w:rFonts w:ascii="新宋体" w:eastAsia="新宋体"/>
          <w:color w:val="0F0F0F"/>
        </w:rPr>
        <w:t>进度计划或其修订的计划，向监理</w:t>
      </w:r>
      <w:r>
        <w:rPr>
          <w:rFonts w:hint="eastAsia" w:ascii="新宋体" w:eastAsia="新宋体"/>
          <w:color w:val="0F0F0F"/>
        </w:rPr>
        <w:t>人</w:t>
      </w:r>
      <w:r>
        <w:rPr>
          <w:rFonts w:ascii="新宋体" w:eastAsia="新宋体"/>
          <w:color w:val="0F0F0F"/>
        </w:rPr>
        <w:t>提交2份格式和内容符合监理人合理规定的下一年度的施工计划，以供审</w:t>
      </w:r>
      <w:r>
        <w:rPr>
          <w:rFonts w:hint="eastAsia" w:ascii="新宋体" w:eastAsia="新宋体"/>
          <w:color w:val="0F0F0F"/>
        </w:rPr>
        <w:t>查</w:t>
      </w:r>
      <w:r>
        <w:rPr>
          <w:rFonts w:ascii="新宋体" w:eastAsia="新宋体"/>
          <w:color w:val="0F0F0F"/>
        </w:rPr>
        <w:t>。该计划</w:t>
      </w:r>
      <w:r>
        <w:rPr>
          <w:rFonts w:hint="eastAsia" w:ascii="新宋体" w:eastAsia="新宋体"/>
          <w:color w:val="0F0F0F"/>
        </w:rPr>
        <w:t>应</w:t>
      </w:r>
      <w:r>
        <w:rPr>
          <w:rFonts w:ascii="新宋体" w:eastAsia="新宋体"/>
          <w:color w:val="0F0F0F"/>
        </w:rPr>
        <w:t>包括本年度估计完成的和下一年度预计完成的分顼工程数量和工作量，以及为实施</w:t>
      </w:r>
      <w:r>
        <w:rPr>
          <w:rFonts w:hint="eastAsia" w:ascii="新宋体" w:eastAsia="新宋体"/>
          <w:color w:val="0F0F0F"/>
        </w:rPr>
        <w:t>此</w:t>
      </w:r>
      <w:r>
        <w:rPr>
          <w:rFonts w:ascii="新宋体" w:eastAsia="新宋体"/>
          <w:color w:val="0F0F0F"/>
        </w:rPr>
        <w:t>计划将采取的措施。</w:t>
      </w:r>
    </w:p>
    <w:p w14:paraId="6B68C3C8">
      <w:pPr>
        <w:rPr>
          <w:rFonts w:ascii="新宋体" w:eastAsia="新宋体"/>
          <w:color w:val="0F0F0F"/>
          <w:sz w:val="24"/>
        </w:rPr>
      </w:pPr>
      <w:r>
        <w:rPr>
          <w:rFonts w:hint="eastAsia" w:ascii="新宋体" w:eastAsia="新宋体"/>
          <w:color w:val="0F0F0F"/>
          <w:sz w:val="24"/>
        </w:rPr>
        <w:t>1</w:t>
      </w:r>
      <w:r>
        <w:rPr>
          <w:rFonts w:ascii="新宋体" w:eastAsia="新宋体"/>
          <w:color w:val="0F0F0F"/>
          <w:sz w:val="24"/>
        </w:rPr>
        <w:t>0.4合同用教计划</w:t>
      </w:r>
    </w:p>
    <w:p w14:paraId="55ADD35D">
      <w:pPr>
        <w:ind w:firstLine="525" w:firstLineChars="250"/>
        <w:rPr>
          <w:rFonts w:ascii="新宋体" w:eastAsia="新宋体"/>
          <w:color w:val="0F0F0F"/>
        </w:rPr>
      </w:pPr>
      <w:r>
        <w:rPr>
          <w:rFonts w:ascii="新宋体" w:eastAsia="新宋体"/>
          <w:color w:val="0F0F0F"/>
        </w:rPr>
        <w:t>承包人应在签订本合</w:t>
      </w:r>
      <w:r>
        <w:rPr>
          <w:rFonts w:hint="eastAsia" w:ascii="新宋体" w:eastAsia="新宋体"/>
          <w:color w:val="0F0F0F"/>
        </w:rPr>
        <w:t>同</w:t>
      </w:r>
      <w:r>
        <w:rPr>
          <w:rFonts w:ascii="新宋体" w:eastAsia="新宋体"/>
          <w:color w:val="0F0F0F"/>
        </w:rPr>
        <w:t>协议书后28天之内，按</w:t>
      </w:r>
      <w:r>
        <w:rPr>
          <w:rFonts w:hint="eastAsia" w:ascii="新宋体" w:eastAsia="新宋体"/>
          <w:color w:val="0F0F0F"/>
        </w:rPr>
        <w:t>竞争性磋商文件中</w:t>
      </w:r>
      <w:r>
        <w:rPr>
          <w:rFonts w:ascii="新宋体" w:eastAsia="新宋体"/>
          <w:color w:val="0F0F0F"/>
        </w:rPr>
        <w:t>规定的格式，向监理人</w:t>
      </w:r>
      <w:r>
        <w:rPr>
          <w:rFonts w:hint="eastAsia" w:ascii="新宋体" w:eastAsia="新宋体"/>
          <w:color w:val="0F0F0F"/>
        </w:rPr>
        <w:t>提交</w:t>
      </w:r>
      <w:r>
        <w:rPr>
          <w:rFonts w:ascii="新宋体" w:eastAsia="新宋体"/>
          <w:color w:val="0F0F0F"/>
        </w:rPr>
        <w:t>2份按合同规</w:t>
      </w:r>
      <w:r>
        <w:rPr>
          <w:rFonts w:hint="eastAsia" w:ascii="新宋体" w:eastAsia="新宋体"/>
          <w:color w:val="0F0F0F"/>
        </w:rPr>
        <w:t>定承包人有权得到支付的详细的季度合同用款计划，以备监理人查阅。如果监理人提出要求，承包人还应按季度提交修订的合同用款计划。</w:t>
      </w:r>
    </w:p>
    <w:p w14:paraId="3B2C69E2">
      <w:pPr>
        <w:spacing w:line="400" w:lineRule="exact"/>
        <w:rPr>
          <w:rFonts w:ascii="新宋体" w:eastAsia="新宋体"/>
          <w:color w:val="0F0F0F"/>
          <w:sz w:val="28"/>
          <w:szCs w:val="28"/>
        </w:rPr>
      </w:pPr>
      <w:r>
        <w:rPr>
          <w:rFonts w:ascii="新宋体" w:eastAsia="新宋体"/>
          <w:color w:val="0F0F0F"/>
          <w:sz w:val="28"/>
          <w:szCs w:val="28"/>
        </w:rPr>
        <w:t>11</w:t>
      </w:r>
      <w:r>
        <w:rPr>
          <w:rFonts w:hint="eastAsia" w:ascii="新宋体" w:eastAsia="新宋体"/>
          <w:color w:val="0F0F0F"/>
          <w:sz w:val="28"/>
          <w:szCs w:val="28"/>
        </w:rPr>
        <w:t>.</w:t>
      </w:r>
      <w:r>
        <w:rPr>
          <w:rFonts w:ascii="新宋体" w:eastAsia="新宋体"/>
          <w:color w:val="0F0F0F"/>
          <w:sz w:val="28"/>
          <w:szCs w:val="28"/>
        </w:rPr>
        <w:t>开工和交工</w:t>
      </w:r>
    </w:p>
    <w:p w14:paraId="6BCD5BAC">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1开工</w:t>
      </w:r>
    </w:p>
    <w:p w14:paraId="1E5B9528">
      <w:pPr>
        <w:ind w:firstLine="525" w:firstLineChars="250"/>
        <w:rPr>
          <w:rFonts w:ascii="新宋体" w:eastAsia="新宋体"/>
          <w:color w:val="0F0F0F"/>
        </w:rPr>
      </w:pPr>
      <w:r>
        <w:rPr>
          <w:rFonts w:ascii="新宋体" w:eastAsia="新宋体"/>
          <w:color w:val="0F0F0F"/>
        </w:rPr>
        <w:t>第11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52FABDEF">
      <w:pPr>
        <w:ind w:firstLine="525" w:firstLineChars="250"/>
        <w:rPr>
          <w:rFonts w:ascii="新宋体" w:eastAsia="新宋体"/>
          <w:color w:val="0F0F0F"/>
        </w:rPr>
      </w:pPr>
      <w:r>
        <w:rPr>
          <w:rFonts w:ascii="新宋体" w:eastAsia="新宋体"/>
          <w:color w:val="0F0F0F"/>
        </w:rPr>
        <w:t>承包人应在分部</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开工</w:t>
      </w:r>
      <w:r>
        <w:rPr>
          <w:rFonts w:ascii="新宋体" w:eastAsia="新宋体"/>
          <w:color w:val="0F0F0F"/>
        </w:rPr>
        <w:t>前14天向监理人提交分部</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开工</w:t>
      </w:r>
      <w:r>
        <w:rPr>
          <w:rFonts w:ascii="新宋体" w:eastAsia="新宋体"/>
          <w:color w:val="0F0F0F"/>
        </w:rPr>
        <w:t>报审表，若承包人的</w:t>
      </w:r>
      <w:r>
        <w:rPr>
          <w:rFonts w:hint="eastAsia" w:ascii="新宋体" w:eastAsia="新宋体"/>
          <w:color w:val="0F0F0F"/>
        </w:rPr>
        <w:t>开工准备、工作计划和质量控制方法是可接受的且已获得批准，则经监理人书面同意，分部工程才能开工。</w:t>
      </w:r>
    </w:p>
    <w:p w14:paraId="0C6FC0F4">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 xml:space="preserve">3发包人的工期延误  </w:t>
      </w:r>
    </w:p>
    <w:p w14:paraId="33D33863">
      <w:pPr>
        <w:ind w:firstLine="525" w:firstLineChars="250"/>
        <w:rPr>
          <w:rFonts w:ascii="新宋体" w:eastAsia="新宋体"/>
          <w:color w:val="0F0F0F"/>
        </w:rPr>
      </w:pPr>
      <w:r>
        <w:rPr>
          <w:rFonts w:ascii="新宋体" w:eastAsia="新宋体"/>
          <w:color w:val="0F0F0F"/>
        </w:rPr>
        <w:t>本款补充：</w:t>
      </w:r>
    </w:p>
    <w:p w14:paraId="5C311210">
      <w:pPr>
        <w:ind w:firstLine="525" w:firstLineChars="250"/>
        <w:rPr>
          <w:rFonts w:ascii="新宋体" w:eastAsia="新宋体"/>
          <w:color w:val="0F0F0F"/>
        </w:rPr>
      </w:pPr>
      <w:r>
        <w:rPr>
          <w:rFonts w:ascii="新宋体" w:eastAsia="新宋体"/>
          <w:color w:val="0F0F0F"/>
        </w:rPr>
        <w:t>即使由于上述原因造成工期延误，如果受影响的工程并</w:t>
      </w:r>
      <w:r>
        <w:rPr>
          <w:rFonts w:hint="eastAsia" w:ascii="新宋体" w:eastAsia="新宋体"/>
          <w:color w:val="0F0F0F"/>
        </w:rPr>
        <w:t>非</w:t>
      </w:r>
      <w:r>
        <w:rPr>
          <w:rFonts w:ascii="新宋体" w:eastAsia="新宋体"/>
          <w:color w:val="0F0F0F"/>
        </w:rPr>
        <w:t>处在工程施工进</w:t>
      </w:r>
      <w:r>
        <w:rPr>
          <w:rFonts w:hint="eastAsia" w:ascii="新宋体" w:eastAsia="新宋体"/>
          <w:color w:val="0F0F0F"/>
        </w:rPr>
        <w:t>度</w:t>
      </w:r>
      <w:r>
        <w:rPr>
          <w:rFonts w:ascii="新宋体" w:eastAsia="新宋体"/>
          <w:color w:val="0F0F0F"/>
        </w:rPr>
        <w:t>网络</w:t>
      </w:r>
      <w:r>
        <w:rPr>
          <w:rFonts w:hint="eastAsia" w:ascii="新宋体" w:eastAsia="新宋体"/>
          <w:color w:val="0F0F0F"/>
        </w:rPr>
        <w:t>计划的关键线路上，则</w:t>
      </w:r>
      <w:r>
        <w:rPr>
          <w:rFonts w:ascii="新宋体" w:eastAsia="新宋体"/>
          <w:color w:val="0F0F0F"/>
        </w:rPr>
        <w:t>承包人无权要求延长总</w:t>
      </w:r>
      <w:r>
        <w:rPr>
          <w:rFonts w:hint="eastAsia" w:ascii="新宋体" w:eastAsia="新宋体"/>
          <w:color w:val="0F0F0F"/>
        </w:rPr>
        <w:t>工</w:t>
      </w:r>
      <w:r>
        <w:rPr>
          <w:rFonts w:ascii="新宋体" w:eastAsia="新宋体"/>
          <w:color w:val="0F0F0F"/>
        </w:rPr>
        <w:t>期。</w:t>
      </w:r>
    </w:p>
    <w:p w14:paraId="73CAF4FA">
      <w:pPr>
        <w:rPr>
          <w:rFonts w:ascii="新宋体" w:eastAsia="新宋体"/>
          <w:color w:val="0F0F0F"/>
          <w:sz w:val="24"/>
        </w:rPr>
      </w:pPr>
      <w:r>
        <w:rPr>
          <w:rFonts w:hint="eastAsia" w:ascii="新宋体" w:eastAsia="新宋体"/>
          <w:color w:val="0F0F0F"/>
          <w:sz w:val="24"/>
        </w:rPr>
        <w:t>1</w:t>
      </w:r>
      <w:r>
        <w:rPr>
          <w:rFonts w:ascii="新宋体" w:eastAsia="新宋体"/>
          <w:color w:val="0F0F0F"/>
          <w:sz w:val="24"/>
        </w:rPr>
        <w:t>l</w:t>
      </w:r>
      <w:r>
        <w:rPr>
          <w:rFonts w:hint="eastAsia" w:ascii="新宋体" w:eastAsia="新宋体"/>
          <w:color w:val="0F0F0F"/>
          <w:sz w:val="24"/>
        </w:rPr>
        <w:t>.</w:t>
      </w:r>
      <w:r>
        <w:rPr>
          <w:rFonts w:ascii="新宋体" w:eastAsia="新宋体"/>
          <w:color w:val="0F0F0F"/>
          <w:sz w:val="24"/>
        </w:rPr>
        <w:t>4异常恶劣的气候条件</w:t>
      </w:r>
    </w:p>
    <w:p w14:paraId="035506FC">
      <w:pPr>
        <w:ind w:firstLine="525" w:firstLineChars="250"/>
        <w:rPr>
          <w:rFonts w:ascii="新宋体" w:eastAsia="新宋体"/>
          <w:color w:val="0F0F0F"/>
        </w:rPr>
      </w:pPr>
      <w:r>
        <w:rPr>
          <w:rFonts w:ascii="新宋体" w:eastAsia="新宋体"/>
          <w:color w:val="0F0F0F"/>
        </w:rPr>
        <w:t>本款补充：</w:t>
      </w:r>
    </w:p>
    <w:p w14:paraId="2FB5A109">
      <w:pPr>
        <w:ind w:firstLine="525" w:firstLineChars="250"/>
        <w:rPr>
          <w:rFonts w:ascii="新宋体" w:eastAsia="新宋体"/>
          <w:color w:val="0F0F0F"/>
        </w:rPr>
      </w:pPr>
      <w:r>
        <w:rPr>
          <w:rFonts w:hint="eastAsia" w:ascii="新宋体" w:eastAsia="新宋体"/>
          <w:color w:val="0F0F0F"/>
        </w:rPr>
        <w:t>异</w:t>
      </w:r>
      <w:r>
        <w:rPr>
          <w:rFonts w:ascii="新宋体" w:eastAsia="新宋体"/>
          <w:color w:val="0F0F0F"/>
        </w:rPr>
        <w:t>常气候是指项目所在地30年以上一遇的罕见气候现象(包括温度、降水、降</w:t>
      </w:r>
      <w:r>
        <w:rPr>
          <w:rFonts w:hint="eastAsia" w:ascii="新宋体" w:eastAsia="新宋体"/>
          <w:color w:val="0F0F0F"/>
        </w:rPr>
        <w:t>雪</w:t>
      </w:r>
      <w:r>
        <w:rPr>
          <w:rFonts w:ascii="新宋体" w:eastAsia="新宋体"/>
          <w:color w:val="0F0F0F"/>
        </w:rPr>
        <w:t>、风等)。</w:t>
      </w:r>
      <w:r>
        <w:rPr>
          <w:rFonts w:hint="eastAsia" w:ascii="新宋体" w:eastAsia="新宋体"/>
          <w:color w:val="0F0F0F"/>
        </w:rPr>
        <w:t>异</w:t>
      </w:r>
      <w:r>
        <w:rPr>
          <w:rFonts w:ascii="新宋体" w:eastAsia="新宋体"/>
          <w:color w:val="0F0F0F"/>
        </w:rPr>
        <w:t>常恶劣的气候条件在项目专用合同条款中作具体规定。</w:t>
      </w:r>
    </w:p>
    <w:p w14:paraId="52AADBAF">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.5</w:t>
      </w:r>
      <w:r>
        <w:rPr>
          <w:rFonts w:ascii="新宋体" w:eastAsia="新宋体"/>
          <w:color w:val="0F0F0F"/>
          <w:sz w:val="24"/>
        </w:rPr>
        <w:t>承包人的工期延误</w:t>
      </w:r>
    </w:p>
    <w:p w14:paraId="1054ED23">
      <w:pPr>
        <w:ind w:firstLine="525" w:firstLineChars="250"/>
        <w:rPr>
          <w:rFonts w:ascii="新宋体" w:eastAsia="新宋体"/>
          <w:color w:val="0F0F0F"/>
        </w:rPr>
      </w:pPr>
      <w:r>
        <w:rPr>
          <w:rFonts w:ascii="新宋体" w:eastAsia="新宋体"/>
          <w:color w:val="0F0F0F"/>
        </w:rPr>
        <w:t>本款细化为：</w:t>
      </w:r>
    </w:p>
    <w:p w14:paraId="79EA21DD">
      <w:pPr>
        <w:ind w:firstLine="525" w:firstLineChars="250"/>
        <w:rPr>
          <w:rFonts w:ascii="新宋体" w:eastAsia="新宋体"/>
          <w:color w:val="0F0F0F"/>
        </w:rPr>
      </w:pPr>
      <w:r>
        <w:rPr>
          <w:rFonts w:ascii="新宋体" w:eastAsia="新宋体"/>
          <w:color w:val="0F0F0F"/>
        </w:rPr>
        <w:t>(1)承包人</w:t>
      </w:r>
      <w:r>
        <w:rPr>
          <w:rFonts w:hint="eastAsia" w:ascii="新宋体" w:eastAsia="新宋体"/>
          <w:color w:val="0F0F0F"/>
        </w:rPr>
        <w:t>应</w:t>
      </w:r>
      <w:r>
        <w:rPr>
          <w:rFonts w:ascii="新宋体" w:eastAsia="新宋体"/>
          <w:color w:val="0F0F0F"/>
        </w:rPr>
        <w:t>严格执行监理人批准</w:t>
      </w:r>
      <w:r>
        <w:rPr>
          <w:rFonts w:hint="eastAsia" w:ascii="新宋体" w:eastAsia="新宋体"/>
          <w:color w:val="0F0F0F"/>
        </w:rPr>
        <w:t>的</w:t>
      </w:r>
      <w:r>
        <w:rPr>
          <w:rFonts w:ascii="新宋体" w:eastAsia="新宋体"/>
          <w:color w:val="0F0F0F"/>
        </w:rPr>
        <w:t>合</w:t>
      </w:r>
      <w:r>
        <w:rPr>
          <w:rFonts w:hint="eastAsia" w:ascii="新宋体" w:eastAsia="新宋体"/>
          <w:color w:val="0F0F0F"/>
        </w:rPr>
        <w:t>同</w:t>
      </w:r>
      <w:r>
        <w:rPr>
          <w:rFonts w:ascii="新宋体" w:eastAsia="新宋体"/>
          <w:color w:val="0F0F0F"/>
        </w:rPr>
        <w:t>进度计划，对工作量计</w:t>
      </w:r>
      <w:r>
        <w:rPr>
          <w:rFonts w:hint="eastAsia" w:ascii="新宋体" w:eastAsia="新宋体"/>
          <w:color w:val="0F0F0F"/>
        </w:rPr>
        <w:t>划</w:t>
      </w:r>
      <w:r>
        <w:rPr>
          <w:rFonts w:ascii="新宋体" w:eastAsia="新宋体"/>
          <w:color w:val="0F0F0F"/>
        </w:rPr>
        <w:t>和形象进度计划</w:t>
      </w:r>
      <w:r>
        <w:rPr>
          <w:rFonts w:hint="eastAsia" w:ascii="新宋体" w:eastAsia="新宋体"/>
          <w:color w:val="0F0F0F"/>
        </w:rPr>
        <w:t>分别控制。除第</w:t>
      </w:r>
      <w:r>
        <w:rPr>
          <w:rFonts w:ascii="新宋体" w:eastAsia="新宋体"/>
          <w:color w:val="0F0F0F"/>
        </w:rPr>
        <w:t>11</w:t>
      </w:r>
      <w:r>
        <w:rPr>
          <w:rFonts w:hint="eastAsia" w:ascii="新宋体" w:eastAsia="新宋体"/>
          <w:color w:val="0F0F0F"/>
        </w:rPr>
        <w:t>.</w:t>
      </w:r>
      <w:r>
        <w:rPr>
          <w:rFonts w:ascii="新宋体" w:eastAsia="新宋体"/>
          <w:color w:val="0F0F0F"/>
        </w:rPr>
        <w:t>3</w:t>
      </w:r>
      <w:r>
        <w:rPr>
          <w:rFonts w:hint="eastAsia" w:ascii="新宋体" w:eastAsia="新宋体"/>
          <w:color w:val="0F0F0F"/>
        </w:rPr>
        <w:t>款</w:t>
      </w:r>
      <w:r>
        <w:rPr>
          <w:rFonts w:ascii="新宋体" w:eastAsia="新宋体"/>
          <w:color w:val="0F0F0F"/>
        </w:rPr>
        <w:t>规定外，承包人的</w:t>
      </w:r>
      <w:r>
        <w:rPr>
          <w:rFonts w:hint="eastAsia" w:ascii="新宋体" w:eastAsia="新宋体"/>
          <w:color w:val="0F0F0F"/>
        </w:rPr>
        <w:t>实</w:t>
      </w:r>
      <w:r>
        <w:rPr>
          <w:rFonts w:ascii="新宋体" w:eastAsia="新宋体"/>
          <w:color w:val="0F0F0F"/>
        </w:rPr>
        <w:t>际工程进度曲线应在</w:t>
      </w:r>
      <w:r>
        <w:rPr>
          <w:rFonts w:hint="eastAsia" w:ascii="新宋体" w:eastAsia="新宋体"/>
          <w:color w:val="0F0F0F"/>
        </w:rPr>
        <w:t>合同</w:t>
      </w:r>
      <w:r>
        <w:rPr>
          <w:rFonts w:ascii="新宋体" w:eastAsia="新宋体"/>
          <w:color w:val="0F0F0F"/>
        </w:rPr>
        <w:t>进度管理</w:t>
      </w:r>
      <w:r>
        <w:rPr>
          <w:rFonts w:hint="eastAsia" w:ascii="新宋体" w:eastAsia="新宋体"/>
          <w:color w:val="0F0F0F"/>
        </w:rPr>
        <w:t>曲</w:t>
      </w:r>
      <w:r>
        <w:rPr>
          <w:rFonts w:ascii="新宋体" w:eastAsia="新宋体"/>
          <w:color w:val="0F0F0F"/>
        </w:rPr>
        <w:t>线规</w:t>
      </w:r>
      <w:r>
        <w:rPr>
          <w:rFonts w:hint="eastAsia" w:ascii="新宋体" w:eastAsia="新宋体"/>
          <w:color w:val="0F0F0F"/>
        </w:rPr>
        <w:t>定的安全区域之内。若承包人的实际工程进度曲线处在合同进度管理曲</w:t>
      </w:r>
      <w:r>
        <w:rPr>
          <w:rFonts w:ascii="新宋体" w:eastAsia="新宋体"/>
          <w:color w:val="0F0F0F"/>
        </w:rPr>
        <w:t>线规定的安全</w:t>
      </w:r>
      <w:r>
        <w:rPr>
          <w:rFonts w:hint="eastAsia" w:ascii="新宋体" w:eastAsia="新宋体"/>
          <w:color w:val="0F0F0F"/>
        </w:rPr>
        <w:t>区域的下限之外时，则监理人有权认为本合同工程的进度过慢，并通知承包人应采取必要措施，以便加快工程进度，确保工程能在预定的工期内交工。承包人应采取措施加快进度，并承担加快进度所增加的费用。</w:t>
      </w:r>
    </w:p>
    <w:p w14:paraId="114CF249">
      <w:pPr>
        <w:ind w:firstLine="525" w:firstLineChars="250"/>
        <w:rPr>
          <w:rFonts w:ascii="新宋体" w:eastAsia="新宋体"/>
          <w:color w:val="0F0F0F"/>
        </w:rPr>
      </w:pPr>
      <w:r>
        <w:rPr>
          <w:rFonts w:ascii="新宋体" w:eastAsia="新宋体"/>
          <w:color w:val="0F0F0F"/>
        </w:rPr>
        <w:t>(2)如果承包人在接到监理人通知后的14天内，来能采取加快工程进度的措施，致</w:t>
      </w:r>
      <w:r>
        <w:rPr>
          <w:rFonts w:hint="eastAsia" w:ascii="新宋体" w:eastAsia="新宋体"/>
          <w:color w:val="0F0F0F"/>
        </w:rPr>
        <w:t>使实际工程进度进一步滞后，或承包人虽采取了一些措施，仍无法按预计工期交工时，监理人应立即通知发包人。发包人在向承包人发出书面警告通知</w:t>
      </w:r>
      <w:r>
        <w:rPr>
          <w:rFonts w:ascii="新宋体" w:eastAsia="新宋体"/>
          <w:color w:val="0F0F0F"/>
        </w:rPr>
        <w:t>14天后，发包人可按</w:t>
      </w:r>
      <w:r>
        <w:rPr>
          <w:rFonts w:hint="eastAsia" w:ascii="新宋体" w:eastAsia="新宋体"/>
          <w:color w:val="0F0F0F"/>
        </w:rPr>
        <w:t>第</w:t>
      </w:r>
      <w:r>
        <w:rPr>
          <w:rFonts w:ascii="新宋体" w:eastAsia="新宋体"/>
          <w:color w:val="0F0F0F"/>
        </w:rPr>
        <w:t>22</w:t>
      </w:r>
      <w:r>
        <w:rPr>
          <w:rFonts w:hint="eastAsia" w:ascii="新宋体" w:eastAsia="新宋体"/>
          <w:color w:val="0F0F0F"/>
        </w:rPr>
        <w:t>.</w:t>
      </w:r>
      <w:r>
        <w:rPr>
          <w:rFonts w:ascii="新宋体" w:eastAsia="新宋体"/>
          <w:color w:val="0F0F0F"/>
        </w:rPr>
        <w:t>1款终</w:t>
      </w:r>
      <w:r>
        <w:rPr>
          <w:rFonts w:hint="eastAsia" w:ascii="新宋体" w:eastAsia="新宋体"/>
          <w:color w:val="0F0F0F"/>
        </w:rPr>
        <w:t>止</w:t>
      </w:r>
      <w:r>
        <w:rPr>
          <w:rFonts w:ascii="新宋体" w:eastAsia="新宋体"/>
          <w:color w:val="0F0F0F"/>
        </w:rPr>
        <w:t>对承包人的</w:t>
      </w:r>
      <w:r>
        <w:rPr>
          <w:rFonts w:hint="eastAsia" w:ascii="新宋体" w:eastAsia="新宋体"/>
          <w:color w:val="0F0F0F"/>
        </w:rPr>
        <w:t>雇</w:t>
      </w:r>
      <w:r>
        <w:rPr>
          <w:rFonts w:ascii="新宋体" w:eastAsia="新宋体"/>
          <w:color w:val="0F0F0F"/>
        </w:rPr>
        <w:t>用，也可将本合同工程中的一部分工作交由其他承包人</w:t>
      </w:r>
      <w:r>
        <w:rPr>
          <w:rFonts w:hint="eastAsia" w:ascii="新宋体" w:eastAsia="新宋体"/>
          <w:color w:val="0F0F0F"/>
        </w:rPr>
        <w:t>或其他分包人完成。在不解除本合同规定的承包人责任和义务的同时，承包人应承担因此所增加的一切费用。</w:t>
      </w:r>
    </w:p>
    <w:p w14:paraId="7332D4DA">
      <w:pPr>
        <w:ind w:firstLine="525" w:firstLineChars="250"/>
        <w:rPr>
          <w:rFonts w:ascii="新宋体" w:eastAsia="新宋体"/>
          <w:color w:val="0F0F0F"/>
        </w:rPr>
      </w:pPr>
      <w:r>
        <w:rPr>
          <w:rFonts w:ascii="新宋体" w:eastAsia="新宋体"/>
          <w:color w:val="0F0F0F"/>
        </w:rPr>
        <w:t>(3)由于承包人原因造成工期延误，承包人应支付逾期交工违约金。逾期交工违约</w:t>
      </w:r>
      <w:r>
        <w:rPr>
          <w:rFonts w:hint="eastAsia" w:ascii="新宋体" w:eastAsia="新宋体"/>
          <w:color w:val="0F0F0F"/>
        </w:rPr>
        <w:t>金的计算方法在项目专用合同条款数据表中约定，时间自预定的交工日期起到交工</w:t>
      </w:r>
      <w:r>
        <w:rPr>
          <w:rFonts w:ascii="新宋体" w:eastAsia="新宋体"/>
          <w:color w:val="0F0F0F"/>
        </w:rPr>
        <w:t>验</w:t>
      </w:r>
      <w:r>
        <w:rPr>
          <w:rFonts w:hint="eastAsia" w:ascii="新宋体" w:eastAsia="新宋体"/>
          <w:color w:val="0F0F0F"/>
        </w:rPr>
        <w:t>收证书中写明的实际交工日期止</w:t>
      </w:r>
      <w:r>
        <w:rPr>
          <w:rFonts w:ascii="新宋体" w:eastAsia="新宋体"/>
          <w:color w:val="0F0F0F"/>
        </w:rPr>
        <w:t>(扣除已批准的延长工期)，</w:t>
      </w:r>
      <w:r>
        <w:rPr>
          <w:rFonts w:hint="eastAsia" w:ascii="新宋体" w:eastAsia="新宋体"/>
          <w:color w:val="0F0F0F"/>
        </w:rPr>
        <w:t>按</w:t>
      </w:r>
      <w:r>
        <w:rPr>
          <w:rFonts w:ascii="新宋体" w:eastAsia="新宋体"/>
          <w:color w:val="0F0F0F"/>
        </w:rPr>
        <w:t>天计算。逾期交工违约</w:t>
      </w:r>
      <w:r>
        <w:rPr>
          <w:rFonts w:hint="eastAsia" w:ascii="新宋体" w:eastAsia="新宋体"/>
          <w:color w:val="0F0F0F"/>
        </w:rPr>
        <w:t>金累计金额最高不超过项目专用合同条款数据表中写明的限额。发包人可以从应付或到期应付给承包人的任何款项中或采用其他方法扣除此违约金。</w:t>
      </w:r>
    </w:p>
    <w:p w14:paraId="7F08F3CD">
      <w:pPr>
        <w:ind w:firstLine="525" w:firstLineChars="250"/>
        <w:rPr>
          <w:rFonts w:ascii="新宋体" w:eastAsia="新宋体"/>
          <w:color w:val="0F0F0F"/>
        </w:rPr>
      </w:pPr>
      <w:r>
        <w:rPr>
          <w:rFonts w:ascii="新宋体" w:eastAsia="新宋体"/>
          <w:color w:val="0F0F0F"/>
        </w:rPr>
        <w:t>(4)承包人支付</w:t>
      </w:r>
      <w:r>
        <w:rPr>
          <w:rFonts w:hint="eastAsia" w:ascii="新宋体" w:eastAsia="新宋体"/>
          <w:color w:val="0F0F0F"/>
        </w:rPr>
        <w:t>逾</w:t>
      </w:r>
      <w:r>
        <w:rPr>
          <w:rFonts w:ascii="新宋体" w:eastAsia="新宋体"/>
          <w:color w:val="0F0F0F"/>
        </w:rPr>
        <w:t>期交工</w:t>
      </w:r>
      <w:r>
        <w:rPr>
          <w:rFonts w:hint="eastAsia" w:ascii="新宋体" w:eastAsia="新宋体"/>
          <w:color w:val="0F0F0F"/>
        </w:rPr>
        <w:t>违约金，不免除承包人完成工</w:t>
      </w:r>
      <w:r>
        <w:rPr>
          <w:rFonts w:ascii="新宋体" w:eastAsia="新宋体"/>
          <w:color w:val="0F0F0F"/>
        </w:rPr>
        <w:t>程及修</w:t>
      </w:r>
      <w:r>
        <w:rPr>
          <w:rFonts w:hint="eastAsia" w:ascii="新宋体" w:eastAsia="新宋体"/>
          <w:color w:val="0F0F0F"/>
        </w:rPr>
        <w:t>补</w:t>
      </w:r>
      <w:r>
        <w:rPr>
          <w:rFonts w:ascii="新宋体" w:eastAsia="新宋体"/>
          <w:color w:val="0F0F0F"/>
        </w:rPr>
        <w:t>缺陷的义务。</w:t>
      </w:r>
    </w:p>
    <w:p w14:paraId="77E57F78">
      <w:pPr>
        <w:ind w:firstLine="525" w:firstLineChars="250"/>
        <w:rPr>
          <w:rFonts w:ascii="新宋体" w:eastAsia="新宋体"/>
          <w:color w:val="0F0F0F"/>
        </w:rPr>
      </w:pPr>
      <w:r>
        <w:rPr>
          <w:rFonts w:ascii="新宋体" w:eastAsia="新宋体"/>
          <w:color w:val="0F0F0F"/>
        </w:rPr>
        <w:t>(5)如果在合同</w:t>
      </w:r>
      <w:r>
        <w:rPr>
          <w:rFonts w:hint="eastAsia" w:ascii="新宋体" w:eastAsia="新宋体"/>
          <w:color w:val="0F0F0F"/>
        </w:rPr>
        <w:t>工</w:t>
      </w:r>
      <w:r>
        <w:rPr>
          <w:rFonts w:ascii="新宋体" w:eastAsia="新宋体"/>
          <w:color w:val="0F0F0F"/>
        </w:rPr>
        <w:t>程完</w:t>
      </w:r>
      <w:r>
        <w:rPr>
          <w:rFonts w:hint="eastAsia" w:ascii="新宋体" w:eastAsia="新宋体"/>
          <w:color w:val="0F0F0F"/>
        </w:rPr>
        <w:t>工</w:t>
      </w:r>
      <w:r>
        <w:rPr>
          <w:rFonts w:ascii="新宋体" w:eastAsia="新宋体"/>
          <w:color w:val="0F0F0F"/>
        </w:rPr>
        <w:t>之前，已对合同工程内按时完工的单位</w:t>
      </w:r>
      <w:r>
        <w:rPr>
          <w:rFonts w:hint="eastAsia" w:ascii="新宋体" w:eastAsia="新宋体"/>
          <w:color w:val="0F0F0F"/>
        </w:rPr>
        <w:t>工</w:t>
      </w:r>
      <w:r>
        <w:rPr>
          <w:rFonts w:ascii="新宋体" w:eastAsia="新宋体"/>
          <w:color w:val="0F0F0F"/>
        </w:rPr>
        <w:t>程签发了交</w:t>
      </w:r>
      <w:r>
        <w:rPr>
          <w:rFonts w:hint="eastAsia" w:ascii="新宋体" w:eastAsia="新宋体"/>
          <w:color w:val="0F0F0F"/>
        </w:rPr>
        <w:t>工</w:t>
      </w:r>
      <w:r>
        <w:rPr>
          <w:rFonts w:ascii="新宋体" w:eastAsia="新宋体"/>
          <w:color w:val="0F0F0F"/>
        </w:rPr>
        <w:t>验</w:t>
      </w:r>
      <w:r>
        <w:rPr>
          <w:rFonts w:hint="eastAsia" w:ascii="新宋体" w:eastAsia="新宋体"/>
          <w:color w:val="0F0F0F"/>
        </w:rPr>
        <w:t>收证书，则合同工</w:t>
      </w:r>
      <w:r>
        <w:rPr>
          <w:rFonts w:ascii="新宋体" w:eastAsia="新宋体"/>
          <w:color w:val="0F0F0F"/>
        </w:rPr>
        <w:t>程的逾期交工违约金，应按已签发交工验收证书的单位</w:t>
      </w:r>
      <w:r>
        <w:rPr>
          <w:rFonts w:hint="eastAsia" w:ascii="新宋体" w:eastAsia="新宋体"/>
          <w:color w:val="0F0F0F"/>
        </w:rPr>
        <w:t>工</w:t>
      </w:r>
      <w:r>
        <w:rPr>
          <w:rFonts w:ascii="新宋体" w:eastAsia="新宋体"/>
          <w:color w:val="0F0F0F"/>
        </w:rPr>
        <w:t>程的价值占</w:t>
      </w:r>
      <w:r>
        <w:rPr>
          <w:rFonts w:hint="eastAsia" w:ascii="新宋体" w:eastAsia="新宋体"/>
          <w:color w:val="0F0F0F"/>
        </w:rPr>
        <w:t>合同工程价值的比例予以减少，但本规定不应影响逾期交工</w:t>
      </w:r>
      <w:r>
        <w:rPr>
          <w:rFonts w:ascii="新宋体" w:eastAsia="新宋体"/>
          <w:color w:val="0F0F0F"/>
        </w:rPr>
        <w:t>违约金的规定限额。</w:t>
      </w:r>
    </w:p>
    <w:p w14:paraId="7DD6E68B">
      <w:pPr>
        <w:rPr>
          <w:rFonts w:ascii="新宋体" w:eastAsia="新宋体"/>
          <w:color w:val="0F0F0F"/>
          <w:sz w:val="24"/>
        </w:rPr>
      </w:pPr>
      <w:r>
        <w:rPr>
          <w:rFonts w:ascii="新宋体" w:eastAsia="新宋体"/>
          <w:color w:val="0F0F0F"/>
          <w:sz w:val="24"/>
        </w:rPr>
        <w:t>ll</w:t>
      </w:r>
      <w:r>
        <w:rPr>
          <w:rFonts w:hint="eastAsia" w:ascii="新宋体" w:eastAsia="新宋体"/>
          <w:color w:val="0F0F0F"/>
          <w:sz w:val="24"/>
        </w:rPr>
        <w:t>.</w:t>
      </w:r>
      <w:r>
        <w:rPr>
          <w:rFonts w:ascii="新宋体" w:eastAsia="新宋体"/>
          <w:color w:val="0F0F0F"/>
          <w:sz w:val="24"/>
        </w:rPr>
        <w:t>6工期提前</w:t>
      </w:r>
    </w:p>
    <w:p w14:paraId="25D84D23">
      <w:pPr>
        <w:ind w:firstLine="525" w:firstLineChars="250"/>
        <w:rPr>
          <w:rFonts w:ascii="新宋体" w:hAnsi="宋体" w:eastAsia="新宋体"/>
          <w:b/>
          <w:color w:val="0F0F0F"/>
          <w:sz w:val="25"/>
          <w:szCs w:val="32"/>
        </w:rPr>
      </w:pPr>
      <w:r>
        <w:rPr>
          <w:rFonts w:ascii="新宋体" w:eastAsia="新宋体"/>
          <w:color w:val="0F0F0F"/>
        </w:rPr>
        <w:t>本款补充：</w:t>
      </w:r>
    </w:p>
    <w:p w14:paraId="40AEC1B9">
      <w:pPr>
        <w:ind w:firstLine="525" w:firstLineChars="250"/>
        <w:rPr>
          <w:rFonts w:ascii="新宋体" w:hAnsi="宋体" w:eastAsia="新宋体"/>
          <w:b/>
          <w:color w:val="0F0F0F"/>
          <w:sz w:val="25"/>
          <w:szCs w:val="32"/>
        </w:rPr>
      </w:pPr>
      <w:r>
        <w:rPr>
          <w:rFonts w:ascii="新宋体" w:eastAsia="新宋体"/>
          <w:color w:val="0F0F0F"/>
        </w:rPr>
        <w:t>发包人不得随意要求承包人提前交工，承包人也不得随意提出提</w:t>
      </w:r>
      <w:r>
        <w:rPr>
          <w:rFonts w:hint="eastAsia" w:ascii="新宋体" w:eastAsia="新宋体"/>
          <w:color w:val="0F0F0F"/>
        </w:rPr>
        <w:t>前</w:t>
      </w:r>
      <w:r>
        <w:rPr>
          <w:rFonts w:ascii="新宋体" w:eastAsia="新宋体"/>
          <w:color w:val="0F0F0F"/>
        </w:rPr>
        <w:t>交工的建议。</w:t>
      </w:r>
      <w:r>
        <w:rPr>
          <w:rFonts w:hint="eastAsia" w:ascii="新宋体" w:eastAsia="新宋体"/>
          <w:color w:val="0F0F0F"/>
        </w:rPr>
        <w:t>如遇特殊情况，确需将工期提前的，发包人和承包人必须采取有效措施，确保工</w:t>
      </w:r>
      <w:r>
        <w:rPr>
          <w:rFonts w:ascii="新宋体" w:eastAsia="新宋体"/>
          <w:color w:val="0F0F0F"/>
        </w:rPr>
        <w:t>程质量</w:t>
      </w:r>
      <w:r>
        <w:rPr>
          <w:rFonts w:hint="eastAsia" w:ascii="新宋体" w:eastAsia="新宋体"/>
          <w:color w:val="0F0F0F"/>
        </w:rPr>
        <w:t>。</w:t>
      </w:r>
    </w:p>
    <w:p w14:paraId="3A2A40FA">
      <w:pPr>
        <w:ind w:firstLine="525" w:firstLineChars="250"/>
        <w:rPr>
          <w:rFonts w:ascii="新宋体" w:hAnsi="宋体" w:eastAsia="新宋体"/>
          <w:b/>
          <w:color w:val="0F0F0F"/>
          <w:sz w:val="25"/>
          <w:szCs w:val="32"/>
        </w:rPr>
      </w:pPr>
      <w:r>
        <w:rPr>
          <w:rFonts w:ascii="新宋体" w:eastAsia="新宋体"/>
          <w:color w:val="0F0F0F"/>
        </w:rPr>
        <w:t>如</w:t>
      </w:r>
      <w:r>
        <w:rPr>
          <w:rFonts w:hint="eastAsia" w:ascii="新宋体" w:eastAsia="新宋体"/>
          <w:color w:val="0F0F0F"/>
        </w:rPr>
        <w:t>果</w:t>
      </w:r>
      <w:r>
        <w:rPr>
          <w:rFonts w:ascii="新宋体" w:eastAsia="新宋体"/>
          <w:color w:val="0F0F0F"/>
        </w:rPr>
        <w:t>承包人提前交</w:t>
      </w:r>
      <w:r>
        <w:rPr>
          <w:rFonts w:hint="eastAsia" w:ascii="新宋体" w:eastAsia="新宋体"/>
          <w:color w:val="0F0F0F"/>
        </w:rPr>
        <w:t>工</w:t>
      </w:r>
      <w:r>
        <w:rPr>
          <w:rFonts w:ascii="新宋体" w:eastAsia="新宋体"/>
          <w:color w:val="0F0F0F"/>
        </w:rPr>
        <w:t>，发包</w:t>
      </w:r>
      <w:r>
        <w:rPr>
          <w:rFonts w:hint="eastAsia" w:ascii="新宋体" w:eastAsia="新宋体"/>
          <w:color w:val="0F0F0F"/>
        </w:rPr>
        <w:t>人</w:t>
      </w:r>
      <w:r>
        <w:rPr>
          <w:rFonts w:ascii="新宋体" w:eastAsia="新宋体"/>
          <w:color w:val="0F0F0F"/>
        </w:rPr>
        <w:t>支付奖金的计算方法在项目专用合</w:t>
      </w:r>
      <w:r>
        <w:rPr>
          <w:rFonts w:hint="eastAsia" w:ascii="新宋体" w:eastAsia="新宋体"/>
          <w:color w:val="0F0F0F"/>
        </w:rPr>
        <w:t>同</w:t>
      </w:r>
      <w:r>
        <w:rPr>
          <w:rFonts w:ascii="新宋体" w:eastAsia="新宋体"/>
          <w:color w:val="0F0F0F"/>
        </w:rPr>
        <w:t>条款数据表中</w:t>
      </w:r>
      <w:r>
        <w:rPr>
          <w:rFonts w:hint="eastAsia" w:ascii="新宋体" w:eastAsia="新宋体"/>
          <w:color w:val="0F0F0F"/>
        </w:rPr>
        <w:t>约定，时间自交工验收证书中写明的实际交工</w:t>
      </w:r>
      <w:r>
        <w:rPr>
          <w:rFonts w:ascii="新宋体" w:eastAsia="新宋体"/>
          <w:color w:val="0F0F0F"/>
        </w:rPr>
        <w:t>日期起至预定的交</w:t>
      </w:r>
      <w:r>
        <w:rPr>
          <w:rFonts w:hint="eastAsia" w:ascii="新宋体" w:eastAsia="新宋体"/>
          <w:color w:val="0F0F0F"/>
        </w:rPr>
        <w:t>工</w:t>
      </w:r>
      <w:r>
        <w:rPr>
          <w:rFonts w:ascii="新宋体" w:eastAsia="新宋体"/>
          <w:color w:val="0F0F0F"/>
        </w:rPr>
        <w:t>日期</w:t>
      </w:r>
      <w:r>
        <w:rPr>
          <w:rFonts w:hint="eastAsia" w:ascii="新宋体" w:eastAsia="新宋体"/>
          <w:color w:val="0F0F0F"/>
        </w:rPr>
        <w:t>止</w:t>
      </w:r>
      <w:r>
        <w:rPr>
          <w:rFonts w:ascii="新宋体" w:eastAsia="新宋体"/>
          <w:color w:val="0F0F0F"/>
        </w:rPr>
        <w:t>，按天计算。</w:t>
      </w:r>
      <w:r>
        <w:rPr>
          <w:rFonts w:hint="eastAsia" w:ascii="新宋体" w:eastAsia="新宋体"/>
          <w:color w:val="0F0F0F"/>
        </w:rPr>
        <w:t>但奖金最高限额不超过项目专用合同条款数据表中写明的限额。</w:t>
      </w:r>
    </w:p>
    <w:p w14:paraId="570C5202">
      <w:pPr>
        <w:ind w:firstLine="525" w:firstLineChars="250"/>
        <w:rPr>
          <w:rFonts w:ascii="新宋体" w:hAnsi="宋体" w:eastAsia="新宋体"/>
          <w:b/>
          <w:color w:val="0F0F0F"/>
          <w:sz w:val="25"/>
          <w:szCs w:val="32"/>
        </w:rPr>
      </w:pPr>
      <w:r>
        <w:rPr>
          <w:rFonts w:ascii="新宋体" w:eastAsia="新宋体"/>
          <w:color w:val="0F0F0F"/>
        </w:rPr>
        <w:t>补充第l 1</w:t>
      </w:r>
      <w:r>
        <w:rPr>
          <w:rFonts w:hint="eastAsia" w:ascii="新宋体" w:eastAsia="新宋体"/>
          <w:color w:val="0F0F0F"/>
        </w:rPr>
        <w:t>.</w:t>
      </w:r>
      <w:r>
        <w:rPr>
          <w:rFonts w:ascii="新宋体" w:eastAsia="新宋体"/>
          <w:color w:val="0F0F0F"/>
        </w:rPr>
        <w:t>7款：</w:t>
      </w:r>
    </w:p>
    <w:p w14:paraId="7138C334">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7工作时</w:t>
      </w:r>
      <w:r>
        <w:rPr>
          <w:rFonts w:hint="eastAsia" w:ascii="新宋体" w:eastAsia="新宋体"/>
          <w:color w:val="0F0F0F"/>
          <w:sz w:val="24"/>
        </w:rPr>
        <w:t>间</w:t>
      </w:r>
      <w:r>
        <w:rPr>
          <w:rFonts w:ascii="新宋体" w:eastAsia="新宋体"/>
          <w:color w:val="0F0F0F"/>
          <w:sz w:val="24"/>
        </w:rPr>
        <w:t>的限制</w:t>
      </w:r>
    </w:p>
    <w:p w14:paraId="1CB31ED0">
      <w:pPr>
        <w:ind w:firstLine="525" w:firstLineChars="250"/>
        <w:rPr>
          <w:rFonts w:ascii="新宋体" w:eastAsia="新宋体"/>
          <w:color w:val="0F0F0F"/>
        </w:rPr>
      </w:pPr>
      <w:r>
        <w:rPr>
          <w:rFonts w:ascii="新宋体" w:eastAsia="新宋体"/>
          <w:color w:val="0F0F0F"/>
        </w:rPr>
        <w:t>承包人在</w:t>
      </w:r>
      <w:r>
        <w:rPr>
          <w:rFonts w:hint="eastAsia" w:ascii="新宋体" w:eastAsia="新宋体"/>
          <w:color w:val="0F0F0F"/>
        </w:rPr>
        <w:t>夜间</w:t>
      </w:r>
      <w:r>
        <w:rPr>
          <w:rFonts w:ascii="新宋体" w:eastAsia="新宋体"/>
          <w:color w:val="0F0F0F"/>
        </w:rPr>
        <w:t>或</w:t>
      </w:r>
      <w:r>
        <w:rPr>
          <w:rFonts w:hint="eastAsia" w:ascii="新宋体" w:eastAsia="新宋体"/>
          <w:color w:val="0F0F0F"/>
        </w:rPr>
        <w:t>国</w:t>
      </w:r>
      <w:r>
        <w:rPr>
          <w:rFonts w:ascii="新宋体" w:eastAsia="新宋体"/>
          <w:color w:val="0F0F0F"/>
        </w:rPr>
        <w:t>家规定</w:t>
      </w:r>
      <w:r>
        <w:rPr>
          <w:rFonts w:hint="eastAsia" w:ascii="新宋体" w:eastAsia="新宋体"/>
          <w:color w:val="0F0F0F"/>
        </w:rPr>
        <w:t>的节</w:t>
      </w:r>
      <w:r>
        <w:rPr>
          <w:rFonts w:ascii="新宋体" w:eastAsia="新宋体"/>
          <w:color w:val="0F0F0F"/>
        </w:rPr>
        <w:t>假</w:t>
      </w:r>
      <w:r>
        <w:rPr>
          <w:rFonts w:hint="eastAsia" w:ascii="新宋体" w:eastAsia="新宋体"/>
          <w:color w:val="0F0F0F"/>
        </w:rPr>
        <w:t>日进行永久工程的</w:t>
      </w:r>
      <w:r>
        <w:rPr>
          <w:rFonts w:ascii="新宋体" w:eastAsia="新宋体"/>
          <w:color w:val="0F0F0F"/>
        </w:rPr>
        <w:t>施工，应向监理</w:t>
      </w:r>
      <w:r>
        <w:rPr>
          <w:rFonts w:hint="eastAsia" w:ascii="新宋体" w:eastAsia="新宋体"/>
          <w:color w:val="0F0F0F"/>
        </w:rPr>
        <w:t>人</w:t>
      </w:r>
      <w:r>
        <w:rPr>
          <w:rFonts w:ascii="新宋体" w:eastAsia="新宋体"/>
          <w:color w:val="0F0F0F"/>
        </w:rPr>
        <w:t>报告，以便监</w:t>
      </w:r>
      <w:r>
        <w:rPr>
          <w:rFonts w:hint="eastAsia" w:ascii="新宋体" w:eastAsia="新宋体"/>
          <w:color w:val="0F0F0F"/>
        </w:rPr>
        <w:t>理人履行监理职责和义务。</w:t>
      </w:r>
    </w:p>
    <w:p w14:paraId="47D9B2E0">
      <w:pPr>
        <w:ind w:firstLine="525" w:firstLineChars="250"/>
        <w:rPr>
          <w:rFonts w:ascii="新宋体" w:eastAsia="新宋体"/>
          <w:color w:val="0F0F0F"/>
        </w:rPr>
      </w:pPr>
      <w:r>
        <w:rPr>
          <w:rFonts w:ascii="新宋体" w:eastAsia="新宋体"/>
          <w:color w:val="0F0F0F"/>
        </w:rPr>
        <w:t>但是，为了抢救瞧命或保护财产，或为了</w:t>
      </w:r>
      <w:r>
        <w:rPr>
          <w:rFonts w:hint="eastAsia" w:ascii="新宋体" w:eastAsia="新宋体"/>
          <w:color w:val="0F0F0F"/>
        </w:rPr>
        <w:t>工</w:t>
      </w:r>
      <w:r>
        <w:rPr>
          <w:rFonts w:ascii="新宋体" w:eastAsia="新宋体"/>
          <w:color w:val="0F0F0F"/>
        </w:rPr>
        <w:t>程的安全、质</w:t>
      </w:r>
      <w:r>
        <w:rPr>
          <w:rFonts w:hint="eastAsia" w:ascii="新宋体" w:eastAsia="新宋体"/>
          <w:color w:val="0F0F0F"/>
        </w:rPr>
        <w:t>量而</w:t>
      </w:r>
      <w:r>
        <w:rPr>
          <w:rFonts w:ascii="新宋体" w:eastAsia="新宋体"/>
          <w:color w:val="0F0F0F"/>
        </w:rPr>
        <w:t>不可避免地短暂作业，</w:t>
      </w:r>
      <w:r>
        <w:rPr>
          <w:rFonts w:hint="eastAsia" w:ascii="新宋体" w:eastAsia="新宋体"/>
          <w:color w:val="0F0F0F"/>
        </w:rPr>
        <w:t>则不必事先向监理人报告。但承包人应在事后立即向监理人报告。</w:t>
      </w:r>
    </w:p>
    <w:p w14:paraId="643E9D58">
      <w:pPr>
        <w:ind w:firstLine="525" w:firstLineChars="250"/>
        <w:rPr>
          <w:rFonts w:ascii="新宋体" w:eastAsia="新宋体"/>
          <w:color w:val="0F0F0F"/>
        </w:rPr>
      </w:pPr>
      <w:r>
        <w:rPr>
          <w:rFonts w:ascii="新宋体" w:eastAsia="新宋体"/>
          <w:color w:val="0F0F0F"/>
        </w:rPr>
        <w:t>本款规定不适用于习</w:t>
      </w:r>
      <w:r>
        <w:rPr>
          <w:rFonts w:hint="eastAsia" w:ascii="新宋体" w:eastAsia="新宋体"/>
          <w:color w:val="0F0F0F"/>
        </w:rPr>
        <w:t>惯</w:t>
      </w:r>
      <w:r>
        <w:rPr>
          <w:rFonts w:ascii="新宋体" w:eastAsia="新宋体"/>
          <w:color w:val="0F0F0F"/>
        </w:rPr>
        <w:t>上</w:t>
      </w:r>
      <w:r>
        <w:rPr>
          <w:rFonts w:hint="eastAsia" w:ascii="新宋体" w:eastAsia="新宋体"/>
          <w:color w:val="0F0F0F"/>
        </w:rPr>
        <w:t>或</w:t>
      </w:r>
      <w:r>
        <w:rPr>
          <w:rFonts w:ascii="新宋体" w:eastAsia="新宋体"/>
          <w:color w:val="0F0F0F"/>
        </w:rPr>
        <w:t>施工本身要求实行连续生产的作业。</w:t>
      </w:r>
    </w:p>
    <w:p w14:paraId="1376E9F4">
      <w:pPr>
        <w:spacing w:line="400" w:lineRule="exact"/>
        <w:rPr>
          <w:rFonts w:ascii="新宋体" w:eastAsia="新宋体"/>
          <w:color w:val="0F0F0F"/>
          <w:sz w:val="28"/>
          <w:szCs w:val="28"/>
        </w:rPr>
      </w:pPr>
      <w:r>
        <w:rPr>
          <w:rFonts w:ascii="新宋体" w:eastAsia="新宋体"/>
          <w:color w:val="0F0F0F"/>
          <w:sz w:val="28"/>
          <w:szCs w:val="28"/>
        </w:rPr>
        <w:t>12</w:t>
      </w:r>
      <w:r>
        <w:rPr>
          <w:rFonts w:hint="eastAsia" w:ascii="新宋体" w:eastAsia="新宋体"/>
          <w:color w:val="0F0F0F"/>
          <w:sz w:val="28"/>
          <w:szCs w:val="28"/>
        </w:rPr>
        <w:t>.</w:t>
      </w:r>
      <w:r>
        <w:rPr>
          <w:rFonts w:ascii="新宋体" w:eastAsia="新宋体"/>
          <w:color w:val="0F0F0F"/>
          <w:sz w:val="28"/>
          <w:szCs w:val="28"/>
        </w:rPr>
        <w:t>暂停施工</w:t>
      </w:r>
    </w:p>
    <w:p w14:paraId="5BB1DC1F">
      <w:pPr>
        <w:rPr>
          <w:rFonts w:ascii="新宋体" w:eastAsia="新宋体"/>
          <w:color w:val="0F0F0F"/>
          <w:sz w:val="24"/>
        </w:rPr>
      </w:pPr>
      <w:r>
        <w:rPr>
          <w:rFonts w:ascii="新宋体" w:eastAsia="新宋体"/>
          <w:color w:val="0F0F0F"/>
          <w:sz w:val="24"/>
        </w:rPr>
        <w:t>12</w:t>
      </w:r>
      <w:r>
        <w:rPr>
          <w:rFonts w:hint="eastAsia" w:ascii="新宋体" w:eastAsia="新宋体"/>
          <w:color w:val="0F0F0F"/>
          <w:sz w:val="24"/>
        </w:rPr>
        <w:t>.</w:t>
      </w:r>
      <w:r>
        <w:rPr>
          <w:rFonts w:ascii="新宋体" w:eastAsia="新宋体"/>
          <w:color w:val="0F0F0F"/>
          <w:sz w:val="24"/>
        </w:rPr>
        <w:t xml:space="preserve">1承包人暂停施工的责任   </w:t>
      </w:r>
    </w:p>
    <w:p w14:paraId="0AD4FFAD">
      <w:pPr>
        <w:ind w:firstLine="525" w:firstLineChars="250"/>
        <w:rPr>
          <w:rFonts w:ascii="新宋体" w:eastAsia="新宋体"/>
          <w:color w:val="0F0F0F"/>
        </w:rPr>
      </w:pPr>
      <w:r>
        <w:rPr>
          <w:rFonts w:ascii="新宋体" w:eastAsia="新宋体"/>
          <w:color w:val="0F0F0F"/>
        </w:rPr>
        <w:t>本款第(5)项细化为：</w:t>
      </w:r>
    </w:p>
    <w:p w14:paraId="26B6D465">
      <w:pPr>
        <w:ind w:firstLine="525" w:firstLineChars="250"/>
        <w:rPr>
          <w:rFonts w:ascii="新宋体" w:eastAsia="新宋体"/>
          <w:color w:val="0F0F0F"/>
        </w:rPr>
      </w:pPr>
      <w:r>
        <w:rPr>
          <w:rFonts w:ascii="新宋体" w:eastAsia="新宋体"/>
          <w:color w:val="0F0F0F"/>
        </w:rPr>
        <w:t>(5)现场气候条件导致的必要停工(第l 1</w:t>
      </w:r>
      <w:r>
        <w:rPr>
          <w:rFonts w:hint="eastAsia" w:ascii="新宋体" w:eastAsia="新宋体"/>
          <w:color w:val="0F0F0F"/>
        </w:rPr>
        <w:t>.</w:t>
      </w:r>
      <w:r>
        <w:rPr>
          <w:rFonts w:ascii="新宋体" w:eastAsia="新宋体"/>
          <w:color w:val="0F0F0F"/>
        </w:rPr>
        <w:t>4</w:t>
      </w:r>
      <w:r>
        <w:rPr>
          <w:rFonts w:hint="eastAsia" w:ascii="新宋体" w:eastAsia="新宋体"/>
          <w:color w:val="0F0F0F"/>
        </w:rPr>
        <w:t>款规定的异常恶劣的气候条件除外</w:t>
      </w:r>
      <w:r>
        <w:rPr>
          <w:rFonts w:ascii="新宋体" w:eastAsia="新宋体"/>
          <w:color w:val="0F0F0F"/>
        </w:rPr>
        <w:t>)；</w:t>
      </w:r>
    </w:p>
    <w:p w14:paraId="6D65035F">
      <w:pPr>
        <w:ind w:firstLine="525" w:firstLineChars="250"/>
        <w:rPr>
          <w:rFonts w:ascii="新宋体" w:eastAsia="新宋体"/>
          <w:color w:val="0F0F0F"/>
        </w:rPr>
      </w:pPr>
      <w:r>
        <w:rPr>
          <w:rFonts w:ascii="新宋体" w:eastAsia="新宋体"/>
          <w:color w:val="0F0F0F"/>
        </w:rPr>
        <w:t>(6)项目专用</w:t>
      </w:r>
      <w:r>
        <w:rPr>
          <w:rFonts w:hint="eastAsia" w:ascii="新宋体" w:eastAsia="新宋体"/>
          <w:color w:val="0F0F0F"/>
        </w:rPr>
        <w:t>合</w:t>
      </w:r>
      <w:r>
        <w:rPr>
          <w:rFonts w:ascii="新宋体" w:eastAsia="新宋体"/>
          <w:color w:val="0F0F0F"/>
        </w:rPr>
        <w:t>同条款可能约定的</w:t>
      </w:r>
      <w:r>
        <w:rPr>
          <w:rFonts w:hint="eastAsia" w:ascii="新宋体" w:eastAsia="新宋体"/>
          <w:color w:val="0F0F0F"/>
        </w:rPr>
        <w:t>由</w:t>
      </w:r>
      <w:r>
        <w:rPr>
          <w:rFonts w:ascii="新宋体" w:eastAsia="新宋体"/>
          <w:color w:val="0F0F0F"/>
        </w:rPr>
        <w:t>承包人承担的其他暂停施</w:t>
      </w:r>
      <w:r>
        <w:rPr>
          <w:rFonts w:hint="eastAsia" w:ascii="新宋体" w:eastAsia="新宋体"/>
          <w:color w:val="0F0F0F"/>
        </w:rPr>
        <w:t>工</w:t>
      </w:r>
      <w:r>
        <w:rPr>
          <w:rFonts w:ascii="新宋体" w:eastAsia="新宋体"/>
          <w:color w:val="0F0F0F"/>
        </w:rPr>
        <w:t>。</w:t>
      </w:r>
    </w:p>
    <w:p w14:paraId="42BD218B">
      <w:pPr>
        <w:spacing w:line="400" w:lineRule="exact"/>
        <w:rPr>
          <w:rFonts w:ascii="新宋体" w:eastAsia="新宋体"/>
          <w:color w:val="0F0F0F"/>
          <w:sz w:val="28"/>
          <w:szCs w:val="28"/>
        </w:rPr>
      </w:pPr>
      <w:r>
        <w:rPr>
          <w:rFonts w:ascii="新宋体" w:eastAsia="新宋体"/>
          <w:color w:val="0F0F0F"/>
          <w:sz w:val="28"/>
          <w:szCs w:val="28"/>
        </w:rPr>
        <w:t>13</w:t>
      </w:r>
      <w:r>
        <w:rPr>
          <w:rFonts w:hint="eastAsia" w:ascii="新宋体" w:eastAsia="新宋体"/>
          <w:color w:val="0F0F0F"/>
          <w:sz w:val="28"/>
          <w:szCs w:val="28"/>
        </w:rPr>
        <w:t>.</w:t>
      </w:r>
      <w:r>
        <w:rPr>
          <w:rFonts w:ascii="新宋体" w:eastAsia="新宋体"/>
          <w:color w:val="0F0F0F"/>
          <w:sz w:val="28"/>
          <w:szCs w:val="28"/>
        </w:rPr>
        <w:t>工程质量</w:t>
      </w:r>
    </w:p>
    <w:p w14:paraId="7DADABC2">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.1工</w:t>
      </w:r>
      <w:r>
        <w:rPr>
          <w:rFonts w:ascii="新宋体" w:eastAsia="新宋体"/>
          <w:color w:val="0F0F0F"/>
          <w:sz w:val="24"/>
        </w:rPr>
        <w:t>程质量要求</w:t>
      </w:r>
    </w:p>
    <w:p w14:paraId="3DA311FE">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1项约定为：</w:t>
      </w:r>
    </w:p>
    <w:p w14:paraId="36FF148F">
      <w:pPr>
        <w:ind w:firstLine="525" w:firstLineChars="250"/>
        <w:rPr>
          <w:rFonts w:ascii="新宋体" w:eastAsia="新宋体"/>
          <w:color w:val="0F0F0F"/>
        </w:rPr>
      </w:pPr>
      <w:r>
        <w:rPr>
          <w:rFonts w:ascii="新宋体" w:eastAsia="新宋体"/>
          <w:color w:val="0F0F0F"/>
        </w:rPr>
        <w:t>工程</w:t>
      </w:r>
      <w:r>
        <w:rPr>
          <w:rFonts w:hint="eastAsia" w:ascii="新宋体" w:eastAsia="新宋体"/>
          <w:color w:val="0F0F0F"/>
        </w:rPr>
        <w:t>质量</w:t>
      </w:r>
      <w:r>
        <w:rPr>
          <w:rFonts w:ascii="新宋体" w:eastAsia="新宋体"/>
          <w:color w:val="0F0F0F"/>
        </w:rPr>
        <w:t>验收按技术规范及《公路工程质</w:t>
      </w:r>
      <w:r>
        <w:rPr>
          <w:rFonts w:hint="eastAsia" w:ascii="新宋体" w:eastAsia="新宋体"/>
          <w:color w:val="0F0F0F"/>
        </w:rPr>
        <w:t>量</w:t>
      </w:r>
      <w:r>
        <w:rPr>
          <w:rFonts w:ascii="新宋体" w:eastAsia="新宋体"/>
          <w:color w:val="0F0F0F"/>
        </w:rPr>
        <w:t>检验评定标准》执行。</w:t>
      </w:r>
    </w:p>
    <w:p w14:paraId="344DD6BF">
      <w:pPr>
        <w:ind w:firstLine="525" w:firstLineChars="250"/>
        <w:rPr>
          <w:rFonts w:ascii="新宋体" w:eastAsia="新宋体"/>
          <w:color w:val="0F0F0F"/>
        </w:rPr>
      </w:pPr>
      <w:r>
        <w:rPr>
          <w:rFonts w:ascii="新宋体" w:eastAsia="新宋体"/>
          <w:color w:val="0F0F0F"/>
        </w:rPr>
        <w:t>本款补充第13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4项和第13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5项：</w:t>
      </w:r>
    </w:p>
    <w:p w14:paraId="7502FD0E">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4发包人和承包人应严格遵守《关</w:t>
      </w:r>
      <w:r>
        <w:rPr>
          <w:rFonts w:hint="eastAsia" w:ascii="新宋体" w:eastAsia="新宋体"/>
          <w:color w:val="0F0F0F"/>
        </w:rPr>
        <w:t>于</w:t>
      </w:r>
      <w:r>
        <w:rPr>
          <w:rFonts w:ascii="新宋体" w:eastAsia="新宋体"/>
          <w:color w:val="0F0F0F"/>
        </w:rPr>
        <w:t>严格落实公路</w:t>
      </w:r>
      <w:r>
        <w:rPr>
          <w:rFonts w:hint="eastAsia" w:ascii="新宋体" w:eastAsia="新宋体"/>
          <w:color w:val="0F0F0F"/>
        </w:rPr>
        <w:t>工</w:t>
      </w:r>
      <w:r>
        <w:rPr>
          <w:rFonts w:ascii="新宋体" w:eastAsia="新宋体"/>
          <w:color w:val="0F0F0F"/>
        </w:rPr>
        <w:t>程质</w:t>
      </w:r>
      <w:r>
        <w:rPr>
          <w:rFonts w:hint="eastAsia" w:ascii="新宋体" w:eastAsia="新宋体"/>
          <w:color w:val="0F0F0F"/>
        </w:rPr>
        <w:t>量</w:t>
      </w:r>
      <w:r>
        <w:rPr>
          <w:rFonts w:ascii="新宋体" w:eastAsia="新宋体"/>
          <w:color w:val="0F0F0F"/>
        </w:rPr>
        <w:t>责任制的若干</w:t>
      </w:r>
      <w:r>
        <w:rPr>
          <w:rFonts w:hint="eastAsia" w:ascii="新宋体" w:eastAsia="新宋体"/>
          <w:color w:val="0F0F0F"/>
        </w:rPr>
        <w:t>意见》的相关规定，认真执行工</w:t>
      </w:r>
      <w:r>
        <w:rPr>
          <w:rFonts w:ascii="新宋体" w:eastAsia="新宋体"/>
          <w:color w:val="0F0F0F"/>
        </w:rPr>
        <w:t>程质量</w:t>
      </w:r>
      <w:r>
        <w:rPr>
          <w:rFonts w:hint="eastAsia" w:ascii="新宋体" w:eastAsia="新宋体"/>
          <w:color w:val="0F0F0F"/>
        </w:rPr>
        <w:t>责</w:t>
      </w:r>
      <w:r>
        <w:rPr>
          <w:rFonts w:ascii="新宋体" w:eastAsia="新宋体"/>
          <w:color w:val="0F0F0F"/>
        </w:rPr>
        <w:t>任登记制</w:t>
      </w:r>
      <w:r>
        <w:rPr>
          <w:rFonts w:hint="eastAsia" w:ascii="新宋体" w:eastAsia="新宋体"/>
          <w:color w:val="0F0F0F"/>
        </w:rPr>
        <w:t>度并</w:t>
      </w:r>
      <w:r>
        <w:rPr>
          <w:rFonts w:ascii="新宋体" w:eastAsia="新宋体"/>
          <w:color w:val="0F0F0F"/>
        </w:rPr>
        <w:t>按要求填写工程质量责任登</w:t>
      </w:r>
      <w:r>
        <w:rPr>
          <w:rFonts w:hint="eastAsia" w:ascii="新宋体" w:eastAsia="新宋体"/>
          <w:color w:val="0F0F0F"/>
        </w:rPr>
        <w:t>记表。</w:t>
      </w:r>
    </w:p>
    <w:p w14:paraId="47B77711">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5本项</w:t>
      </w:r>
      <w:r>
        <w:rPr>
          <w:rFonts w:hint="eastAsia" w:ascii="新宋体" w:eastAsia="新宋体"/>
          <w:color w:val="0F0F0F"/>
        </w:rPr>
        <w:t>目</w:t>
      </w:r>
      <w:r>
        <w:rPr>
          <w:rFonts w:ascii="新宋体" w:eastAsia="新宋体"/>
          <w:color w:val="0F0F0F"/>
        </w:rPr>
        <w:t>严格执行质量责任追究制度。质</w:t>
      </w:r>
      <w:r>
        <w:rPr>
          <w:rFonts w:hint="eastAsia" w:ascii="新宋体" w:eastAsia="新宋体"/>
          <w:color w:val="0F0F0F"/>
        </w:rPr>
        <w:t>量事故处理实行“四不放过”原则：事故原因调查不清不放过；事故责任</w:t>
      </w:r>
      <w:r>
        <w:rPr>
          <w:rFonts w:ascii="新宋体" w:eastAsia="新宋体"/>
          <w:color w:val="0F0F0F"/>
        </w:rPr>
        <w:t>者没有受到教育不放过；没有防范措施不放过；</w:t>
      </w:r>
      <w:r>
        <w:rPr>
          <w:rFonts w:hint="eastAsia" w:ascii="新宋体" w:eastAsia="新宋体"/>
          <w:color w:val="0F0F0F"/>
        </w:rPr>
        <w:t>相关责任人没受到处理不放过。</w:t>
      </w:r>
    </w:p>
    <w:p w14:paraId="5A7B9558">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2承包人的质量管理</w:t>
      </w:r>
    </w:p>
    <w:p w14:paraId="64793503">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1项</w:t>
      </w:r>
      <w:r>
        <w:rPr>
          <w:rFonts w:hint="eastAsia" w:ascii="新宋体" w:eastAsia="新宋体"/>
          <w:color w:val="0F0F0F"/>
        </w:rPr>
        <w:t>补</w:t>
      </w:r>
      <w:r>
        <w:rPr>
          <w:rFonts w:ascii="新宋体" w:eastAsia="新宋体"/>
          <w:color w:val="0F0F0F"/>
        </w:rPr>
        <w:t>充：</w:t>
      </w:r>
    </w:p>
    <w:p w14:paraId="2A464F35">
      <w:pPr>
        <w:ind w:firstLine="525" w:firstLineChars="250"/>
        <w:rPr>
          <w:rFonts w:ascii="新宋体" w:eastAsia="新宋体"/>
          <w:color w:val="0F0F0F"/>
        </w:rPr>
      </w:pPr>
      <w:r>
        <w:rPr>
          <w:rFonts w:ascii="新宋体" w:eastAsia="新宋体"/>
          <w:color w:val="0F0F0F"/>
        </w:rPr>
        <w:t>承包人提交工程质量保证措施文件的期限：签订合同协议书后28天之</w:t>
      </w:r>
      <w:r>
        <w:rPr>
          <w:rFonts w:hint="eastAsia" w:ascii="新宋体" w:eastAsia="新宋体"/>
          <w:color w:val="0F0F0F"/>
        </w:rPr>
        <w:t>内。</w:t>
      </w:r>
    </w:p>
    <w:p w14:paraId="17956B6C">
      <w:pPr>
        <w:ind w:firstLine="525" w:firstLineChars="250"/>
        <w:rPr>
          <w:rFonts w:ascii="新宋体" w:eastAsia="新宋体"/>
          <w:color w:val="0F0F0F"/>
        </w:rPr>
      </w:pPr>
      <w:r>
        <w:rPr>
          <w:rFonts w:ascii="新宋体" w:eastAsia="新宋体"/>
          <w:color w:val="0F0F0F"/>
        </w:rPr>
        <w:t>本款补充第13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3项</w:t>
      </w:r>
      <w:r>
        <w:rPr>
          <w:rFonts w:hint="eastAsia" w:ascii="新宋体" w:eastAsia="新宋体"/>
          <w:color w:val="0F0F0F"/>
        </w:rPr>
        <w:t>~</w:t>
      </w:r>
      <w:r>
        <w:rPr>
          <w:rFonts w:ascii="新宋体" w:eastAsia="新宋体"/>
          <w:color w:val="0F0F0F"/>
        </w:rPr>
        <w:t>第13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6项：</w:t>
      </w:r>
    </w:p>
    <w:p w14:paraId="6F309535">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3承包人必须遵守</w:t>
      </w:r>
      <w:r>
        <w:rPr>
          <w:rFonts w:hint="eastAsia" w:ascii="新宋体" w:eastAsia="新宋体"/>
          <w:color w:val="0F0F0F"/>
        </w:rPr>
        <w:t>国</w:t>
      </w:r>
      <w:r>
        <w:rPr>
          <w:rFonts w:ascii="新宋体" w:eastAsia="新宋体"/>
          <w:color w:val="0F0F0F"/>
        </w:rPr>
        <w:t>家有关法律、法规和规章，严格执行公路</w:t>
      </w:r>
      <w:r>
        <w:rPr>
          <w:rFonts w:hint="eastAsia" w:ascii="新宋体" w:eastAsia="新宋体"/>
          <w:color w:val="0F0F0F"/>
        </w:rPr>
        <w:t>工</w:t>
      </w:r>
      <w:r>
        <w:rPr>
          <w:rFonts w:ascii="新宋体" w:eastAsia="新宋体"/>
          <w:color w:val="0F0F0F"/>
        </w:rPr>
        <w:t>程强制性技</w:t>
      </w:r>
      <w:r>
        <w:rPr>
          <w:rFonts w:hint="eastAsia" w:ascii="新宋体" w:eastAsia="新宋体"/>
          <w:color w:val="0F0F0F"/>
        </w:rPr>
        <w:t>术标准、各类技术规范及规程，全面履行工程合同义务，依法对公路工程质量负责。</w:t>
      </w:r>
    </w:p>
    <w:p w14:paraId="1AFFBEA9">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4承包人应加强</w:t>
      </w:r>
      <w:r>
        <w:rPr>
          <w:rFonts w:hint="eastAsia" w:ascii="新宋体" w:eastAsia="新宋体"/>
          <w:color w:val="0F0F0F"/>
        </w:rPr>
        <w:t>质量监控，确保规范规定的检验、抽检频率，现场质检的原始资料必须真实、准确、可靠，不得追记，接受质量检查时必须出示原始资料。</w:t>
      </w:r>
    </w:p>
    <w:p w14:paraId="256ACF51">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5承包人必须完善检验手段，</w:t>
      </w:r>
      <w:r>
        <w:rPr>
          <w:rFonts w:hint="eastAsia" w:ascii="新宋体" w:eastAsia="新宋体"/>
          <w:color w:val="0F0F0F"/>
        </w:rPr>
        <w:t>根</w:t>
      </w:r>
      <w:r>
        <w:rPr>
          <w:rFonts w:ascii="新宋体" w:eastAsia="新宋体"/>
          <w:color w:val="0F0F0F"/>
        </w:rPr>
        <w:t>据技术规范的规定配齐检测和试验仪器、仪</w:t>
      </w:r>
      <w:r>
        <w:rPr>
          <w:rFonts w:hint="eastAsia" w:ascii="新宋体" w:eastAsia="新宋体"/>
          <w:color w:val="0F0F0F"/>
        </w:rPr>
        <w:t>表，并应及时校正确保其精度；根据合同要求加强工</w:t>
      </w:r>
      <w:r>
        <w:rPr>
          <w:rFonts w:ascii="新宋体" w:eastAsia="新宋体"/>
          <w:color w:val="0F0F0F"/>
        </w:rPr>
        <w:t>地试验室的管理；加强标准计</w:t>
      </w:r>
      <w:r>
        <w:rPr>
          <w:rFonts w:hint="eastAsia" w:ascii="新宋体" w:eastAsia="新宋体"/>
          <w:color w:val="0F0F0F"/>
        </w:rPr>
        <w:t>量</w:t>
      </w:r>
      <w:r>
        <w:rPr>
          <w:rFonts w:ascii="新宋体" w:eastAsia="新宋体"/>
          <w:color w:val="0F0F0F"/>
        </w:rPr>
        <w:t>基</w:t>
      </w:r>
      <w:r>
        <w:rPr>
          <w:rFonts w:hint="eastAsia" w:ascii="新宋体" w:eastAsia="新宋体"/>
          <w:color w:val="0F0F0F"/>
        </w:rPr>
        <w:t>础工作和材料检验工作，不得违规计量，不合格材料严禁用于本工程。</w:t>
      </w:r>
    </w:p>
    <w:p w14:paraId="2A2EA884">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.6</w:t>
      </w:r>
      <w:r>
        <w:rPr>
          <w:rFonts w:ascii="新宋体" w:eastAsia="新宋体"/>
          <w:color w:val="0F0F0F"/>
        </w:rPr>
        <w:t>承包</w:t>
      </w:r>
      <w:r>
        <w:rPr>
          <w:rFonts w:hint="eastAsia" w:ascii="新宋体" w:eastAsia="新宋体"/>
          <w:color w:val="0F0F0F"/>
        </w:rPr>
        <w:t>人驻</w:t>
      </w:r>
      <w:r>
        <w:rPr>
          <w:rFonts w:ascii="新宋体" w:eastAsia="新宋体"/>
          <w:color w:val="0F0F0F"/>
        </w:rPr>
        <w:t>工程现场机构应在现场驻地和</w:t>
      </w:r>
      <w:r>
        <w:rPr>
          <w:rFonts w:hint="eastAsia" w:ascii="新宋体" w:eastAsia="新宋体"/>
          <w:color w:val="0F0F0F"/>
        </w:rPr>
        <w:t>重</w:t>
      </w:r>
      <w:r>
        <w:rPr>
          <w:rFonts w:ascii="新宋体" w:eastAsia="新宋体"/>
          <w:color w:val="0F0F0F"/>
        </w:rPr>
        <w:t>要的分部、分项工程施工现场</w:t>
      </w:r>
      <w:r>
        <w:rPr>
          <w:rFonts w:hint="eastAsia" w:ascii="新宋体" w:eastAsia="新宋体"/>
          <w:color w:val="0F0F0F"/>
        </w:rPr>
        <w:t>设置明显的工程质量责任登记表公示牌。</w:t>
      </w:r>
    </w:p>
    <w:p w14:paraId="5D4A1C73">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4监</w:t>
      </w:r>
      <w:r>
        <w:rPr>
          <w:rFonts w:hint="eastAsia" w:ascii="新宋体" w:eastAsia="新宋体"/>
          <w:color w:val="0F0F0F"/>
          <w:sz w:val="24"/>
        </w:rPr>
        <w:t>理</w:t>
      </w:r>
      <w:r>
        <w:rPr>
          <w:rFonts w:ascii="新宋体" w:eastAsia="新宋体"/>
          <w:color w:val="0F0F0F"/>
          <w:sz w:val="24"/>
        </w:rPr>
        <w:t>人的质量检查</w:t>
      </w:r>
    </w:p>
    <w:p w14:paraId="72A70E36">
      <w:pPr>
        <w:ind w:firstLine="525" w:firstLineChars="250"/>
        <w:rPr>
          <w:rFonts w:ascii="新宋体" w:eastAsia="新宋体"/>
          <w:color w:val="0F0F0F"/>
        </w:rPr>
      </w:pPr>
      <w:r>
        <w:rPr>
          <w:rFonts w:ascii="新宋体" w:eastAsia="新宋体"/>
          <w:color w:val="0F0F0F"/>
        </w:rPr>
        <w:t>本款补充：</w:t>
      </w:r>
    </w:p>
    <w:p w14:paraId="12CEF8CC">
      <w:pPr>
        <w:ind w:firstLine="525" w:firstLineChars="250"/>
        <w:rPr>
          <w:rFonts w:ascii="新宋体" w:eastAsia="新宋体"/>
          <w:color w:val="0F0F0F"/>
        </w:rPr>
      </w:pPr>
      <w:r>
        <w:rPr>
          <w:rFonts w:ascii="新宋体" w:eastAsia="新宋体"/>
          <w:color w:val="0F0F0F"/>
        </w:rPr>
        <w:t>监理</w:t>
      </w:r>
      <w:r>
        <w:rPr>
          <w:rFonts w:hint="eastAsia" w:ascii="新宋体" w:eastAsia="新宋体"/>
          <w:color w:val="0F0F0F"/>
        </w:rPr>
        <w:t>人</w:t>
      </w:r>
      <w:r>
        <w:rPr>
          <w:rFonts w:ascii="新宋体" w:eastAsia="新宋体"/>
          <w:color w:val="0F0F0F"/>
        </w:rPr>
        <w:t>及</w:t>
      </w:r>
      <w:r>
        <w:rPr>
          <w:rFonts w:hint="eastAsia" w:ascii="新宋体" w:eastAsia="新宋体"/>
          <w:color w:val="0F0F0F"/>
        </w:rPr>
        <w:t>其</w:t>
      </w:r>
      <w:r>
        <w:rPr>
          <w:rFonts w:ascii="新宋体" w:eastAsia="新宋体"/>
          <w:color w:val="0F0F0F"/>
        </w:rPr>
        <w:t>委派的检验人员，应能进</w:t>
      </w:r>
      <w:r>
        <w:rPr>
          <w:rFonts w:hint="eastAsia" w:ascii="新宋体" w:eastAsia="新宋体"/>
          <w:color w:val="0F0F0F"/>
        </w:rPr>
        <w:t>入工程现场，以及材料或工程设备的制造、加工或制配的车间和场所，包括不属于承包人的车间或场所进行检查，承包人应为此提供便利和协助。</w:t>
      </w:r>
    </w:p>
    <w:p w14:paraId="3BECCB6C">
      <w:pPr>
        <w:ind w:firstLine="525" w:firstLineChars="250"/>
        <w:rPr>
          <w:rFonts w:ascii="新宋体" w:eastAsia="新宋体"/>
          <w:color w:val="0F0F0F"/>
        </w:rPr>
      </w:pPr>
      <w:r>
        <w:rPr>
          <w:rFonts w:ascii="新宋体" w:eastAsia="新宋体"/>
          <w:color w:val="0F0F0F"/>
        </w:rPr>
        <w:t>监理人可以将材料或</w:t>
      </w:r>
      <w:r>
        <w:rPr>
          <w:rFonts w:hint="eastAsia" w:ascii="新宋体" w:eastAsia="新宋体"/>
          <w:color w:val="0F0F0F"/>
        </w:rPr>
        <w:t>工程</w:t>
      </w:r>
      <w:r>
        <w:rPr>
          <w:rFonts w:ascii="新宋体" w:eastAsia="新宋体"/>
          <w:color w:val="0F0F0F"/>
        </w:rPr>
        <w:t>设备的检</w:t>
      </w:r>
      <w:r>
        <w:rPr>
          <w:rFonts w:hint="eastAsia" w:ascii="新宋体" w:eastAsia="新宋体"/>
          <w:color w:val="0F0F0F"/>
        </w:rPr>
        <w:t>查</w:t>
      </w:r>
      <w:r>
        <w:rPr>
          <w:rFonts w:ascii="新宋体" w:eastAsia="新宋体"/>
          <w:color w:val="0F0F0F"/>
        </w:rPr>
        <w:t>和检验委</w:t>
      </w:r>
      <w:r>
        <w:rPr>
          <w:rFonts w:hint="eastAsia" w:ascii="新宋体" w:eastAsia="新宋体"/>
          <w:color w:val="0F0F0F"/>
        </w:rPr>
        <w:t>托</w:t>
      </w:r>
      <w:r>
        <w:rPr>
          <w:rFonts w:ascii="新宋体" w:eastAsia="新宋体"/>
          <w:color w:val="0F0F0F"/>
        </w:rPr>
        <w:t>给一家独立的有质量</w:t>
      </w:r>
      <w:r>
        <w:rPr>
          <w:rFonts w:hint="eastAsia" w:ascii="新宋体" w:eastAsia="新宋体"/>
          <w:color w:val="0F0F0F"/>
        </w:rPr>
        <w:t>检</w:t>
      </w:r>
      <w:r>
        <w:rPr>
          <w:rFonts w:ascii="新宋体" w:eastAsia="新宋体"/>
          <w:color w:val="0F0F0F"/>
        </w:rPr>
        <w:t>验认证资</w:t>
      </w:r>
      <w:r>
        <w:rPr>
          <w:rFonts w:hint="eastAsia" w:ascii="新宋体" w:eastAsia="新宋体"/>
          <w:color w:val="0F0F0F"/>
        </w:rPr>
        <w:t>格的检验单位。该独立检验单位的检验结果应视为监理人完成的。监理人应将这种委托的通知书不少于</w:t>
      </w:r>
      <w:r>
        <w:rPr>
          <w:rFonts w:ascii="新宋体" w:eastAsia="新宋体"/>
          <w:color w:val="0F0F0F"/>
        </w:rPr>
        <w:t>7天前交给承包人。</w:t>
      </w:r>
    </w:p>
    <w:p w14:paraId="2803900D">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5工程隐蔽部位覆</w:t>
      </w:r>
      <w:r>
        <w:rPr>
          <w:rFonts w:hint="eastAsia" w:ascii="新宋体" w:eastAsia="新宋体"/>
          <w:color w:val="0F0F0F"/>
          <w:sz w:val="24"/>
        </w:rPr>
        <w:t>盖</w:t>
      </w:r>
      <w:r>
        <w:rPr>
          <w:rFonts w:ascii="新宋体" w:eastAsia="新宋体"/>
          <w:color w:val="0F0F0F"/>
          <w:sz w:val="24"/>
        </w:rPr>
        <w:t>前的检查</w:t>
      </w:r>
    </w:p>
    <w:p w14:paraId="53DD5A06">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1项补充：</w:t>
      </w:r>
    </w:p>
    <w:p w14:paraId="1F2FF4CE">
      <w:pPr>
        <w:ind w:firstLine="525" w:firstLineChars="250"/>
        <w:rPr>
          <w:rFonts w:ascii="新宋体" w:eastAsia="新宋体"/>
          <w:color w:val="0F0F0F"/>
        </w:rPr>
      </w:pPr>
      <w:r>
        <w:rPr>
          <w:rFonts w:ascii="新宋体" w:eastAsia="新宋体"/>
          <w:color w:val="0F0F0F"/>
        </w:rPr>
        <w:t>当监理人有指令时。承包人应对重要隐蔽工</w:t>
      </w:r>
      <w:r>
        <w:rPr>
          <w:rFonts w:hint="eastAsia" w:ascii="新宋体" w:eastAsia="新宋体"/>
          <w:color w:val="0F0F0F"/>
        </w:rPr>
        <w:t>程</w:t>
      </w:r>
      <w:r>
        <w:rPr>
          <w:rFonts w:ascii="新宋体" w:eastAsia="新宋体"/>
          <w:color w:val="0F0F0F"/>
        </w:rPr>
        <w:t>进行拍摄或照相并应保证监理人有</w:t>
      </w:r>
      <w:r>
        <w:rPr>
          <w:rFonts w:hint="eastAsia" w:ascii="新宋体" w:eastAsia="新宋体"/>
          <w:color w:val="0F0F0F"/>
        </w:rPr>
        <w:t>充分的机会对将要覆盖或掩蔽的工程进行检查和量测，特别是在基础以上的任一部分工程修筑之前，对该基础进行检查。</w:t>
      </w:r>
    </w:p>
    <w:p w14:paraId="5CC67F72">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6清除不合格</w:t>
      </w:r>
      <w:r>
        <w:rPr>
          <w:rFonts w:hint="eastAsia" w:ascii="新宋体" w:eastAsia="新宋体"/>
          <w:color w:val="0F0F0F"/>
          <w:sz w:val="24"/>
        </w:rPr>
        <w:t>工</w:t>
      </w:r>
      <w:r>
        <w:rPr>
          <w:rFonts w:ascii="新宋体" w:eastAsia="新宋体"/>
          <w:color w:val="0F0F0F"/>
          <w:sz w:val="24"/>
        </w:rPr>
        <w:t>程</w:t>
      </w:r>
    </w:p>
    <w:p w14:paraId="500BE4E5">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1项细化为：</w:t>
      </w:r>
    </w:p>
    <w:p w14:paraId="1FBF2A09">
      <w:pPr>
        <w:ind w:firstLine="525" w:firstLineChars="250"/>
        <w:rPr>
          <w:rFonts w:ascii="新宋体" w:eastAsia="新宋体"/>
          <w:color w:val="0F0F0F"/>
        </w:rPr>
      </w:pPr>
      <w:r>
        <w:rPr>
          <w:rFonts w:ascii="新宋体" w:eastAsia="新宋体"/>
          <w:color w:val="0F0F0F"/>
        </w:rPr>
        <w:t xml:space="preserve"> (1)承包人使用</w:t>
      </w:r>
      <w:r>
        <w:rPr>
          <w:rFonts w:hint="eastAsia" w:ascii="新宋体" w:eastAsia="新宋体"/>
          <w:color w:val="0F0F0F"/>
        </w:rPr>
        <w:t>不</w:t>
      </w:r>
      <w:r>
        <w:rPr>
          <w:rFonts w:ascii="新宋体" w:eastAsia="新宋体"/>
          <w:color w:val="0F0F0F"/>
        </w:rPr>
        <w:t>合格材料、工程设备，或采用不适当的施</w:t>
      </w:r>
      <w:r>
        <w:rPr>
          <w:rFonts w:hint="eastAsia" w:ascii="新宋体" w:eastAsia="新宋体"/>
          <w:color w:val="0F0F0F"/>
        </w:rPr>
        <w:t>工</w:t>
      </w:r>
      <w:r>
        <w:rPr>
          <w:rFonts w:ascii="新宋体" w:eastAsia="新宋体"/>
          <w:color w:val="0F0F0F"/>
        </w:rPr>
        <w:t>工艺，或施</w:t>
      </w:r>
      <w:r>
        <w:rPr>
          <w:rFonts w:hint="eastAsia" w:ascii="新宋体" w:eastAsia="新宋体"/>
          <w:color w:val="0F0F0F"/>
        </w:rPr>
        <w:t>工</w:t>
      </w:r>
      <w:r>
        <w:rPr>
          <w:rFonts w:ascii="新宋体" w:eastAsia="新宋体"/>
          <w:color w:val="0F0F0F"/>
        </w:rPr>
        <w:t>不当。造</w:t>
      </w:r>
      <w:r>
        <w:rPr>
          <w:rFonts w:hint="eastAsia" w:ascii="新宋体" w:eastAsia="新宋体"/>
          <w:color w:val="0F0F0F"/>
        </w:rPr>
        <w:t>成工程不合格的，监理人可以随时发出</w:t>
      </w:r>
      <w:r>
        <w:rPr>
          <w:rFonts w:ascii="新宋体" w:eastAsia="新宋体"/>
          <w:color w:val="0F0F0F"/>
        </w:rPr>
        <w:t>指示，要求承包人</w:t>
      </w:r>
      <w:r>
        <w:rPr>
          <w:rFonts w:hint="eastAsia" w:ascii="新宋体" w:eastAsia="新宋体"/>
          <w:color w:val="0F0F0F"/>
        </w:rPr>
        <w:t>立</w:t>
      </w:r>
      <w:r>
        <w:rPr>
          <w:rFonts w:ascii="新宋体" w:eastAsia="新宋体"/>
          <w:color w:val="0F0F0F"/>
        </w:rPr>
        <w:t>即采取措施进行替换、补救</w:t>
      </w:r>
      <w:r>
        <w:rPr>
          <w:rFonts w:hint="eastAsia" w:ascii="新宋体" w:eastAsia="新宋体"/>
          <w:color w:val="0F0F0F"/>
        </w:rPr>
        <w:t>或拆除重建，直至达到合同要求的质量标准，由此增加的费用和</w:t>
      </w:r>
      <w:r>
        <w:rPr>
          <w:rFonts w:ascii="新宋体" w:eastAsia="新宋体"/>
          <w:color w:val="0F0F0F"/>
        </w:rPr>
        <w:t>(或)工期延误</w:t>
      </w:r>
      <w:r>
        <w:rPr>
          <w:rFonts w:hint="eastAsia" w:ascii="新宋体" w:eastAsia="新宋体"/>
          <w:color w:val="0F0F0F"/>
        </w:rPr>
        <w:t>由</w:t>
      </w:r>
      <w:r>
        <w:rPr>
          <w:rFonts w:ascii="新宋体" w:eastAsia="新宋体"/>
          <w:color w:val="0F0F0F"/>
        </w:rPr>
        <w:t>承包人</w:t>
      </w:r>
      <w:r>
        <w:rPr>
          <w:rFonts w:hint="eastAsia" w:ascii="新宋体" w:eastAsia="新宋体"/>
          <w:color w:val="0F0F0F"/>
        </w:rPr>
        <w:t>承担。</w:t>
      </w:r>
    </w:p>
    <w:p w14:paraId="61F9BB17">
      <w:pPr>
        <w:ind w:firstLine="525" w:firstLineChars="250"/>
        <w:rPr>
          <w:rFonts w:ascii="新宋体" w:eastAsia="新宋体"/>
          <w:color w:val="0F0F0F"/>
        </w:rPr>
      </w:pPr>
      <w:r>
        <w:rPr>
          <w:rFonts w:ascii="新宋体" w:eastAsia="新宋体"/>
          <w:color w:val="0F0F0F"/>
        </w:rPr>
        <w:t>(2)如果承包人未在规定时</w:t>
      </w:r>
      <w:r>
        <w:rPr>
          <w:rFonts w:hint="eastAsia" w:ascii="新宋体" w:eastAsia="新宋体"/>
          <w:color w:val="0F0F0F"/>
        </w:rPr>
        <w:t>间</w:t>
      </w:r>
      <w:r>
        <w:rPr>
          <w:rFonts w:ascii="新宋体" w:eastAsia="新宋体"/>
          <w:color w:val="0F0F0F"/>
        </w:rPr>
        <w:t>内执</w:t>
      </w:r>
      <w:r>
        <w:rPr>
          <w:rFonts w:hint="eastAsia" w:ascii="新宋体" w:eastAsia="新宋体"/>
          <w:color w:val="0F0F0F"/>
        </w:rPr>
        <w:t>行监</w:t>
      </w:r>
      <w:r>
        <w:rPr>
          <w:rFonts w:ascii="新宋体" w:eastAsia="新宋体"/>
          <w:color w:val="0F0F0F"/>
        </w:rPr>
        <w:t>理</w:t>
      </w:r>
      <w:r>
        <w:rPr>
          <w:rFonts w:hint="eastAsia" w:ascii="新宋体" w:eastAsia="新宋体"/>
          <w:color w:val="0F0F0F"/>
        </w:rPr>
        <w:t>人</w:t>
      </w:r>
      <w:r>
        <w:rPr>
          <w:rFonts w:ascii="新宋体" w:eastAsia="新宋体"/>
          <w:color w:val="0F0F0F"/>
        </w:rPr>
        <w:t>的指示，发包人有权雇用他人执</w:t>
      </w:r>
      <w:r>
        <w:rPr>
          <w:rFonts w:hint="eastAsia" w:ascii="新宋体" w:eastAsia="新宋体"/>
          <w:color w:val="0F0F0F"/>
        </w:rPr>
        <w:t>行</w:t>
      </w:r>
      <w:r>
        <w:rPr>
          <w:rFonts w:ascii="新宋体" w:eastAsia="新宋体"/>
          <w:color w:val="0F0F0F"/>
        </w:rPr>
        <w:t>。由</w:t>
      </w:r>
      <w:r>
        <w:rPr>
          <w:rFonts w:hint="eastAsia" w:ascii="新宋体" w:eastAsia="新宋体"/>
          <w:color w:val="0F0F0F"/>
        </w:rPr>
        <w:t>此增加的费用和</w:t>
      </w:r>
      <w:r>
        <w:rPr>
          <w:rFonts w:ascii="新宋体" w:eastAsia="新宋体"/>
          <w:color w:val="0F0F0F"/>
        </w:rPr>
        <w:t>(或)工期延误由承包人承担。</w:t>
      </w:r>
    </w:p>
    <w:p w14:paraId="0C97F88B">
      <w:pPr>
        <w:spacing w:line="400" w:lineRule="exact"/>
        <w:rPr>
          <w:rFonts w:ascii="新宋体" w:eastAsia="新宋体"/>
          <w:color w:val="0F0F0F"/>
          <w:sz w:val="28"/>
          <w:szCs w:val="28"/>
        </w:rPr>
      </w:pPr>
      <w:r>
        <w:rPr>
          <w:rFonts w:ascii="新宋体" w:eastAsia="新宋体"/>
          <w:color w:val="0F0F0F"/>
          <w:sz w:val="28"/>
          <w:szCs w:val="28"/>
        </w:rPr>
        <w:t>14</w:t>
      </w:r>
      <w:r>
        <w:rPr>
          <w:rFonts w:hint="eastAsia" w:ascii="新宋体" w:eastAsia="新宋体"/>
          <w:color w:val="0F0F0F"/>
          <w:sz w:val="28"/>
          <w:szCs w:val="28"/>
        </w:rPr>
        <w:t>.</w:t>
      </w:r>
      <w:r>
        <w:rPr>
          <w:rFonts w:ascii="新宋体" w:eastAsia="新宋体"/>
          <w:color w:val="0F0F0F"/>
          <w:sz w:val="28"/>
          <w:szCs w:val="28"/>
        </w:rPr>
        <w:t>试验和检验</w:t>
      </w:r>
    </w:p>
    <w:p w14:paraId="3D5F4C11">
      <w:pPr>
        <w:ind w:firstLine="525" w:firstLineChars="250"/>
        <w:rPr>
          <w:rFonts w:ascii="新宋体" w:hAnsi="宋体" w:eastAsia="新宋体"/>
          <w:b/>
          <w:color w:val="0F0F0F"/>
          <w:sz w:val="24"/>
          <w:szCs w:val="32"/>
        </w:rPr>
      </w:pPr>
      <w:r>
        <w:rPr>
          <w:rFonts w:ascii="新宋体" w:eastAsia="新宋体"/>
          <w:color w:val="0F0F0F"/>
        </w:rPr>
        <w:t>补充第14</w:t>
      </w:r>
      <w:r>
        <w:rPr>
          <w:rFonts w:hint="eastAsia" w:ascii="新宋体" w:eastAsia="新宋体"/>
          <w:color w:val="0F0F0F"/>
        </w:rPr>
        <w:t>.</w:t>
      </w:r>
      <w:r>
        <w:rPr>
          <w:rFonts w:ascii="新宋体" w:eastAsia="新宋体"/>
          <w:color w:val="0F0F0F"/>
        </w:rPr>
        <w:t>4款：</w:t>
      </w:r>
    </w:p>
    <w:p w14:paraId="70AEF1C0">
      <w:pPr>
        <w:rPr>
          <w:rFonts w:ascii="新宋体" w:eastAsia="新宋体"/>
          <w:color w:val="0F0F0F"/>
          <w:sz w:val="24"/>
        </w:rPr>
      </w:pPr>
      <w:r>
        <w:rPr>
          <w:rFonts w:ascii="新宋体" w:eastAsia="新宋体"/>
          <w:color w:val="0F0F0F"/>
          <w:sz w:val="24"/>
        </w:rPr>
        <w:t>14</w:t>
      </w:r>
      <w:r>
        <w:rPr>
          <w:rFonts w:hint="eastAsia" w:ascii="新宋体" w:eastAsia="新宋体"/>
          <w:color w:val="0F0F0F"/>
          <w:sz w:val="24"/>
        </w:rPr>
        <w:t>.</w:t>
      </w:r>
      <w:r>
        <w:rPr>
          <w:rFonts w:ascii="新宋体" w:eastAsia="新宋体"/>
          <w:color w:val="0F0F0F"/>
          <w:sz w:val="24"/>
        </w:rPr>
        <w:t>4试验和检验费用</w:t>
      </w:r>
    </w:p>
    <w:p w14:paraId="189666FD">
      <w:pPr>
        <w:ind w:firstLine="525" w:firstLineChars="250"/>
        <w:rPr>
          <w:rFonts w:ascii="新宋体" w:eastAsia="新宋体"/>
          <w:color w:val="0F0F0F"/>
        </w:rPr>
      </w:pPr>
      <w:r>
        <w:rPr>
          <w:rFonts w:ascii="新宋体" w:eastAsia="新宋体"/>
          <w:color w:val="0F0F0F"/>
        </w:rPr>
        <w:t>(1)承包人</w:t>
      </w:r>
      <w:r>
        <w:rPr>
          <w:rFonts w:hint="eastAsia" w:ascii="新宋体" w:eastAsia="新宋体"/>
          <w:color w:val="0F0F0F"/>
        </w:rPr>
        <w:t>应</w:t>
      </w:r>
      <w:r>
        <w:rPr>
          <w:rFonts w:ascii="新宋体" w:eastAsia="新宋体"/>
          <w:color w:val="0F0F0F"/>
        </w:rPr>
        <w:t>负资提供合</w:t>
      </w:r>
      <w:r>
        <w:rPr>
          <w:rFonts w:hint="eastAsia" w:ascii="新宋体" w:eastAsia="新宋体"/>
          <w:color w:val="0F0F0F"/>
        </w:rPr>
        <w:t>同</w:t>
      </w:r>
      <w:r>
        <w:rPr>
          <w:rFonts w:ascii="新宋体" w:eastAsia="新宋体"/>
          <w:color w:val="0F0F0F"/>
        </w:rPr>
        <w:t>和技术规范规定的试验和检验所需的全部样品，并承</w:t>
      </w:r>
      <w:r>
        <w:rPr>
          <w:rFonts w:hint="eastAsia" w:ascii="新宋体" w:eastAsia="新宋体"/>
          <w:color w:val="0F0F0F"/>
        </w:rPr>
        <w:t>担其费用。</w:t>
      </w:r>
    </w:p>
    <w:p w14:paraId="796B24C7">
      <w:pPr>
        <w:ind w:firstLine="525" w:firstLineChars="250"/>
        <w:rPr>
          <w:rFonts w:ascii="新宋体" w:eastAsia="新宋体"/>
          <w:color w:val="0F0F0F"/>
        </w:rPr>
      </w:pPr>
      <w:r>
        <w:rPr>
          <w:rFonts w:ascii="新宋体" w:eastAsia="新宋体"/>
          <w:color w:val="0F0F0F"/>
        </w:rPr>
        <w:t>(2)在合</w:t>
      </w:r>
      <w:r>
        <w:rPr>
          <w:rFonts w:hint="eastAsia" w:ascii="新宋体" w:eastAsia="新宋体"/>
          <w:color w:val="0F0F0F"/>
        </w:rPr>
        <w:t>同</w:t>
      </w:r>
      <w:r>
        <w:rPr>
          <w:rFonts w:ascii="新宋体" w:eastAsia="新宋体"/>
          <w:color w:val="0F0F0F"/>
        </w:rPr>
        <w:t>中</w:t>
      </w:r>
      <w:r>
        <w:rPr>
          <w:rFonts w:hint="eastAsia" w:ascii="新宋体" w:eastAsia="新宋体"/>
          <w:color w:val="0F0F0F"/>
        </w:rPr>
        <w:t>明</w:t>
      </w:r>
      <w:r>
        <w:rPr>
          <w:rFonts w:ascii="新宋体" w:eastAsia="新宋体"/>
          <w:color w:val="0F0F0F"/>
        </w:rPr>
        <w:t>确规定的试验和检验，包括无须在工程</w:t>
      </w:r>
      <w:r>
        <w:rPr>
          <w:rFonts w:hint="eastAsia" w:ascii="新宋体" w:eastAsia="新宋体"/>
          <w:color w:val="0F0F0F"/>
        </w:rPr>
        <w:t>量</w:t>
      </w:r>
      <w:r>
        <w:rPr>
          <w:rFonts w:ascii="新宋体" w:eastAsia="新宋体"/>
          <w:color w:val="0F0F0F"/>
        </w:rPr>
        <w:t>清单中单独列项和已在工程量清单中单独列项的试验和检验，</w:t>
      </w:r>
      <w:r>
        <w:rPr>
          <w:rFonts w:hint="eastAsia" w:ascii="新宋体" w:eastAsia="新宋体"/>
          <w:color w:val="0F0F0F"/>
        </w:rPr>
        <w:t>其</w:t>
      </w:r>
      <w:r>
        <w:rPr>
          <w:rFonts w:ascii="新宋体" w:eastAsia="新宋体"/>
          <w:color w:val="0F0F0F"/>
        </w:rPr>
        <w:t>试验和检验的</w:t>
      </w:r>
      <w:r>
        <w:rPr>
          <w:rFonts w:hint="eastAsia" w:ascii="新宋体" w:eastAsia="新宋体"/>
          <w:color w:val="0F0F0F"/>
        </w:rPr>
        <w:t>费</w:t>
      </w:r>
      <w:r>
        <w:rPr>
          <w:rFonts w:ascii="新宋体" w:eastAsia="新宋体"/>
          <w:color w:val="0F0F0F"/>
        </w:rPr>
        <w:t>用由承包人负担。</w:t>
      </w:r>
    </w:p>
    <w:p w14:paraId="0E1DDB9B">
      <w:pPr>
        <w:ind w:firstLine="525" w:firstLineChars="250"/>
        <w:rPr>
          <w:rFonts w:ascii="新宋体" w:eastAsia="新宋体"/>
          <w:color w:val="0F0F0F"/>
        </w:rPr>
      </w:pPr>
      <w:r>
        <w:rPr>
          <w:rFonts w:ascii="新宋体" w:eastAsia="新宋体"/>
          <w:color w:val="0F0F0F"/>
        </w:rPr>
        <w:t>(3)如果监理人所要求</w:t>
      </w:r>
      <w:r>
        <w:rPr>
          <w:rFonts w:hint="eastAsia" w:ascii="新宋体" w:eastAsia="新宋体"/>
          <w:color w:val="0F0F0F"/>
        </w:rPr>
        <w:t>做</w:t>
      </w:r>
      <w:r>
        <w:rPr>
          <w:rFonts w:ascii="新宋体" w:eastAsia="新宋体"/>
          <w:color w:val="0F0F0F"/>
        </w:rPr>
        <w:t>的试验和检验为合</w:t>
      </w:r>
      <w:r>
        <w:rPr>
          <w:rFonts w:hint="eastAsia" w:ascii="新宋体" w:eastAsia="新宋体"/>
          <w:color w:val="0F0F0F"/>
        </w:rPr>
        <w:t>同</w:t>
      </w:r>
      <w:r>
        <w:rPr>
          <w:rFonts w:ascii="新宋体" w:eastAsia="新宋体"/>
          <w:color w:val="0F0F0F"/>
        </w:rPr>
        <w:t>末规定的或是在该材料或</w:t>
      </w:r>
      <w:r>
        <w:rPr>
          <w:rFonts w:hint="eastAsia" w:ascii="新宋体" w:eastAsia="新宋体"/>
          <w:color w:val="0F0F0F"/>
        </w:rPr>
        <w:t>工</w:t>
      </w:r>
      <w:r>
        <w:rPr>
          <w:rFonts w:ascii="新宋体" w:eastAsia="新宋体"/>
          <w:color w:val="0F0F0F"/>
        </w:rPr>
        <w:t>程设备的制造、</w:t>
      </w:r>
      <w:r>
        <w:rPr>
          <w:rFonts w:hint="eastAsia" w:ascii="新宋体" w:eastAsia="新宋体"/>
          <w:color w:val="0F0F0F"/>
        </w:rPr>
        <w:t>加工</w:t>
      </w:r>
      <w:r>
        <w:rPr>
          <w:rFonts w:ascii="新宋体" w:eastAsia="新宋体"/>
          <w:color w:val="0F0F0F"/>
        </w:rPr>
        <w:t>、制配场地以外的场所进</w:t>
      </w:r>
      <w:r>
        <w:rPr>
          <w:rFonts w:hint="eastAsia" w:ascii="新宋体" w:eastAsia="新宋体"/>
          <w:color w:val="0F0F0F"/>
        </w:rPr>
        <w:t>行</w:t>
      </w:r>
      <w:r>
        <w:rPr>
          <w:rFonts w:ascii="新宋体" w:eastAsia="新宋体"/>
          <w:color w:val="0F0F0F"/>
        </w:rPr>
        <w:t>的，则检验结</w:t>
      </w:r>
      <w:r>
        <w:rPr>
          <w:rFonts w:hint="eastAsia" w:ascii="新宋体" w:eastAsia="新宋体"/>
          <w:color w:val="0F0F0F"/>
        </w:rPr>
        <w:t>束后</w:t>
      </w:r>
      <w:r>
        <w:rPr>
          <w:rFonts w:ascii="新宋体" w:eastAsia="新宋体"/>
          <w:color w:val="0F0F0F"/>
        </w:rPr>
        <w:t>，如表明操作</w:t>
      </w:r>
      <w:r>
        <w:rPr>
          <w:rFonts w:hint="eastAsia" w:ascii="新宋体" w:eastAsia="新宋体"/>
          <w:color w:val="0F0F0F"/>
        </w:rPr>
        <w:t>工</w:t>
      </w:r>
      <w:r>
        <w:rPr>
          <w:rFonts w:ascii="新宋体" w:eastAsia="新宋体"/>
          <w:color w:val="0F0F0F"/>
        </w:rPr>
        <w:t>艺或材料、</w:t>
      </w:r>
      <w:r>
        <w:rPr>
          <w:rFonts w:hint="eastAsia" w:ascii="新宋体" w:eastAsia="新宋体"/>
          <w:color w:val="0F0F0F"/>
        </w:rPr>
        <w:t>工</w:t>
      </w:r>
      <w:r>
        <w:rPr>
          <w:rFonts w:ascii="新宋体" w:eastAsia="新宋体"/>
          <w:color w:val="0F0F0F"/>
        </w:rPr>
        <w:t>程设备未能符会合同规定，其费用应由承包人承担，否则，其</w:t>
      </w:r>
      <w:r>
        <w:rPr>
          <w:rFonts w:hint="eastAsia" w:ascii="新宋体" w:eastAsia="新宋体"/>
          <w:color w:val="0F0F0F"/>
        </w:rPr>
        <w:t>费用</w:t>
      </w:r>
      <w:r>
        <w:rPr>
          <w:rFonts w:ascii="新宋体" w:eastAsia="新宋体"/>
          <w:color w:val="0F0F0F"/>
        </w:rPr>
        <w:t>应由发包人承担。</w:t>
      </w:r>
    </w:p>
    <w:p w14:paraId="34FADA13">
      <w:pPr>
        <w:spacing w:line="400" w:lineRule="exact"/>
        <w:rPr>
          <w:rFonts w:ascii="新宋体" w:eastAsia="新宋体"/>
          <w:color w:val="0F0F0F"/>
          <w:sz w:val="28"/>
          <w:szCs w:val="28"/>
        </w:rPr>
      </w:pPr>
      <w:r>
        <w:rPr>
          <w:rFonts w:ascii="新宋体" w:eastAsia="新宋体"/>
          <w:color w:val="0F0F0F"/>
          <w:sz w:val="28"/>
          <w:szCs w:val="28"/>
        </w:rPr>
        <w:t>15</w:t>
      </w:r>
      <w:r>
        <w:rPr>
          <w:rFonts w:hint="eastAsia" w:ascii="新宋体" w:eastAsia="新宋体"/>
          <w:color w:val="0F0F0F"/>
          <w:sz w:val="28"/>
          <w:szCs w:val="28"/>
        </w:rPr>
        <w:t>.</w:t>
      </w:r>
      <w:r>
        <w:rPr>
          <w:rFonts w:ascii="新宋体" w:eastAsia="新宋体"/>
          <w:color w:val="0F0F0F"/>
          <w:sz w:val="28"/>
          <w:szCs w:val="28"/>
        </w:rPr>
        <w:t>变更</w:t>
      </w:r>
    </w:p>
    <w:p w14:paraId="6EA0C194">
      <w:pPr>
        <w:spacing w:line="400" w:lineRule="exact"/>
        <w:rPr>
          <w:rFonts w:ascii="新宋体" w:eastAsia="新宋体"/>
          <w:color w:val="0F0F0F"/>
          <w:sz w:val="28"/>
          <w:szCs w:val="28"/>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1变更的范围和内窖</w:t>
      </w:r>
    </w:p>
    <w:p w14:paraId="6ACF530E">
      <w:pPr>
        <w:ind w:firstLine="525" w:firstLineChars="250"/>
        <w:rPr>
          <w:rFonts w:ascii="新宋体" w:eastAsia="新宋体"/>
          <w:color w:val="0F0F0F"/>
        </w:rPr>
      </w:pPr>
      <w:r>
        <w:rPr>
          <w:rFonts w:ascii="新宋体" w:eastAsia="新宋体"/>
          <w:color w:val="0F0F0F"/>
        </w:rPr>
        <w:t>本</w:t>
      </w:r>
      <w:r>
        <w:rPr>
          <w:rFonts w:hint="eastAsia" w:ascii="新宋体" w:eastAsia="新宋体"/>
          <w:color w:val="0F0F0F"/>
        </w:rPr>
        <w:t>款</w:t>
      </w:r>
      <w:r>
        <w:rPr>
          <w:rFonts w:ascii="新宋体" w:eastAsia="新宋体"/>
          <w:color w:val="0F0F0F"/>
        </w:rPr>
        <w:t>第(1)项细化为：</w:t>
      </w:r>
    </w:p>
    <w:p w14:paraId="3CC93CEF">
      <w:pPr>
        <w:ind w:firstLine="525" w:firstLineChars="250"/>
        <w:rPr>
          <w:rFonts w:ascii="新宋体" w:eastAsia="新宋体"/>
          <w:color w:val="0F0F0F"/>
        </w:rPr>
      </w:pPr>
      <w:r>
        <w:rPr>
          <w:rFonts w:ascii="新宋体" w:eastAsia="新宋体"/>
          <w:color w:val="0F0F0F"/>
        </w:rPr>
        <w:t>(1)取消合同中任何一项</w:t>
      </w:r>
      <w:r>
        <w:rPr>
          <w:rFonts w:hint="eastAsia" w:ascii="新宋体" w:eastAsia="新宋体"/>
          <w:color w:val="0F0F0F"/>
        </w:rPr>
        <w:t>工</w:t>
      </w:r>
      <w:r>
        <w:rPr>
          <w:rFonts w:ascii="新宋体" w:eastAsia="新宋体"/>
          <w:color w:val="0F0F0F"/>
        </w:rPr>
        <w:t>作，但被取消的</w:t>
      </w:r>
      <w:r>
        <w:rPr>
          <w:rFonts w:hint="eastAsia" w:ascii="新宋体" w:eastAsia="新宋体"/>
          <w:color w:val="0F0F0F"/>
        </w:rPr>
        <w:t>工</w:t>
      </w:r>
      <w:r>
        <w:rPr>
          <w:rFonts w:ascii="新宋体" w:eastAsia="新宋体"/>
          <w:color w:val="0F0F0F"/>
        </w:rPr>
        <w:t>作不能转由发包人或其他人实</w:t>
      </w:r>
      <w:r>
        <w:rPr>
          <w:rFonts w:hint="eastAsia" w:ascii="新宋体" w:eastAsia="新宋体"/>
          <w:color w:val="0F0F0F"/>
        </w:rPr>
        <w:t>施</w:t>
      </w:r>
      <w:r>
        <w:rPr>
          <w:rFonts w:ascii="新宋体" w:eastAsia="新宋体"/>
          <w:color w:val="0F0F0F"/>
        </w:rPr>
        <w:t>，由</w:t>
      </w:r>
      <w:r>
        <w:rPr>
          <w:rFonts w:hint="eastAsia" w:ascii="新宋体" w:eastAsia="新宋体"/>
          <w:color w:val="0F0F0F"/>
        </w:rPr>
        <w:t>于</w:t>
      </w:r>
      <w:r>
        <w:rPr>
          <w:rFonts w:ascii="新宋体" w:eastAsia="新宋体"/>
          <w:color w:val="0F0F0F"/>
        </w:rPr>
        <w:t>承包人违约造成的情况除外；</w:t>
      </w:r>
    </w:p>
    <w:p w14:paraId="7E1B7BCC">
      <w:pPr>
        <w:rPr>
          <w:rFonts w:ascii="新宋体" w:hAnsi="宋体" w:eastAsia="新宋体"/>
          <w:b/>
          <w:color w:val="0F0F0F"/>
          <w:sz w:val="25"/>
          <w:szCs w:val="32"/>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 xml:space="preserve">3变更程序 </w:t>
      </w:r>
    </w:p>
    <w:p w14:paraId="33183D10">
      <w:pPr>
        <w:ind w:firstLine="525" w:firstLineChars="250"/>
        <w:rPr>
          <w:rFonts w:ascii="新宋体" w:eastAsia="新宋体"/>
          <w:color w:val="0F0F0F"/>
        </w:rPr>
      </w:pPr>
      <w:r>
        <w:rPr>
          <w:rFonts w:ascii="新宋体" w:eastAsia="新宋体"/>
          <w:color w:val="0F0F0F"/>
        </w:rPr>
        <w:t>本款补充第15</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4项：</w:t>
      </w:r>
    </w:p>
    <w:p w14:paraId="400E3970">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4设计变更程序应执行《公路工程设计变更管理办法》的相关规定。</w:t>
      </w:r>
    </w:p>
    <w:p w14:paraId="5D86FDAB">
      <w:pPr>
        <w:rPr>
          <w:rFonts w:ascii="新宋体" w:eastAsia="新宋体"/>
          <w:color w:val="0F0F0F"/>
          <w:sz w:val="24"/>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4变更的估价原则</w:t>
      </w:r>
    </w:p>
    <w:p w14:paraId="36B97660">
      <w:pPr>
        <w:ind w:firstLine="525" w:firstLineChars="250"/>
        <w:rPr>
          <w:rFonts w:ascii="新宋体" w:eastAsia="新宋体"/>
          <w:color w:val="0F0F0F"/>
        </w:rPr>
      </w:pPr>
      <w:r>
        <w:rPr>
          <w:rFonts w:ascii="新宋体" w:eastAsia="新宋体"/>
          <w:color w:val="0F0F0F"/>
        </w:rPr>
        <w:t>本款细化为：</w:t>
      </w:r>
    </w:p>
    <w:p w14:paraId="3CAA44D1">
      <w:pPr>
        <w:ind w:firstLine="525" w:firstLineChars="250"/>
        <w:rPr>
          <w:rFonts w:ascii="新宋体" w:eastAsia="新宋体"/>
          <w:color w:val="0F0F0F"/>
        </w:rPr>
      </w:pPr>
      <w:r>
        <w:rPr>
          <w:rFonts w:ascii="新宋体" w:eastAsia="新宋体"/>
          <w:color w:val="0F0F0F"/>
        </w:rPr>
        <w:t>除项目专用合同条款另有约定外，</w:t>
      </w:r>
      <w:r>
        <w:rPr>
          <w:rFonts w:hint="eastAsia" w:ascii="新宋体" w:eastAsia="新宋体"/>
          <w:color w:val="0F0F0F"/>
        </w:rPr>
        <w:t>因</w:t>
      </w:r>
      <w:r>
        <w:rPr>
          <w:rFonts w:ascii="新宋体" w:eastAsia="新宋体"/>
          <w:color w:val="0F0F0F"/>
        </w:rPr>
        <w:t>变更引起的价格调整按照本</w:t>
      </w:r>
      <w:r>
        <w:rPr>
          <w:rFonts w:hint="eastAsia" w:ascii="新宋体" w:eastAsia="新宋体"/>
          <w:color w:val="0F0F0F"/>
        </w:rPr>
        <w:t>款</w:t>
      </w:r>
      <w:r>
        <w:rPr>
          <w:rFonts w:ascii="新宋体" w:eastAsia="新宋体"/>
          <w:color w:val="0F0F0F"/>
        </w:rPr>
        <w:t>约定处</w:t>
      </w:r>
      <w:r>
        <w:rPr>
          <w:rFonts w:hint="eastAsia" w:ascii="新宋体" w:eastAsia="新宋体"/>
          <w:color w:val="0F0F0F"/>
        </w:rPr>
        <w:t>理</w:t>
      </w:r>
      <w:r>
        <w:rPr>
          <w:rFonts w:ascii="新宋体" w:eastAsia="新宋体"/>
          <w:color w:val="0F0F0F"/>
        </w:rPr>
        <w:t>。</w:t>
      </w:r>
    </w:p>
    <w:p w14:paraId="3ADCA6A0">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.1</w:t>
      </w:r>
      <w:r>
        <w:rPr>
          <w:rFonts w:ascii="新宋体" w:eastAsia="新宋体"/>
          <w:color w:val="0F0F0F"/>
        </w:rPr>
        <w:t>如果取消某项工作，则该项工作的总额价不予支付；</w:t>
      </w:r>
    </w:p>
    <w:p w14:paraId="79ED39A4">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2已标价工程</w:t>
      </w:r>
      <w:r>
        <w:rPr>
          <w:rFonts w:hint="eastAsia" w:ascii="新宋体" w:eastAsia="新宋体"/>
          <w:color w:val="0F0F0F"/>
        </w:rPr>
        <w:t>量</w:t>
      </w:r>
      <w:r>
        <w:rPr>
          <w:rFonts w:ascii="新宋体" w:eastAsia="新宋体"/>
          <w:color w:val="0F0F0F"/>
        </w:rPr>
        <w:t>清单中有适用</w:t>
      </w:r>
      <w:r>
        <w:rPr>
          <w:rFonts w:hint="eastAsia" w:ascii="新宋体" w:eastAsia="新宋体"/>
          <w:color w:val="0F0F0F"/>
        </w:rPr>
        <w:t>于</w:t>
      </w:r>
      <w:r>
        <w:rPr>
          <w:rFonts w:ascii="新宋体" w:eastAsia="新宋体"/>
          <w:color w:val="0F0F0F"/>
        </w:rPr>
        <w:t>变更工作</w:t>
      </w:r>
      <w:r>
        <w:rPr>
          <w:rFonts w:hint="eastAsia" w:ascii="新宋体" w:eastAsia="新宋体"/>
          <w:color w:val="0F0F0F"/>
        </w:rPr>
        <w:t>的子目的，采用该子目的单价。</w:t>
      </w:r>
    </w:p>
    <w:p w14:paraId="61AD1629">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3已标价工程</w:t>
      </w:r>
      <w:r>
        <w:rPr>
          <w:rFonts w:hint="eastAsia" w:ascii="新宋体" w:eastAsia="新宋体"/>
          <w:color w:val="0F0F0F"/>
        </w:rPr>
        <w:t>量</w:t>
      </w:r>
      <w:r>
        <w:rPr>
          <w:rFonts w:ascii="新宋体" w:eastAsia="新宋体"/>
          <w:color w:val="0F0F0F"/>
        </w:rPr>
        <w:t>清</w:t>
      </w:r>
      <w:r>
        <w:rPr>
          <w:rFonts w:hint="eastAsia" w:ascii="新宋体" w:eastAsia="新宋体"/>
          <w:color w:val="0F0F0F"/>
        </w:rPr>
        <w:t>单</w:t>
      </w:r>
      <w:r>
        <w:rPr>
          <w:rFonts w:ascii="新宋体" w:eastAsia="新宋体"/>
          <w:color w:val="0F0F0F"/>
        </w:rPr>
        <w:t>中</w:t>
      </w:r>
      <w:r>
        <w:rPr>
          <w:rFonts w:hint="eastAsia" w:ascii="新宋体" w:eastAsia="新宋体"/>
          <w:color w:val="0F0F0F"/>
        </w:rPr>
        <w:t>无</w:t>
      </w:r>
      <w:r>
        <w:rPr>
          <w:rFonts w:ascii="新宋体" w:eastAsia="新宋体"/>
          <w:color w:val="0F0F0F"/>
        </w:rPr>
        <w:t>适用于变更工作的子目，但有类似子目的，可在合</w:t>
      </w:r>
      <w:r>
        <w:rPr>
          <w:rFonts w:hint="eastAsia" w:ascii="新宋体" w:eastAsia="新宋体"/>
          <w:color w:val="0F0F0F"/>
        </w:rPr>
        <w:t>理范围内参照类似子目的单价，由监理人按第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5款商定或确定变更工作的单价。</w:t>
      </w:r>
    </w:p>
    <w:p w14:paraId="03D98473">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4已标价</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量</w:t>
      </w:r>
      <w:r>
        <w:rPr>
          <w:rFonts w:ascii="新宋体" w:eastAsia="新宋体"/>
          <w:color w:val="0F0F0F"/>
        </w:rPr>
        <w:t>清单中无适用或类似子目的单价，可在综合考虑承包人在</w:t>
      </w:r>
      <w:r>
        <w:rPr>
          <w:rFonts w:hint="eastAsia" w:ascii="新宋体" w:eastAsia="新宋体"/>
          <w:color w:val="0F0F0F"/>
        </w:rPr>
        <w:t>投标时所提供的单价分析表的基础上，由监理人按第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5款商定或确定变更工作的</w:t>
      </w:r>
      <w:r>
        <w:rPr>
          <w:rFonts w:hint="eastAsia" w:ascii="新宋体" w:eastAsia="新宋体"/>
          <w:color w:val="0F0F0F"/>
        </w:rPr>
        <w:t>单价。</w:t>
      </w:r>
    </w:p>
    <w:p w14:paraId="5BC80F3C">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5如果本工程的变更指示是因承包人过错、承包人违反</w:t>
      </w:r>
      <w:r>
        <w:rPr>
          <w:rFonts w:hint="eastAsia" w:ascii="新宋体" w:eastAsia="新宋体"/>
          <w:color w:val="0F0F0F"/>
        </w:rPr>
        <w:t>合</w:t>
      </w:r>
      <w:r>
        <w:rPr>
          <w:rFonts w:ascii="新宋体" w:eastAsia="新宋体"/>
          <w:color w:val="0F0F0F"/>
        </w:rPr>
        <w:t>同或承包人责任</w:t>
      </w:r>
      <w:r>
        <w:rPr>
          <w:rFonts w:hint="eastAsia" w:ascii="新宋体" w:eastAsia="新宋体"/>
          <w:color w:val="0F0F0F"/>
        </w:rPr>
        <w:t>造成的，则这种违约引起的任何额外费用应由承包人承担。</w:t>
      </w:r>
    </w:p>
    <w:p w14:paraId="1A9A3993">
      <w:pPr>
        <w:rPr>
          <w:rFonts w:ascii="新宋体" w:eastAsia="新宋体"/>
          <w:color w:val="0F0F0F"/>
          <w:sz w:val="24"/>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5</w:t>
      </w:r>
      <w:r>
        <w:rPr>
          <w:rFonts w:hint="eastAsia" w:ascii="新宋体" w:eastAsia="新宋体"/>
          <w:color w:val="0F0F0F"/>
          <w:sz w:val="24"/>
        </w:rPr>
        <w:t>承包人的合理化建议</w:t>
      </w:r>
    </w:p>
    <w:p w14:paraId="6E359A5F">
      <w:pPr>
        <w:ind w:firstLine="525" w:firstLineChars="250"/>
        <w:rPr>
          <w:rFonts w:ascii="新宋体" w:eastAsia="新宋体"/>
          <w:color w:val="0F0F0F"/>
          <w:sz w:val="24"/>
        </w:rPr>
      </w:pPr>
      <w:r>
        <w:rPr>
          <w:rFonts w:ascii="新宋体" w:eastAsia="新宋体"/>
          <w:color w:val="0F0F0F"/>
        </w:rPr>
        <w:t>第15</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2项约定为：</w:t>
      </w:r>
    </w:p>
    <w:p w14:paraId="49D3D8F3">
      <w:pPr>
        <w:ind w:firstLine="525" w:firstLineChars="250"/>
        <w:rPr>
          <w:rFonts w:ascii="新宋体" w:eastAsia="新宋体"/>
          <w:color w:val="0F0F0F"/>
          <w:sz w:val="24"/>
        </w:rPr>
      </w:pPr>
      <w:r>
        <w:rPr>
          <w:rFonts w:ascii="新宋体" w:eastAsia="新宋体"/>
          <w:color w:val="0F0F0F"/>
        </w:rPr>
        <w:t>承包人提出的合理化建议缩短了工期，发包人按第l 1</w:t>
      </w:r>
      <w:r>
        <w:rPr>
          <w:rFonts w:hint="eastAsia" w:ascii="新宋体" w:eastAsia="新宋体"/>
          <w:color w:val="0F0F0F"/>
        </w:rPr>
        <w:t>.</w:t>
      </w:r>
      <w:r>
        <w:rPr>
          <w:rFonts w:ascii="新宋体" w:eastAsia="新宋体"/>
          <w:color w:val="0F0F0F"/>
        </w:rPr>
        <w:t>6款的规定给予奖励。</w:t>
      </w:r>
    </w:p>
    <w:p w14:paraId="7F18A899">
      <w:pPr>
        <w:ind w:firstLine="525" w:firstLineChars="250"/>
        <w:rPr>
          <w:rFonts w:ascii="新宋体" w:eastAsia="新宋体"/>
          <w:color w:val="0F0F0F"/>
          <w:sz w:val="24"/>
        </w:rPr>
      </w:pPr>
      <w:r>
        <w:rPr>
          <w:rFonts w:ascii="新宋体" w:eastAsia="新宋体"/>
          <w:color w:val="0F0F0F"/>
        </w:rPr>
        <w:t>承包人提出的合理化建议降低了合同价格或者提高了工程经济效益的，发包人按</w:t>
      </w:r>
      <w:r>
        <w:rPr>
          <w:rFonts w:hint="eastAsia" w:ascii="新宋体" w:eastAsia="新宋体"/>
          <w:color w:val="0F0F0F"/>
        </w:rPr>
        <w:t>项目专用合同条款数据表中规定的金额给予奖励。</w:t>
      </w:r>
    </w:p>
    <w:p w14:paraId="5897ACEA">
      <w:pPr>
        <w:rPr>
          <w:rFonts w:ascii="新宋体" w:eastAsia="新宋体"/>
          <w:color w:val="0F0F0F"/>
          <w:sz w:val="24"/>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6暂列金额</w:t>
      </w:r>
    </w:p>
    <w:p w14:paraId="07618684">
      <w:pPr>
        <w:ind w:firstLine="525" w:firstLineChars="250"/>
        <w:rPr>
          <w:rFonts w:ascii="新宋体" w:eastAsia="新宋体"/>
          <w:color w:val="0F0F0F"/>
        </w:rPr>
      </w:pPr>
      <w:r>
        <w:rPr>
          <w:rFonts w:ascii="新宋体" w:eastAsia="新宋体"/>
          <w:color w:val="0F0F0F"/>
        </w:rPr>
        <w:t>本数</w:t>
      </w:r>
      <w:r>
        <w:rPr>
          <w:rFonts w:hint="eastAsia" w:ascii="新宋体" w:eastAsia="新宋体"/>
          <w:color w:val="0F0F0F"/>
        </w:rPr>
        <w:t>细</w:t>
      </w:r>
      <w:r>
        <w:rPr>
          <w:rFonts w:ascii="新宋体" w:eastAsia="新宋体"/>
          <w:color w:val="0F0F0F"/>
        </w:rPr>
        <w:t>化</w:t>
      </w:r>
      <w:r>
        <w:rPr>
          <w:rFonts w:hint="eastAsia" w:ascii="新宋体" w:eastAsia="新宋体"/>
          <w:color w:val="0F0F0F"/>
        </w:rPr>
        <w:t>为：</w:t>
      </w:r>
    </w:p>
    <w:p w14:paraId="74587C5C">
      <w:pPr>
        <w:ind w:firstLine="525" w:firstLineChars="250"/>
        <w:rPr>
          <w:rFonts w:ascii="新宋体" w:eastAsia="新宋体"/>
          <w:color w:val="0F0F0F"/>
        </w:rPr>
      </w:pPr>
      <w:r>
        <w:rPr>
          <w:rFonts w:ascii="新宋体" w:eastAsia="新宋体"/>
          <w:color w:val="0F0F0F"/>
        </w:rPr>
        <w:t>5</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1暂</w:t>
      </w:r>
      <w:r>
        <w:rPr>
          <w:rFonts w:hint="eastAsia" w:ascii="新宋体" w:eastAsia="新宋体"/>
          <w:color w:val="0F0F0F"/>
        </w:rPr>
        <w:t>列</w:t>
      </w:r>
      <w:r>
        <w:rPr>
          <w:rFonts w:ascii="新宋体" w:eastAsia="新宋体"/>
          <w:color w:val="0F0F0F"/>
        </w:rPr>
        <w:t>金额应</w:t>
      </w:r>
      <w:r>
        <w:rPr>
          <w:rFonts w:hint="eastAsia" w:ascii="新宋体" w:eastAsia="新宋体"/>
          <w:color w:val="0F0F0F"/>
        </w:rPr>
        <w:t>由</w:t>
      </w:r>
      <w:r>
        <w:rPr>
          <w:rFonts w:ascii="新宋体" w:eastAsia="新宋体"/>
          <w:color w:val="0F0F0F"/>
        </w:rPr>
        <w:t>监理人报发包人批准后指令全部或部分地使用，或者根本</w:t>
      </w:r>
      <w:r>
        <w:rPr>
          <w:rFonts w:hint="eastAsia" w:ascii="新宋体" w:eastAsia="新宋体"/>
          <w:color w:val="0F0F0F"/>
        </w:rPr>
        <w:t>不予动用。</w:t>
      </w:r>
    </w:p>
    <w:p w14:paraId="054C4BF6">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2对于经发包人批准的每一笔暂列金额，监理人有权向承包人发出实施工</w:t>
      </w:r>
      <w:r>
        <w:rPr>
          <w:rFonts w:hint="eastAsia" w:ascii="新宋体" w:eastAsia="新宋体"/>
          <w:color w:val="0F0F0F"/>
        </w:rPr>
        <w:t>程或提供材料、工程设备或服务的指令。这些指令应由承包人完成，监理人应根据第</w:t>
      </w:r>
      <w:r>
        <w:rPr>
          <w:rFonts w:ascii="新宋体" w:eastAsia="新宋体"/>
          <w:color w:val="0F0F0F"/>
        </w:rPr>
        <w:t>15</w:t>
      </w:r>
      <w:r>
        <w:rPr>
          <w:rFonts w:hint="eastAsia" w:ascii="新宋体" w:eastAsia="新宋体"/>
          <w:color w:val="0F0F0F"/>
        </w:rPr>
        <w:t>.</w:t>
      </w:r>
      <w:r>
        <w:rPr>
          <w:rFonts w:ascii="新宋体" w:eastAsia="新宋体"/>
          <w:color w:val="0F0F0F"/>
        </w:rPr>
        <w:t>4款约定的变更估价原</w:t>
      </w:r>
      <w:r>
        <w:rPr>
          <w:rFonts w:hint="eastAsia" w:ascii="新宋体" w:eastAsia="新宋体"/>
          <w:color w:val="0F0F0F"/>
        </w:rPr>
        <w:t>则</w:t>
      </w:r>
      <w:r>
        <w:rPr>
          <w:rFonts w:ascii="新宋体" w:eastAsia="新宋体"/>
          <w:color w:val="0F0F0F"/>
        </w:rPr>
        <w:t>和第15</w:t>
      </w:r>
      <w:r>
        <w:rPr>
          <w:rFonts w:hint="eastAsia" w:ascii="新宋体" w:eastAsia="新宋体"/>
          <w:color w:val="0F0F0F"/>
        </w:rPr>
        <w:t>.</w:t>
      </w:r>
      <w:r>
        <w:rPr>
          <w:rFonts w:ascii="新宋体" w:eastAsia="新宋体"/>
          <w:color w:val="0F0F0F"/>
        </w:rPr>
        <w:t>7款的规定，对</w:t>
      </w:r>
      <w:r>
        <w:rPr>
          <w:rFonts w:hint="eastAsia" w:ascii="新宋体" w:eastAsia="新宋体"/>
          <w:color w:val="0F0F0F"/>
        </w:rPr>
        <w:t>合同</w:t>
      </w:r>
      <w:r>
        <w:rPr>
          <w:rFonts w:ascii="新宋体" w:eastAsia="新宋体"/>
          <w:color w:val="0F0F0F"/>
        </w:rPr>
        <w:t>价格进行相应调整。</w:t>
      </w:r>
    </w:p>
    <w:p w14:paraId="66DD608C">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6</w:t>
      </w:r>
      <w:r>
        <w:rPr>
          <w:rFonts w:hint="eastAsia" w:ascii="新宋体" w:eastAsia="新宋体"/>
          <w:color w:val="0F0F0F"/>
        </w:rPr>
        <w:t>.3</w:t>
      </w:r>
      <w:r>
        <w:rPr>
          <w:rFonts w:ascii="新宋体" w:eastAsia="新宋体"/>
          <w:color w:val="0F0F0F"/>
        </w:rPr>
        <w:t>当监理人提出要求时，承包人应提供有关暂列金额支出的所有报份单、发</w:t>
      </w:r>
      <w:r>
        <w:rPr>
          <w:rFonts w:hint="eastAsia" w:ascii="新宋体" w:eastAsia="新宋体"/>
          <w:color w:val="0F0F0F"/>
        </w:rPr>
        <w:t>票、凭证和账单或收据，除非该工</w:t>
      </w:r>
      <w:r>
        <w:rPr>
          <w:rFonts w:ascii="新宋体" w:eastAsia="新宋体"/>
          <w:color w:val="0F0F0F"/>
        </w:rPr>
        <w:t>作是</w:t>
      </w:r>
      <w:r>
        <w:rPr>
          <w:rFonts w:hint="eastAsia" w:ascii="新宋体" w:eastAsia="新宋体"/>
          <w:color w:val="0F0F0F"/>
        </w:rPr>
        <w:t>根</w:t>
      </w:r>
      <w:r>
        <w:rPr>
          <w:rFonts w:ascii="新宋体" w:eastAsia="新宋体"/>
          <w:color w:val="0F0F0F"/>
        </w:rPr>
        <w:t>据已标价</w:t>
      </w:r>
      <w:r>
        <w:rPr>
          <w:rFonts w:hint="eastAsia" w:ascii="新宋体" w:eastAsia="新宋体"/>
          <w:color w:val="0F0F0F"/>
        </w:rPr>
        <w:t>工</w:t>
      </w:r>
      <w:r>
        <w:rPr>
          <w:rFonts w:ascii="新宋体" w:eastAsia="新宋体"/>
          <w:color w:val="0F0F0F"/>
        </w:rPr>
        <w:t>程量清单</w:t>
      </w:r>
      <w:r>
        <w:rPr>
          <w:rFonts w:hint="eastAsia" w:ascii="新宋体" w:eastAsia="新宋体"/>
          <w:color w:val="0F0F0F"/>
        </w:rPr>
        <w:t>列</w:t>
      </w:r>
      <w:r>
        <w:rPr>
          <w:rFonts w:ascii="新宋体" w:eastAsia="新宋体"/>
          <w:color w:val="0F0F0F"/>
        </w:rPr>
        <w:t>明的单价或总额价进行</w:t>
      </w:r>
      <w:r>
        <w:rPr>
          <w:rFonts w:hint="eastAsia" w:ascii="新宋体" w:eastAsia="新宋体"/>
          <w:color w:val="0F0F0F"/>
        </w:rPr>
        <w:t>的估价。</w:t>
      </w:r>
    </w:p>
    <w:p w14:paraId="7A3659D0">
      <w:pPr>
        <w:spacing w:line="400" w:lineRule="exact"/>
        <w:rPr>
          <w:rFonts w:ascii="新宋体" w:eastAsia="新宋体"/>
          <w:color w:val="0F0F0F"/>
          <w:sz w:val="28"/>
          <w:szCs w:val="28"/>
        </w:rPr>
      </w:pPr>
      <w:r>
        <w:rPr>
          <w:rFonts w:ascii="新宋体" w:eastAsia="新宋体"/>
          <w:color w:val="0F0F0F"/>
          <w:sz w:val="28"/>
          <w:szCs w:val="28"/>
        </w:rPr>
        <w:t>16</w:t>
      </w:r>
      <w:r>
        <w:rPr>
          <w:rFonts w:hint="eastAsia" w:ascii="新宋体" w:eastAsia="新宋体"/>
          <w:color w:val="0F0F0F"/>
          <w:sz w:val="28"/>
          <w:szCs w:val="28"/>
        </w:rPr>
        <w:t>.</w:t>
      </w:r>
      <w:r>
        <w:rPr>
          <w:rFonts w:ascii="新宋体" w:eastAsia="新宋体"/>
          <w:color w:val="0F0F0F"/>
          <w:sz w:val="28"/>
          <w:szCs w:val="28"/>
        </w:rPr>
        <w:t>价格调整</w:t>
      </w:r>
    </w:p>
    <w:p w14:paraId="29885058">
      <w:pPr>
        <w:rPr>
          <w:rFonts w:ascii="新宋体" w:hAnsi="宋体" w:eastAsia="新宋体"/>
          <w:b/>
          <w:color w:val="0F0F0F"/>
          <w:sz w:val="25"/>
          <w:szCs w:val="32"/>
        </w:rPr>
      </w:pPr>
      <w:r>
        <w:rPr>
          <w:rFonts w:ascii="新宋体" w:eastAsia="新宋体"/>
          <w:color w:val="0F0F0F"/>
          <w:sz w:val="24"/>
        </w:rPr>
        <w:t>16</w:t>
      </w:r>
      <w:r>
        <w:rPr>
          <w:rFonts w:hint="eastAsia" w:ascii="新宋体" w:eastAsia="新宋体"/>
          <w:color w:val="0F0F0F"/>
          <w:sz w:val="24"/>
        </w:rPr>
        <w:t>.</w:t>
      </w:r>
      <w:r>
        <w:rPr>
          <w:rFonts w:ascii="新宋体" w:eastAsia="新宋体"/>
          <w:color w:val="0F0F0F"/>
          <w:sz w:val="24"/>
        </w:rPr>
        <w:t>物价波动</w:t>
      </w:r>
      <w:r>
        <w:rPr>
          <w:rFonts w:hint="eastAsia" w:ascii="新宋体" w:eastAsia="新宋体"/>
          <w:color w:val="0F0F0F"/>
          <w:sz w:val="24"/>
        </w:rPr>
        <w:t>引</w:t>
      </w:r>
      <w:r>
        <w:rPr>
          <w:rFonts w:ascii="新宋体" w:eastAsia="新宋体"/>
          <w:color w:val="0F0F0F"/>
          <w:sz w:val="24"/>
        </w:rPr>
        <w:t>起的价格调整</w:t>
      </w:r>
    </w:p>
    <w:p w14:paraId="2407F544">
      <w:pPr>
        <w:ind w:firstLine="525" w:firstLineChars="250"/>
        <w:rPr>
          <w:rFonts w:ascii="新宋体" w:eastAsia="新宋体"/>
          <w:color w:val="0F0F0F"/>
        </w:rPr>
      </w:pPr>
      <w:r>
        <w:rPr>
          <w:rFonts w:ascii="新宋体" w:eastAsia="新宋体"/>
          <w:color w:val="0F0F0F"/>
        </w:rPr>
        <w:t>本款约定为：</w:t>
      </w:r>
    </w:p>
    <w:p w14:paraId="3BBD10D1">
      <w:pPr>
        <w:ind w:firstLine="525" w:firstLineChars="250"/>
        <w:rPr>
          <w:rFonts w:ascii="新宋体" w:eastAsia="新宋体"/>
          <w:color w:val="0F0F0F"/>
        </w:rPr>
      </w:pPr>
      <w:r>
        <w:rPr>
          <w:rFonts w:ascii="新宋体" w:eastAsia="新宋体"/>
          <w:color w:val="0F0F0F"/>
        </w:rPr>
        <w:t>(1)除项目专用合同条款另有约定外，因物价波动</w:t>
      </w:r>
      <w:r>
        <w:rPr>
          <w:rFonts w:hint="eastAsia" w:ascii="新宋体" w:eastAsia="新宋体"/>
          <w:color w:val="0F0F0F"/>
        </w:rPr>
        <w:t>引</w:t>
      </w:r>
      <w:r>
        <w:rPr>
          <w:rFonts w:ascii="新宋体" w:eastAsia="新宋体"/>
          <w:color w:val="0F0F0F"/>
        </w:rPr>
        <w:t>起的价格调整应按项目专用合</w:t>
      </w:r>
      <w:r>
        <w:rPr>
          <w:rFonts w:hint="eastAsia" w:ascii="新宋体" w:eastAsia="新宋体"/>
          <w:color w:val="0F0F0F"/>
        </w:rPr>
        <w:t>同条款数据表的规定，按照第</w:t>
      </w:r>
      <w:r>
        <w:rPr>
          <w:rFonts w:ascii="新宋体" w:eastAsia="新宋体"/>
          <w:color w:val="0F0F0F"/>
        </w:rPr>
        <w:t>16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1项或第1 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2项约定的原则处理；或</w:t>
      </w:r>
      <w:r>
        <w:rPr>
          <w:rFonts w:hint="eastAsia" w:ascii="新宋体" w:eastAsia="新宋体"/>
          <w:color w:val="0F0F0F"/>
        </w:rPr>
        <w:t>者</w:t>
      </w:r>
    </w:p>
    <w:p w14:paraId="01D2CDBD">
      <w:pPr>
        <w:ind w:firstLine="525" w:firstLineChars="250"/>
        <w:rPr>
          <w:rFonts w:ascii="新宋体" w:eastAsia="新宋体"/>
          <w:color w:val="0F0F0F"/>
        </w:rPr>
      </w:pPr>
      <w:r>
        <w:rPr>
          <w:rFonts w:ascii="新宋体" w:eastAsia="新宋体"/>
          <w:color w:val="0F0F0F"/>
        </w:rPr>
        <w:t>(2)在合同执行期</w:t>
      </w:r>
      <w:r>
        <w:rPr>
          <w:rFonts w:hint="eastAsia" w:ascii="新宋体" w:eastAsia="新宋体"/>
          <w:color w:val="0F0F0F"/>
        </w:rPr>
        <w:t>间</w:t>
      </w:r>
      <w:r>
        <w:rPr>
          <w:rFonts w:ascii="新宋体" w:eastAsia="新宋体"/>
          <w:color w:val="0F0F0F"/>
        </w:rPr>
        <w:t>(包括工期拖延期间)，由于人工、材料和设备价格的上涨而</w:t>
      </w:r>
      <w:r>
        <w:rPr>
          <w:rFonts w:hint="eastAsia" w:ascii="新宋体" w:eastAsia="新宋体"/>
          <w:color w:val="0F0F0F"/>
        </w:rPr>
        <w:t>引起工程施工成本增加的风险由承包人自行承担，合同价格不会因此而调整。</w:t>
      </w:r>
    </w:p>
    <w:p w14:paraId="2817E778">
      <w:pPr>
        <w:ind w:firstLine="525" w:firstLineChars="250"/>
        <w:rPr>
          <w:rFonts w:ascii="新宋体" w:eastAsia="新宋体"/>
          <w:color w:val="0F0F0F"/>
        </w:rPr>
      </w:pPr>
      <w:r>
        <w:rPr>
          <w:rFonts w:hint="eastAsia" w:ascii="新宋体" w:eastAsia="新宋体"/>
          <w:color w:val="0F0F0F"/>
        </w:rPr>
        <w:t>1</w:t>
      </w:r>
      <w:r>
        <w:rPr>
          <w:rFonts w:ascii="新宋体" w:eastAsia="新宋体"/>
          <w:color w:val="0F0F0F"/>
        </w:rPr>
        <w:t>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  采用价格指数调整价格差额</w:t>
      </w:r>
    </w:p>
    <w:p w14:paraId="2E131693">
      <w:pPr>
        <w:ind w:firstLine="525" w:firstLineChars="250"/>
        <w:rPr>
          <w:rFonts w:ascii="新宋体" w:eastAsia="新宋体"/>
          <w:color w:val="0F0F0F"/>
        </w:rPr>
      </w:pPr>
      <w:r>
        <w:rPr>
          <w:rFonts w:ascii="新宋体" w:eastAsia="新宋体"/>
          <w:color w:val="0F0F0F"/>
        </w:rPr>
        <w:t>16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1价格调</w:t>
      </w:r>
      <w:r>
        <w:rPr>
          <w:rFonts w:hint="eastAsia" w:ascii="新宋体" w:eastAsia="新宋体"/>
          <w:color w:val="0F0F0F"/>
        </w:rPr>
        <w:t>整</w:t>
      </w:r>
      <w:r>
        <w:rPr>
          <w:rFonts w:ascii="新宋体" w:eastAsia="新宋体"/>
          <w:color w:val="0F0F0F"/>
        </w:rPr>
        <w:t>公式</w:t>
      </w:r>
    </w:p>
    <w:p w14:paraId="7F944407">
      <w:pPr>
        <w:ind w:firstLine="525" w:firstLineChars="250"/>
        <w:rPr>
          <w:rFonts w:ascii="新宋体" w:eastAsia="新宋体"/>
          <w:color w:val="0F0F0F"/>
        </w:rPr>
      </w:pPr>
      <w:r>
        <w:rPr>
          <w:rFonts w:ascii="新宋体" w:eastAsia="新宋体"/>
          <w:color w:val="0F0F0F"/>
        </w:rPr>
        <w:t>价格调</w:t>
      </w:r>
      <w:r>
        <w:rPr>
          <w:rFonts w:hint="eastAsia" w:ascii="新宋体" w:eastAsia="新宋体"/>
          <w:color w:val="0F0F0F"/>
        </w:rPr>
        <w:t>整</w:t>
      </w:r>
      <w:r>
        <w:rPr>
          <w:rFonts w:ascii="新宋体" w:eastAsia="新宋体"/>
          <w:color w:val="0F0F0F"/>
        </w:rPr>
        <w:t>公式后</w:t>
      </w:r>
      <w:r>
        <w:rPr>
          <w:rFonts w:hint="eastAsia" w:ascii="新宋体" w:eastAsia="新宋体"/>
          <w:color w:val="0F0F0F"/>
        </w:rPr>
        <w:t>增加备注如下：</w:t>
      </w:r>
    </w:p>
    <w:p w14:paraId="642B40AC">
      <w:pPr>
        <w:ind w:firstLine="525" w:firstLineChars="250"/>
        <w:rPr>
          <w:rFonts w:ascii="新宋体" w:eastAsia="新宋体"/>
          <w:color w:val="0F0F0F"/>
        </w:rPr>
      </w:pPr>
      <w:r>
        <w:rPr>
          <w:rFonts w:ascii="新宋体" w:eastAsia="新宋体"/>
          <w:color w:val="0F0F0F"/>
        </w:rPr>
        <w:t>式中，A</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1</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2</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3</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n</w:t>
      </w:r>
      <w:r>
        <w:rPr>
          <w:rFonts w:ascii="新宋体" w:eastAsia="新宋体"/>
          <w:color w:val="0F0F0F"/>
        </w:rPr>
        <w:t>)。</w:t>
      </w:r>
    </w:p>
    <w:p w14:paraId="5F6C6B9B">
      <w:pPr>
        <w:ind w:firstLine="525" w:firstLineChars="250"/>
        <w:rPr>
          <w:rFonts w:ascii="新宋体" w:eastAsia="新宋体"/>
          <w:color w:val="0F0F0F"/>
        </w:rPr>
      </w:pPr>
      <w:r>
        <w:rPr>
          <w:rFonts w:ascii="新宋体" w:eastAsia="新宋体"/>
          <w:color w:val="0F0F0F"/>
        </w:rPr>
        <w:t>本目最后一段文字细化为：</w:t>
      </w:r>
    </w:p>
    <w:p w14:paraId="30FF780F">
      <w:pPr>
        <w:ind w:firstLine="525" w:firstLineChars="250"/>
        <w:rPr>
          <w:rFonts w:ascii="新宋体" w:eastAsia="新宋体"/>
          <w:color w:val="0F0F0F"/>
        </w:rPr>
      </w:pPr>
      <w:r>
        <w:rPr>
          <w:rFonts w:ascii="新宋体" w:eastAsia="新宋体"/>
          <w:color w:val="0F0F0F"/>
        </w:rPr>
        <w:t>在采用价格调整公式进行</w:t>
      </w:r>
      <w:r>
        <w:rPr>
          <w:rFonts w:hint="eastAsia" w:ascii="新宋体" w:eastAsia="新宋体"/>
          <w:color w:val="0F0F0F"/>
        </w:rPr>
        <w:t>调</w:t>
      </w:r>
      <w:r>
        <w:rPr>
          <w:rFonts w:ascii="新宋体" w:eastAsia="新宋体"/>
          <w:color w:val="0F0F0F"/>
        </w:rPr>
        <w:t>价时，还应遵守以下规定：</w:t>
      </w:r>
    </w:p>
    <w:p w14:paraId="49E51734">
      <w:pPr>
        <w:ind w:firstLine="525" w:firstLineChars="250"/>
        <w:rPr>
          <w:rFonts w:ascii="新宋体" w:eastAsia="新宋体"/>
          <w:color w:val="0F0F0F"/>
        </w:rPr>
      </w:pPr>
      <w:r>
        <w:rPr>
          <w:rFonts w:ascii="新宋体" w:eastAsia="新宋体"/>
          <w:color w:val="0F0F0F"/>
        </w:rPr>
        <w:t>(1)以上价格调</w:t>
      </w:r>
      <w:r>
        <w:rPr>
          <w:rFonts w:hint="eastAsia" w:ascii="新宋体" w:eastAsia="新宋体"/>
          <w:color w:val="0F0F0F"/>
        </w:rPr>
        <w:t>整</w:t>
      </w:r>
      <w:r>
        <w:rPr>
          <w:rFonts w:ascii="新宋体" w:eastAsia="新宋体"/>
          <w:color w:val="0F0F0F"/>
        </w:rPr>
        <w:t>公式中的各可调因予、定值权重，以及基本价格指数及其来源，由</w:t>
      </w:r>
      <w:r>
        <w:rPr>
          <w:rFonts w:hint="eastAsia" w:ascii="新宋体" w:eastAsia="新宋体"/>
          <w:color w:val="0F0F0F"/>
        </w:rPr>
        <w:t>发包人在投标函附录价格指数和权重表中约定。价格指数应首先采用国家或省、自治区、直辖市价格部门或统计部门提供的价格指数，缺乏上述价格指数时，可采用上述部门提供的价格代替。</w:t>
      </w:r>
    </w:p>
    <w:p w14:paraId="475811B6">
      <w:pPr>
        <w:ind w:firstLine="525" w:firstLineChars="250"/>
        <w:rPr>
          <w:rFonts w:ascii="新宋体" w:eastAsia="新宋体"/>
          <w:color w:val="0F0F0F"/>
        </w:rPr>
      </w:pPr>
      <w:r>
        <w:rPr>
          <w:rFonts w:ascii="新宋体" w:eastAsia="新宋体"/>
          <w:color w:val="0F0F0F"/>
        </w:rPr>
        <w:t>(2)价格调整公式中的变值权重，由发包人根据项目实际情况测算确定范</w:t>
      </w:r>
      <w:r>
        <w:rPr>
          <w:rFonts w:hint="eastAsia" w:ascii="新宋体" w:eastAsia="新宋体"/>
          <w:color w:val="0F0F0F"/>
        </w:rPr>
        <w:t>围</w:t>
      </w:r>
      <w:r>
        <w:rPr>
          <w:rFonts w:ascii="新宋体" w:eastAsia="新宋体"/>
          <w:color w:val="0F0F0F"/>
        </w:rPr>
        <w:t>，并</w:t>
      </w:r>
      <w:r>
        <w:rPr>
          <w:rFonts w:hint="eastAsia" w:ascii="新宋体" w:eastAsia="新宋体"/>
          <w:color w:val="0F0F0F"/>
        </w:rPr>
        <w:t>在投标函附录价格指数和权重表中约定范围；承包人在投标时在此范围内填写各可调因子的权重，合同实施期间将按此权重进行调价。</w:t>
      </w:r>
    </w:p>
    <w:p w14:paraId="26892073">
      <w:pPr>
        <w:spacing w:line="400" w:lineRule="exact"/>
        <w:rPr>
          <w:rFonts w:ascii="新宋体" w:eastAsia="新宋体"/>
          <w:color w:val="0F0F0F"/>
          <w:sz w:val="28"/>
          <w:szCs w:val="28"/>
        </w:rPr>
      </w:pPr>
      <w:r>
        <w:rPr>
          <w:rFonts w:ascii="新宋体" w:eastAsia="新宋体"/>
          <w:color w:val="0F0F0F"/>
          <w:sz w:val="28"/>
          <w:szCs w:val="28"/>
        </w:rPr>
        <w:t>17</w:t>
      </w:r>
      <w:r>
        <w:rPr>
          <w:rFonts w:hint="eastAsia" w:ascii="新宋体" w:eastAsia="新宋体"/>
          <w:color w:val="0F0F0F"/>
          <w:sz w:val="28"/>
          <w:szCs w:val="28"/>
        </w:rPr>
        <w:t>.</w:t>
      </w:r>
      <w:r>
        <w:rPr>
          <w:rFonts w:ascii="新宋体" w:eastAsia="新宋体"/>
          <w:color w:val="0F0F0F"/>
          <w:sz w:val="28"/>
          <w:szCs w:val="28"/>
        </w:rPr>
        <w:t>计量与支付</w:t>
      </w:r>
    </w:p>
    <w:p w14:paraId="45B17F34">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1计量</w:t>
      </w:r>
    </w:p>
    <w:p w14:paraId="5E73F1DF">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2计量方法</w:t>
      </w:r>
    </w:p>
    <w:p w14:paraId="76994AEE">
      <w:pPr>
        <w:ind w:firstLine="420" w:firstLineChars="200"/>
        <w:rPr>
          <w:rFonts w:ascii="新宋体" w:eastAsia="新宋体"/>
          <w:color w:val="0F0F0F"/>
        </w:rPr>
      </w:pPr>
      <w:r>
        <w:rPr>
          <w:rFonts w:ascii="新宋体" w:eastAsia="新宋体"/>
          <w:color w:val="0F0F0F"/>
        </w:rPr>
        <w:t>本项约定为：</w:t>
      </w:r>
    </w:p>
    <w:p w14:paraId="2AD00601">
      <w:pPr>
        <w:ind w:firstLine="420" w:firstLineChars="200"/>
        <w:rPr>
          <w:rFonts w:ascii="新宋体" w:eastAsia="新宋体"/>
          <w:color w:val="0F0F0F"/>
        </w:rPr>
      </w:pPr>
      <w:r>
        <w:rPr>
          <w:rFonts w:ascii="新宋体" w:eastAsia="新宋体"/>
          <w:color w:val="0F0F0F"/>
        </w:rPr>
        <w:t>工程的计量应以净值为准，除非项目专用合同条款另有约定。工</w:t>
      </w:r>
      <w:r>
        <w:rPr>
          <w:rFonts w:hint="eastAsia" w:ascii="新宋体" w:eastAsia="新宋体"/>
          <w:color w:val="0F0F0F"/>
        </w:rPr>
        <w:t>程</w:t>
      </w:r>
      <w:r>
        <w:rPr>
          <w:rFonts w:ascii="新宋体" w:eastAsia="新宋体"/>
          <w:color w:val="0F0F0F"/>
        </w:rPr>
        <w:t>量清单中各个</w:t>
      </w:r>
      <w:r>
        <w:rPr>
          <w:rFonts w:hint="eastAsia" w:ascii="新宋体" w:eastAsia="新宋体"/>
          <w:color w:val="0F0F0F"/>
        </w:rPr>
        <w:t>子目的具体计量方法按本合同文件技术规范中的规定执行。</w:t>
      </w:r>
    </w:p>
    <w:p w14:paraId="1126072F">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4单价子目的计</w:t>
      </w:r>
      <w:r>
        <w:rPr>
          <w:rFonts w:hint="eastAsia" w:ascii="新宋体" w:eastAsia="新宋体"/>
          <w:color w:val="0F0F0F"/>
        </w:rPr>
        <w:t>量</w:t>
      </w:r>
    </w:p>
    <w:p w14:paraId="20CF5265">
      <w:pPr>
        <w:ind w:firstLine="420" w:firstLineChars="200"/>
        <w:rPr>
          <w:rFonts w:ascii="新宋体" w:eastAsia="新宋体"/>
          <w:color w:val="0F0F0F"/>
        </w:rPr>
      </w:pPr>
      <w:r>
        <w:rPr>
          <w:rFonts w:ascii="新宋体" w:eastAsia="新宋体"/>
          <w:color w:val="0F0F0F"/>
        </w:rPr>
        <w:t>本项</w:t>
      </w:r>
      <w:r>
        <w:rPr>
          <w:rFonts w:hint="eastAsia" w:ascii="新宋体" w:eastAsia="新宋体"/>
          <w:color w:val="0F0F0F"/>
        </w:rPr>
        <w:t>补</w:t>
      </w:r>
      <w:r>
        <w:rPr>
          <w:rFonts w:ascii="新宋体" w:eastAsia="新宋体"/>
          <w:color w:val="0F0F0F"/>
        </w:rPr>
        <w:t>充：</w:t>
      </w:r>
    </w:p>
    <w:p w14:paraId="1A339C09">
      <w:pPr>
        <w:ind w:firstLine="420" w:firstLineChars="200"/>
        <w:rPr>
          <w:rFonts w:ascii="新宋体" w:eastAsia="新宋体"/>
          <w:color w:val="0F0F0F"/>
        </w:rPr>
      </w:pPr>
      <w:r>
        <w:rPr>
          <w:rFonts w:ascii="新宋体" w:eastAsia="新宋体"/>
          <w:color w:val="0F0F0F"/>
        </w:rPr>
        <w:t>(7)承包人</w:t>
      </w:r>
      <w:r>
        <w:rPr>
          <w:rFonts w:hint="eastAsia" w:ascii="新宋体" w:eastAsia="新宋体"/>
          <w:color w:val="0F0F0F"/>
        </w:rPr>
        <w:t>未</w:t>
      </w:r>
      <w:r>
        <w:rPr>
          <w:rFonts w:ascii="新宋体" w:eastAsia="新宋体"/>
          <w:color w:val="0F0F0F"/>
        </w:rPr>
        <w:t>在已标价</w:t>
      </w:r>
      <w:r>
        <w:rPr>
          <w:rFonts w:hint="eastAsia" w:ascii="新宋体" w:eastAsia="新宋体"/>
          <w:color w:val="0F0F0F"/>
        </w:rPr>
        <w:t>工</w:t>
      </w:r>
      <w:r>
        <w:rPr>
          <w:rFonts w:ascii="新宋体" w:eastAsia="新宋体"/>
          <w:color w:val="0F0F0F"/>
        </w:rPr>
        <w:t>程量清单中填入单价或总额价的工程</w:t>
      </w:r>
      <w:r>
        <w:rPr>
          <w:rFonts w:hint="eastAsia" w:ascii="新宋体" w:eastAsia="新宋体"/>
          <w:color w:val="0F0F0F"/>
        </w:rPr>
        <w:t>子</w:t>
      </w:r>
      <w:r>
        <w:rPr>
          <w:rFonts w:ascii="新宋体" w:eastAsia="新宋体"/>
          <w:color w:val="0F0F0F"/>
        </w:rPr>
        <w:t>目，将被认为其已</w:t>
      </w:r>
      <w:r>
        <w:rPr>
          <w:rFonts w:hint="eastAsia" w:ascii="新宋体" w:eastAsia="新宋体"/>
          <w:color w:val="0F0F0F"/>
        </w:rPr>
        <w:t>包含在本合同的其他子目的单价和总额价中，发包人将不另行支付。</w:t>
      </w:r>
    </w:p>
    <w:p w14:paraId="61287BA7">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2预付款</w:t>
      </w:r>
    </w:p>
    <w:p w14:paraId="4E404C1F">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1预付款</w:t>
      </w:r>
    </w:p>
    <w:p w14:paraId="745364C1">
      <w:pPr>
        <w:ind w:firstLine="420" w:firstLineChars="200"/>
        <w:rPr>
          <w:rFonts w:ascii="新宋体" w:eastAsia="新宋体"/>
          <w:color w:val="0F0F0F"/>
        </w:rPr>
      </w:pPr>
      <w:r>
        <w:rPr>
          <w:rFonts w:ascii="新宋体" w:eastAsia="新宋体"/>
          <w:color w:val="0F0F0F"/>
        </w:rPr>
        <w:t>本项约定为：</w:t>
      </w:r>
    </w:p>
    <w:p w14:paraId="01887E5B">
      <w:pPr>
        <w:ind w:firstLine="420" w:firstLineChars="200"/>
        <w:rPr>
          <w:rFonts w:ascii="新宋体" w:eastAsia="新宋体"/>
          <w:color w:val="0F0F0F"/>
        </w:rPr>
      </w:pPr>
      <w:r>
        <w:rPr>
          <w:rFonts w:hint="eastAsia" w:ascii="新宋体" w:eastAsia="新宋体"/>
          <w:color w:val="0F0F0F"/>
        </w:rPr>
        <w:t>预</w:t>
      </w:r>
      <w:r>
        <w:rPr>
          <w:rFonts w:ascii="新宋体" w:eastAsia="新宋体"/>
          <w:color w:val="0F0F0F"/>
        </w:rPr>
        <w:t>付款包括开工预付款和材料、设备预付款。具体额度和预付办法如下：</w:t>
      </w:r>
    </w:p>
    <w:p w14:paraId="010B7E66">
      <w:pPr>
        <w:ind w:firstLine="420" w:firstLineChars="200"/>
        <w:rPr>
          <w:rFonts w:ascii="新宋体" w:eastAsia="新宋体"/>
          <w:color w:val="0F0F0F"/>
        </w:rPr>
      </w:pPr>
      <w:r>
        <w:rPr>
          <w:rFonts w:ascii="新宋体" w:eastAsia="新宋体"/>
          <w:color w:val="0F0F0F"/>
        </w:rPr>
        <w:t>(1)开工预付款的</w:t>
      </w:r>
      <w:r>
        <w:rPr>
          <w:rFonts w:hint="eastAsia" w:ascii="新宋体" w:eastAsia="新宋体"/>
          <w:color w:val="0F0F0F"/>
        </w:rPr>
        <w:t>金额在项目专用合同条款数据表中约定。在承包人签订了</w:t>
      </w:r>
      <w:r>
        <w:rPr>
          <w:rFonts w:ascii="新宋体" w:eastAsia="新宋体"/>
          <w:color w:val="0F0F0F"/>
        </w:rPr>
        <w:t>合同</w:t>
      </w:r>
      <w:r>
        <w:rPr>
          <w:rFonts w:hint="eastAsia" w:ascii="新宋体" w:eastAsia="新宋体"/>
          <w:color w:val="0F0F0F"/>
        </w:rPr>
        <w:t>协议书并提交了开工</w:t>
      </w:r>
      <w:r>
        <w:rPr>
          <w:rFonts w:ascii="新宋体" w:eastAsia="新宋体"/>
          <w:color w:val="0F0F0F"/>
        </w:rPr>
        <w:t>预付款保函</w:t>
      </w:r>
      <w:r>
        <w:rPr>
          <w:rFonts w:hint="eastAsia" w:ascii="新宋体" w:eastAsia="新宋体"/>
          <w:color w:val="0F0F0F"/>
        </w:rPr>
        <w:t>后</w:t>
      </w:r>
      <w:r>
        <w:rPr>
          <w:rFonts w:ascii="新宋体" w:eastAsia="新宋体"/>
          <w:color w:val="0F0F0F"/>
        </w:rPr>
        <w:t>，监理人应在当期进度付款证书中向承包人支付开</w:t>
      </w:r>
      <w:r>
        <w:rPr>
          <w:rFonts w:hint="eastAsia" w:ascii="新宋体" w:eastAsia="新宋体"/>
          <w:color w:val="0F0F0F"/>
        </w:rPr>
        <w:t>工预付款的</w:t>
      </w:r>
      <w:r>
        <w:rPr>
          <w:rFonts w:ascii="新宋体" w:eastAsia="新宋体"/>
          <w:color w:val="0F0F0F"/>
        </w:rPr>
        <w:t>70％的价款；在承包人承诺</w:t>
      </w:r>
      <w:r>
        <w:rPr>
          <w:rFonts w:hint="eastAsia" w:ascii="新宋体" w:eastAsia="新宋体"/>
          <w:color w:val="0F0F0F"/>
        </w:rPr>
        <w:t>的</w:t>
      </w:r>
      <w:r>
        <w:rPr>
          <w:rFonts w:ascii="新宋体" w:eastAsia="新宋体"/>
          <w:color w:val="0F0F0F"/>
        </w:rPr>
        <w:t>主要设备进场</w:t>
      </w:r>
      <w:r>
        <w:rPr>
          <w:rFonts w:hint="eastAsia" w:ascii="新宋体" w:eastAsia="新宋体"/>
          <w:color w:val="0F0F0F"/>
        </w:rPr>
        <w:t>后</w:t>
      </w:r>
      <w:r>
        <w:rPr>
          <w:rFonts w:ascii="新宋体" w:eastAsia="新宋体"/>
          <w:color w:val="0F0F0F"/>
        </w:rPr>
        <w:t>，再支付预付款30％。</w:t>
      </w:r>
    </w:p>
    <w:p w14:paraId="4DEF0870">
      <w:pPr>
        <w:ind w:firstLine="420" w:firstLineChars="200"/>
        <w:rPr>
          <w:rFonts w:ascii="新宋体" w:eastAsia="新宋体"/>
          <w:color w:val="0F0F0F"/>
        </w:rPr>
      </w:pPr>
      <w:r>
        <w:rPr>
          <w:rFonts w:ascii="新宋体" w:eastAsia="新宋体"/>
          <w:color w:val="0F0F0F"/>
        </w:rPr>
        <w:t>承包人不得将该预付款用于与本工程无关的支出，监理人有权监督承包人对该项</w:t>
      </w:r>
      <w:r>
        <w:rPr>
          <w:rFonts w:hint="eastAsia" w:ascii="新宋体" w:eastAsia="新宋体"/>
          <w:color w:val="0F0F0F"/>
        </w:rPr>
        <w:t>费用的使用。如经查实承包人滥用开工</w:t>
      </w:r>
      <w:r>
        <w:rPr>
          <w:rFonts w:ascii="新宋体" w:eastAsia="新宋体"/>
          <w:color w:val="0F0F0F"/>
        </w:rPr>
        <w:t>预付款，发包人有权立即通过向银行发</w:t>
      </w:r>
      <w:r>
        <w:rPr>
          <w:rFonts w:hint="eastAsia" w:ascii="新宋体" w:eastAsia="新宋体"/>
          <w:color w:val="0F0F0F"/>
        </w:rPr>
        <w:t>出</w:t>
      </w:r>
      <w:r>
        <w:rPr>
          <w:rFonts w:ascii="新宋体" w:eastAsia="新宋体"/>
          <w:color w:val="0F0F0F"/>
        </w:rPr>
        <w:t>通知收</w:t>
      </w:r>
      <w:r>
        <w:rPr>
          <w:rFonts w:hint="eastAsia" w:ascii="新宋体" w:eastAsia="新宋体"/>
          <w:color w:val="0F0F0F"/>
        </w:rPr>
        <w:t>回开工预付款保函的方式，将该款收回。</w:t>
      </w:r>
    </w:p>
    <w:p w14:paraId="421742CB">
      <w:pPr>
        <w:ind w:firstLine="420" w:firstLineChars="200"/>
        <w:rPr>
          <w:rFonts w:ascii="新宋体" w:eastAsia="新宋体"/>
          <w:color w:val="0F0F0F"/>
        </w:rPr>
      </w:pPr>
      <w:r>
        <w:rPr>
          <w:rFonts w:ascii="新宋体" w:eastAsia="新宋体"/>
          <w:color w:val="0F0F0F"/>
        </w:rPr>
        <w:t>(2)材料、设备预付款按项目专用合同条款数据表中所列主要材料、设备单据费</w:t>
      </w:r>
      <w:r>
        <w:rPr>
          <w:rFonts w:hint="eastAsia" w:ascii="新宋体" w:eastAsia="新宋体"/>
          <w:color w:val="0F0F0F"/>
        </w:rPr>
        <w:t>用</w:t>
      </w:r>
      <w:r>
        <w:rPr>
          <w:rFonts w:ascii="新宋体" w:eastAsia="新宋体"/>
          <w:color w:val="0F0F0F"/>
        </w:rPr>
        <w:t>(进口的材料</w:t>
      </w:r>
      <w:r>
        <w:rPr>
          <w:rFonts w:hint="eastAsia" w:ascii="新宋体" w:eastAsia="新宋体"/>
          <w:color w:val="0F0F0F"/>
        </w:rPr>
        <w:t>、设备为到岸价，国内采购的为出厂价或销售价，地方材料为堆场价</w:t>
      </w:r>
      <w:r>
        <w:rPr>
          <w:rFonts w:ascii="新宋体" w:eastAsia="新宋体"/>
          <w:color w:val="0F0F0F"/>
        </w:rPr>
        <w:t>)</w:t>
      </w:r>
      <w:r>
        <w:rPr>
          <w:rFonts w:hint="eastAsia" w:ascii="新宋体" w:eastAsia="新宋体"/>
          <w:color w:val="0F0F0F"/>
        </w:rPr>
        <w:t>的百分比支付。其预付条件为：</w:t>
      </w:r>
    </w:p>
    <w:p w14:paraId="298545B7">
      <w:pPr>
        <w:ind w:firstLine="420" w:firstLineChars="200"/>
        <w:rPr>
          <w:rFonts w:ascii="新宋体" w:eastAsia="新宋体"/>
          <w:color w:val="0F0F0F"/>
        </w:rPr>
      </w:pPr>
      <w:r>
        <w:rPr>
          <w:rFonts w:ascii="新宋体" w:eastAsia="新宋体"/>
          <w:color w:val="0F0F0F"/>
        </w:rPr>
        <w:t>a．材料、设备符合规范要求并经监理人认可；</w:t>
      </w:r>
    </w:p>
    <w:p w14:paraId="23E39374">
      <w:pPr>
        <w:ind w:firstLine="420" w:firstLineChars="200"/>
        <w:rPr>
          <w:rFonts w:ascii="新宋体" w:eastAsia="新宋体"/>
          <w:color w:val="0F0F0F"/>
        </w:rPr>
      </w:pPr>
      <w:r>
        <w:rPr>
          <w:rFonts w:ascii="新宋体" w:eastAsia="新宋体"/>
          <w:color w:val="0F0F0F"/>
        </w:rPr>
        <w:t>b．承包人已出具材料、设备费用凭</w:t>
      </w:r>
      <w:r>
        <w:rPr>
          <w:rFonts w:hint="eastAsia" w:ascii="新宋体" w:eastAsia="新宋体"/>
          <w:color w:val="0F0F0F"/>
        </w:rPr>
        <w:t>证</w:t>
      </w:r>
      <w:r>
        <w:rPr>
          <w:rFonts w:ascii="新宋体" w:eastAsia="新宋体"/>
          <w:color w:val="0F0F0F"/>
        </w:rPr>
        <w:t>或支付单据；</w:t>
      </w:r>
    </w:p>
    <w:p w14:paraId="05975AD8">
      <w:pPr>
        <w:ind w:firstLine="420" w:firstLineChars="200"/>
        <w:rPr>
          <w:rFonts w:ascii="新宋体" w:eastAsia="新宋体"/>
          <w:color w:val="0F0F0F"/>
        </w:rPr>
      </w:pPr>
      <w:r>
        <w:rPr>
          <w:rFonts w:ascii="新宋体" w:eastAsia="新宋体"/>
          <w:color w:val="0F0F0F"/>
        </w:rPr>
        <w:t>c</w:t>
      </w:r>
      <w:r>
        <w:rPr>
          <w:rFonts w:hint="eastAsia" w:ascii="新宋体" w:eastAsia="新宋体"/>
          <w:color w:val="0F0F0F"/>
        </w:rPr>
        <w:t>．</w:t>
      </w:r>
      <w:r>
        <w:rPr>
          <w:rFonts w:ascii="新宋体" w:eastAsia="新宋体"/>
          <w:color w:val="0F0F0F"/>
        </w:rPr>
        <w:t>材料、设备已在现场交货，且存储良好，监理人认为材料、设备的存储方法符合</w:t>
      </w:r>
      <w:r>
        <w:rPr>
          <w:rFonts w:hint="eastAsia" w:ascii="新宋体" w:eastAsia="新宋体"/>
          <w:color w:val="0F0F0F"/>
        </w:rPr>
        <w:t>要求。</w:t>
      </w:r>
    </w:p>
    <w:p w14:paraId="0E5AC60E">
      <w:pPr>
        <w:ind w:firstLine="420" w:firstLineChars="200"/>
        <w:rPr>
          <w:rFonts w:ascii="新宋体" w:eastAsia="新宋体"/>
          <w:color w:val="0F0F0F"/>
        </w:rPr>
      </w:pPr>
      <w:r>
        <w:rPr>
          <w:rFonts w:ascii="新宋体" w:eastAsia="新宋体"/>
          <w:color w:val="0F0F0F"/>
        </w:rPr>
        <w:t>则监理人应将此项金额作为材料、设备预付款计入下一次的进度付款证书中。在</w:t>
      </w:r>
      <w:r>
        <w:rPr>
          <w:rFonts w:hint="eastAsia" w:ascii="新宋体" w:eastAsia="新宋体"/>
          <w:color w:val="0F0F0F"/>
        </w:rPr>
        <w:t>预计交工前</w:t>
      </w:r>
      <w:r>
        <w:rPr>
          <w:rFonts w:ascii="新宋体" w:eastAsia="新宋体"/>
          <w:color w:val="0F0F0F"/>
        </w:rPr>
        <w:t>3个月，将不再支付材料、设备预付款。</w:t>
      </w:r>
    </w:p>
    <w:p w14:paraId="1E420E22">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2预付款保</w:t>
      </w:r>
      <w:r>
        <w:rPr>
          <w:rFonts w:hint="eastAsia" w:ascii="新宋体" w:eastAsia="新宋体"/>
          <w:color w:val="0F0F0F"/>
        </w:rPr>
        <w:t>函</w:t>
      </w:r>
    </w:p>
    <w:p w14:paraId="11A8F639">
      <w:pPr>
        <w:ind w:firstLine="420" w:firstLineChars="200"/>
        <w:rPr>
          <w:rFonts w:ascii="新宋体" w:eastAsia="新宋体"/>
          <w:color w:val="0F0F0F"/>
        </w:rPr>
      </w:pPr>
      <w:r>
        <w:rPr>
          <w:rFonts w:ascii="新宋体" w:eastAsia="新宋体"/>
          <w:color w:val="0F0F0F"/>
        </w:rPr>
        <w:t>本项细化为：</w:t>
      </w:r>
    </w:p>
    <w:p w14:paraId="1971CC22">
      <w:pPr>
        <w:ind w:firstLine="420" w:firstLineChars="200"/>
        <w:rPr>
          <w:rFonts w:ascii="新宋体" w:eastAsia="新宋体"/>
          <w:color w:val="0F0F0F"/>
        </w:rPr>
      </w:pPr>
      <w:r>
        <w:rPr>
          <w:rFonts w:ascii="新宋体" w:eastAsia="新宋体"/>
          <w:color w:val="0F0F0F"/>
        </w:rPr>
        <w:t>除项目专用合同条款另有约定外，承包人</w:t>
      </w:r>
      <w:r>
        <w:rPr>
          <w:rFonts w:hint="eastAsia" w:ascii="新宋体" w:eastAsia="新宋体"/>
          <w:color w:val="0F0F0F"/>
        </w:rPr>
        <w:t>应在收到开工预付款前向发包人提交开工预付款保函，开工预付款保函的担保金额应与开工预付款金额相同。出具保函的银行须与第</w:t>
      </w:r>
      <w:r>
        <w:rPr>
          <w:rFonts w:ascii="新宋体" w:eastAsia="新宋体"/>
          <w:color w:val="0F0F0F"/>
        </w:rPr>
        <w:t>4</w:t>
      </w:r>
      <w:r>
        <w:rPr>
          <w:rFonts w:hint="eastAsia" w:ascii="新宋体" w:eastAsia="新宋体"/>
          <w:color w:val="0F0F0F"/>
        </w:rPr>
        <w:t>.</w:t>
      </w:r>
      <w:r>
        <w:rPr>
          <w:rFonts w:ascii="新宋体" w:eastAsia="新宋体"/>
          <w:color w:val="0F0F0F"/>
        </w:rPr>
        <w:t>2款的要求相同，所需费用由承包人承担。银行保函的</w:t>
      </w:r>
      <w:r>
        <w:rPr>
          <w:rFonts w:hint="eastAsia" w:ascii="新宋体" w:eastAsia="新宋体"/>
          <w:color w:val="0F0F0F"/>
        </w:rPr>
        <w:t>正</w:t>
      </w:r>
      <w:r>
        <w:rPr>
          <w:rFonts w:ascii="新宋体" w:eastAsia="新宋体"/>
          <w:color w:val="0F0F0F"/>
        </w:rPr>
        <w:t>本由发包人保存，</w:t>
      </w:r>
      <w:r>
        <w:rPr>
          <w:rFonts w:hint="eastAsia" w:ascii="新宋体" w:eastAsia="新宋体"/>
          <w:color w:val="0F0F0F"/>
        </w:rPr>
        <w:t>该保函在发包人将开工预付款全部扣回之前一直有效，担保金额可</w:t>
      </w:r>
      <w:r>
        <w:rPr>
          <w:rFonts w:ascii="新宋体" w:eastAsia="新宋体"/>
          <w:color w:val="0F0F0F"/>
        </w:rPr>
        <w:t>根据开</w:t>
      </w:r>
      <w:r>
        <w:rPr>
          <w:rFonts w:hint="eastAsia" w:ascii="新宋体" w:eastAsia="新宋体"/>
          <w:color w:val="0F0F0F"/>
        </w:rPr>
        <w:t>工</w:t>
      </w:r>
      <w:r>
        <w:rPr>
          <w:rFonts w:ascii="新宋体" w:eastAsia="新宋体"/>
          <w:color w:val="0F0F0F"/>
        </w:rPr>
        <w:t>预付款扣</w:t>
      </w:r>
      <w:r>
        <w:rPr>
          <w:rFonts w:hint="eastAsia" w:ascii="新宋体" w:eastAsia="新宋体"/>
          <w:color w:val="0F0F0F"/>
        </w:rPr>
        <w:t>回的金额相应递减。</w:t>
      </w:r>
    </w:p>
    <w:p w14:paraId="57B62470">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3预付款的扣</w:t>
      </w:r>
      <w:r>
        <w:rPr>
          <w:rFonts w:hint="eastAsia" w:ascii="新宋体" w:eastAsia="新宋体"/>
          <w:color w:val="0F0F0F"/>
        </w:rPr>
        <w:t>回与</w:t>
      </w:r>
      <w:r>
        <w:rPr>
          <w:rFonts w:ascii="新宋体" w:eastAsia="新宋体"/>
          <w:color w:val="0F0F0F"/>
        </w:rPr>
        <w:t>还清</w:t>
      </w:r>
    </w:p>
    <w:p w14:paraId="61B0E170">
      <w:pPr>
        <w:ind w:firstLine="420" w:firstLineChars="200"/>
        <w:rPr>
          <w:rFonts w:ascii="新宋体" w:eastAsia="新宋体"/>
          <w:color w:val="0F0F0F"/>
        </w:rPr>
      </w:pPr>
      <w:r>
        <w:rPr>
          <w:rFonts w:ascii="新宋体" w:eastAsia="新宋体"/>
          <w:color w:val="0F0F0F"/>
        </w:rPr>
        <w:t>本项约定为：</w:t>
      </w:r>
    </w:p>
    <w:p w14:paraId="2FCF4219">
      <w:pPr>
        <w:ind w:firstLine="420" w:firstLineChars="200"/>
        <w:rPr>
          <w:rFonts w:ascii="新宋体" w:eastAsia="新宋体"/>
          <w:color w:val="0F0F0F"/>
        </w:rPr>
      </w:pPr>
      <w:r>
        <w:rPr>
          <w:rFonts w:ascii="新宋体" w:eastAsia="新宋体"/>
          <w:color w:val="0F0F0F"/>
        </w:rPr>
        <w:t>(1)开工预付款在进度付款</w:t>
      </w:r>
      <w:r>
        <w:rPr>
          <w:rFonts w:hint="eastAsia" w:ascii="新宋体" w:eastAsia="新宋体"/>
          <w:color w:val="0F0F0F"/>
        </w:rPr>
        <w:t>证</w:t>
      </w:r>
      <w:r>
        <w:rPr>
          <w:rFonts w:ascii="新宋体" w:eastAsia="新宋体"/>
          <w:color w:val="0F0F0F"/>
        </w:rPr>
        <w:t>书的累计金额来达到签约合</w:t>
      </w:r>
      <w:r>
        <w:rPr>
          <w:rFonts w:hint="eastAsia" w:ascii="新宋体" w:eastAsia="新宋体"/>
          <w:color w:val="0F0F0F"/>
        </w:rPr>
        <w:t>同</w:t>
      </w:r>
      <w:r>
        <w:rPr>
          <w:rFonts w:ascii="新宋体" w:eastAsia="新宋体"/>
          <w:color w:val="0F0F0F"/>
        </w:rPr>
        <w:t>价的30％之前不予</w:t>
      </w:r>
      <w:r>
        <w:rPr>
          <w:rFonts w:hint="eastAsia" w:ascii="新宋体" w:eastAsia="新宋体"/>
          <w:color w:val="0F0F0F"/>
        </w:rPr>
        <w:t>扣回，在达到签约合同价</w:t>
      </w:r>
      <w:r>
        <w:rPr>
          <w:rFonts w:ascii="新宋体" w:eastAsia="新宋体"/>
          <w:color w:val="0F0F0F"/>
        </w:rPr>
        <w:t>30％之后，开始按工程进度以</w:t>
      </w:r>
      <w:r>
        <w:rPr>
          <w:rFonts w:hint="eastAsia" w:ascii="新宋体" w:eastAsia="新宋体"/>
          <w:color w:val="0F0F0F"/>
        </w:rPr>
        <w:t>固</w:t>
      </w:r>
      <w:r>
        <w:rPr>
          <w:rFonts w:ascii="新宋体" w:eastAsia="新宋体"/>
          <w:color w:val="0F0F0F"/>
        </w:rPr>
        <w:t>定比例(</w:t>
      </w:r>
      <w:r>
        <w:rPr>
          <w:rFonts w:hint="eastAsia" w:ascii="新宋体" w:eastAsia="新宋体"/>
          <w:color w:val="0F0F0F"/>
        </w:rPr>
        <w:t>即</w:t>
      </w:r>
      <w:r>
        <w:rPr>
          <w:rFonts w:ascii="新宋体" w:eastAsia="新宋体"/>
          <w:color w:val="0F0F0F"/>
        </w:rPr>
        <w:t>每完成签约合同</w:t>
      </w:r>
      <w:r>
        <w:rPr>
          <w:rFonts w:hint="eastAsia" w:ascii="新宋体" w:eastAsia="新宋体"/>
          <w:color w:val="0F0F0F"/>
        </w:rPr>
        <w:t>价的</w:t>
      </w:r>
      <w:r>
        <w:rPr>
          <w:rFonts w:ascii="新宋体" w:eastAsia="新宋体"/>
          <w:color w:val="0F0F0F"/>
        </w:rPr>
        <w:t>l％，扣回开工预付款的2％)分期从</w:t>
      </w:r>
      <w:r>
        <w:rPr>
          <w:rFonts w:hint="eastAsia" w:ascii="新宋体" w:eastAsia="新宋体"/>
          <w:color w:val="0F0F0F"/>
        </w:rPr>
        <w:t>各</w:t>
      </w:r>
      <w:r>
        <w:rPr>
          <w:rFonts w:ascii="新宋体" w:eastAsia="新宋体"/>
          <w:color w:val="0F0F0F"/>
        </w:rPr>
        <w:t>月的进度付款</w:t>
      </w:r>
      <w:r>
        <w:rPr>
          <w:rFonts w:hint="eastAsia" w:ascii="新宋体" w:eastAsia="新宋体"/>
          <w:color w:val="0F0F0F"/>
        </w:rPr>
        <w:t>证</w:t>
      </w:r>
      <w:r>
        <w:rPr>
          <w:rFonts w:ascii="新宋体" w:eastAsia="新宋体"/>
          <w:color w:val="0F0F0F"/>
        </w:rPr>
        <w:t>书中扣回，全部金额在进</w:t>
      </w:r>
      <w:r>
        <w:rPr>
          <w:rFonts w:hint="eastAsia" w:ascii="新宋体" w:eastAsia="新宋体"/>
          <w:color w:val="0F0F0F"/>
        </w:rPr>
        <w:t>度付款证书的累计金额达到签约合同价的</w:t>
      </w:r>
      <w:r>
        <w:rPr>
          <w:rFonts w:ascii="新宋体" w:eastAsia="新宋体"/>
          <w:color w:val="0F0F0F"/>
        </w:rPr>
        <w:t>80％时扣完。</w:t>
      </w:r>
    </w:p>
    <w:p w14:paraId="5B95BE83">
      <w:pPr>
        <w:ind w:firstLine="420" w:firstLineChars="200"/>
        <w:rPr>
          <w:rFonts w:ascii="新宋体" w:eastAsia="新宋体"/>
          <w:color w:val="0F0F0F"/>
        </w:rPr>
      </w:pPr>
      <w:r>
        <w:rPr>
          <w:rFonts w:ascii="新宋体" w:eastAsia="新宋体"/>
          <w:color w:val="0F0F0F"/>
        </w:rPr>
        <w:t>(2)当材料、设备也用于或安装在永久工</w:t>
      </w:r>
      <w:r>
        <w:rPr>
          <w:rFonts w:hint="eastAsia" w:ascii="新宋体" w:eastAsia="新宋体"/>
          <w:color w:val="0F0F0F"/>
        </w:rPr>
        <w:t>程</w:t>
      </w:r>
      <w:r>
        <w:rPr>
          <w:rFonts w:ascii="新宋体" w:eastAsia="新宋体"/>
          <w:color w:val="0F0F0F"/>
        </w:rPr>
        <w:t>之中时，材料、设备预付款应从进度付款</w:t>
      </w:r>
      <w:r>
        <w:rPr>
          <w:rFonts w:hint="eastAsia" w:ascii="新宋体" w:eastAsia="新宋体"/>
          <w:color w:val="0F0F0F"/>
        </w:rPr>
        <w:t>证书中扣回，扣回期不超过</w:t>
      </w:r>
      <w:r>
        <w:rPr>
          <w:rFonts w:ascii="新宋体" w:eastAsia="新宋体"/>
          <w:color w:val="0F0F0F"/>
        </w:rPr>
        <w:t>3个月。已经支付材料、设备预付款的材料、设备</w:t>
      </w:r>
      <w:r>
        <w:rPr>
          <w:rFonts w:hint="eastAsia" w:ascii="新宋体" w:eastAsia="新宋体"/>
          <w:color w:val="0F0F0F"/>
        </w:rPr>
        <w:t>的</w:t>
      </w:r>
      <w:r>
        <w:rPr>
          <w:rFonts w:ascii="新宋体" w:eastAsia="新宋体"/>
          <w:color w:val="0F0F0F"/>
        </w:rPr>
        <w:t>所有权应</w:t>
      </w:r>
      <w:r>
        <w:rPr>
          <w:rFonts w:hint="eastAsia" w:ascii="新宋体" w:eastAsia="新宋体"/>
          <w:color w:val="0F0F0F"/>
        </w:rPr>
        <w:t>属于发包人。</w:t>
      </w:r>
    </w:p>
    <w:p w14:paraId="072D6446">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3</w:t>
      </w:r>
      <w:r>
        <w:rPr>
          <w:rFonts w:hint="eastAsia" w:ascii="新宋体" w:eastAsia="新宋体"/>
          <w:color w:val="0F0F0F"/>
          <w:sz w:val="24"/>
        </w:rPr>
        <w:t>工</w:t>
      </w:r>
      <w:r>
        <w:rPr>
          <w:rFonts w:ascii="新宋体" w:eastAsia="新宋体"/>
          <w:color w:val="0F0F0F"/>
          <w:sz w:val="24"/>
        </w:rPr>
        <w:t>程进度付款</w:t>
      </w:r>
    </w:p>
    <w:p w14:paraId="5D724B76">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3进</w:t>
      </w:r>
      <w:r>
        <w:rPr>
          <w:rFonts w:hint="eastAsia" w:ascii="新宋体" w:eastAsia="新宋体"/>
          <w:color w:val="0F0F0F"/>
        </w:rPr>
        <w:t>度</w:t>
      </w:r>
      <w:r>
        <w:rPr>
          <w:rFonts w:ascii="新宋体" w:eastAsia="新宋体"/>
          <w:color w:val="0F0F0F"/>
        </w:rPr>
        <w:t>付款证书和支付时间</w:t>
      </w:r>
    </w:p>
    <w:p w14:paraId="1C8C75FA">
      <w:pPr>
        <w:ind w:firstLine="420" w:firstLineChars="200"/>
        <w:rPr>
          <w:rFonts w:ascii="新宋体" w:eastAsia="新宋体"/>
          <w:color w:val="0F0F0F"/>
        </w:rPr>
      </w:pPr>
      <w:r>
        <w:rPr>
          <w:rFonts w:ascii="新宋体" w:eastAsia="新宋体"/>
          <w:color w:val="0F0F0F"/>
        </w:rPr>
        <w:t>本项(1)</w:t>
      </w:r>
      <w:r>
        <w:rPr>
          <w:rFonts w:hint="eastAsia" w:ascii="新宋体" w:eastAsia="新宋体"/>
          <w:color w:val="0F0F0F"/>
        </w:rPr>
        <w:t>目补充</w:t>
      </w:r>
      <w:r>
        <w:rPr>
          <w:rFonts w:ascii="新宋体" w:eastAsia="新宋体"/>
          <w:color w:val="0F0F0F"/>
        </w:rPr>
        <w:t>：</w:t>
      </w:r>
    </w:p>
    <w:p w14:paraId="38E38B97">
      <w:pPr>
        <w:ind w:firstLine="420" w:firstLineChars="200"/>
        <w:rPr>
          <w:rFonts w:ascii="新宋体" w:eastAsia="新宋体"/>
          <w:color w:val="0F0F0F"/>
        </w:rPr>
      </w:pPr>
      <w:r>
        <w:rPr>
          <w:rFonts w:ascii="新宋体" w:eastAsia="新宋体"/>
          <w:color w:val="0F0F0F"/>
        </w:rPr>
        <w:t>如果该付款周期应结算的价款经</w:t>
      </w:r>
      <w:r>
        <w:rPr>
          <w:rFonts w:hint="eastAsia" w:ascii="新宋体" w:eastAsia="新宋体"/>
          <w:color w:val="0F0F0F"/>
        </w:rPr>
        <w:t>扣留</w:t>
      </w:r>
      <w:r>
        <w:rPr>
          <w:rFonts w:ascii="新宋体" w:eastAsia="新宋体"/>
          <w:color w:val="0F0F0F"/>
        </w:rPr>
        <w:t>和扣</w:t>
      </w:r>
      <w:r>
        <w:rPr>
          <w:rFonts w:hint="eastAsia" w:ascii="新宋体" w:eastAsia="新宋体"/>
          <w:color w:val="0F0F0F"/>
        </w:rPr>
        <w:t>回</w:t>
      </w:r>
      <w:r>
        <w:rPr>
          <w:rFonts w:ascii="新宋体" w:eastAsia="新宋体"/>
          <w:color w:val="0F0F0F"/>
        </w:rPr>
        <w:t>质的款额少</w:t>
      </w:r>
      <w:r>
        <w:rPr>
          <w:rFonts w:hint="eastAsia" w:ascii="新宋体" w:eastAsia="新宋体"/>
          <w:color w:val="0F0F0F"/>
        </w:rPr>
        <w:t>于</w:t>
      </w:r>
      <w:r>
        <w:rPr>
          <w:rFonts w:ascii="新宋体" w:eastAsia="新宋体"/>
          <w:color w:val="0F0F0F"/>
        </w:rPr>
        <w:t>项目专</w:t>
      </w:r>
      <w:r>
        <w:rPr>
          <w:rFonts w:hint="eastAsia" w:ascii="新宋体" w:eastAsia="新宋体"/>
          <w:color w:val="0F0F0F"/>
        </w:rPr>
        <w:t>用</w:t>
      </w:r>
      <w:r>
        <w:rPr>
          <w:rFonts w:ascii="新宋体" w:eastAsia="新宋体"/>
          <w:color w:val="0F0F0F"/>
        </w:rPr>
        <w:t>合同条款数据</w:t>
      </w:r>
      <w:r>
        <w:rPr>
          <w:rFonts w:hint="eastAsia" w:ascii="新宋体" w:eastAsia="新宋体"/>
          <w:color w:val="0F0F0F"/>
        </w:rPr>
        <w:t>表中列明的进度付款证书的最低金额，则该付款周期监理人可不核证支付，上述款额将按付款周期结转，直至累计应支付的款额达到项目专用合同条款数据表中列明的进度付款证书的最低金额为止。</w:t>
      </w:r>
    </w:p>
    <w:p w14:paraId="7D047ADF">
      <w:pPr>
        <w:ind w:firstLine="420" w:firstLineChars="200"/>
        <w:rPr>
          <w:rFonts w:ascii="新宋体" w:eastAsia="新宋体"/>
          <w:color w:val="0F0F0F"/>
        </w:rPr>
      </w:pPr>
      <w:r>
        <w:rPr>
          <w:rFonts w:ascii="新宋体" w:eastAsia="新宋体"/>
          <w:color w:val="0F0F0F"/>
        </w:rPr>
        <w:t>本项(2)</w:t>
      </w:r>
      <w:r>
        <w:rPr>
          <w:rFonts w:hint="eastAsia" w:ascii="新宋体" w:eastAsia="新宋体"/>
          <w:color w:val="0F0F0F"/>
        </w:rPr>
        <w:t>目</w:t>
      </w:r>
      <w:r>
        <w:rPr>
          <w:rFonts w:ascii="新宋体" w:eastAsia="新宋体"/>
          <w:color w:val="0F0F0F"/>
        </w:rPr>
        <w:t>约定为：</w:t>
      </w:r>
    </w:p>
    <w:p w14:paraId="11CAA2B1">
      <w:pPr>
        <w:ind w:firstLine="420" w:firstLineChars="200"/>
        <w:rPr>
          <w:rFonts w:ascii="新宋体" w:eastAsia="新宋体"/>
          <w:color w:val="0F0F0F"/>
        </w:rPr>
      </w:pPr>
      <w:r>
        <w:rPr>
          <w:rFonts w:ascii="新宋体" w:eastAsia="新宋体"/>
          <w:color w:val="0F0F0F"/>
        </w:rPr>
        <w:t>发包人不按期支付的，按项目专用合同条款数据表中约定的</w:t>
      </w:r>
      <w:r>
        <w:rPr>
          <w:rFonts w:hint="eastAsia" w:ascii="新宋体" w:eastAsia="新宋体"/>
          <w:color w:val="0F0F0F"/>
        </w:rPr>
        <w:t>利</w:t>
      </w:r>
      <w:r>
        <w:rPr>
          <w:rFonts w:ascii="新宋体" w:eastAsia="新宋体"/>
          <w:color w:val="0F0F0F"/>
        </w:rPr>
        <w:t>率向承包人支付逾</w:t>
      </w:r>
      <w:r>
        <w:rPr>
          <w:rFonts w:hint="eastAsia" w:ascii="新宋体" w:eastAsia="新宋体"/>
          <w:color w:val="0F0F0F"/>
        </w:rPr>
        <w:t>期付款违约金。违约金计算基数为发包人的全部未付款额，时间从应付而未付该款额之日算起</w:t>
      </w:r>
      <w:r>
        <w:rPr>
          <w:rFonts w:ascii="新宋体" w:eastAsia="新宋体"/>
          <w:color w:val="0F0F0F"/>
        </w:rPr>
        <w:t>(不计复利)。</w:t>
      </w:r>
    </w:p>
    <w:p w14:paraId="45686850">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4质量保证金</w:t>
      </w:r>
    </w:p>
    <w:p w14:paraId="50B5044E">
      <w:pPr>
        <w:ind w:firstLine="420" w:firstLineChars="200"/>
        <w:rPr>
          <w:rFonts w:ascii="新宋体" w:eastAsia="新宋体"/>
          <w:color w:val="0F0F0F"/>
        </w:rPr>
      </w:pPr>
      <w:r>
        <w:rPr>
          <w:rFonts w:ascii="新宋体" w:eastAsia="新宋体"/>
          <w:color w:val="0F0F0F"/>
        </w:rPr>
        <w:t>第17</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1项细化为：</w:t>
      </w:r>
    </w:p>
    <w:p w14:paraId="127E0BFA">
      <w:pPr>
        <w:ind w:firstLine="420" w:firstLineChars="200"/>
        <w:rPr>
          <w:rFonts w:ascii="新宋体" w:eastAsia="新宋体"/>
          <w:color w:val="0F0F0F"/>
        </w:rPr>
      </w:pPr>
      <w:r>
        <w:rPr>
          <w:rFonts w:ascii="新宋体" w:eastAsia="新宋体"/>
          <w:color w:val="0F0F0F"/>
        </w:rPr>
        <w:t>监理人应从第一个付款周期</w:t>
      </w:r>
      <w:r>
        <w:rPr>
          <w:rFonts w:hint="eastAsia" w:ascii="新宋体" w:eastAsia="新宋体"/>
          <w:color w:val="0F0F0F"/>
        </w:rPr>
        <w:t>开</w:t>
      </w:r>
      <w:r>
        <w:rPr>
          <w:rFonts w:ascii="新宋体" w:eastAsia="新宋体"/>
          <w:color w:val="0F0F0F"/>
        </w:rPr>
        <w:t>始，在发包人的进度付款中，按项</w:t>
      </w:r>
      <w:r>
        <w:rPr>
          <w:rFonts w:hint="eastAsia" w:ascii="新宋体" w:eastAsia="新宋体"/>
          <w:color w:val="0F0F0F"/>
        </w:rPr>
        <w:t>目</w:t>
      </w:r>
      <w:r>
        <w:rPr>
          <w:rFonts w:ascii="新宋体" w:eastAsia="新宋体"/>
          <w:color w:val="0F0F0F"/>
        </w:rPr>
        <w:t>专用合同条款数</w:t>
      </w:r>
      <w:r>
        <w:rPr>
          <w:rFonts w:hint="eastAsia" w:ascii="新宋体" w:eastAsia="新宋体"/>
          <w:color w:val="0F0F0F"/>
        </w:rPr>
        <w:t>据表规定的百分比扣留质量保证金，直至扣留的质量保证金总额达到项目专用合同条款数据表规定的限额为止。质量保证金的计算额度不包括预付</w:t>
      </w:r>
      <w:r>
        <w:rPr>
          <w:rFonts w:ascii="新宋体" w:eastAsia="新宋体"/>
          <w:color w:val="0F0F0F"/>
        </w:rPr>
        <w:t>款的支付以及扣</w:t>
      </w:r>
      <w:r>
        <w:rPr>
          <w:rFonts w:hint="eastAsia" w:ascii="新宋体" w:eastAsia="新宋体"/>
          <w:color w:val="0F0F0F"/>
        </w:rPr>
        <w:t>回</w:t>
      </w:r>
      <w:r>
        <w:rPr>
          <w:rFonts w:ascii="新宋体" w:eastAsia="新宋体"/>
          <w:color w:val="0F0F0F"/>
        </w:rPr>
        <w:t>的金额。</w:t>
      </w:r>
    </w:p>
    <w:p w14:paraId="343B47A5">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5交工结算</w:t>
      </w:r>
    </w:p>
    <w:p w14:paraId="68279641">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1交工付款申请单</w:t>
      </w:r>
    </w:p>
    <w:p w14:paraId="4DAC0288">
      <w:pPr>
        <w:ind w:firstLine="420" w:firstLineChars="200"/>
        <w:rPr>
          <w:rFonts w:ascii="新宋体" w:eastAsia="新宋体"/>
          <w:color w:val="0F0F0F"/>
        </w:rPr>
      </w:pPr>
      <w:r>
        <w:rPr>
          <w:rFonts w:ascii="新宋体" w:eastAsia="新宋体"/>
          <w:color w:val="0F0F0F"/>
        </w:rPr>
        <w:t>本项(</w:t>
      </w:r>
      <w:r>
        <w:rPr>
          <w:rFonts w:hint="eastAsia" w:ascii="新宋体" w:eastAsia="新宋体"/>
          <w:color w:val="0F0F0F"/>
        </w:rPr>
        <w:t>1</w:t>
      </w:r>
      <w:r>
        <w:rPr>
          <w:rFonts w:ascii="新宋体" w:eastAsia="新宋体"/>
          <w:color w:val="0F0F0F"/>
        </w:rPr>
        <w:t>)</w:t>
      </w:r>
      <w:r>
        <w:rPr>
          <w:rFonts w:hint="eastAsia" w:ascii="新宋体" w:eastAsia="新宋体"/>
          <w:color w:val="0F0F0F"/>
        </w:rPr>
        <w:t>目</w:t>
      </w:r>
      <w:r>
        <w:rPr>
          <w:rFonts w:ascii="新宋体" w:eastAsia="新宋体"/>
          <w:color w:val="0F0F0F"/>
        </w:rPr>
        <w:t>约定为：</w:t>
      </w:r>
    </w:p>
    <w:p w14:paraId="6E6003D9">
      <w:pPr>
        <w:ind w:firstLine="420" w:firstLineChars="200"/>
        <w:rPr>
          <w:rFonts w:ascii="新宋体" w:eastAsia="新宋体"/>
          <w:color w:val="0F0F0F"/>
        </w:rPr>
      </w:pPr>
      <w:r>
        <w:rPr>
          <w:rFonts w:ascii="新宋体" w:eastAsia="新宋体"/>
          <w:color w:val="0F0F0F"/>
        </w:rPr>
        <w:t>承包人向监理</w:t>
      </w:r>
      <w:r>
        <w:rPr>
          <w:rFonts w:hint="eastAsia" w:ascii="新宋体" w:eastAsia="新宋体"/>
          <w:color w:val="0F0F0F"/>
        </w:rPr>
        <w:t>人</w:t>
      </w:r>
      <w:r>
        <w:rPr>
          <w:rFonts w:ascii="新宋体" w:eastAsia="新宋体"/>
          <w:color w:val="0F0F0F"/>
        </w:rPr>
        <w:t>提交交工付款申请单(包括相关证明材料)的份数在项</w:t>
      </w:r>
      <w:r>
        <w:rPr>
          <w:rFonts w:hint="eastAsia" w:ascii="新宋体" w:eastAsia="新宋体"/>
          <w:color w:val="0F0F0F"/>
        </w:rPr>
        <w:t>目</w:t>
      </w:r>
      <w:r>
        <w:rPr>
          <w:rFonts w:ascii="新宋体" w:eastAsia="新宋体"/>
          <w:color w:val="0F0F0F"/>
        </w:rPr>
        <w:t>专用合同</w:t>
      </w:r>
      <w:r>
        <w:rPr>
          <w:rFonts w:hint="eastAsia" w:ascii="新宋体" w:eastAsia="新宋体"/>
          <w:color w:val="0F0F0F"/>
        </w:rPr>
        <w:t>条款数据表中约定；期限：交工验收证书签发后</w:t>
      </w:r>
      <w:r>
        <w:rPr>
          <w:rFonts w:ascii="新宋体" w:eastAsia="新宋体"/>
          <w:color w:val="0F0F0F"/>
        </w:rPr>
        <w:t>42天内。</w:t>
      </w:r>
    </w:p>
    <w:p w14:paraId="78DFE760">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6最终结清</w:t>
      </w:r>
    </w:p>
    <w:p w14:paraId="322E1E63">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1最终结</w:t>
      </w:r>
      <w:r>
        <w:rPr>
          <w:rFonts w:hint="eastAsia" w:ascii="新宋体" w:eastAsia="新宋体"/>
          <w:color w:val="0F0F0F"/>
        </w:rPr>
        <w:t>清</w:t>
      </w:r>
      <w:r>
        <w:rPr>
          <w:rFonts w:ascii="新宋体" w:eastAsia="新宋体"/>
          <w:color w:val="0F0F0F"/>
        </w:rPr>
        <w:t>申请单</w:t>
      </w:r>
    </w:p>
    <w:p w14:paraId="241641CB">
      <w:pPr>
        <w:ind w:firstLine="420" w:firstLineChars="200"/>
        <w:rPr>
          <w:rFonts w:ascii="新宋体" w:eastAsia="新宋体"/>
          <w:color w:val="0F0F0F"/>
        </w:rPr>
      </w:pPr>
      <w:r>
        <w:rPr>
          <w:rFonts w:ascii="新宋体" w:eastAsia="新宋体"/>
          <w:color w:val="0F0F0F"/>
        </w:rPr>
        <w:t>本项(1)目约定为：</w:t>
      </w:r>
    </w:p>
    <w:p w14:paraId="16110F8B">
      <w:pPr>
        <w:ind w:firstLine="420" w:firstLineChars="200"/>
        <w:rPr>
          <w:rFonts w:ascii="新宋体" w:eastAsia="新宋体"/>
          <w:color w:val="0F0F0F"/>
        </w:rPr>
      </w:pPr>
      <w:r>
        <w:rPr>
          <w:rFonts w:ascii="新宋体" w:eastAsia="新宋体"/>
          <w:color w:val="0F0F0F"/>
        </w:rPr>
        <w:t>承包人向监理人提交最终结清申请单(包括相关证明材料)的份数在项</w:t>
      </w:r>
      <w:r>
        <w:rPr>
          <w:rFonts w:hint="eastAsia" w:ascii="新宋体" w:eastAsia="新宋体"/>
          <w:color w:val="0F0F0F"/>
        </w:rPr>
        <w:t>目</w:t>
      </w:r>
      <w:r>
        <w:rPr>
          <w:rFonts w:ascii="新宋体" w:eastAsia="新宋体"/>
          <w:color w:val="0F0F0F"/>
        </w:rPr>
        <w:t>专用合</w:t>
      </w:r>
      <w:r>
        <w:rPr>
          <w:rFonts w:hint="eastAsia" w:ascii="新宋体" w:eastAsia="新宋体"/>
          <w:color w:val="0F0F0F"/>
        </w:rPr>
        <w:t>同条款数据表中约定；期限：缺陷责任期终止证书签发后</w:t>
      </w:r>
      <w:r>
        <w:rPr>
          <w:rFonts w:ascii="新宋体" w:eastAsia="新宋体"/>
          <w:color w:val="0F0F0F"/>
        </w:rPr>
        <w:t>28天内。</w:t>
      </w:r>
    </w:p>
    <w:p w14:paraId="2481BB8A">
      <w:pPr>
        <w:ind w:firstLine="420" w:firstLineChars="200"/>
        <w:rPr>
          <w:rFonts w:ascii="新宋体" w:eastAsia="新宋体"/>
          <w:color w:val="0F0F0F"/>
        </w:rPr>
      </w:pPr>
      <w:r>
        <w:rPr>
          <w:rFonts w:ascii="新宋体" w:eastAsia="新宋体"/>
          <w:color w:val="0F0F0F"/>
        </w:rPr>
        <w:t>最终结清申请单</w:t>
      </w:r>
      <w:r>
        <w:rPr>
          <w:rFonts w:hint="eastAsia" w:ascii="新宋体" w:eastAsia="新宋体"/>
          <w:color w:val="0F0F0F"/>
        </w:rPr>
        <w:t>中</w:t>
      </w:r>
      <w:r>
        <w:rPr>
          <w:rFonts w:ascii="新宋体" w:eastAsia="新宋体"/>
          <w:color w:val="0F0F0F"/>
        </w:rPr>
        <w:t>的总金额应认为是代表了根据合同规定应付给承包人的全部款</w:t>
      </w:r>
      <w:r>
        <w:rPr>
          <w:rFonts w:hint="eastAsia" w:ascii="新宋体" w:eastAsia="新宋体"/>
          <w:color w:val="0F0F0F"/>
        </w:rPr>
        <w:t>项的最后结算。</w:t>
      </w:r>
    </w:p>
    <w:p w14:paraId="6555D89B">
      <w:pPr>
        <w:spacing w:line="400" w:lineRule="exact"/>
        <w:rPr>
          <w:rFonts w:ascii="新宋体" w:eastAsia="新宋体"/>
          <w:color w:val="0F0F0F"/>
          <w:sz w:val="28"/>
          <w:szCs w:val="28"/>
        </w:rPr>
      </w:pPr>
      <w:r>
        <w:rPr>
          <w:rFonts w:ascii="新宋体" w:eastAsia="新宋体"/>
          <w:color w:val="0F0F0F"/>
          <w:sz w:val="28"/>
          <w:szCs w:val="28"/>
        </w:rPr>
        <w:t>18</w:t>
      </w:r>
      <w:r>
        <w:rPr>
          <w:rFonts w:hint="eastAsia" w:ascii="新宋体" w:eastAsia="新宋体"/>
          <w:color w:val="0F0F0F"/>
          <w:sz w:val="28"/>
          <w:szCs w:val="28"/>
        </w:rPr>
        <w:t>.</w:t>
      </w:r>
      <w:r>
        <w:rPr>
          <w:rFonts w:ascii="新宋体" w:eastAsia="新宋体"/>
          <w:color w:val="0F0F0F"/>
          <w:sz w:val="28"/>
          <w:szCs w:val="28"/>
        </w:rPr>
        <w:t>交工验收</w:t>
      </w:r>
    </w:p>
    <w:p w14:paraId="74B0B83C">
      <w:pPr>
        <w:rPr>
          <w:rFonts w:ascii="新宋体" w:eastAsia="新宋体"/>
          <w:color w:val="0F0F0F"/>
          <w:sz w:val="24"/>
        </w:rPr>
      </w:pPr>
      <w:r>
        <w:rPr>
          <w:rFonts w:ascii="新宋体" w:eastAsia="新宋体"/>
          <w:color w:val="0F0F0F"/>
          <w:sz w:val="24"/>
        </w:rPr>
        <w:t>18</w:t>
      </w:r>
      <w:r>
        <w:rPr>
          <w:rFonts w:hint="eastAsia" w:ascii="新宋体" w:eastAsia="新宋体"/>
          <w:color w:val="0F0F0F"/>
          <w:sz w:val="24"/>
        </w:rPr>
        <w:t>.</w:t>
      </w:r>
      <w:r>
        <w:rPr>
          <w:rFonts w:ascii="新宋体" w:eastAsia="新宋体"/>
          <w:color w:val="0F0F0F"/>
          <w:sz w:val="24"/>
        </w:rPr>
        <w:t>2交工验收申请报告</w:t>
      </w:r>
    </w:p>
    <w:p w14:paraId="21840C2A">
      <w:pPr>
        <w:ind w:firstLine="420" w:firstLineChars="200"/>
        <w:rPr>
          <w:rFonts w:ascii="新宋体" w:eastAsia="新宋体"/>
          <w:color w:val="0F0F0F"/>
        </w:rPr>
      </w:pPr>
      <w:r>
        <w:rPr>
          <w:rFonts w:hint="eastAsia" w:ascii="新宋体" w:eastAsia="新宋体"/>
          <w:color w:val="0F0F0F"/>
        </w:rPr>
        <w:t>本</w:t>
      </w:r>
      <w:r>
        <w:rPr>
          <w:rFonts w:ascii="新宋体" w:eastAsia="新宋体"/>
          <w:color w:val="0F0F0F"/>
        </w:rPr>
        <w:t>款第(2)项约定为：</w:t>
      </w:r>
    </w:p>
    <w:p w14:paraId="2D3545B6">
      <w:pPr>
        <w:ind w:firstLine="420" w:firstLineChars="200"/>
        <w:rPr>
          <w:rFonts w:ascii="新宋体" w:eastAsia="新宋体"/>
          <w:color w:val="0F0F0F"/>
        </w:rPr>
      </w:pPr>
      <w:r>
        <w:rPr>
          <w:rFonts w:ascii="新宋体" w:eastAsia="新宋体"/>
          <w:color w:val="0F0F0F"/>
        </w:rPr>
        <w:t>竣工资料的内容：承包人应按照《公路工程竣(交)工验收办法》和相关规定编制竣</w:t>
      </w:r>
      <w:r>
        <w:rPr>
          <w:rFonts w:hint="eastAsia" w:ascii="新宋体" w:eastAsia="新宋体"/>
          <w:color w:val="0F0F0F"/>
        </w:rPr>
        <w:t>工资料。</w:t>
      </w:r>
    </w:p>
    <w:p w14:paraId="74422E59">
      <w:pPr>
        <w:ind w:firstLine="420" w:firstLineChars="200"/>
        <w:rPr>
          <w:rFonts w:ascii="新宋体" w:eastAsia="新宋体"/>
          <w:color w:val="0F0F0F"/>
        </w:rPr>
      </w:pPr>
      <w:r>
        <w:rPr>
          <w:rFonts w:ascii="新宋体" w:eastAsia="新宋体"/>
          <w:color w:val="0F0F0F"/>
        </w:rPr>
        <w:t>竣工资料的份数</w:t>
      </w:r>
      <w:r>
        <w:rPr>
          <w:rFonts w:hint="eastAsia" w:ascii="新宋体" w:eastAsia="新宋体"/>
          <w:color w:val="0F0F0F"/>
        </w:rPr>
        <w:t>在</w:t>
      </w:r>
      <w:r>
        <w:rPr>
          <w:rFonts w:ascii="新宋体" w:eastAsia="新宋体"/>
          <w:color w:val="0F0F0F"/>
        </w:rPr>
        <w:t>项目专用合同条款数据</w:t>
      </w:r>
      <w:r>
        <w:rPr>
          <w:rFonts w:hint="eastAsia" w:ascii="新宋体" w:eastAsia="新宋体"/>
          <w:color w:val="0F0F0F"/>
        </w:rPr>
        <w:t>表</w:t>
      </w:r>
      <w:r>
        <w:rPr>
          <w:rFonts w:ascii="新宋体" w:eastAsia="新宋体"/>
          <w:color w:val="0F0F0F"/>
        </w:rPr>
        <w:t>中约定。</w:t>
      </w:r>
    </w:p>
    <w:p w14:paraId="6E4E6248">
      <w:pPr>
        <w:rPr>
          <w:rFonts w:ascii="新宋体" w:eastAsia="新宋体"/>
          <w:color w:val="0F0F0F"/>
          <w:sz w:val="24"/>
        </w:rPr>
      </w:pPr>
      <w:r>
        <w:rPr>
          <w:rFonts w:ascii="新宋体" w:eastAsia="新宋体"/>
          <w:color w:val="0F0F0F"/>
          <w:sz w:val="24"/>
        </w:rPr>
        <w:t>18</w:t>
      </w:r>
      <w:r>
        <w:rPr>
          <w:rFonts w:hint="eastAsia" w:ascii="新宋体" w:eastAsia="新宋体"/>
          <w:color w:val="0F0F0F"/>
          <w:sz w:val="24"/>
        </w:rPr>
        <w:t>.</w:t>
      </w:r>
      <w:r>
        <w:rPr>
          <w:rFonts w:ascii="新宋体" w:eastAsia="新宋体"/>
          <w:color w:val="0F0F0F"/>
          <w:sz w:val="24"/>
        </w:rPr>
        <w:t>3验收</w:t>
      </w:r>
    </w:p>
    <w:p w14:paraId="7D99CFF5">
      <w:pPr>
        <w:ind w:firstLine="420" w:firstLineChars="200"/>
        <w:rPr>
          <w:rFonts w:ascii="新宋体" w:eastAsia="新宋体"/>
          <w:color w:val="0F0F0F"/>
        </w:rPr>
      </w:pPr>
      <w:r>
        <w:rPr>
          <w:rFonts w:ascii="新宋体" w:eastAsia="新宋体"/>
          <w:color w:val="0F0F0F"/>
        </w:rPr>
        <w:t>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0B8FF927">
      <w:pPr>
        <w:ind w:firstLine="420" w:firstLineChars="200"/>
        <w:rPr>
          <w:rFonts w:ascii="新宋体" w:eastAsia="新宋体"/>
          <w:color w:val="0F0F0F"/>
        </w:rPr>
      </w:pPr>
      <w:r>
        <w:rPr>
          <w:rFonts w:ascii="新宋体" w:eastAsia="新宋体"/>
          <w:color w:val="0F0F0F"/>
        </w:rPr>
        <w:t>交工验收</w:t>
      </w:r>
      <w:r>
        <w:rPr>
          <w:rFonts w:hint="eastAsia" w:ascii="新宋体" w:eastAsia="新宋体"/>
          <w:color w:val="0F0F0F"/>
        </w:rPr>
        <w:t>由</w:t>
      </w:r>
      <w:r>
        <w:rPr>
          <w:rFonts w:ascii="新宋体" w:eastAsia="新宋体"/>
          <w:color w:val="0F0F0F"/>
        </w:rPr>
        <w:t>发包</w:t>
      </w:r>
      <w:r>
        <w:rPr>
          <w:rFonts w:hint="eastAsia" w:ascii="新宋体" w:eastAsia="新宋体"/>
          <w:color w:val="0F0F0F"/>
        </w:rPr>
        <w:t>人</w:t>
      </w:r>
      <w:r>
        <w:rPr>
          <w:rFonts w:ascii="新宋体" w:eastAsia="新宋体"/>
          <w:color w:val="0F0F0F"/>
        </w:rPr>
        <w:t>主持，</w:t>
      </w:r>
      <w:r>
        <w:rPr>
          <w:rFonts w:hint="eastAsia" w:ascii="新宋体" w:eastAsia="新宋体"/>
          <w:color w:val="0F0F0F"/>
        </w:rPr>
        <w:t>由</w:t>
      </w:r>
      <w:r>
        <w:rPr>
          <w:rFonts w:ascii="新宋体" w:eastAsia="新宋体"/>
          <w:color w:val="0F0F0F"/>
        </w:rPr>
        <w:t>发包人、监理人、质监、设计、施工、运营、管理养护等有</w:t>
      </w:r>
      <w:r>
        <w:rPr>
          <w:rFonts w:hint="eastAsia" w:ascii="新宋体" w:eastAsia="新宋体"/>
          <w:color w:val="0F0F0F"/>
        </w:rPr>
        <w:t>关部门代表组成交工</w:t>
      </w:r>
      <w:r>
        <w:rPr>
          <w:rFonts w:ascii="新宋体" w:eastAsia="新宋体"/>
          <w:color w:val="0F0F0F"/>
        </w:rPr>
        <w:t>验收小组，对</w:t>
      </w:r>
      <w:r>
        <w:rPr>
          <w:rFonts w:hint="eastAsia" w:ascii="新宋体" w:eastAsia="新宋体"/>
          <w:color w:val="0F0F0F"/>
        </w:rPr>
        <w:t>本</w:t>
      </w:r>
      <w:r>
        <w:rPr>
          <w:rFonts w:ascii="新宋体" w:eastAsia="新宋体"/>
          <w:color w:val="0F0F0F"/>
        </w:rPr>
        <w:t>项目的</w:t>
      </w:r>
      <w:r>
        <w:rPr>
          <w:rFonts w:hint="eastAsia" w:ascii="新宋体" w:eastAsia="新宋体"/>
          <w:color w:val="0F0F0F"/>
        </w:rPr>
        <w:t>工</w:t>
      </w:r>
      <w:r>
        <w:rPr>
          <w:rFonts w:ascii="新宋体" w:eastAsia="新宋体"/>
          <w:color w:val="0F0F0F"/>
        </w:rPr>
        <w:t>程质</w:t>
      </w:r>
      <w:r>
        <w:rPr>
          <w:rFonts w:hint="eastAsia" w:ascii="新宋体" w:eastAsia="新宋体"/>
          <w:color w:val="0F0F0F"/>
        </w:rPr>
        <w:t>量进行评定，并写出交工验收报告报交通主管部门备案。承包人应按发包人的要求提交竣工资料，完成交工验收准备工作。</w:t>
      </w:r>
    </w:p>
    <w:p w14:paraId="48157C42">
      <w:pPr>
        <w:ind w:firstLine="420" w:firstLineChars="200"/>
        <w:rPr>
          <w:rFonts w:ascii="新宋体" w:eastAsia="新宋体"/>
          <w:color w:val="0F0F0F"/>
        </w:rPr>
      </w:pPr>
      <w:r>
        <w:rPr>
          <w:rFonts w:ascii="新宋体" w:eastAsia="新宋体"/>
          <w:color w:val="0F0F0F"/>
        </w:rPr>
        <w:t>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5项约定为：</w:t>
      </w:r>
    </w:p>
    <w:p w14:paraId="62FEDB3F">
      <w:pPr>
        <w:ind w:firstLine="420" w:firstLineChars="200"/>
        <w:rPr>
          <w:rFonts w:ascii="新宋体" w:eastAsia="新宋体"/>
          <w:color w:val="0F0F0F"/>
        </w:rPr>
      </w:pPr>
      <w:r>
        <w:rPr>
          <w:rFonts w:ascii="新宋体" w:eastAsia="新宋体"/>
          <w:color w:val="0F0F0F"/>
        </w:rPr>
        <w:t>经验收合格工程的实际交工日期，以最终提交交工验收申请报告的日期为准，并在</w:t>
      </w:r>
      <w:r>
        <w:rPr>
          <w:rFonts w:hint="eastAsia" w:ascii="新宋体" w:eastAsia="新宋体"/>
          <w:color w:val="0F0F0F"/>
        </w:rPr>
        <w:t>交工验收证书中写明。</w:t>
      </w:r>
    </w:p>
    <w:p w14:paraId="27700BC1">
      <w:pPr>
        <w:ind w:firstLine="420" w:firstLineChars="200"/>
        <w:rPr>
          <w:rFonts w:ascii="新宋体" w:eastAsia="新宋体"/>
          <w:color w:val="0F0F0F"/>
        </w:rPr>
      </w:pPr>
      <w:r>
        <w:rPr>
          <w:rFonts w:ascii="新宋体" w:eastAsia="新宋体"/>
          <w:color w:val="0F0F0F"/>
        </w:rPr>
        <w:t>本款补充第18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7项：</w:t>
      </w:r>
    </w:p>
    <w:p w14:paraId="36B72A47">
      <w:pPr>
        <w:ind w:firstLine="420" w:firstLineChars="200"/>
        <w:rPr>
          <w:rFonts w:ascii="新宋体" w:eastAsia="新宋体"/>
          <w:color w:val="0F0F0F"/>
        </w:rPr>
      </w:pPr>
      <w:r>
        <w:rPr>
          <w:rFonts w:hint="eastAsia" w:ascii="新宋体" w:eastAsia="新宋体"/>
          <w:color w:val="0F0F0F"/>
        </w:rPr>
        <w:t>组</w:t>
      </w:r>
      <w:r>
        <w:rPr>
          <w:rFonts w:ascii="新宋体" w:eastAsia="新宋体"/>
          <w:color w:val="0F0F0F"/>
        </w:rPr>
        <w:t>织办理交工验收和签发交工验收证书的费用由发包</w:t>
      </w:r>
      <w:r>
        <w:rPr>
          <w:rFonts w:hint="eastAsia" w:ascii="新宋体" w:eastAsia="新宋体"/>
          <w:color w:val="0F0F0F"/>
        </w:rPr>
        <w:t>人</w:t>
      </w:r>
      <w:r>
        <w:rPr>
          <w:rFonts w:ascii="新宋体" w:eastAsia="新宋体"/>
          <w:color w:val="0F0F0F"/>
        </w:rPr>
        <w:t>承担。但按照第18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4项</w:t>
      </w:r>
      <w:r>
        <w:rPr>
          <w:rFonts w:hint="eastAsia" w:ascii="新宋体" w:eastAsia="新宋体"/>
          <w:color w:val="0F0F0F"/>
        </w:rPr>
        <w:t>规定达不到合格标准的交工验收费用由承包人承担。</w:t>
      </w:r>
    </w:p>
    <w:p w14:paraId="5AF6ECA2">
      <w:pPr>
        <w:ind w:firstLine="420" w:firstLineChars="200"/>
        <w:rPr>
          <w:rFonts w:ascii="新宋体" w:eastAsia="新宋体"/>
          <w:color w:val="0F0F0F"/>
        </w:rPr>
      </w:pPr>
      <w:r>
        <w:rPr>
          <w:rFonts w:ascii="新宋体" w:eastAsia="新宋体"/>
          <w:color w:val="0F0F0F"/>
        </w:rPr>
        <w:t>本条补充第18</w:t>
      </w:r>
      <w:r>
        <w:rPr>
          <w:rFonts w:hint="eastAsia" w:ascii="新宋体" w:eastAsia="新宋体"/>
          <w:color w:val="0F0F0F"/>
        </w:rPr>
        <w:t>.</w:t>
      </w:r>
      <w:r>
        <w:rPr>
          <w:rFonts w:ascii="新宋体" w:eastAsia="新宋体"/>
          <w:color w:val="0F0F0F"/>
        </w:rPr>
        <w:t>9款：</w:t>
      </w:r>
    </w:p>
    <w:p w14:paraId="6A1AAFC4">
      <w:pPr>
        <w:rPr>
          <w:rFonts w:ascii="新宋体" w:eastAsia="新宋体"/>
          <w:color w:val="0F0F0F"/>
          <w:sz w:val="24"/>
        </w:rPr>
      </w:pPr>
      <w:r>
        <w:rPr>
          <w:rFonts w:ascii="新宋体" w:eastAsia="新宋体"/>
          <w:color w:val="0F0F0F"/>
          <w:sz w:val="24"/>
        </w:rPr>
        <w:t>18</w:t>
      </w:r>
      <w:r>
        <w:rPr>
          <w:rFonts w:hint="eastAsia" w:ascii="新宋体" w:eastAsia="新宋体"/>
          <w:color w:val="0F0F0F"/>
          <w:sz w:val="24"/>
        </w:rPr>
        <w:t>.</w:t>
      </w:r>
      <w:r>
        <w:rPr>
          <w:rFonts w:ascii="新宋体" w:eastAsia="新宋体"/>
          <w:color w:val="0F0F0F"/>
          <w:sz w:val="24"/>
        </w:rPr>
        <w:t>9竣工文件</w:t>
      </w:r>
    </w:p>
    <w:p w14:paraId="1094A91A">
      <w:pPr>
        <w:ind w:firstLine="420" w:firstLineChars="200"/>
        <w:rPr>
          <w:rFonts w:ascii="新宋体" w:eastAsia="新宋体"/>
          <w:color w:val="0F0F0F"/>
        </w:rPr>
      </w:pPr>
      <w:r>
        <w:rPr>
          <w:rFonts w:ascii="新宋体" w:eastAsia="新宋体"/>
          <w:color w:val="0F0F0F"/>
        </w:rPr>
        <w:t>承包人应按照</w:t>
      </w:r>
      <w:r>
        <w:rPr>
          <w:rFonts w:hint="eastAsia" w:ascii="新宋体" w:eastAsia="新宋体"/>
          <w:color w:val="0F0F0F"/>
        </w:rPr>
        <w:t>《</w:t>
      </w:r>
      <w:r>
        <w:rPr>
          <w:rFonts w:ascii="新宋体" w:eastAsia="新宋体"/>
          <w:color w:val="0F0F0F"/>
        </w:rPr>
        <w:t>公路工程竣(交)</w:t>
      </w:r>
      <w:r>
        <w:rPr>
          <w:rFonts w:hint="eastAsia" w:ascii="新宋体" w:eastAsia="新宋体"/>
          <w:color w:val="0F0F0F"/>
        </w:rPr>
        <w:t>工</w:t>
      </w:r>
      <w:r>
        <w:rPr>
          <w:rFonts w:ascii="新宋体" w:eastAsia="新宋体"/>
          <w:color w:val="0F0F0F"/>
        </w:rPr>
        <w:t>验收办法》的</w:t>
      </w:r>
      <w:r>
        <w:rPr>
          <w:rFonts w:hint="eastAsia" w:ascii="新宋体" w:eastAsia="新宋体"/>
          <w:color w:val="0F0F0F"/>
        </w:rPr>
        <w:t>相</w:t>
      </w:r>
      <w:r>
        <w:rPr>
          <w:rFonts w:ascii="新宋体" w:eastAsia="新宋体"/>
          <w:color w:val="0F0F0F"/>
        </w:rPr>
        <w:t>关</w:t>
      </w:r>
      <w:r>
        <w:rPr>
          <w:rFonts w:hint="eastAsia" w:ascii="新宋体" w:eastAsia="新宋体"/>
          <w:color w:val="0F0F0F"/>
        </w:rPr>
        <w:t>规定，在缺陷责任期内为竣工验收补充竣工</w:t>
      </w:r>
      <w:r>
        <w:rPr>
          <w:rFonts w:ascii="新宋体" w:eastAsia="新宋体"/>
          <w:color w:val="0F0F0F"/>
        </w:rPr>
        <w:t>资料，并在签发缺陷责任期终止证书之前提交。</w:t>
      </w:r>
    </w:p>
    <w:p w14:paraId="6EE0BF1A">
      <w:pPr>
        <w:spacing w:line="400" w:lineRule="exact"/>
        <w:rPr>
          <w:rFonts w:ascii="新宋体" w:eastAsia="新宋体"/>
          <w:color w:val="0F0F0F"/>
          <w:sz w:val="28"/>
          <w:szCs w:val="28"/>
        </w:rPr>
      </w:pPr>
      <w:r>
        <w:rPr>
          <w:rFonts w:ascii="新宋体" w:eastAsia="新宋体"/>
          <w:color w:val="0F0F0F"/>
          <w:sz w:val="28"/>
          <w:szCs w:val="28"/>
        </w:rPr>
        <w:t>19．缺陷责任与保修责任</w:t>
      </w:r>
    </w:p>
    <w:p w14:paraId="214089EE">
      <w:pPr>
        <w:rPr>
          <w:rFonts w:ascii="新宋体" w:eastAsia="新宋体"/>
          <w:color w:val="0F0F0F"/>
          <w:sz w:val="24"/>
        </w:rPr>
      </w:pPr>
      <w:r>
        <w:rPr>
          <w:rFonts w:ascii="新宋体" w:eastAsia="新宋体"/>
          <w:color w:val="0F0F0F"/>
          <w:sz w:val="24"/>
        </w:rPr>
        <w:t>19</w:t>
      </w:r>
      <w:r>
        <w:rPr>
          <w:rFonts w:hint="eastAsia" w:ascii="新宋体" w:eastAsia="新宋体"/>
          <w:color w:val="0F0F0F"/>
          <w:sz w:val="24"/>
        </w:rPr>
        <w:t>.</w:t>
      </w:r>
      <w:r>
        <w:rPr>
          <w:rFonts w:ascii="新宋体" w:eastAsia="新宋体"/>
          <w:color w:val="0F0F0F"/>
          <w:sz w:val="24"/>
        </w:rPr>
        <w:t>2缺陷</w:t>
      </w:r>
      <w:r>
        <w:rPr>
          <w:rFonts w:hint="eastAsia" w:ascii="新宋体" w:eastAsia="新宋体"/>
          <w:color w:val="0F0F0F"/>
          <w:sz w:val="24"/>
        </w:rPr>
        <w:t>责</w:t>
      </w:r>
      <w:r>
        <w:rPr>
          <w:rFonts w:ascii="新宋体" w:eastAsia="新宋体"/>
          <w:color w:val="0F0F0F"/>
          <w:sz w:val="24"/>
        </w:rPr>
        <w:t>任</w:t>
      </w:r>
    </w:p>
    <w:p w14:paraId="7A63966B">
      <w:pPr>
        <w:ind w:firstLine="420" w:firstLineChars="200"/>
        <w:rPr>
          <w:rFonts w:ascii="新宋体" w:eastAsia="新宋体"/>
          <w:color w:val="0F0F0F"/>
        </w:rPr>
      </w:pPr>
      <w:r>
        <w:rPr>
          <w:rFonts w:ascii="新宋体" w:eastAsia="新宋体"/>
          <w:color w:val="0F0F0F"/>
        </w:rPr>
        <w:t>第19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5E4939FF">
      <w:pPr>
        <w:ind w:firstLine="420" w:firstLineChars="200"/>
        <w:rPr>
          <w:rFonts w:ascii="新宋体" w:eastAsia="新宋体"/>
          <w:color w:val="0F0F0F"/>
        </w:rPr>
      </w:pPr>
      <w:r>
        <w:rPr>
          <w:rFonts w:ascii="新宋体" w:eastAsia="新宋体"/>
          <w:color w:val="0F0F0F"/>
        </w:rPr>
        <w:t>在缺陷</w:t>
      </w:r>
      <w:r>
        <w:rPr>
          <w:rFonts w:hint="eastAsia" w:ascii="新宋体" w:eastAsia="新宋体"/>
          <w:color w:val="0F0F0F"/>
        </w:rPr>
        <w:t>责</w:t>
      </w:r>
      <w:r>
        <w:rPr>
          <w:rFonts w:ascii="新宋体" w:eastAsia="新宋体"/>
          <w:color w:val="0F0F0F"/>
        </w:rPr>
        <w:t>任期内，承包人应尽快完成在交</w:t>
      </w:r>
      <w:r>
        <w:rPr>
          <w:rFonts w:hint="eastAsia" w:ascii="新宋体" w:eastAsia="新宋体"/>
          <w:color w:val="0F0F0F"/>
        </w:rPr>
        <w:t>工</w:t>
      </w:r>
      <w:r>
        <w:rPr>
          <w:rFonts w:ascii="新宋体" w:eastAsia="新宋体"/>
          <w:color w:val="0F0F0F"/>
        </w:rPr>
        <w:t>验收证书</w:t>
      </w:r>
      <w:r>
        <w:rPr>
          <w:rFonts w:hint="eastAsia" w:ascii="新宋体" w:eastAsia="新宋体"/>
          <w:color w:val="0F0F0F"/>
        </w:rPr>
        <w:t>中</w:t>
      </w:r>
      <w:r>
        <w:rPr>
          <w:rFonts w:ascii="新宋体" w:eastAsia="新宋体"/>
          <w:color w:val="0F0F0F"/>
        </w:rPr>
        <w:t>写明的</w:t>
      </w:r>
      <w:r>
        <w:rPr>
          <w:rFonts w:hint="eastAsia" w:ascii="新宋体" w:eastAsia="新宋体"/>
          <w:color w:val="0F0F0F"/>
        </w:rPr>
        <w:t>未</w:t>
      </w:r>
      <w:r>
        <w:rPr>
          <w:rFonts w:ascii="新宋体" w:eastAsia="新宋体"/>
          <w:color w:val="0F0F0F"/>
        </w:rPr>
        <w:t>完成工作，并完成</w:t>
      </w:r>
      <w:r>
        <w:rPr>
          <w:rFonts w:hint="eastAsia" w:ascii="新宋体" w:eastAsia="新宋体"/>
          <w:color w:val="0F0F0F"/>
        </w:rPr>
        <w:t>对本工</w:t>
      </w:r>
      <w:r>
        <w:rPr>
          <w:rFonts w:ascii="新宋体" w:eastAsia="新宋体"/>
          <w:color w:val="0F0F0F"/>
        </w:rPr>
        <w:t>程缺陷的修复或监理人指令的修补</w:t>
      </w:r>
      <w:r>
        <w:rPr>
          <w:rFonts w:hint="eastAsia" w:ascii="新宋体" w:eastAsia="新宋体"/>
          <w:color w:val="0F0F0F"/>
        </w:rPr>
        <w:t>工</w:t>
      </w:r>
      <w:r>
        <w:rPr>
          <w:rFonts w:ascii="新宋体" w:eastAsia="新宋体"/>
          <w:color w:val="0F0F0F"/>
        </w:rPr>
        <w:t>作。</w:t>
      </w:r>
    </w:p>
    <w:p w14:paraId="0793825B">
      <w:pPr>
        <w:rPr>
          <w:rFonts w:ascii="新宋体" w:eastAsia="新宋体"/>
          <w:color w:val="0F0F0F"/>
          <w:sz w:val="24"/>
        </w:rPr>
      </w:pPr>
      <w:r>
        <w:rPr>
          <w:rFonts w:ascii="新宋体" w:eastAsia="新宋体"/>
          <w:color w:val="0F0F0F"/>
          <w:sz w:val="24"/>
        </w:rPr>
        <w:t>19</w:t>
      </w:r>
      <w:r>
        <w:rPr>
          <w:rFonts w:hint="eastAsia" w:ascii="新宋体" w:eastAsia="新宋体"/>
          <w:color w:val="0F0F0F"/>
          <w:sz w:val="24"/>
        </w:rPr>
        <w:t>.</w:t>
      </w:r>
      <w:r>
        <w:rPr>
          <w:rFonts w:ascii="新宋体" w:eastAsia="新宋体"/>
          <w:color w:val="0F0F0F"/>
          <w:sz w:val="24"/>
        </w:rPr>
        <w:t>5承包人的进入权</w:t>
      </w:r>
    </w:p>
    <w:p w14:paraId="55D7C33D">
      <w:pPr>
        <w:ind w:firstLine="420" w:firstLineChars="200"/>
        <w:rPr>
          <w:rFonts w:ascii="新宋体" w:eastAsia="新宋体"/>
          <w:color w:val="0F0F0F"/>
        </w:rPr>
      </w:pPr>
      <w:r>
        <w:rPr>
          <w:rFonts w:ascii="新宋体" w:eastAsia="新宋体"/>
          <w:color w:val="0F0F0F"/>
        </w:rPr>
        <w:t>本款补充：</w:t>
      </w:r>
    </w:p>
    <w:p w14:paraId="5EF77889">
      <w:pPr>
        <w:ind w:firstLine="420" w:firstLineChars="200"/>
        <w:rPr>
          <w:rFonts w:ascii="新宋体" w:eastAsia="新宋体"/>
          <w:color w:val="0F0F0F"/>
        </w:rPr>
      </w:pPr>
      <w:r>
        <w:rPr>
          <w:rFonts w:ascii="新宋体" w:eastAsia="新宋体"/>
          <w:color w:val="0F0F0F"/>
        </w:rPr>
        <w:t>承包人在缺陷修复施工过程</w:t>
      </w:r>
      <w:r>
        <w:rPr>
          <w:rFonts w:hint="eastAsia" w:ascii="新宋体" w:eastAsia="新宋体"/>
          <w:color w:val="0F0F0F"/>
        </w:rPr>
        <w:t>中</w:t>
      </w:r>
      <w:r>
        <w:rPr>
          <w:rFonts w:ascii="新宋体" w:eastAsia="新宋体"/>
          <w:color w:val="0F0F0F"/>
        </w:rPr>
        <w:t>，应服从管养单位的有关</w:t>
      </w:r>
      <w:r>
        <w:rPr>
          <w:rFonts w:hint="eastAsia" w:ascii="新宋体" w:eastAsia="新宋体"/>
          <w:color w:val="0F0F0F"/>
        </w:rPr>
        <w:t>安</w:t>
      </w:r>
      <w:r>
        <w:rPr>
          <w:rFonts w:ascii="新宋体" w:eastAsia="新宋体"/>
          <w:color w:val="0F0F0F"/>
        </w:rPr>
        <w:t>全管理规定，</w:t>
      </w:r>
      <w:r>
        <w:rPr>
          <w:rFonts w:hint="eastAsia" w:ascii="新宋体" w:eastAsia="新宋体"/>
          <w:color w:val="0F0F0F"/>
        </w:rPr>
        <w:t>由于</w:t>
      </w:r>
      <w:r>
        <w:rPr>
          <w:rFonts w:ascii="新宋体" w:eastAsia="新宋体"/>
          <w:color w:val="0F0F0F"/>
        </w:rPr>
        <w:t>承包人</w:t>
      </w:r>
      <w:r>
        <w:rPr>
          <w:rFonts w:hint="eastAsia" w:ascii="新宋体" w:eastAsia="新宋体"/>
          <w:color w:val="0F0F0F"/>
        </w:rPr>
        <w:t>自身原因造成的人员伤亡、设备和材料的损毁及罚款等责任由</w:t>
      </w:r>
      <w:r>
        <w:rPr>
          <w:rFonts w:ascii="新宋体" w:eastAsia="新宋体"/>
          <w:color w:val="0F0F0F"/>
        </w:rPr>
        <w:t>承包人自负。</w:t>
      </w:r>
    </w:p>
    <w:p w14:paraId="68951B56">
      <w:pPr>
        <w:rPr>
          <w:rFonts w:ascii="新宋体" w:eastAsia="新宋体"/>
          <w:color w:val="0F0F0F"/>
          <w:sz w:val="24"/>
        </w:rPr>
      </w:pPr>
      <w:r>
        <w:rPr>
          <w:rFonts w:ascii="新宋体" w:eastAsia="新宋体"/>
          <w:color w:val="0F0F0F"/>
          <w:sz w:val="24"/>
        </w:rPr>
        <w:t>19</w:t>
      </w:r>
      <w:r>
        <w:rPr>
          <w:rFonts w:hint="eastAsia" w:ascii="新宋体" w:eastAsia="新宋体"/>
          <w:color w:val="0F0F0F"/>
          <w:sz w:val="24"/>
        </w:rPr>
        <w:t>.</w:t>
      </w:r>
      <w:r>
        <w:rPr>
          <w:rFonts w:ascii="新宋体" w:eastAsia="新宋体"/>
          <w:color w:val="0F0F0F"/>
          <w:sz w:val="24"/>
        </w:rPr>
        <w:t>7保修责任</w:t>
      </w:r>
    </w:p>
    <w:p w14:paraId="228B47D4">
      <w:pPr>
        <w:ind w:firstLine="420" w:firstLineChars="200"/>
        <w:rPr>
          <w:rFonts w:ascii="新宋体" w:eastAsia="新宋体"/>
          <w:color w:val="0F0F0F"/>
        </w:rPr>
      </w:pPr>
      <w:r>
        <w:rPr>
          <w:rFonts w:ascii="新宋体" w:eastAsia="新宋体"/>
          <w:color w:val="0F0F0F"/>
        </w:rPr>
        <w:t>本款</w:t>
      </w:r>
      <w:r>
        <w:rPr>
          <w:rFonts w:hint="eastAsia" w:ascii="新宋体" w:eastAsia="新宋体"/>
          <w:color w:val="0F0F0F"/>
        </w:rPr>
        <w:t>细</w:t>
      </w:r>
      <w:r>
        <w:rPr>
          <w:rFonts w:ascii="新宋体" w:eastAsia="新宋体"/>
          <w:color w:val="0F0F0F"/>
        </w:rPr>
        <w:t>化为：</w:t>
      </w:r>
    </w:p>
    <w:p w14:paraId="6B383332">
      <w:pPr>
        <w:ind w:firstLine="420" w:firstLineChars="200"/>
        <w:rPr>
          <w:rFonts w:ascii="新宋体" w:eastAsia="新宋体"/>
          <w:color w:val="0F0F0F"/>
        </w:rPr>
      </w:pPr>
      <w:r>
        <w:rPr>
          <w:rFonts w:ascii="新宋体" w:eastAsia="新宋体"/>
          <w:color w:val="0F0F0F"/>
        </w:rPr>
        <w:t>(1)</w:t>
      </w:r>
      <w:r>
        <w:rPr>
          <w:rFonts w:hint="eastAsia" w:ascii="新宋体" w:eastAsia="新宋体"/>
          <w:color w:val="0F0F0F"/>
        </w:rPr>
        <w:t>保</w:t>
      </w:r>
      <w:r>
        <w:rPr>
          <w:rFonts w:ascii="新宋体" w:eastAsia="新宋体"/>
          <w:color w:val="0F0F0F"/>
        </w:rPr>
        <w:t>修期自实际交</w:t>
      </w:r>
      <w:r>
        <w:rPr>
          <w:rFonts w:hint="eastAsia" w:ascii="新宋体" w:eastAsia="新宋体"/>
          <w:color w:val="0F0F0F"/>
        </w:rPr>
        <w:t>工</w:t>
      </w:r>
      <w:r>
        <w:rPr>
          <w:rFonts w:ascii="新宋体" w:eastAsia="新宋体"/>
          <w:color w:val="0F0F0F"/>
        </w:rPr>
        <w:t>日期起计算，具体期限在项目专用</w:t>
      </w:r>
      <w:r>
        <w:rPr>
          <w:rFonts w:hint="eastAsia" w:ascii="新宋体" w:eastAsia="新宋体"/>
          <w:color w:val="0F0F0F"/>
        </w:rPr>
        <w:t>合同</w:t>
      </w:r>
      <w:r>
        <w:rPr>
          <w:rFonts w:ascii="新宋体" w:eastAsia="新宋体"/>
          <w:color w:val="0F0F0F"/>
        </w:rPr>
        <w:t>条款数据表中约定。</w:t>
      </w:r>
      <w:r>
        <w:rPr>
          <w:rFonts w:hint="eastAsia" w:ascii="新宋体" w:eastAsia="新宋体"/>
          <w:color w:val="0F0F0F"/>
        </w:rPr>
        <w:t>保修期与缺陷责任期重叠的期间内，承包人的保修责任同缺陷责任。在缺陷责任期满后的保修期内，承包人可不在工地留有办事人员和机械设备，但必须随时与发包人保持联系，在保修期内承包人应对由于施工质量原因造成的损坏自费进行修复。</w:t>
      </w:r>
    </w:p>
    <w:p w14:paraId="55F05278">
      <w:pPr>
        <w:ind w:firstLine="420" w:firstLineChars="200"/>
        <w:rPr>
          <w:rFonts w:ascii="新宋体" w:eastAsia="新宋体"/>
          <w:color w:val="0F0F0F"/>
        </w:rPr>
      </w:pPr>
      <w:r>
        <w:rPr>
          <w:rFonts w:ascii="新宋体" w:eastAsia="新宋体"/>
          <w:color w:val="0F0F0F"/>
        </w:rPr>
        <w:t>(2)在全部</w:t>
      </w:r>
      <w:r>
        <w:rPr>
          <w:rFonts w:hint="eastAsia" w:ascii="新宋体" w:eastAsia="新宋体"/>
          <w:color w:val="0F0F0F"/>
        </w:rPr>
        <w:t>工</w:t>
      </w:r>
      <w:r>
        <w:rPr>
          <w:rFonts w:ascii="新宋体" w:eastAsia="新宋体"/>
          <w:color w:val="0F0F0F"/>
        </w:rPr>
        <w:t>程交工验收</w:t>
      </w:r>
      <w:r>
        <w:rPr>
          <w:rFonts w:hint="eastAsia" w:ascii="新宋体" w:eastAsia="新宋体"/>
          <w:color w:val="0F0F0F"/>
        </w:rPr>
        <w:t>前</w:t>
      </w:r>
      <w:r>
        <w:rPr>
          <w:rFonts w:ascii="新宋体" w:eastAsia="新宋体"/>
          <w:color w:val="0F0F0F"/>
        </w:rPr>
        <w:t>，已经发包人提前验收的单位工程，其</w:t>
      </w:r>
      <w:r>
        <w:rPr>
          <w:rFonts w:hint="eastAsia" w:ascii="新宋体" w:eastAsia="新宋体"/>
          <w:color w:val="0F0F0F"/>
        </w:rPr>
        <w:t>保</w:t>
      </w:r>
      <w:r>
        <w:rPr>
          <w:rFonts w:ascii="新宋体" w:eastAsia="新宋体"/>
          <w:color w:val="0F0F0F"/>
        </w:rPr>
        <w:t>修期的</w:t>
      </w:r>
      <w:r>
        <w:rPr>
          <w:rFonts w:hint="eastAsia" w:ascii="新宋体" w:eastAsia="新宋体"/>
          <w:color w:val="0F0F0F"/>
        </w:rPr>
        <w:t>起</w:t>
      </w:r>
      <w:r>
        <w:rPr>
          <w:rFonts w:ascii="新宋体" w:eastAsia="新宋体"/>
          <w:color w:val="0F0F0F"/>
        </w:rPr>
        <w:t>算</w:t>
      </w:r>
      <w:r>
        <w:rPr>
          <w:rFonts w:hint="eastAsia" w:ascii="新宋体" w:eastAsia="新宋体"/>
          <w:color w:val="0F0F0F"/>
        </w:rPr>
        <w:t>日期相应提前。</w:t>
      </w:r>
    </w:p>
    <w:p w14:paraId="0990839D">
      <w:pPr>
        <w:ind w:firstLine="420" w:firstLineChars="200"/>
        <w:rPr>
          <w:rFonts w:ascii="新宋体" w:eastAsia="新宋体"/>
          <w:color w:val="0F0F0F"/>
        </w:rPr>
      </w:pPr>
      <w:r>
        <w:rPr>
          <w:rFonts w:ascii="新宋体" w:eastAsia="新宋体"/>
          <w:color w:val="0F0F0F"/>
        </w:rPr>
        <w:t>(3)工程保修期终</w:t>
      </w:r>
      <w:r>
        <w:rPr>
          <w:rFonts w:hint="eastAsia" w:ascii="新宋体" w:eastAsia="新宋体"/>
          <w:color w:val="0F0F0F"/>
        </w:rPr>
        <w:t>止</w:t>
      </w:r>
      <w:r>
        <w:rPr>
          <w:rFonts w:ascii="新宋体" w:eastAsia="新宋体"/>
          <w:color w:val="0F0F0F"/>
        </w:rPr>
        <w:t>后28天内，监理人签发保修期终</w:t>
      </w:r>
      <w:r>
        <w:rPr>
          <w:rFonts w:hint="eastAsia" w:ascii="新宋体" w:eastAsia="新宋体"/>
          <w:color w:val="0F0F0F"/>
        </w:rPr>
        <w:t>止</w:t>
      </w:r>
      <w:r>
        <w:rPr>
          <w:rFonts w:ascii="新宋体" w:eastAsia="新宋体"/>
          <w:color w:val="0F0F0F"/>
        </w:rPr>
        <w:t>证书。</w:t>
      </w:r>
    </w:p>
    <w:p w14:paraId="1B806293">
      <w:pPr>
        <w:ind w:firstLine="420" w:firstLineChars="200"/>
        <w:rPr>
          <w:rFonts w:ascii="新宋体" w:eastAsia="新宋体"/>
          <w:color w:val="0F0F0F"/>
        </w:rPr>
      </w:pPr>
      <w:r>
        <w:rPr>
          <w:rFonts w:ascii="新宋体" w:eastAsia="新宋体"/>
          <w:color w:val="0F0F0F"/>
        </w:rPr>
        <w:t>(4)若承包人不履</w:t>
      </w:r>
      <w:r>
        <w:rPr>
          <w:rFonts w:hint="eastAsia" w:ascii="新宋体" w:eastAsia="新宋体"/>
          <w:color w:val="0F0F0F"/>
        </w:rPr>
        <w:t>行</w:t>
      </w:r>
      <w:r>
        <w:rPr>
          <w:rFonts w:ascii="新宋体" w:eastAsia="新宋体"/>
          <w:color w:val="0F0F0F"/>
        </w:rPr>
        <w:t>保修义务和责任，则承包人应承担由于违约造成的法律后果。</w:t>
      </w:r>
      <w:r>
        <w:rPr>
          <w:rFonts w:hint="eastAsia" w:ascii="新宋体" w:eastAsia="新宋体"/>
          <w:color w:val="0F0F0F"/>
        </w:rPr>
        <w:t>并由</w:t>
      </w:r>
      <w:r>
        <w:rPr>
          <w:rFonts w:ascii="新宋体" w:eastAsia="新宋体"/>
          <w:color w:val="0F0F0F"/>
        </w:rPr>
        <w:t>发包人将其违约行为上报省级交通主管部门，作为不良记录纳</w:t>
      </w:r>
      <w:r>
        <w:rPr>
          <w:rFonts w:hint="eastAsia" w:ascii="新宋体" w:eastAsia="新宋体"/>
          <w:color w:val="0F0F0F"/>
        </w:rPr>
        <w:t>入</w:t>
      </w:r>
      <w:r>
        <w:rPr>
          <w:rFonts w:ascii="新宋体" w:eastAsia="新宋体"/>
          <w:color w:val="0F0F0F"/>
        </w:rPr>
        <w:t>公路建设市场信</w:t>
      </w:r>
      <w:r>
        <w:rPr>
          <w:rFonts w:hint="eastAsia" w:ascii="新宋体" w:eastAsia="新宋体"/>
          <w:color w:val="0F0F0F"/>
        </w:rPr>
        <w:t>用信息管理系统。</w:t>
      </w:r>
    </w:p>
    <w:p w14:paraId="2C78FC49">
      <w:pPr>
        <w:spacing w:line="400" w:lineRule="exact"/>
        <w:rPr>
          <w:rFonts w:ascii="新宋体" w:eastAsia="新宋体"/>
          <w:color w:val="0F0F0F"/>
          <w:sz w:val="28"/>
          <w:szCs w:val="28"/>
        </w:rPr>
      </w:pPr>
      <w:r>
        <w:rPr>
          <w:rFonts w:ascii="新宋体" w:eastAsia="新宋体"/>
          <w:color w:val="0F0F0F"/>
          <w:sz w:val="28"/>
          <w:szCs w:val="28"/>
        </w:rPr>
        <w:t>20</w:t>
      </w:r>
      <w:r>
        <w:rPr>
          <w:rFonts w:hint="eastAsia" w:ascii="新宋体" w:eastAsia="新宋体"/>
          <w:color w:val="0F0F0F"/>
          <w:sz w:val="28"/>
          <w:szCs w:val="28"/>
        </w:rPr>
        <w:t>.</w:t>
      </w:r>
      <w:r>
        <w:rPr>
          <w:rFonts w:ascii="新宋体" w:eastAsia="新宋体"/>
          <w:color w:val="0F0F0F"/>
          <w:sz w:val="28"/>
          <w:szCs w:val="28"/>
        </w:rPr>
        <w:t>保险</w:t>
      </w:r>
    </w:p>
    <w:p w14:paraId="3435DB20">
      <w:pPr>
        <w:rPr>
          <w:rFonts w:ascii="新宋体" w:eastAsia="新宋体"/>
          <w:color w:val="0F0F0F"/>
          <w:sz w:val="24"/>
        </w:rPr>
      </w:pPr>
      <w:r>
        <w:rPr>
          <w:rFonts w:ascii="新宋体" w:eastAsia="新宋体"/>
          <w:color w:val="0F0F0F"/>
          <w:sz w:val="24"/>
        </w:rPr>
        <w:t>20</w:t>
      </w:r>
      <w:r>
        <w:rPr>
          <w:rFonts w:hint="eastAsia" w:ascii="新宋体" w:eastAsia="新宋体"/>
          <w:color w:val="0F0F0F"/>
          <w:sz w:val="24"/>
        </w:rPr>
        <w:t>.</w:t>
      </w:r>
      <w:r>
        <w:rPr>
          <w:rFonts w:ascii="新宋体" w:eastAsia="新宋体"/>
          <w:color w:val="0F0F0F"/>
          <w:sz w:val="24"/>
        </w:rPr>
        <w:t>1工程保险</w:t>
      </w:r>
    </w:p>
    <w:p w14:paraId="366DF7E5">
      <w:pPr>
        <w:ind w:firstLine="420" w:firstLineChars="200"/>
        <w:rPr>
          <w:rFonts w:ascii="新宋体" w:eastAsia="新宋体"/>
          <w:color w:val="0F0F0F"/>
        </w:rPr>
      </w:pPr>
      <w:r>
        <w:rPr>
          <w:rFonts w:ascii="新宋体" w:eastAsia="新宋体"/>
          <w:color w:val="0F0F0F"/>
        </w:rPr>
        <w:t>本款约定为：</w:t>
      </w:r>
    </w:p>
    <w:p w14:paraId="5428DD41">
      <w:pPr>
        <w:ind w:firstLine="420" w:firstLineChars="200"/>
        <w:rPr>
          <w:rFonts w:ascii="新宋体" w:eastAsia="新宋体"/>
          <w:color w:val="0F0F0F"/>
        </w:rPr>
      </w:pPr>
      <w:r>
        <w:rPr>
          <w:rFonts w:ascii="新宋体" w:eastAsia="新宋体"/>
          <w:color w:val="0F0F0F"/>
        </w:rPr>
        <w:t>建筑</w:t>
      </w:r>
      <w:r>
        <w:rPr>
          <w:rFonts w:hint="eastAsia" w:ascii="新宋体" w:eastAsia="新宋体"/>
          <w:color w:val="0F0F0F"/>
        </w:rPr>
        <w:t>工</w:t>
      </w:r>
      <w:r>
        <w:rPr>
          <w:rFonts w:ascii="新宋体" w:eastAsia="新宋体"/>
          <w:color w:val="0F0F0F"/>
        </w:rPr>
        <w:t>程一切险的投保内容：为本合同</w:t>
      </w:r>
      <w:r>
        <w:rPr>
          <w:rFonts w:hint="eastAsia" w:ascii="新宋体" w:eastAsia="新宋体"/>
          <w:color w:val="0F0F0F"/>
        </w:rPr>
        <w:t>工</w:t>
      </w:r>
      <w:r>
        <w:rPr>
          <w:rFonts w:ascii="新宋体" w:eastAsia="新宋体"/>
          <w:color w:val="0F0F0F"/>
        </w:rPr>
        <w:t>程的永久</w:t>
      </w:r>
      <w:r>
        <w:rPr>
          <w:rFonts w:hint="eastAsia" w:ascii="新宋体" w:eastAsia="新宋体"/>
          <w:color w:val="0F0F0F"/>
        </w:rPr>
        <w:t>工</w:t>
      </w:r>
      <w:r>
        <w:rPr>
          <w:rFonts w:ascii="新宋体" w:eastAsia="新宋体"/>
          <w:color w:val="0F0F0F"/>
        </w:rPr>
        <w:t>程、临时</w:t>
      </w:r>
      <w:r>
        <w:rPr>
          <w:rFonts w:hint="eastAsia" w:ascii="新宋体" w:eastAsia="新宋体"/>
          <w:color w:val="0F0F0F"/>
        </w:rPr>
        <w:t>工</w:t>
      </w:r>
      <w:r>
        <w:rPr>
          <w:rFonts w:ascii="新宋体" w:eastAsia="新宋体"/>
          <w:color w:val="0F0F0F"/>
        </w:rPr>
        <w:t>程和设备及已运至</w:t>
      </w:r>
      <w:r>
        <w:rPr>
          <w:rFonts w:hint="eastAsia" w:ascii="新宋体" w:eastAsia="新宋体"/>
          <w:color w:val="0F0F0F"/>
        </w:rPr>
        <w:t>施工工</w:t>
      </w:r>
      <w:r>
        <w:rPr>
          <w:rFonts w:ascii="新宋体" w:eastAsia="新宋体"/>
          <w:color w:val="0F0F0F"/>
        </w:rPr>
        <w:t>地用</w:t>
      </w:r>
      <w:r>
        <w:rPr>
          <w:rFonts w:hint="eastAsia" w:ascii="新宋体" w:eastAsia="新宋体"/>
          <w:color w:val="0F0F0F"/>
        </w:rPr>
        <w:t>于</w:t>
      </w:r>
      <w:r>
        <w:rPr>
          <w:rFonts w:ascii="新宋体" w:eastAsia="新宋体"/>
          <w:color w:val="0F0F0F"/>
        </w:rPr>
        <w:t>永久工程的材料和设备所投的保险。</w:t>
      </w:r>
    </w:p>
    <w:p w14:paraId="22E6FC79">
      <w:pPr>
        <w:ind w:firstLine="420" w:firstLineChars="200"/>
        <w:rPr>
          <w:rFonts w:ascii="新宋体" w:eastAsia="新宋体"/>
          <w:color w:val="0F0F0F"/>
        </w:rPr>
      </w:pPr>
      <w:r>
        <w:rPr>
          <w:rFonts w:ascii="新宋体" w:eastAsia="新宋体"/>
          <w:color w:val="0F0F0F"/>
        </w:rPr>
        <w:t>保险金额：</w:t>
      </w:r>
      <w:r>
        <w:rPr>
          <w:rFonts w:hint="eastAsia" w:ascii="新宋体" w:eastAsia="新宋体"/>
          <w:color w:val="0F0F0F"/>
        </w:rPr>
        <w:t>工</w:t>
      </w:r>
      <w:r>
        <w:rPr>
          <w:rFonts w:ascii="新宋体" w:eastAsia="新宋体"/>
          <w:color w:val="0F0F0F"/>
        </w:rPr>
        <w:t>程量清单第100章(不含建筑</w:t>
      </w:r>
      <w:r>
        <w:rPr>
          <w:rFonts w:hint="eastAsia" w:ascii="新宋体" w:eastAsia="新宋体"/>
          <w:color w:val="0F0F0F"/>
        </w:rPr>
        <w:t>工</w:t>
      </w:r>
      <w:r>
        <w:rPr>
          <w:rFonts w:ascii="新宋体" w:eastAsia="新宋体"/>
          <w:color w:val="0F0F0F"/>
        </w:rPr>
        <w:t>程一切险及第三者责任险的保险费)</w:t>
      </w:r>
      <w:r>
        <w:rPr>
          <w:rFonts w:hint="eastAsia" w:ascii="新宋体" w:eastAsia="新宋体"/>
          <w:color w:val="0F0F0F"/>
        </w:rPr>
        <w:t>至</w:t>
      </w:r>
      <w:r>
        <w:rPr>
          <w:rFonts w:ascii="新宋体" w:eastAsia="新宋体"/>
          <w:color w:val="0F0F0F"/>
        </w:rPr>
        <w:t>700章的合计金额。</w:t>
      </w:r>
    </w:p>
    <w:p w14:paraId="6E2E5F41">
      <w:pPr>
        <w:ind w:firstLine="420" w:firstLineChars="200"/>
        <w:rPr>
          <w:rFonts w:ascii="新宋体" w:eastAsia="新宋体"/>
          <w:color w:val="0F0F0F"/>
        </w:rPr>
      </w:pPr>
      <w:r>
        <w:rPr>
          <w:rFonts w:ascii="新宋体" w:eastAsia="新宋体"/>
          <w:color w:val="0F0F0F"/>
        </w:rPr>
        <w:t>保险</w:t>
      </w:r>
      <w:r>
        <w:rPr>
          <w:rFonts w:hint="eastAsia" w:ascii="新宋体" w:eastAsia="新宋体"/>
          <w:color w:val="0F0F0F"/>
        </w:rPr>
        <w:t>费</w:t>
      </w:r>
      <w:r>
        <w:rPr>
          <w:rFonts w:ascii="新宋体" w:eastAsia="新宋体"/>
          <w:color w:val="0F0F0F"/>
        </w:rPr>
        <w:t>率：在项目专用合同条款数据表中约定。</w:t>
      </w:r>
    </w:p>
    <w:p w14:paraId="3628DF9E">
      <w:pPr>
        <w:ind w:firstLine="420" w:firstLineChars="200"/>
        <w:rPr>
          <w:rFonts w:ascii="新宋体" w:eastAsia="新宋体"/>
          <w:color w:val="0F0F0F"/>
        </w:rPr>
      </w:pPr>
      <w:r>
        <w:rPr>
          <w:rFonts w:ascii="新宋体" w:eastAsia="新宋体"/>
          <w:color w:val="0F0F0F"/>
        </w:rPr>
        <w:t>保险期限：开工日起至本合同工程签发缺陷责任期终止</w:t>
      </w:r>
      <w:r>
        <w:rPr>
          <w:rFonts w:hint="eastAsia" w:ascii="新宋体" w:eastAsia="新宋体"/>
          <w:color w:val="0F0F0F"/>
        </w:rPr>
        <w:t>证</w:t>
      </w:r>
      <w:r>
        <w:rPr>
          <w:rFonts w:ascii="新宋体" w:eastAsia="新宋体"/>
          <w:color w:val="0F0F0F"/>
        </w:rPr>
        <w:t>书止(即合同工期+缺</w:t>
      </w:r>
      <w:r>
        <w:rPr>
          <w:rFonts w:hint="eastAsia" w:ascii="新宋体" w:eastAsia="新宋体"/>
          <w:color w:val="0F0F0F"/>
        </w:rPr>
        <w:t>陷责任期</w:t>
      </w:r>
      <w:r>
        <w:rPr>
          <w:rFonts w:ascii="新宋体" w:eastAsia="新宋体"/>
          <w:color w:val="0F0F0F"/>
        </w:rPr>
        <w:t>)。</w:t>
      </w:r>
    </w:p>
    <w:p w14:paraId="49105D01">
      <w:pPr>
        <w:ind w:firstLine="420" w:firstLineChars="200"/>
        <w:rPr>
          <w:rFonts w:ascii="新宋体" w:eastAsia="新宋体"/>
          <w:color w:val="0F0F0F"/>
        </w:rPr>
      </w:pPr>
      <w:r>
        <w:rPr>
          <w:rFonts w:ascii="新宋体" w:eastAsia="新宋体"/>
          <w:color w:val="0F0F0F"/>
        </w:rPr>
        <w:t>承包人应以发包人和承包人的共同名义投保建筑工程一切险。建筑工程一切险的</w:t>
      </w:r>
      <w:r>
        <w:rPr>
          <w:rFonts w:hint="eastAsia" w:ascii="新宋体" w:eastAsia="新宋体"/>
          <w:color w:val="0F0F0F"/>
        </w:rPr>
        <w:t>保险费由承包人报价时列入工程量清单</w:t>
      </w:r>
      <w:r>
        <w:rPr>
          <w:rFonts w:ascii="新宋体" w:eastAsia="新宋体"/>
          <w:color w:val="0F0F0F"/>
        </w:rPr>
        <w:t>100章内。发包人在接到</w:t>
      </w:r>
      <w:r>
        <w:rPr>
          <w:rFonts w:hint="eastAsia" w:ascii="新宋体" w:eastAsia="新宋体"/>
          <w:color w:val="0F0F0F"/>
        </w:rPr>
        <w:t>保</w:t>
      </w:r>
      <w:r>
        <w:rPr>
          <w:rFonts w:ascii="新宋体" w:eastAsia="新宋体"/>
          <w:color w:val="0F0F0F"/>
        </w:rPr>
        <w:t>险单后，将按照保险</w:t>
      </w:r>
      <w:r>
        <w:rPr>
          <w:rFonts w:hint="eastAsia" w:ascii="新宋体" w:eastAsia="新宋体"/>
          <w:color w:val="0F0F0F"/>
        </w:rPr>
        <w:t>单的费用直接向承包人支付。</w:t>
      </w:r>
    </w:p>
    <w:p w14:paraId="0E7BDB28">
      <w:pPr>
        <w:rPr>
          <w:rFonts w:ascii="新宋体" w:eastAsia="新宋体"/>
          <w:color w:val="0F0F0F"/>
          <w:sz w:val="24"/>
        </w:rPr>
      </w:pPr>
      <w:r>
        <w:rPr>
          <w:rFonts w:hint="eastAsia" w:ascii="新宋体" w:eastAsia="新宋体"/>
          <w:color w:val="0F0F0F"/>
          <w:sz w:val="24"/>
        </w:rPr>
        <w:t>20.</w:t>
      </w:r>
      <w:r>
        <w:rPr>
          <w:rFonts w:ascii="新宋体" w:eastAsia="新宋体"/>
          <w:color w:val="0F0F0F"/>
          <w:sz w:val="24"/>
        </w:rPr>
        <w:t>4第三者</w:t>
      </w:r>
      <w:r>
        <w:rPr>
          <w:rFonts w:hint="eastAsia" w:ascii="新宋体" w:eastAsia="新宋体"/>
          <w:color w:val="0F0F0F"/>
          <w:sz w:val="24"/>
        </w:rPr>
        <w:t>责任险</w:t>
      </w:r>
    </w:p>
    <w:p w14:paraId="1470DC75">
      <w:pPr>
        <w:ind w:firstLine="420" w:firstLineChars="200"/>
        <w:rPr>
          <w:rFonts w:ascii="新宋体" w:eastAsia="新宋体"/>
          <w:color w:val="0F0F0F"/>
        </w:rPr>
      </w:pPr>
      <w:r>
        <w:rPr>
          <w:rFonts w:ascii="新宋体" w:eastAsia="新宋体"/>
          <w:color w:val="0F0F0F"/>
        </w:rPr>
        <w:t>第20</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23401D53">
      <w:pPr>
        <w:ind w:firstLine="420" w:firstLineChars="200"/>
        <w:rPr>
          <w:rFonts w:ascii="新宋体" w:eastAsia="新宋体"/>
          <w:color w:val="0F0F0F"/>
        </w:rPr>
      </w:pPr>
      <w:r>
        <w:rPr>
          <w:rFonts w:ascii="新宋体" w:eastAsia="新宋体"/>
          <w:color w:val="0F0F0F"/>
        </w:rPr>
        <w:t>第三者</w:t>
      </w:r>
      <w:r>
        <w:rPr>
          <w:rFonts w:hint="eastAsia" w:ascii="新宋体" w:eastAsia="新宋体"/>
          <w:color w:val="0F0F0F"/>
        </w:rPr>
        <w:t>责</w:t>
      </w:r>
      <w:r>
        <w:rPr>
          <w:rFonts w:ascii="新宋体" w:eastAsia="新宋体"/>
          <w:color w:val="0F0F0F"/>
        </w:rPr>
        <w:t>任险的保险</w:t>
      </w:r>
      <w:r>
        <w:rPr>
          <w:rFonts w:hint="eastAsia" w:ascii="新宋体" w:eastAsia="新宋体"/>
          <w:color w:val="0F0F0F"/>
        </w:rPr>
        <w:t>费</w:t>
      </w:r>
      <w:r>
        <w:rPr>
          <w:rFonts w:ascii="新宋体" w:eastAsia="新宋体"/>
          <w:color w:val="0F0F0F"/>
        </w:rPr>
        <w:t>由承包人报价时列</w:t>
      </w:r>
      <w:r>
        <w:rPr>
          <w:rFonts w:hint="eastAsia" w:ascii="新宋体" w:eastAsia="新宋体"/>
          <w:color w:val="0F0F0F"/>
        </w:rPr>
        <w:t>入</w:t>
      </w:r>
      <w:r>
        <w:rPr>
          <w:rFonts w:ascii="新宋体" w:eastAsia="新宋体"/>
          <w:color w:val="0F0F0F"/>
        </w:rPr>
        <w:t>工程量清单100</w:t>
      </w:r>
      <w:r>
        <w:rPr>
          <w:rFonts w:hint="eastAsia" w:ascii="新宋体" w:eastAsia="新宋体"/>
          <w:color w:val="0F0F0F"/>
        </w:rPr>
        <w:t>章</w:t>
      </w:r>
      <w:r>
        <w:rPr>
          <w:rFonts w:ascii="新宋体" w:eastAsia="新宋体"/>
          <w:color w:val="0F0F0F"/>
        </w:rPr>
        <w:t>内。发包人在接</w:t>
      </w:r>
      <w:r>
        <w:rPr>
          <w:rFonts w:hint="eastAsia" w:ascii="新宋体" w:eastAsia="新宋体"/>
          <w:color w:val="0F0F0F"/>
        </w:rPr>
        <w:t>到保险单后，将按照保险单的费用直接向承包人支付。</w:t>
      </w:r>
    </w:p>
    <w:p w14:paraId="4900BDDE">
      <w:pPr>
        <w:rPr>
          <w:rFonts w:ascii="新宋体" w:eastAsia="新宋体"/>
          <w:color w:val="0F0F0F"/>
          <w:sz w:val="24"/>
        </w:rPr>
      </w:pPr>
      <w:r>
        <w:rPr>
          <w:rFonts w:hint="eastAsia" w:ascii="新宋体" w:eastAsia="新宋体"/>
          <w:color w:val="0F0F0F"/>
          <w:sz w:val="24"/>
        </w:rPr>
        <w:t>20.</w:t>
      </w:r>
      <w:r>
        <w:rPr>
          <w:rFonts w:ascii="新宋体" w:eastAsia="新宋体"/>
          <w:color w:val="0F0F0F"/>
          <w:sz w:val="24"/>
        </w:rPr>
        <w:t>5其他保险</w:t>
      </w:r>
    </w:p>
    <w:p w14:paraId="12F7B7CB">
      <w:pPr>
        <w:ind w:firstLine="420" w:firstLineChars="200"/>
        <w:rPr>
          <w:rFonts w:ascii="新宋体" w:eastAsia="新宋体"/>
          <w:color w:val="0F0F0F"/>
        </w:rPr>
      </w:pPr>
      <w:r>
        <w:rPr>
          <w:rFonts w:ascii="新宋体" w:eastAsia="新宋体"/>
          <w:color w:val="0F0F0F"/>
        </w:rPr>
        <w:t>本款约定为：</w:t>
      </w:r>
    </w:p>
    <w:p w14:paraId="2D38A801">
      <w:pPr>
        <w:ind w:firstLine="420" w:firstLineChars="200"/>
        <w:rPr>
          <w:rFonts w:ascii="新宋体" w:eastAsia="新宋体"/>
          <w:color w:val="0F0F0F"/>
        </w:rPr>
      </w:pPr>
      <w:r>
        <w:rPr>
          <w:rFonts w:ascii="新宋体" w:eastAsia="新宋体"/>
          <w:color w:val="0F0F0F"/>
        </w:rPr>
        <w:t>承包人应为其施工设备等办理保险，其投保金额应足以现场重置。办理本款保险的</w:t>
      </w:r>
      <w:r>
        <w:rPr>
          <w:rFonts w:hint="eastAsia" w:ascii="新宋体" w:eastAsia="新宋体"/>
          <w:color w:val="0F0F0F"/>
        </w:rPr>
        <w:t>一切费用均由承包人承担，并包括在工程量清单的单价及总额价中，发包人不单独支付。</w:t>
      </w:r>
    </w:p>
    <w:p w14:paraId="45FAF12A">
      <w:pPr>
        <w:rPr>
          <w:rFonts w:ascii="新宋体" w:eastAsia="新宋体"/>
          <w:color w:val="0F0F0F"/>
          <w:sz w:val="24"/>
        </w:rPr>
      </w:pPr>
      <w:r>
        <w:rPr>
          <w:rFonts w:ascii="新宋体" w:eastAsia="新宋体"/>
          <w:color w:val="0F0F0F"/>
          <w:sz w:val="24"/>
        </w:rPr>
        <w:t>20</w:t>
      </w:r>
      <w:r>
        <w:rPr>
          <w:rFonts w:hint="eastAsia" w:ascii="新宋体" w:eastAsia="新宋体"/>
          <w:color w:val="0F0F0F"/>
          <w:sz w:val="24"/>
        </w:rPr>
        <w:t>.</w:t>
      </w:r>
      <w:r>
        <w:rPr>
          <w:rFonts w:ascii="新宋体" w:eastAsia="新宋体"/>
          <w:color w:val="0F0F0F"/>
          <w:sz w:val="24"/>
        </w:rPr>
        <w:t>6对各项保险的一般要求</w:t>
      </w:r>
    </w:p>
    <w:p w14:paraId="6D53A1EC">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1保险凭证</w:t>
      </w:r>
    </w:p>
    <w:p w14:paraId="5CADE39B">
      <w:pPr>
        <w:ind w:firstLine="420" w:firstLineChars="200"/>
        <w:rPr>
          <w:rFonts w:ascii="新宋体" w:eastAsia="新宋体"/>
          <w:color w:val="0F0F0F"/>
        </w:rPr>
      </w:pPr>
      <w:r>
        <w:rPr>
          <w:rFonts w:ascii="新宋体" w:eastAsia="新宋体"/>
          <w:color w:val="0F0F0F"/>
        </w:rPr>
        <w:t>本项约定为：</w:t>
      </w:r>
    </w:p>
    <w:p w14:paraId="66B51390">
      <w:pPr>
        <w:ind w:firstLine="420" w:firstLineChars="200"/>
        <w:rPr>
          <w:rFonts w:ascii="新宋体" w:eastAsia="新宋体"/>
          <w:color w:val="0F0F0F"/>
        </w:rPr>
      </w:pPr>
      <w:r>
        <w:rPr>
          <w:rFonts w:ascii="新宋体" w:eastAsia="新宋体"/>
          <w:color w:val="0F0F0F"/>
        </w:rPr>
        <w:t>承包人向发包人提交各项保险生效的证据</w:t>
      </w:r>
      <w:r>
        <w:rPr>
          <w:rFonts w:hint="eastAsia" w:ascii="新宋体" w:eastAsia="新宋体"/>
          <w:color w:val="0F0F0F"/>
        </w:rPr>
        <w:t>和</w:t>
      </w:r>
      <w:r>
        <w:rPr>
          <w:rFonts w:ascii="新宋体" w:eastAsia="新宋体"/>
          <w:color w:val="0F0F0F"/>
        </w:rPr>
        <w:t>保险单</w:t>
      </w:r>
      <w:r>
        <w:rPr>
          <w:rFonts w:hint="eastAsia" w:ascii="新宋体" w:eastAsia="新宋体"/>
          <w:color w:val="0F0F0F"/>
        </w:rPr>
        <w:t>副</w:t>
      </w:r>
      <w:r>
        <w:rPr>
          <w:rFonts w:ascii="新宋体" w:eastAsia="新宋体"/>
          <w:color w:val="0F0F0F"/>
        </w:rPr>
        <w:t>本的期限：开工后56天内。</w:t>
      </w:r>
    </w:p>
    <w:p w14:paraId="03E5D9FE">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 xml:space="preserve">3持续保险 </w:t>
      </w:r>
    </w:p>
    <w:p w14:paraId="106B8EB5">
      <w:pPr>
        <w:ind w:firstLine="420" w:firstLineChars="200"/>
        <w:rPr>
          <w:rFonts w:ascii="新宋体" w:eastAsia="新宋体"/>
          <w:color w:val="0F0F0F"/>
        </w:rPr>
      </w:pPr>
      <w:r>
        <w:rPr>
          <w:rFonts w:ascii="新宋体" w:eastAsia="新宋体"/>
          <w:color w:val="0F0F0F"/>
        </w:rPr>
        <w:t>本</w:t>
      </w:r>
      <w:r>
        <w:rPr>
          <w:rFonts w:hint="eastAsia" w:ascii="新宋体" w:eastAsia="新宋体"/>
          <w:color w:val="0F0F0F"/>
        </w:rPr>
        <w:t>目补</w:t>
      </w:r>
      <w:r>
        <w:rPr>
          <w:rFonts w:ascii="新宋体" w:eastAsia="新宋体"/>
          <w:color w:val="0F0F0F"/>
        </w:rPr>
        <w:t>充：</w:t>
      </w:r>
    </w:p>
    <w:p w14:paraId="44B3A9F4">
      <w:pPr>
        <w:ind w:firstLine="420" w:firstLineChars="200"/>
        <w:rPr>
          <w:rFonts w:ascii="新宋体" w:eastAsia="新宋体"/>
          <w:color w:val="0F0F0F"/>
        </w:rPr>
      </w:pPr>
      <w:r>
        <w:rPr>
          <w:rFonts w:ascii="新宋体" w:eastAsia="新宋体"/>
          <w:color w:val="0F0F0F"/>
        </w:rPr>
        <w:t>在整个合同期内，承包人应</w:t>
      </w:r>
      <w:r>
        <w:rPr>
          <w:rFonts w:hint="eastAsia" w:ascii="新宋体" w:eastAsia="新宋体"/>
          <w:color w:val="0F0F0F"/>
        </w:rPr>
        <w:t>按</w:t>
      </w:r>
      <w:r>
        <w:rPr>
          <w:rFonts w:ascii="新宋体" w:eastAsia="新宋体"/>
          <w:color w:val="0F0F0F"/>
        </w:rPr>
        <w:t>合同条款规定保</w:t>
      </w:r>
      <w:r>
        <w:rPr>
          <w:rFonts w:hint="eastAsia" w:ascii="新宋体" w:eastAsia="新宋体"/>
          <w:color w:val="0F0F0F"/>
        </w:rPr>
        <w:t>证</w:t>
      </w:r>
      <w:r>
        <w:rPr>
          <w:rFonts w:ascii="新宋体" w:eastAsia="新宋体"/>
          <w:color w:val="0F0F0F"/>
        </w:rPr>
        <w:t>足够的保险额。</w:t>
      </w:r>
    </w:p>
    <w:p w14:paraId="42F9C1D8">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4保险金不足的补偿</w:t>
      </w:r>
    </w:p>
    <w:p w14:paraId="6EEAD462">
      <w:pPr>
        <w:ind w:firstLine="420" w:firstLineChars="200"/>
        <w:rPr>
          <w:rFonts w:ascii="新宋体" w:eastAsia="新宋体"/>
          <w:color w:val="0F0F0F"/>
        </w:rPr>
      </w:pPr>
      <w:r>
        <w:rPr>
          <w:rFonts w:ascii="新宋体" w:eastAsia="新宋体"/>
          <w:color w:val="0F0F0F"/>
        </w:rPr>
        <w:t>本项细化为：</w:t>
      </w:r>
    </w:p>
    <w:p w14:paraId="1DD16218">
      <w:pPr>
        <w:ind w:firstLine="420" w:firstLineChars="200"/>
        <w:rPr>
          <w:rFonts w:ascii="新宋体" w:eastAsia="新宋体"/>
          <w:color w:val="0F0F0F"/>
        </w:rPr>
      </w:pPr>
      <w:r>
        <w:rPr>
          <w:rFonts w:ascii="新宋体" w:eastAsia="新宋体"/>
          <w:color w:val="0F0F0F"/>
        </w:rPr>
        <w:t>保险金不足以补偿损失的(包括免赔额和超过赂偿限额的部分)，应</w:t>
      </w:r>
      <w:r>
        <w:rPr>
          <w:rFonts w:hint="eastAsia" w:ascii="新宋体" w:eastAsia="新宋体"/>
          <w:color w:val="0F0F0F"/>
        </w:rPr>
        <w:t>由</w:t>
      </w:r>
      <w:r>
        <w:rPr>
          <w:rFonts w:ascii="新宋体" w:eastAsia="新宋体"/>
          <w:color w:val="0F0F0F"/>
        </w:rPr>
        <w:t>承包人和(或)发包人按合同约定负责</w:t>
      </w:r>
      <w:r>
        <w:rPr>
          <w:rFonts w:hint="eastAsia" w:ascii="新宋体" w:eastAsia="新宋体"/>
          <w:color w:val="0F0F0F"/>
        </w:rPr>
        <w:t>补</w:t>
      </w:r>
      <w:r>
        <w:rPr>
          <w:rFonts w:ascii="新宋体" w:eastAsia="新宋体"/>
          <w:color w:val="0F0F0F"/>
        </w:rPr>
        <w:t>偿。</w:t>
      </w:r>
    </w:p>
    <w:p w14:paraId="1685B35D">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5未按约定投保的补救</w:t>
      </w:r>
    </w:p>
    <w:p w14:paraId="41F6D5AB">
      <w:pPr>
        <w:ind w:firstLine="420" w:firstLineChars="200"/>
        <w:rPr>
          <w:rFonts w:ascii="新宋体" w:eastAsia="新宋体"/>
          <w:color w:val="0F0F0F"/>
        </w:rPr>
      </w:pPr>
      <w:r>
        <w:rPr>
          <w:rFonts w:ascii="新宋体" w:eastAsia="新宋体"/>
          <w:color w:val="0F0F0F"/>
        </w:rPr>
        <w:t>本项(2)</w:t>
      </w:r>
      <w:r>
        <w:rPr>
          <w:rFonts w:hint="eastAsia" w:ascii="新宋体" w:eastAsia="新宋体"/>
          <w:color w:val="0F0F0F"/>
        </w:rPr>
        <w:t>目</w:t>
      </w:r>
      <w:r>
        <w:rPr>
          <w:rFonts w:ascii="新宋体" w:eastAsia="新宋体"/>
          <w:color w:val="0F0F0F"/>
        </w:rPr>
        <w:t>细化为：</w:t>
      </w:r>
    </w:p>
    <w:p w14:paraId="63E3BA58">
      <w:pPr>
        <w:ind w:firstLine="420" w:firstLineChars="200"/>
        <w:rPr>
          <w:rFonts w:ascii="新宋体" w:eastAsia="新宋体"/>
          <w:color w:val="0F0F0F"/>
        </w:rPr>
      </w:pPr>
      <w:r>
        <w:rPr>
          <w:rFonts w:ascii="新宋体" w:eastAsia="新宋体"/>
          <w:color w:val="0F0F0F"/>
        </w:rPr>
        <w:t>(2)由于负有投保义务的一方当事人</w:t>
      </w:r>
      <w:r>
        <w:rPr>
          <w:rFonts w:hint="eastAsia" w:ascii="新宋体" w:eastAsia="新宋体"/>
          <w:color w:val="0F0F0F"/>
        </w:rPr>
        <w:t>未</w:t>
      </w:r>
      <w:r>
        <w:rPr>
          <w:rFonts w:ascii="新宋体" w:eastAsia="新宋体"/>
          <w:color w:val="0F0F0F"/>
        </w:rPr>
        <w:t>按合同约定办理某项保险，或未按保险单规</w:t>
      </w:r>
      <w:r>
        <w:rPr>
          <w:rFonts w:hint="eastAsia" w:ascii="新宋体" w:eastAsia="新宋体"/>
          <w:color w:val="0F0F0F"/>
        </w:rPr>
        <w:t>定的条件和期限及时向保险人报告事故情况，或未按要求的保险期限进行投保，或未按要求投保足够的保险金额，导致受益人未能或未能全部得到保险人的赔偿，原应从该项保险得到的保险金应由负有投保义务的一方当事人支付。</w:t>
      </w:r>
    </w:p>
    <w:p w14:paraId="0CD5A371">
      <w:pPr>
        <w:spacing w:line="400" w:lineRule="exact"/>
        <w:rPr>
          <w:rFonts w:ascii="新宋体" w:eastAsia="新宋体"/>
          <w:color w:val="0F0F0F"/>
          <w:sz w:val="28"/>
          <w:szCs w:val="28"/>
        </w:rPr>
      </w:pPr>
      <w:r>
        <w:rPr>
          <w:rFonts w:ascii="新宋体" w:eastAsia="新宋体"/>
          <w:color w:val="0F0F0F"/>
          <w:sz w:val="28"/>
          <w:szCs w:val="28"/>
        </w:rPr>
        <w:t>21</w:t>
      </w:r>
      <w:r>
        <w:rPr>
          <w:rFonts w:hint="eastAsia" w:ascii="新宋体" w:eastAsia="新宋体"/>
          <w:color w:val="0F0F0F"/>
          <w:sz w:val="28"/>
          <w:szCs w:val="28"/>
        </w:rPr>
        <w:t>.</w:t>
      </w:r>
      <w:r>
        <w:rPr>
          <w:rFonts w:ascii="新宋体" w:eastAsia="新宋体"/>
          <w:color w:val="0F0F0F"/>
          <w:sz w:val="28"/>
          <w:szCs w:val="28"/>
        </w:rPr>
        <w:t>不可抗力</w:t>
      </w:r>
    </w:p>
    <w:p w14:paraId="56F5AF9C">
      <w:pPr>
        <w:rPr>
          <w:rFonts w:ascii="新宋体" w:eastAsia="新宋体"/>
          <w:color w:val="0F0F0F"/>
          <w:sz w:val="24"/>
        </w:rPr>
      </w:pPr>
      <w:r>
        <w:rPr>
          <w:rFonts w:ascii="新宋体" w:eastAsia="新宋体"/>
          <w:color w:val="0F0F0F"/>
          <w:sz w:val="24"/>
        </w:rPr>
        <w:t>21</w:t>
      </w:r>
      <w:r>
        <w:rPr>
          <w:rFonts w:hint="eastAsia" w:ascii="新宋体" w:eastAsia="新宋体"/>
          <w:color w:val="0F0F0F"/>
          <w:sz w:val="24"/>
        </w:rPr>
        <w:t>.</w:t>
      </w:r>
      <w:r>
        <w:rPr>
          <w:rFonts w:ascii="新宋体" w:eastAsia="新宋体"/>
          <w:color w:val="0F0F0F"/>
          <w:sz w:val="24"/>
        </w:rPr>
        <w:t>1不可抗力的确认</w:t>
      </w:r>
    </w:p>
    <w:p w14:paraId="657B6B7A">
      <w:pPr>
        <w:ind w:firstLine="420" w:firstLineChars="200"/>
        <w:rPr>
          <w:rFonts w:ascii="新宋体" w:eastAsia="新宋体"/>
          <w:color w:val="0F0F0F"/>
        </w:rPr>
      </w:pPr>
      <w:r>
        <w:rPr>
          <w:rFonts w:ascii="新宋体" w:eastAsia="新宋体"/>
          <w:color w:val="0F0F0F"/>
        </w:rPr>
        <w:t>21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1项细化为：</w:t>
      </w:r>
    </w:p>
    <w:p w14:paraId="7EF07703">
      <w:pPr>
        <w:ind w:firstLine="420" w:firstLineChars="200"/>
        <w:rPr>
          <w:rFonts w:ascii="新宋体" w:eastAsia="新宋体"/>
          <w:color w:val="0F0F0F"/>
        </w:rPr>
      </w:pPr>
      <w:r>
        <w:rPr>
          <w:rFonts w:ascii="新宋体" w:eastAsia="新宋体"/>
          <w:color w:val="0F0F0F"/>
        </w:rPr>
        <w:t>不可抗力是指承包人和发包人在订立合同时不可预见，在工程施工过程中不可</w:t>
      </w:r>
      <w:r>
        <w:rPr>
          <w:rFonts w:hint="eastAsia" w:ascii="新宋体" w:eastAsia="新宋体"/>
          <w:color w:val="0F0F0F"/>
        </w:rPr>
        <w:t>避免发生并不能克服的自然灾害和社会性突发事件。包括但不限于：</w:t>
      </w:r>
    </w:p>
    <w:p w14:paraId="74B3AF78">
      <w:pPr>
        <w:ind w:firstLine="420" w:firstLineChars="200"/>
        <w:rPr>
          <w:rFonts w:ascii="新宋体" w:eastAsia="新宋体"/>
          <w:color w:val="0F0F0F"/>
        </w:rPr>
      </w:pPr>
      <w:r>
        <w:rPr>
          <w:rFonts w:ascii="新宋体" w:eastAsia="新宋体"/>
          <w:color w:val="0F0F0F"/>
        </w:rPr>
        <w:t>(1)地震、海啸、火</w:t>
      </w:r>
      <w:bookmarkStart w:id="1016" w:name="_GoBack"/>
      <w:bookmarkEnd w:id="1016"/>
      <w:r>
        <w:rPr>
          <w:rFonts w:ascii="新宋体" w:eastAsia="新宋体"/>
          <w:color w:val="0F0F0F"/>
        </w:rPr>
        <w:t>山爆发、泥石流、暴雨(雪)、台风、龙卷风、水灾等自然灾害；</w:t>
      </w:r>
    </w:p>
    <w:p w14:paraId="07D9F05D">
      <w:pPr>
        <w:ind w:firstLine="420" w:firstLineChars="200"/>
        <w:rPr>
          <w:rFonts w:ascii="新宋体" w:eastAsia="新宋体"/>
          <w:color w:val="0F0F0F"/>
        </w:rPr>
      </w:pPr>
      <w:r>
        <w:rPr>
          <w:rFonts w:ascii="新宋体" w:eastAsia="新宋体"/>
          <w:color w:val="0F0F0F"/>
        </w:rPr>
        <w:t>(2)战争、骚乱、暴动，</w:t>
      </w:r>
      <w:r>
        <w:rPr>
          <w:rFonts w:hint="eastAsia" w:ascii="新宋体" w:eastAsia="新宋体"/>
          <w:color w:val="0F0F0F"/>
        </w:rPr>
        <w:t>但</w:t>
      </w:r>
      <w:r>
        <w:rPr>
          <w:rFonts w:ascii="新宋体" w:eastAsia="新宋体"/>
          <w:color w:val="0F0F0F"/>
        </w:rPr>
        <w:t>纯属承包人</w:t>
      </w:r>
      <w:r>
        <w:rPr>
          <w:rFonts w:hint="eastAsia" w:ascii="新宋体" w:eastAsia="新宋体"/>
          <w:color w:val="0F0F0F"/>
        </w:rPr>
        <w:t>或</w:t>
      </w:r>
      <w:r>
        <w:rPr>
          <w:rFonts w:ascii="新宋体" w:eastAsia="新宋体"/>
          <w:color w:val="0F0F0F"/>
        </w:rPr>
        <w:t>其分包人派遣与</w:t>
      </w:r>
      <w:r>
        <w:rPr>
          <w:rFonts w:hint="eastAsia" w:ascii="新宋体" w:eastAsia="新宋体"/>
          <w:color w:val="0F0F0F"/>
        </w:rPr>
        <w:t>雇</w:t>
      </w:r>
      <w:r>
        <w:rPr>
          <w:rFonts w:ascii="新宋体" w:eastAsia="新宋体"/>
          <w:color w:val="0F0F0F"/>
        </w:rPr>
        <w:t>用的人员</w:t>
      </w:r>
      <w:r>
        <w:rPr>
          <w:rFonts w:hint="eastAsia" w:ascii="新宋体" w:eastAsia="新宋体"/>
          <w:color w:val="0F0F0F"/>
        </w:rPr>
        <w:t>由</w:t>
      </w:r>
      <w:r>
        <w:rPr>
          <w:rFonts w:ascii="新宋体" w:eastAsia="新宋体"/>
          <w:color w:val="0F0F0F"/>
        </w:rPr>
        <w:t>于本合同工程</w:t>
      </w:r>
      <w:r>
        <w:rPr>
          <w:rFonts w:hint="eastAsia" w:ascii="新宋体" w:eastAsia="新宋体"/>
          <w:color w:val="0F0F0F"/>
        </w:rPr>
        <w:t>施工原因引起者除外；</w:t>
      </w:r>
    </w:p>
    <w:p w14:paraId="6BEEBFC7">
      <w:pPr>
        <w:ind w:firstLine="420" w:firstLineChars="200"/>
        <w:rPr>
          <w:rFonts w:ascii="新宋体" w:eastAsia="新宋体"/>
          <w:color w:val="0F0F0F"/>
        </w:rPr>
      </w:pPr>
      <w:r>
        <w:rPr>
          <w:rFonts w:ascii="新宋体" w:eastAsia="新宋体"/>
          <w:color w:val="0F0F0F"/>
        </w:rPr>
        <w:t>(3)核反应、辐射或放射性污染；</w:t>
      </w:r>
    </w:p>
    <w:p w14:paraId="539E891D">
      <w:pPr>
        <w:ind w:firstLine="420" w:firstLineChars="200"/>
        <w:rPr>
          <w:rFonts w:ascii="新宋体" w:eastAsia="新宋体"/>
          <w:color w:val="0F0F0F"/>
        </w:rPr>
      </w:pPr>
      <w:r>
        <w:rPr>
          <w:rFonts w:ascii="新宋体" w:eastAsia="新宋体"/>
          <w:color w:val="0F0F0F"/>
        </w:rPr>
        <w:t>(4)空中飞行物体坠落或非发包人或承包人责任造成的爆炸、火灾；</w:t>
      </w:r>
    </w:p>
    <w:p w14:paraId="4E5EFB34">
      <w:pPr>
        <w:ind w:firstLine="420" w:firstLineChars="200"/>
        <w:rPr>
          <w:rFonts w:ascii="新宋体" w:eastAsia="新宋体"/>
          <w:color w:val="0F0F0F"/>
        </w:rPr>
      </w:pPr>
      <w:r>
        <w:rPr>
          <w:rFonts w:ascii="新宋体" w:eastAsia="新宋体"/>
          <w:color w:val="0F0F0F"/>
        </w:rPr>
        <w:t>(5)瘟疫；</w:t>
      </w:r>
    </w:p>
    <w:p w14:paraId="25951F41">
      <w:pPr>
        <w:ind w:firstLine="420" w:firstLineChars="200"/>
        <w:rPr>
          <w:rFonts w:ascii="新宋体" w:eastAsia="新宋体"/>
          <w:color w:val="0F0F0F"/>
        </w:rPr>
      </w:pPr>
      <w:r>
        <w:rPr>
          <w:rFonts w:ascii="新宋体" w:eastAsia="新宋体"/>
          <w:color w:val="0F0F0F"/>
        </w:rPr>
        <w:t>(6)</w:t>
      </w:r>
      <w:r>
        <w:rPr>
          <w:rFonts w:hint="eastAsia" w:ascii="新宋体" w:eastAsia="新宋体"/>
          <w:color w:val="0F0F0F"/>
        </w:rPr>
        <w:t>不可抗力的其他形式：如因新冠疫情导致的静态管控</w:t>
      </w:r>
      <w:r>
        <w:rPr>
          <w:rFonts w:ascii="新宋体" w:eastAsia="新宋体"/>
          <w:color w:val="0F0F0F"/>
        </w:rPr>
        <w:t>。</w:t>
      </w:r>
    </w:p>
    <w:p w14:paraId="6C2F361C">
      <w:pPr>
        <w:rPr>
          <w:rFonts w:ascii="新宋体" w:eastAsia="新宋体"/>
          <w:color w:val="0F0F0F"/>
          <w:sz w:val="24"/>
        </w:rPr>
      </w:pPr>
      <w:r>
        <w:rPr>
          <w:rFonts w:ascii="新宋体" w:eastAsia="新宋体"/>
          <w:color w:val="0F0F0F"/>
          <w:sz w:val="24"/>
        </w:rPr>
        <w:t>21</w:t>
      </w:r>
      <w:r>
        <w:rPr>
          <w:rFonts w:hint="eastAsia" w:ascii="新宋体" w:eastAsia="新宋体"/>
          <w:color w:val="0F0F0F"/>
          <w:sz w:val="24"/>
        </w:rPr>
        <w:t>.</w:t>
      </w:r>
      <w:r>
        <w:rPr>
          <w:rFonts w:ascii="新宋体" w:eastAsia="新宋体"/>
          <w:color w:val="0F0F0F"/>
          <w:sz w:val="24"/>
        </w:rPr>
        <w:t>3不可抗力后果及其处理</w:t>
      </w:r>
    </w:p>
    <w:p w14:paraId="4D1E7818">
      <w:pPr>
        <w:ind w:firstLine="420" w:firstLineChars="200"/>
        <w:rPr>
          <w:rFonts w:ascii="新宋体" w:eastAsia="新宋体"/>
          <w:color w:val="0F0F0F"/>
        </w:rPr>
      </w:pPr>
      <w:r>
        <w:rPr>
          <w:rFonts w:ascii="新宋体" w:eastAsia="新宋体"/>
          <w:color w:val="0F0F0F"/>
        </w:rPr>
        <w:t>21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4因不可抗力</w:t>
      </w:r>
      <w:r>
        <w:rPr>
          <w:rFonts w:hint="eastAsia" w:ascii="新宋体" w:eastAsia="新宋体"/>
          <w:color w:val="0F0F0F"/>
        </w:rPr>
        <w:t>解</w:t>
      </w:r>
      <w:r>
        <w:rPr>
          <w:rFonts w:ascii="新宋体" w:eastAsia="新宋体"/>
          <w:color w:val="0F0F0F"/>
        </w:rPr>
        <w:t>除合同</w:t>
      </w:r>
    </w:p>
    <w:p w14:paraId="49131DE1">
      <w:pPr>
        <w:ind w:firstLine="420" w:firstLineChars="200"/>
        <w:rPr>
          <w:rFonts w:ascii="新宋体" w:eastAsia="新宋体"/>
          <w:color w:val="0F0F0F"/>
        </w:rPr>
      </w:pPr>
      <w:r>
        <w:rPr>
          <w:rFonts w:ascii="新宋体" w:eastAsia="新宋体"/>
          <w:color w:val="0F0F0F"/>
        </w:rPr>
        <w:t>本项细化为：</w:t>
      </w:r>
    </w:p>
    <w:p w14:paraId="23AE6E08">
      <w:pPr>
        <w:ind w:firstLine="420" w:firstLineChars="200"/>
        <w:rPr>
          <w:rFonts w:ascii="新宋体" w:eastAsia="新宋体"/>
          <w:color w:val="0F0F0F"/>
        </w:rPr>
      </w:pPr>
      <w:r>
        <w:rPr>
          <w:rFonts w:ascii="新宋体" w:eastAsia="新宋体"/>
          <w:color w:val="0F0F0F"/>
        </w:rPr>
        <w:t>合同一方当事人因不可抗力不能履行合</w:t>
      </w:r>
      <w:r>
        <w:rPr>
          <w:rFonts w:hint="eastAsia" w:ascii="新宋体" w:eastAsia="新宋体"/>
          <w:color w:val="0F0F0F"/>
        </w:rPr>
        <w:t>同</w:t>
      </w:r>
      <w:r>
        <w:rPr>
          <w:rFonts w:ascii="新宋体" w:eastAsia="新宋体"/>
          <w:color w:val="0F0F0F"/>
        </w:rPr>
        <w:t>的，应当及时通知对方解除合同。合同解</w:t>
      </w:r>
      <w:r>
        <w:rPr>
          <w:rFonts w:hint="eastAsia" w:ascii="新宋体" w:eastAsia="新宋体"/>
          <w:color w:val="0F0F0F"/>
        </w:rPr>
        <w:t>除后，承包人应按照第</w:t>
      </w: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5项约定撤离</w:t>
      </w:r>
      <w:r>
        <w:rPr>
          <w:rFonts w:hint="eastAsia" w:ascii="新宋体" w:eastAsia="新宋体"/>
          <w:color w:val="0F0F0F"/>
        </w:rPr>
        <w:t>施工</w:t>
      </w:r>
      <w:r>
        <w:rPr>
          <w:rFonts w:ascii="新宋体" w:eastAsia="新宋体"/>
          <w:color w:val="0F0F0F"/>
        </w:rPr>
        <w:t>场地。已</w:t>
      </w:r>
      <w:r>
        <w:rPr>
          <w:rFonts w:hint="eastAsia" w:ascii="新宋体" w:eastAsia="新宋体"/>
          <w:color w:val="0F0F0F"/>
        </w:rPr>
        <w:t>经</w:t>
      </w:r>
      <w:r>
        <w:rPr>
          <w:rFonts w:ascii="新宋体" w:eastAsia="新宋体"/>
          <w:color w:val="0F0F0F"/>
        </w:rPr>
        <w:t>订货的材料、设备由订货方负</w:t>
      </w:r>
      <w:r>
        <w:rPr>
          <w:rFonts w:hint="eastAsia" w:ascii="新宋体" w:eastAsia="新宋体"/>
          <w:color w:val="0F0F0F"/>
        </w:rPr>
        <w:t>责退货或解除订货合同，不能退还的贷款和因退货、解除订货合同发生的费用，由发包人承担，因未及时退货造成的损失由责任方承担。合同解除后的付款，参照第</w:t>
      </w: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4项约定，</w:t>
      </w:r>
      <w:r>
        <w:rPr>
          <w:rFonts w:hint="eastAsia" w:ascii="新宋体" w:eastAsia="新宋体"/>
          <w:color w:val="0F0F0F"/>
        </w:rPr>
        <w:t>由监理人按第</w:t>
      </w:r>
      <w:r>
        <w:rPr>
          <w:rFonts w:ascii="新宋体" w:eastAsia="新宋体"/>
          <w:color w:val="0F0F0F"/>
        </w:rPr>
        <w:t>3</w:t>
      </w:r>
      <w:r>
        <w:rPr>
          <w:rFonts w:hint="eastAsia" w:ascii="新宋体" w:eastAsia="新宋体"/>
          <w:color w:val="0F0F0F"/>
        </w:rPr>
        <w:t>.5款</w:t>
      </w:r>
      <w:r>
        <w:rPr>
          <w:rFonts w:ascii="新宋体" w:eastAsia="新宋体"/>
          <w:color w:val="0F0F0F"/>
        </w:rPr>
        <w:t>商定或确定</w:t>
      </w:r>
      <w:r>
        <w:rPr>
          <w:rFonts w:hint="eastAsia" w:ascii="新宋体" w:eastAsia="新宋体"/>
          <w:color w:val="0F0F0F"/>
        </w:rPr>
        <w:t>，但由于解除合同应赔偿的承包人损失不予考虑。</w:t>
      </w:r>
    </w:p>
    <w:p w14:paraId="6CC9C851">
      <w:pPr>
        <w:spacing w:line="400" w:lineRule="exact"/>
        <w:rPr>
          <w:rFonts w:ascii="新宋体" w:eastAsia="新宋体"/>
          <w:color w:val="0F0F0F"/>
          <w:sz w:val="28"/>
          <w:szCs w:val="28"/>
        </w:rPr>
      </w:pPr>
      <w:r>
        <w:rPr>
          <w:rFonts w:ascii="新宋体" w:eastAsia="新宋体"/>
          <w:color w:val="0F0F0F"/>
          <w:sz w:val="28"/>
          <w:szCs w:val="28"/>
        </w:rPr>
        <w:t>22</w:t>
      </w:r>
      <w:r>
        <w:rPr>
          <w:rFonts w:hint="eastAsia" w:ascii="新宋体" w:eastAsia="新宋体"/>
          <w:color w:val="0F0F0F"/>
          <w:sz w:val="28"/>
          <w:szCs w:val="28"/>
        </w:rPr>
        <w:t>.</w:t>
      </w:r>
      <w:r>
        <w:rPr>
          <w:rFonts w:ascii="新宋体" w:eastAsia="新宋体"/>
          <w:color w:val="0F0F0F"/>
          <w:sz w:val="28"/>
          <w:szCs w:val="28"/>
        </w:rPr>
        <w:t>违约</w:t>
      </w:r>
    </w:p>
    <w:p w14:paraId="097DD56F">
      <w:pPr>
        <w:rPr>
          <w:rFonts w:ascii="新宋体" w:eastAsia="新宋体"/>
          <w:color w:val="0F0F0F"/>
          <w:sz w:val="24"/>
        </w:rPr>
      </w:pPr>
      <w:r>
        <w:rPr>
          <w:rFonts w:ascii="新宋体" w:eastAsia="新宋体"/>
          <w:color w:val="0F0F0F"/>
          <w:sz w:val="24"/>
        </w:rPr>
        <w:t>22</w:t>
      </w:r>
      <w:r>
        <w:rPr>
          <w:rFonts w:hint="eastAsia" w:ascii="新宋体" w:eastAsia="新宋体"/>
          <w:color w:val="0F0F0F"/>
          <w:sz w:val="24"/>
        </w:rPr>
        <w:t>.</w:t>
      </w:r>
      <w:r>
        <w:rPr>
          <w:rFonts w:ascii="新宋体" w:eastAsia="新宋体"/>
          <w:color w:val="0F0F0F"/>
          <w:sz w:val="24"/>
        </w:rPr>
        <w:t>1承包人违约</w:t>
      </w:r>
    </w:p>
    <w:p w14:paraId="64CE753C">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1承包人违约的情形</w:t>
      </w:r>
    </w:p>
    <w:p w14:paraId="36FA88A6">
      <w:pPr>
        <w:ind w:firstLine="420" w:firstLineChars="200"/>
        <w:rPr>
          <w:rFonts w:ascii="新宋体" w:eastAsia="新宋体"/>
          <w:color w:val="0F0F0F"/>
        </w:rPr>
      </w:pPr>
      <w:r>
        <w:rPr>
          <w:rFonts w:ascii="新宋体" w:eastAsia="新宋体"/>
          <w:color w:val="0F0F0F"/>
        </w:rPr>
        <w:t>本项(2)目细化为：</w:t>
      </w:r>
    </w:p>
    <w:p w14:paraId="1699E3F4">
      <w:pPr>
        <w:ind w:firstLine="420" w:firstLineChars="200"/>
        <w:rPr>
          <w:rFonts w:ascii="新宋体" w:eastAsia="新宋体"/>
          <w:color w:val="0F0F0F"/>
        </w:rPr>
      </w:pPr>
      <w:r>
        <w:rPr>
          <w:rFonts w:ascii="新宋体" w:eastAsia="新宋体"/>
          <w:color w:val="0F0F0F"/>
        </w:rPr>
        <w:t>(2)承包人违反第5</w:t>
      </w:r>
      <w:r>
        <w:rPr>
          <w:rFonts w:hint="eastAsia" w:ascii="新宋体" w:eastAsia="新宋体"/>
          <w:color w:val="0F0F0F"/>
        </w:rPr>
        <w:t>.</w:t>
      </w:r>
      <w:r>
        <w:rPr>
          <w:rFonts w:ascii="新宋体" w:eastAsia="新宋体"/>
          <w:color w:val="0F0F0F"/>
        </w:rPr>
        <w:t>3款或第6</w:t>
      </w:r>
      <w:r>
        <w:rPr>
          <w:rFonts w:hint="eastAsia" w:ascii="新宋体" w:eastAsia="新宋体"/>
          <w:color w:val="0F0F0F"/>
        </w:rPr>
        <w:t>.</w:t>
      </w:r>
      <w:r>
        <w:rPr>
          <w:rFonts w:ascii="新宋体" w:eastAsia="新宋体"/>
          <w:color w:val="0F0F0F"/>
        </w:rPr>
        <w:t>4款的约定，未经监理人批准，私自将</w:t>
      </w:r>
      <w:r>
        <w:rPr>
          <w:rFonts w:hint="eastAsia" w:ascii="新宋体" w:eastAsia="新宋体"/>
          <w:color w:val="0F0F0F"/>
        </w:rPr>
        <w:t>已</w:t>
      </w:r>
      <w:r>
        <w:rPr>
          <w:rFonts w:ascii="新宋体" w:eastAsia="新宋体"/>
          <w:color w:val="0F0F0F"/>
        </w:rPr>
        <w:t>按合同约</w:t>
      </w:r>
      <w:r>
        <w:rPr>
          <w:rFonts w:hint="eastAsia" w:ascii="新宋体" w:eastAsia="新宋体"/>
          <w:color w:val="0F0F0F"/>
        </w:rPr>
        <w:t>定进入施工场地的施工设备、临时设施、材料或工程设备撤离施工场地；</w:t>
      </w:r>
    </w:p>
    <w:p w14:paraId="5AF27C16">
      <w:pPr>
        <w:ind w:firstLine="420" w:firstLineChars="200"/>
        <w:rPr>
          <w:rFonts w:ascii="新宋体" w:eastAsia="新宋体"/>
          <w:color w:val="0F0F0F"/>
        </w:rPr>
      </w:pPr>
      <w:r>
        <w:rPr>
          <w:rFonts w:ascii="新宋体" w:eastAsia="新宋体"/>
          <w:color w:val="0F0F0F"/>
        </w:rPr>
        <w:t>本项(7)目细化为：</w:t>
      </w:r>
    </w:p>
    <w:p w14:paraId="02F3122C">
      <w:pPr>
        <w:ind w:firstLine="420" w:firstLineChars="200"/>
        <w:rPr>
          <w:rFonts w:ascii="新宋体" w:eastAsia="新宋体"/>
          <w:color w:val="0F0F0F"/>
        </w:rPr>
      </w:pPr>
      <w:r>
        <w:rPr>
          <w:rFonts w:ascii="新宋体" w:eastAsia="新宋体"/>
          <w:color w:val="0F0F0F"/>
        </w:rPr>
        <w:t>(7)承包人未能按期开</w:t>
      </w:r>
      <w:r>
        <w:rPr>
          <w:rFonts w:hint="eastAsia" w:ascii="新宋体" w:eastAsia="新宋体"/>
          <w:color w:val="0F0F0F"/>
        </w:rPr>
        <w:t>工</w:t>
      </w:r>
      <w:r>
        <w:rPr>
          <w:rFonts w:ascii="新宋体" w:eastAsia="新宋体"/>
          <w:color w:val="0F0F0F"/>
        </w:rPr>
        <w:t>；</w:t>
      </w:r>
    </w:p>
    <w:p w14:paraId="1C231797">
      <w:pPr>
        <w:ind w:firstLine="420" w:firstLineChars="200"/>
        <w:rPr>
          <w:rFonts w:ascii="新宋体" w:eastAsia="新宋体"/>
          <w:color w:val="0F0F0F"/>
        </w:rPr>
      </w:pPr>
      <w:r>
        <w:rPr>
          <w:rFonts w:ascii="新宋体" w:eastAsia="新宋体"/>
          <w:color w:val="0F0F0F"/>
        </w:rPr>
        <w:t>(8)承包人违反第4</w:t>
      </w:r>
      <w:r>
        <w:rPr>
          <w:rFonts w:hint="eastAsia" w:ascii="新宋体" w:eastAsia="新宋体"/>
          <w:color w:val="0F0F0F"/>
        </w:rPr>
        <w:t>.</w:t>
      </w:r>
      <w:r>
        <w:rPr>
          <w:rFonts w:ascii="新宋体" w:eastAsia="新宋体"/>
          <w:color w:val="0F0F0F"/>
        </w:rPr>
        <w:t>6款或6</w:t>
      </w:r>
      <w:r>
        <w:rPr>
          <w:rFonts w:hint="eastAsia" w:ascii="新宋体" w:eastAsia="新宋体"/>
          <w:color w:val="0F0F0F"/>
        </w:rPr>
        <w:t>.</w:t>
      </w:r>
      <w:r>
        <w:rPr>
          <w:rFonts w:ascii="新宋体" w:eastAsia="新宋体"/>
          <w:color w:val="0F0F0F"/>
        </w:rPr>
        <w:t>3款的规定，未按承诺或未按监理人的要求及时配备</w:t>
      </w:r>
      <w:r>
        <w:rPr>
          <w:rFonts w:hint="eastAsia" w:ascii="新宋体" w:eastAsia="新宋体"/>
          <w:color w:val="0F0F0F"/>
        </w:rPr>
        <w:t>称职的主要管理人员、技术骨干或关键施工设备：</w:t>
      </w:r>
    </w:p>
    <w:p w14:paraId="066B8CC7">
      <w:pPr>
        <w:ind w:firstLine="420" w:firstLineChars="200"/>
        <w:rPr>
          <w:rFonts w:ascii="新宋体" w:eastAsia="新宋体"/>
          <w:color w:val="0F0F0F"/>
        </w:rPr>
      </w:pPr>
      <w:r>
        <w:rPr>
          <w:rFonts w:ascii="新宋体" w:eastAsia="新宋体"/>
          <w:color w:val="0F0F0F"/>
        </w:rPr>
        <w:t>(9)经监理</w:t>
      </w:r>
      <w:r>
        <w:rPr>
          <w:rFonts w:hint="eastAsia" w:ascii="新宋体" w:eastAsia="新宋体"/>
          <w:color w:val="0F0F0F"/>
        </w:rPr>
        <w:t>人</w:t>
      </w:r>
      <w:r>
        <w:rPr>
          <w:rFonts w:ascii="新宋体" w:eastAsia="新宋体"/>
          <w:color w:val="0F0F0F"/>
        </w:rPr>
        <w:t>和发包人</w:t>
      </w:r>
      <w:r>
        <w:rPr>
          <w:rFonts w:hint="eastAsia" w:ascii="新宋体" w:eastAsia="新宋体"/>
          <w:color w:val="0F0F0F"/>
        </w:rPr>
        <w:t>检查，发现承包人有安全问题或有违反安全管理规章制度的情况</w:t>
      </w:r>
    </w:p>
    <w:p w14:paraId="2B594752">
      <w:pPr>
        <w:ind w:firstLine="420" w:firstLineChars="200"/>
        <w:rPr>
          <w:rFonts w:ascii="新宋体" w:eastAsia="新宋体"/>
          <w:color w:val="0F0F0F"/>
        </w:rPr>
      </w:pPr>
      <w:r>
        <w:rPr>
          <w:rFonts w:ascii="新宋体" w:eastAsia="新宋体"/>
          <w:color w:val="0F0F0F"/>
        </w:rPr>
        <w:t>(10)承包人不按合同约定</w:t>
      </w:r>
      <w:r>
        <w:rPr>
          <w:rFonts w:hint="eastAsia" w:ascii="新宋体" w:eastAsia="新宋体"/>
          <w:color w:val="0F0F0F"/>
        </w:rPr>
        <w:t>履</w:t>
      </w:r>
      <w:r>
        <w:rPr>
          <w:rFonts w:ascii="新宋体" w:eastAsia="新宋体"/>
          <w:color w:val="0F0F0F"/>
        </w:rPr>
        <w:t>行义务的其他情况。</w:t>
      </w:r>
    </w:p>
    <w:p w14:paraId="01D34CAC">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2对承包人违约的处理</w:t>
      </w:r>
    </w:p>
    <w:p w14:paraId="00FCE503">
      <w:pPr>
        <w:ind w:firstLine="420" w:firstLineChars="200"/>
        <w:rPr>
          <w:rFonts w:ascii="新宋体" w:eastAsia="新宋体"/>
          <w:color w:val="0F0F0F"/>
        </w:rPr>
      </w:pPr>
      <w:r>
        <w:rPr>
          <w:rFonts w:ascii="新宋体" w:eastAsia="新宋体"/>
          <w:color w:val="0F0F0F"/>
        </w:rPr>
        <w:t>本项</w:t>
      </w:r>
      <w:r>
        <w:rPr>
          <w:rFonts w:hint="eastAsia" w:ascii="新宋体" w:eastAsia="新宋体"/>
          <w:color w:val="0F0F0F"/>
        </w:rPr>
        <w:t>补</w:t>
      </w:r>
      <w:r>
        <w:rPr>
          <w:rFonts w:ascii="新宋体" w:eastAsia="新宋体"/>
          <w:color w:val="0F0F0F"/>
        </w:rPr>
        <w:t>充：</w:t>
      </w:r>
    </w:p>
    <w:p w14:paraId="173F8B1E">
      <w:pPr>
        <w:ind w:firstLine="420" w:firstLineChars="200"/>
        <w:rPr>
          <w:rFonts w:ascii="新宋体" w:eastAsia="新宋体"/>
          <w:color w:val="0F0F0F"/>
        </w:rPr>
      </w:pPr>
      <w:r>
        <w:rPr>
          <w:rFonts w:ascii="新宋体" w:eastAsia="新宋体"/>
          <w:color w:val="0F0F0F"/>
        </w:rPr>
        <w:t>(4)承包人发生第22</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1项约定的违约情况时，无论发包人是否解除合同，发包人</w:t>
      </w:r>
      <w:r>
        <w:rPr>
          <w:rFonts w:hint="eastAsia" w:ascii="新宋体" w:eastAsia="新宋体"/>
          <w:color w:val="0F0F0F"/>
        </w:rPr>
        <w:t>均有权向承包人课以项目专用合同条款中规定的违约金，并由发包人将其违约行为上报省级交通主管部门，作为不良记录纳入公路建设市场信用信息管理系统。</w:t>
      </w:r>
    </w:p>
    <w:p w14:paraId="3670FDA5">
      <w:pPr>
        <w:rPr>
          <w:rFonts w:ascii="新宋体" w:eastAsia="新宋体"/>
          <w:color w:val="0F0F0F"/>
          <w:sz w:val="24"/>
        </w:rPr>
      </w:pPr>
      <w:r>
        <w:rPr>
          <w:rFonts w:ascii="新宋体" w:eastAsia="新宋体"/>
          <w:color w:val="0F0F0F"/>
          <w:sz w:val="24"/>
        </w:rPr>
        <w:t>22</w:t>
      </w:r>
      <w:r>
        <w:rPr>
          <w:rFonts w:hint="eastAsia" w:ascii="新宋体" w:eastAsia="新宋体"/>
          <w:color w:val="0F0F0F"/>
          <w:sz w:val="24"/>
        </w:rPr>
        <w:t>.</w:t>
      </w:r>
      <w:r>
        <w:rPr>
          <w:rFonts w:ascii="新宋体" w:eastAsia="新宋体"/>
          <w:color w:val="0F0F0F"/>
          <w:sz w:val="24"/>
        </w:rPr>
        <w:t>2发包人违约</w:t>
      </w:r>
    </w:p>
    <w:p w14:paraId="2A3CDB9C">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 xml:space="preserve">.1 </w:t>
      </w:r>
      <w:r>
        <w:rPr>
          <w:rFonts w:ascii="新宋体" w:eastAsia="新宋体"/>
          <w:color w:val="0F0F0F"/>
        </w:rPr>
        <w:t>解除合同后的付款</w:t>
      </w:r>
    </w:p>
    <w:p w14:paraId="4DBB08F8">
      <w:pPr>
        <w:ind w:firstLine="420" w:firstLineChars="200"/>
        <w:rPr>
          <w:rFonts w:ascii="新宋体" w:eastAsia="新宋体"/>
          <w:color w:val="0F0F0F"/>
        </w:rPr>
      </w:pPr>
      <w:r>
        <w:rPr>
          <w:rFonts w:ascii="新宋体" w:eastAsia="新宋体"/>
          <w:color w:val="0F0F0F"/>
        </w:rPr>
        <w:t>本项(2)</w:t>
      </w:r>
      <w:r>
        <w:rPr>
          <w:rFonts w:hint="eastAsia" w:ascii="新宋体" w:eastAsia="新宋体"/>
          <w:color w:val="0F0F0F"/>
        </w:rPr>
        <w:t>目</w:t>
      </w:r>
      <w:r>
        <w:rPr>
          <w:rFonts w:ascii="新宋体" w:eastAsia="新宋体"/>
          <w:color w:val="0F0F0F"/>
        </w:rPr>
        <w:t>细化为：</w:t>
      </w:r>
    </w:p>
    <w:p w14:paraId="5A398C73">
      <w:pPr>
        <w:numPr>
          <w:ilvl w:val="0"/>
          <w:numId w:val="35"/>
        </w:numPr>
        <w:ind w:firstLine="420" w:firstLineChars="200"/>
        <w:rPr>
          <w:rFonts w:ascii="新宋体" w:eastAsia="新宋体"/>
          <w:color w:val="0F0F0F"/>
        </w:rPr>
      </w:pPr>
      <w:r>
        <w:rPr>
          <w:rFonts w:ascii="新宋体" w:eastAsia="新宋体"/>
          <w:color w:val="0F0F0F"/>
        </w:rPr>
        <w:t>承包</w:t>
      </w:r>
      <w:r>
        <w:rPr>
          <w:rFonts w:hint="eastAsia" w:ascii="新宋体" w:eastAsia="新宋体"/>
          <w:color w:val="0F0F0F"/>
        </w:rPr>
        <w:t>人为该工程施工</w:t>
      </w:r>
      <w:r>
        <w:rPr>
          <w:rFonts w:ascii="新宋体" w:eastAsia="新宋体"/>
          <w:color w:val="0F0F0F"/>
        </w:rPr>
        <w:t>订购并已付款的材料、工程设备和其他物品的金额。发包</w:t>
      </w:r>
      <w:r>
        <w:rPr>
          <w:rFonts w:hint="eastAsia" w:ascii="新宋体" w:eastAsia="新宋体"/>
          <w:color w:val="0F0F0F"/>
        </w:rPr>
        <w:t>人付款后，该材料、工程设备和其他物品归发包人所有；</w:t>
      </w:r>
    </w:p>
    <w:p w14:paraId="176EC017">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.2 发包人无正当理由不按时返还履行保证金、质量保证金或农民工工资保证金的，发包人应向承包人支付违约金。</w:t>
      </w:r>
    </w:p>
    <w:p w14:paraId="05656150">
      <w:pPr>
        <w:spacing w:line="400" w:lineRule="exact"/>
        <w:rPr>
          <w:rFonts w:ascii="新宋体" w:eastAsia="新宋体"/>
          <w:color w:val="0F0F0F"/>
          <w:sz w:val="28"/>
          <w:szCs w:val="28"/>
        </w:rPr>
      </w:pPr>
      <w:r>
        <w:rPr>
          <w:rFonts w:ascii="新宋体" w:eastAsia="新宋体"/>
          <w:color w:val="0F0F0F"/>
          <w:sz w:val="28"/>
          <w:szCs w:val="28"/>
        </w:rPr>
        <w:t>23</w:t>
      </w:r>
      <w:r>
        <w:rPr>
          <w:rFonts w:hint="eastAsia" w:ascii="新宋体" w:eastAsia="新宋体"/>
          <w:color w:val="0F0F0F"/>
          <w:sz w:val="28"/>
          <w:szCs w:val="28"/>
        </w:rPr>
        <w:t>.</w:t>
      </w:r>
      <w:r>
        <w:rPr>
          <w:rFonts w:ascii="新宋体" w:eastAsia="新宋体"/>
          <w:color w:val="0F0F0F"/>
          <w:sz w:val="28"/>
          <w:szCs w:val="28"/>
        </w:rPr>
        <w:t>索赔</w:t>
      </w:r>
    </w:p>
    <w:p w14:paraId="709FE2CD">
      <w:pPr>
        <w:rPr>
          <w:rFonts w:ascii="新宋体" w:eastAsia="新宋体"/>
          <w:color w:val="0F0F0F"/>
          <w:sz w:val="24"/>
        </w:rPr>
      </w:pPr>
      <w:r>
        <w:rPr>
          <w:rFonts w:ascii="新宋体" w:eastAsia="新宋体"/>
          <w:color w:val="0F0F0F"/>
          <w:sz w:val="24"/>
        </w:rPr>
        <w:t>23</w:t>
      </w:r>
      <w:r>
        <w:rPr>
          <w:rFonts w:hint="eastAsia" w:ascii="新宋体" w:eastAsia="新宋体"/>
          <w:color w:val="0F0F0F"/>
          <w:sz w:val="24"/>
        </w:rPr>
        <w:t>.</w:t>
      </w:r>
      <w:r>
        <w:rPr>
          <w:rFonts w:ascii="新宋体" w:eastAsia="新宋体"/>
          <w:color w:val="0F0F0F"/>
          <w:sz w:val="24"/>
        </w:rPr>
        <w:t>1承包入索赔的提出</w:t>
      </w:r>
    </w:p>
    <w:p w14:paraId="3FA50A78">
      <w:pPr>
        <w:ind w:firstLine="420" w:firstLineChars="200"/>
        <w:rPr>
          <w:rFonts w:ascii="新宋体" w:eastAsia="新宋体"/>
          <w:color w:val="0F0F0F"/>
        </w:rPr>
      </w:pPr>
      <w:r>
        <w:rPr>
          <w:rFonts w:ascii="新宋体" w:eastAsia="新宋体"/>
          <w:color w:val="0F0F0F"/>
        </w:rPr>
        <w:t>本款第(4)项细化为：</w:t>
      </w:r>
    </w:p>
    <w:p w14:paraId="7E7DE80F">
      <w:pPr>
        <w:ind w:firstLine="420" w:firstLineChars="200"/>
        <w:rPr>
          <w:rFonts w:ascii="新宋体" w:eastAsia="新宋体"/>
          <w:color w:val="0F0F0F"/>
        </w:rPr>
      </w:pPr>
      <w:r>
        <w:rPr>
          <w:rFonts w:ascii="新宋体" w:eastAsia="新宋体"/>
          <w:color w:val="0F0F0F"/>
        </w:rPr>
        <w:t>(4)在索赔事件影响结束后的28</w:t>
      </w:r>
      <w:r>
        <w:rPr>
          <w:rFonts w:hint="eastAsia" w:ascii="新宋体" w:eastAsia="新宋体"/>
          <w:color w:val="0F0F0F"/>
        </w:rPr>
        <w:t>天</w:t>
      </w:r>
      <w:r>
        <w:rPr>
          <w:rFonts w:ascii="新宋体" w:eastAsia="新宋体"/>
          <w:color w:val="0F0F0F"/>
        </w:rPr>
        <w:t>内，承包</w:t>
      </w:r>
      <w:r>
        <w:rPr>
          <w:rFonts w:hint="eastAsia" w:ascii="新宋体" w:eastAsia="新宋体"/>
          <w:color w:val="0F0F0F"/>
        </w:rPr>
        <w:t>人</w:t>
      </w:r>
      <w:r>
        <w:rPr>
          <w:rFonts w:ascii="新宋体" w:eastAsia="新宋体"/>
          <w:color w:val="0F0F0F"/>
        </w:rPr>
        <w:t>应向监理人递交最终索赔通知书，说</w:t>
      </w:r>
      <w:r>
        <w:rPr>
          <w:rFonts w:hint="eastAsia" w:ascii="新宋体" w:eastAsia="新宋体"/>
          <w:color w:val="0F0F0F"/>
        </w:rPr>
        <w:t>明最终要求索赔的追加付款金额和</w:t>
      </w:r>
      <w:r>
        <w:rPr>
          <w:rFonts w:ascii="新宋体" w:eastAsia="新宋体"/>
          <w:color w:val="0F0F0F"/>
        </w:rPr>
        <w:t>(或)延长的工期，并附必要的记录</w:t>
      </w:r>
      <w:r>
        <w:rPr>
          <w:rFonts w:hint="eastAsia" w:ascii="新宋体" w:eastAsia="新宋体"/>
          <w:color w:val="0F0F0F"/>
        </w:rPr>
        <w:t>和</w:t>
      </w:r>
      <w:r>
        <w:rPr>
          <w:rFonts w:ascii="新宋体" w:eastAsia="新宋体"/>
          <w:color w:val="0F0F0F"/>
        </w:rPr>
        <w:t>证明材料。</w:t>
      </w:r>
    </w:p>
    <w:p w14:paraId="4BB6656A">
      <w:pPr>
        <w:rPr>
          <w:rFonts w:ascii="新宋体" w:eastAsia="新宋体"/>
          <w:color w:val="0F0F0F"/>
          <w:sz w:val="24"/>
        </w:rPr>
      </w:pPr>
      <w:r>
        <w:rPr>
          <w:rFonts w:ascii="新宋体" w:eastAsia="新宋体"/>
          <w:color w:val="0F0F0F"/>
          <w:sz w:val="24"/>
        </w:rPr>
        <w:t>23</w:t>
      </w:r>
      <w:r>
        <w:rPr>
          <w:rFonts w:hint="eastAsia" w:ascii="新宋体" w:eastAsia="新宋体"/>
          <w:color w:val="0F0F0F"/>
          <w:sz w:val="24"/>
        </w:rPr>
        <w:t>.</w:t>
      </w:r>
      <w:r>
        <w:rPr>
          <w:rFonts w:ascii="新宋体" w:eastAsia="新宋体"/>
          <w:color w:val="0F0F0F"/>
          <w:sz w:val="24"/>
        </w:rPr>
        <w:t>2承包人索赔处理程序</w:t>
      </w:r>
    </w:p>
    <w:p w14:paraId="3CFD8BE0">
      <w:pPr>
        <w:ind w:firstLine="420" w:firstLineChars="200"/>
        <w:rPr>
          <w:rFonts w:ascii="新宋体" w:eastAsia="新宋体"/>
          <w:color w:val="0F0F0F"/>
        </w:rPr>
      </w:pPr>
      <w:r>
        <w:rPr>
          <w:rFonts w:ascii="新宋体" w:eastAsia="新宋体"/>
          <w:color w:val="0F0F0F"/>
        </w:rPr>
        <w:t>本款第(2)项细化为：</w:t>
      </w:r>
    </w:p>
    <w:p w14:paraId="7B87F961">
      <w:pPr>
        <w:ind w:firstLine="420" w:firstLineChars="200"/>
        <w:rPr>
          <w:rFonts w:ascii="新宋体" w:eastAsia="新宋体"/>
          <w:color w:val="0F0F0F"/>
        </w:rPr>
      </w:pPr>
      <w:r>
        <w:rPr>
          <w:rFonts w:ascii="新宋体" w:eastAsia="新宋体"/>
          <w:color w:val="0F0F0F"/>
        </w:rPr>
        <w:t>(2)监理人应按第3</w:t>
      </w:r>
      <w:r>
        <w:rPr>
          <w:rFonts w:hint="eastAsia" w:ascii="新宋体" w:eastAsia="新宋体"/>
          <w:color w:val="0F0F0F"/>
        </w:rPr>
        <w:t>.</w:t>
      </w:r>
      <w:r>
        <w:rPr>
          <w:rFonts w:ascii="新宋体" w:eastAsia="新宋体"/>
          <w:color w:val="0F0F0F"/>
        </w:rPr>
        <w:t>5款</w:t>
      </w:r>
      <w:r>
        <w:rPr>
          <w:rFonts w:hint="eastAsia" w:ascii="新宋体" w:eastAsia="新宋体"/>
          <w:color w:val="0F0F0F"/>
        </w:rPr>
        <w:t>商</w:t>
      </w:r>
      <w:r>
        <w:rPr>
          <w:rFonts w:ascii="新宋体" w:eastAsia="新宋体"/>
          <w:color w:val="0F0F0F"/>
        </w:rPr>
        <w:t>定或确定追加的付款和(或)延长的工期，并在收到上述</w:t>
      </w:r>
      <w:r>
        <w:rPr>
          <w:rFonts w:hint="eastAsia" w:ascii="新宋体" w:eastAsia="新宋体"/>
          <w:color w:val="0F0F0F"/>
        </w:rPr>
        <w:t>索赔通知书或有关索赔的进一步证明材料后的</w:t>
      </w:r>
      <w:r>
        <w:rPr>
          <w:rFonts w:ascii="新宋体" w:eastAsia="新宋体"/>
          <w:color w:val="0F0F0F"/>
        </w:rPr>
        <w:t>42天内，将索赔处理结果报发包人批准</w:t>
      </w:r>
      <w:r>
        <w:rPr>
          <w:rFonts w:hint="eastAsia" w:ascii="新宋体" w:eastAsia="新宋体"/>
          <w:color w:val="0F0F0F"/>
        </w:rPr>
        <w:t>后答复承包人。如果承包人提出的索赔要求未能遵守第</w:t>
      </w:r>
      <w:r>
        <w:rPr>
          <w:rFonts w:ascii="新宋体" w:eastAsia="新宋体"/>
          <w:color w:val="0F0F0F"/>
        </w:rPr>
        <w:t>23</w:t>
      </w:r>
      <w:r>
        <w:rPr>
          <w:rFonts w:hint="eastAsia" w:ascii="新宋体" w:eastAsia="新宋体"/>
          <w:color w:val="0F0F0F"/>
        </w:rPr>
        <w:t>.</w:t>
      </w:r>
      <w:r>
        <w:rPr>
          <w:rFonts w:ascii="新宋体" w:eastAsia="新宋体"/>
          <w:color w:val="0F0F0F"/>
        </w:rPr>
        <w:t>1(2)</w:t>
      </w:r>
      <w:r>
        <w:rPr>
          <w:rFonts w:hint="eastAsia" w:ascii="新宋体" w:eastAsia="新宋体"/>
          <w:color w:val="0F0F0F"/>
        </w:rPr>
        <w:t>~</w:t>
      </w:r>
      <w:r>
        <w:rPr>
          <w:rFonts w:ascii="新宋体" w:eastAsia="新宋体"/>
          <w:color w:val="0F0F0F"/>
        </w:rPr>
        <w:t>(4)项的规定，则承</w:t>
      </w:r>
      <w:r>
        <w:rPr>
          <w:rFonts w:hint="eastAsia" w:ascii="新宋体" w:eastAsia="新宋体"/>
          <w:color w:val="0F0F0F"/>
        </w:rPr>
        <w:t>包人只限于索赔由监理人按当时记录予以核实的那部分款额和</w:t>
      </w:r>
      <w:r>
        <w:rPr>
          <w:rFonts w:ascii="新宋体" w:eastAsia="新宋体"/>
          <w:color w:val="0F0F0F"/>
        </w:rPr>
        <w:t>(或)</w:t>
      </w:r>
      <w:r>
        <w:rPr>
          <w:rFonts w:hint="eastAsia" w:ascii="新宋体" w:eastAsia="新宋体"/>
          <w:color w:val="0F0F0F"/>
        </w:rPr>
        <w:t>工</w:t>
      </w:r>
      <w:r>
        <w:rPr>
          <w:rFonts w:ascii="新宋体" w:eastAsia="新宋体"/>
          <w:color w:val="0F0F0F"/>
        </w:rPr>
        <w:t>期延长天数。</w:t>
      </w:r>
    </w:p>
    <w:p w14:paraId="6A80975C">
      <w:pPr>
        <w:spacing w:line="400" w:lineRule="exact"/>
        <w:rPr>
          <w:rFonts w:ascii="新宋体" w:eastAsia="新宋体"/>
          <w:color w:val="0F0F0F"/>
          <w:sz w:val="28"/>
          <w:szCs w:val="28"/>
        </w:rPr>
      </w:pPr>
      <w:r>
        <w:rPr>
          <w:rFonts w:ascii="新宋体" w:eastAsia="新宋体"/>
          <w:color w:val="0F0F0F"/>
          <w:sz w:val="28"/>
          <w:szCs w:val="28"/>
        </w:rPr>
        <w:t>24</w:t>
      </w:r>
      <w:r>
        <w:rPr>
          <w:rFonts w:hint="eastAsia" w:ascii="新宋体" w:eastAsia="新宋体"/>
          <w:color w:val="0F0F0F"/>
          <w:sz w:val="28"/>
          <w:szCs w:val="28"/>
        </w:rPr>
        <w:t>.</w:t>
      </w:r>
      <w:r>
        <w:rPr>
          <w:rFonts w:ascii="新宋体" w:eastAsia="新宋体"/>
          <w:color w:val="0F0F0F"/>
          <w:sz w:val="28"/>
          <w:szCs w:val="28"/>
        </w:rPr>
        <w:t>争议的解决</w:t>
      </w:r>
    </w:p>
    <w:p w14:paraId="7951B2BE">
      <w:pPr>
        <w:rPr>
          <w:rFonts w:ascii="新宋体" w:eastAsia="新宋体"/>
          <w:color w:val="0F0F0F"/>
          <w:sz w:val="24"/>
        </w:rPr>
      </w:pPr>
      <w:r>
        <w:rPr>
          <w:rFonts w:ascii="新宋体" w:eastAsia="新宋体"/>
          <w:color w:val="0F0F0F"/>
          <w:sz w:val="24"/>
        </w:rPr>
        <w:t>24</w:t>
      </w:r>
      <w:r>
        <w:rPr>
          <w:rFonts w:hint="eastAsia" w:ascii="新宋体" w:eastAsia="新宋体"/>
          <w:color w:val="0F0F0F"/>
          <w:sz w:val="24"/>
        </w:rPr>
        <w:t>.</w:t>
      </w:r>
      <w:r>
        <w:rPr>
          <w:rFonts w:ascii="新宋体" w:eastAsia="新宋体"/>
          <w:color w:val="0F0F0F"/>
          <w:sz w:val="24"/>
        </w:rPr>
        <w:t>3争议评审</w:t>
      </w:r>
    </w:p>
    <w:p w14:paraId="3BE833AC">
      <w:pPr>
        <w:ind w:firstLine="420" w:firstLineChars="200"/>
        <w:rPr>
          <w:rFonts w:ascii="新宋体" w:eastAsia="新宋体"/>
          <w:color w:val="0F0F0F"/>
        </w:rPr>
      </w:pPr>
      <w:r>
        <w:rPr>
          <w:rFonts w:ascii="新宋体" w:eastAsia="新宋体"/>
          <w:color w:val="0F0F0F"/>
        </w:rPr>
        <w:t>第24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1项补充：</w:t>
      </w:r>
    </w:p>
    <w:p w14:paraId="0C058288">
      <w:pPr>
        <w:ind w:firstLine="420" w:firstLineChars="200"/>
        <w:rPr>
          <w:rFonts w:ascii="新宋体" w:eastAsia="新宋体"/>
          <w:color w:val="0F0F0F"/>
        </w:rPr>
      </w:pPr>
      <w:r>
        <w:rPr>
          <w:rFonts w:ascii="新宋体" w:eastAsia="新宋体"/>
          <w:color w:val="0F0F0F"/>
        </w:rPr>
        <w:t>争议评</w:t>
      </w:r>
      <w:r>
        <w:rPr>
          <w:rFonts w:hint="eastAsia" w:ascii="新宋体" w:eastAsia="新宋体"/>
          <w:color w:val="0F0F0F"/>
        </w:rPr>
        <w:t>审</w:t>
      </w:r>
      <w:r>
        <w:rPr>
          <w:rFonts w:ascii="新宋体" w:eastAsia="新宋体"/>
          <w:color w:val="0F0F0F"/>
        </w:rPr>
        <w:t>组由3人或5人组成，专家的聘请方法</w:t>
      </w:r>
      <w:r>
        <w:rPr>
          <w:rFonts w:hint="eastAsia" w:ascii="新宋体" w:eastAsia="新宋体"/>
          <w:color w:val="0F0F0F"/>
        </w:rPr>
        <w:t>可</w:t>
      </w:r>
      <w:r>
        <w:rPr>
          <w:rFonts w:ascii="新宋体" w:eastAsia="新宋体"/>
          <w:color w:val="0F0F0F"/>
        </w:rPr>
        <w:t>由发包人</w:t>
      </w:r>
      <w:r>
        <w:rPr>
          <w:rFonts w:hint="eastAsia" w:ascii="新宋体" w:eastAsia="新宋体"/>
          <w:color w:val="0F0F0F"/>
        </w:rPr>
        <w:t>和</w:t>
      </w:r>
      <w:r>
        <w:rPr>
          <w:rFonts w:ascii="新宋体" w:eastAsia="新宋体"/>
          <w:color w:val="0F0F0F"/>
        </w:rPr>
        <w:t>承包人共同协商确定，</w:t>
      </w:r>
      <w:r>
        <w:rPr>
          <w:rFonts w:hint="eastAsia" w:ascii="新宋体" w:eastAsia="新宋体"/>
          <w:color w:val="0F0F0F"/>
        </w:rPr>
        <w:t>亦可请政府主管部门</w:t>
      </w:r>
      <w:r>
        <w:rPr>
          <w:rFonts w:ascii="新宋体" w:eastAsia="新宋体"/>
          <w:color w:val="0F0F0F"/>
        </w:rPr>
        <w:t>推荐或通过合同争议调解机构聘请，</w:t>
      </w:r>
      <w:r>
        <w:rPr>
          <w:rFonts w:hint="eastAsia" w:ascii="新宋体" w:eastAsia="新宋体"/>
          <w:color w:val="0F0F0F"/>
        </w:rPr>
        <w:t>并</w:t>
      </w:r>
      <w:r>
        <w:rPr>
          <w:rFonts w:ascii="新宋体" w:eastAsia="新宋体"/>
          <w:color w:val="0F0F0F"/>
        </w:rPr>
        <w:t>经双方认</w:t>
      </w:r>
      <w:r>
        <w:rPr>
          <w:rFonts w:hint="eastAsia" w:ascii="新宋体" w:eastAsia="新宋体"/>
          <w:color w:val="0F0F0F"/>
        </w:rPr>
        <w:t>同</w:t>
      </w:r>
      <w:r>
        <w:rPr>
          <w:rFonts w:ascii="新宋体" w:eastAsia="新宋体"/>
          <w:color w:val="0F0F0F"/>
        </w:rPr>
        <w:t>。争议评审组成</w:t>
      </w:r>
      <w:r>
        <w:rPr>
          <w:rFonts w:hint="eastAsia" w:ascii="新宋体" w:eastAsia="新宋体"/>
          <w:color w:val="0F0F0F"/>
        </w:rPr>
        <w:t>员应与合同双方均无利窖关系。争议评审组的各项费用由发包人和承包人平均分担。</w:t>
      </w:r>
    </w:p>
    <w:p w14:paraId="5C28D0DF">
      <w:pPr>
        <w:ind w:firstLine="420" w:firstLineChars="200"/>
        <w:rPr>
          <w:rFonts w:ascii="新宋体" w:eastAsia="新宋体"/>
          <w:color w:val="0F0F0F"/>
        </w:rPr>
      </w:pPr>
      <w:r>
        <w:rPr>
          <w:rFonts w:ascii="新宋体" w:eastAsia="新宋体"/>
          <w:color w:val="0F0F0F"/>
        </w:rPr>
        <w:t>本条补充第24</w:t>
      </w:r>
      <w:r>
        <w:rPr>
          <w:rFonts w:hint="eastAsia" w:ascii="新宋体" w:eastAsia="新宋体"/>
          <w:color w:val="0F0F0F"/>
        </w:rPr>
        <w:t>.</w:t>
      </w:r>
      <w:r>
        <w:rPr>
          <w:rFonts w:ascii="新宋体" w:eastAsia="新宋体"/>
          <w:color w:val="0F0F0F"/>
        </w:rPr>
        <w:t>4、第24</w:t>
      </w:r>
      <w:r>
        <w:rPr>
          <w:rFonts w:hint="eastAsia" w:ascii="新宋体" w:eastAsia="新宋体"/>
          <w:color w:val="0F0F0F"/>
        </w:rPr>
        <w:t>.</w:t>
      </w:r>
      <w:r>
        <w:rPr>
          <w:rFonts w:ascii="新宋体" w:eastAsia="新宋体"/>
          <w:color w:val="0F0F0F"/>
        </w:rPr>
        <w:t>5</w:t>
      </w:r>
      <w:r>
        <w:rPr>
          <w:rFonts w:hint="eastAsia" w:ascii="新宋体" w:eastAsia="新宋体"/>
          <w:color w:val="0F0F0F"/>
        </w:rPr>
        <w:t>款</w:t>
      </w:r>
      <w:r>
        <w:rPr>
          <w:rFonts w:ascii="新宋体" w:eastAsia="新宋体"/>
          <w:color w:val="0F0F0F"/>
        </w:rPr>
        <w:t>(适用于采用仲裁方式最终解决争议的项</w:t>
      </w:r>
      <w:r>
        <w:rPr>
          <w:rFonts w:hint="eastAsia" w:ascii="新宋体" w:eastAsia="新宋体"/>
          <w:color w:val="0F0F0F"/>
        </w:rPr>
        <w:t>目</w:t>
      </w:r>
      <w:r>
        <w:rPr>
          <w:rFonts w:ascii="新宋体" w:eastAsia="新宋体"/>
          <w:color w:val="0F0F0F"/>
        </w:rPr>
        <w:t>)：</w:t>
      </w:r>
    </w:p>
    <w:p w14:paraId="1633E87E">
      <w:pPr>
        <w:rPr>
          <w:rFonts w:ascii="新宋体" w:eastAsia="新宋体"/>
          <w:color w:val="0F0F0F"/>
          <w:sz w:val="24"/>
        </w:rPr>
      </w:pPr>
      <w:r>
        <w:rPr>
          <w:rFonts w:ascii="新宋体" w:eastAsia="新宋体"/>
          <w:color w:val="0F0F0F"/>
          <w:sz w:val="24"/>
        </w:rPr>
        <w:t>24</w:t>
      </w:r>
      <w:r>
        <w:rPr>
          <w:rFonts w:hint="eastAsia" w:ascii="新宋体" w:eastAsia="新宋体"/>
          <w:color w:val="0F0F0F"/>
          <w:sz w:val="24"/>
        </w:rPr>
        <w:t>.</w:t>
      </w:r>
      <w:r>
        <w:rPr>
          <w:rFonts w:ascii="新宋体" w:eastAsia="新宋体"/>
          <w:color w:val="0F0F0F"/>
          <w:sz w:val="24"/>
        </w:rPr>
        <w:t>4仲裁</w:t>
      </w:r>
    </w:p>
    <w:p w14:paraId="780FE8A9">
      <w:pPr>
        <w:ind w:firstLine="420" w:firstLineChars="200"/>
        <w:rPr>
          <w:rFonts w:ascii="新宋体" w:eastAsia="新宋体"/>
          <w:color w:val="0F0F0F"/>
        </w:rPr>
      </w:pPr>
      <w:r>
        <w:rPr>
          <w:rFonts w:ascii="新宋体" w:eastAsia="新宋体"/>
          <w:color w:val="0F0F0F"/>
        </w:rPr>
        <w:t>(1)对于未能友好解决或未能通过争议评审解决的争议，发包人或承包人</w:t>
      </w:r>
      <w:r>
        <w:rPr>
          <w:rFonts w:hint="eastAsia" w:ascii="新宋体" w:eastAsia="新宋体"/>
          <w:color w:val="0F0F0F"/>
        </w:rPr>
        <w:t>任</w:t>
      </w:r>
      <w:r>
        <w:rPr>
          <w:rFonts w:ascii="新宋体" w:eastAsia="新宋体"/>
          <w:color w:val="0F0F0F"/>
        </w:rPr>
        <w:t>一方均</w:t>
      </w:r>
      <w:r>
        <w:rPr>
          <w:rFonts w:hint="eastAsia" w:ascii="新宋体" w:eastAsia="新宋体"/>
          <w:color w:val="0F0F0F"/>
        </w:rPr>
        <w:t>有权提交给第</w:t>
      </w:r>
      <w:r>
        <w:rPr>
          <w:rFonts w:ascii="新宋体" w:eastAsia="新宋体"/>
          <w:color w:val="0F0F0F"/>
        </w:rPr>
        <w:t>24</w:t>
      </w:r>
      <w:r>
        <w:rPr>
          <w:rFonts w:hint="eastAsia" w:ascii="新宋体" w:eastAsia="新宋体"/>
          <w:color w:val="0F0F0F"/>
        </w:rPr>
        <w:t>.1款</w:t>
      </w:r>
      <w:r>
        <w:rPr>
          <w:rFonts w:ascii="新宋体" w:eastAsia="新宋体"/>
          <w:color w:val="0F0F0F"/>
        </w:rPr>
        <w:t>约定的仲裁委员会仲裁。</w:t>
      </w:r>
    </w:p>
    <w:p w14:paraId="32A3AC87">
      <w:pPr>
        <w:ind w:firstLine="420" w:firstLineChars="200"/>
        <w:rPr>
          <w:rFonts w:ascii="新宋体" w:eastAsia="新宋体"/>
          <w:color w:val="0F0F0F"/>
        </w:rPr>
      </w:pPr>
      <w:r>
        <w:rPr>
          <w:rFonts w:ascii="新宋体" w:eastAsia="新宋体"/>
          <w:color w:val="0F0F0F"/>
        </w:rPr>
        <w:t>(2)仲裁可在交工之前或之后进行，但发包人、</w:t>
      </w:r>
      <w:r>
        <w:rPr>
          <w:rFonts w:hint="eastAsia" w:ascii="新宋体" w:eastAsia="新宋体"/>
          <w:color w:val="0F0F0F"/>
        </w:rPr>
        <w:t>监</w:t>
      </w:r>
      <w:r>
        <w:rPr>
          <w:rFonts w:ascii="新宋体" w:eastAsia="新宋体"/>
          <w:color w:val="0F0F0F"/>
        </w:rPr>
        <w:t>理人和承包人各自的义务不得因</w:t>
      </w:r>
      <w:r>
        <w:rPr>
          <w:rFonts w:hint="eastAsia" w:ascii="新宋体" w:eastAsia="新宋体"/>
          <w:color w:val="0F0F0F"/>
        </w:rPr>
        <w:t>在工程实施期间进行仲裁而有所改变。如果仲裁是在终止合同的情况下进行，则对合同工程应采取保护措施，措施费由败诉方承担。</w:t>
      </w:r>
    </w:p>
    <w:p w14:paraId="3AE0FDA9">
      <w:pPr>
        <w:ind w:firstLine="420" w:firstLineChars="200"/>
        <w:rPr>
          <w:rFonts w:ascii="新宋体" w:eastAsia="新宋体"/>
          <w:color w:val="0F0F0F"/>
        </w:rPr>
      </w:pPr>
      <w:r>
        <w:rPr>
          <w:rFonts w:ascii="新宋体" w:eastAsia="新宋体"/>
          <w:color w:val="0F0F0F"/>
        </w:rPr>
        <w:t>(3)</w:t>
      </w:r>
      <w:r>
        <w:rPr>
          <w:rFonts w:hint="eastAsia" w:ascii="新宋体" w:eastAsia="新宋体"/>
          <w:color w:val="0F0F0F"/>
        </w:rPr>
        <w:t>仲</w:t>
      </w:r>
      <w:r>
        <w:rPr>
          <w:rFonts w:ascii="新宋体" w:eastAsia="新宋体"/>
          <w:color w:val="0F0F0F"/>
        </w:rPr>
        <w:t>裁裁决是终</w:t>
      </w:r>
      <w:r>
        <w:rPr>
          <w:rFonts w:hint="eastAsia" w:ascii="新宋体" w:eastAsia="新宋体"/>
          <w:color w:val="0F0F0F"/>
        </w:rPr>
        <w:t>局</w:t>
      </w:r>
      <w:r>
        <w:rPr>
          <w:rFonts w:ascii="新宋体" w:eastAsia="新宋体"/>
          <w:color w:val="0F0F0F"/>
        </w:rPr>
        <w:t>性的并对发包人和承包人双方</w:t>
      </w:r>
      <w:r>
        <w:rPr>
          <w:rFonts w:hint="eastAsia" w:ascii="新宋体" w:eastAsia="新宋体"/>
          <w:color w:val="0F0F0F"/>
        </w:rPr>
        <w:t>具</w:t>
      </w:r>
      <w:r>
        <w:rPr>
          <w:rFonts w:ascii="新宋体" w:eastAsia="新宋体"/>
          <w:color w:val="0F0F0F"/>
        </w:rPr>
        <w:t>有约束力。</w:t>
      </w:r>
    </w:p>
    <w:p w14:paraId="535327FB">
      <w:pPr>
        <w:ind w:firstLine="420" w:firstLineChars="200"/>
        <w:rPr>
          <w:rFonts w:ascii="新宋体" w:eastAsia="新宋体"/>
          <w:color w:val="0F0F0F"/>
        </w:rPr>
      </w:pPr>
      <w:r>
        <w:rPr>
          <w:rFonts w:ascii="新宋体" w:eastAsia="新宋体"/>
          <w:color w:val="0F0F0F"/>
        </w:rPr>
        <w:t>(4)全部仲裁费用应</w:t>
      </w:r>
      <w:r>
        <w:rPr>
          <w:rFonts w:hint="eastAsia" w:ascii="新宋体" w:eastAsia="新宋体"/>
          <w:color w:val="0F0F0F"/>
        </w:rPr>
        <w:t>由</w:t>
      </w:r>
      <w:r>
        <w:rPr>
          <w:rFonts w:ascii="新宋体" w:eastAsia="新宋体"/>
          <w:color w:val="0F0F0F"/>
        </w:rPr>
        <w:t>败诉方承担；</w:t>
      </w:r>
      <w:r>
        <w:rPr>
          <w:rFonts w:hint="eastAsia" w:ascii="新宋体" w:eastAsia="新宋体"/>
          <w:color w:val="0F0F0F"/>
        </w:rPr>
        <w:t>或按仲裁委员会裁决的比例分担。</w:t>
      </w:r>
    </w:p>
    <w:p w14:paraId="032B9641">
      <w:pPr>
        <w:rPr>
          <w:rFonts w:ascii="新宋体" w:eastAsia="新宋体"/>
          <w:color w:val="0F0F0F"/>
          <w:sz w:val="24"/>
        </w:rPr>
      </w:pPr>
      <w:r>
        <w:rPr>
          <w:rFonts w:ascii="新宋体" w:eastAsia="新宋体"/>
          <w:color w:val="0F0F0F"/>
          <w:sz w:val="24"/>
        </w:rPr>
        <w:t>24</w:t>
      </w:r>
      <w:r>
        <w:rPr>
          <w:rFonts w:hint="eastAsia" w:ascii="新宋体" w:eastAsia="新宋体"/>
          <w:color w:val="0F0F0F"/>
          <w:sz w:val="24"/>
        </w:rPr>
        <w:t>.</w:t>
      </w:r>
      <w:r>
        <w:rPr>
          <w:rFonts w:ascii="新宋体" w:eastAsia="新宋体"/>
          <w:color w:val="0F0F0F"/>
          <w:sz w:val="24"/>
        </w:rPr>
        <w:t>5仲裁的执行</w:t>
      </w:r>
    </w:p>
    <w:p w14:paraId="0601B72A">
      <w:pPr>
        <w:ind w:firstLine="420" w:firstLineChars="200"/>
        <w:rPr>
          <w:rFonts w:ascii="新宋体" w:eastAsia="新宋体"/>
          <w:color w:val="0F0F0F"/>
        </w:rPr>
      </w:pPr>
      <w:r>
        <w:rPr>
          <w:rFonts w:ascii="新宋体" w:eastAsia="新宋体"/>
          <w:color w:val="0F0F0F"/>
        </w:rPr>
        <w:t>(1)任何一方不履行仲裁机构的裁决</w:t>
      </w:r>
      <w:r>
        <w:rPr>
          <w:rFonts w:hint="eastAsia" w:ascii="新宋体" w:eastAsia="新宋体"/>
          <w:color w:val="0F0F0F"/>
        </w:rPr>
        <w:t>的</w:t>
      </w:r>
      <w:r>
        <w:rPr>
          <w:rFonts w:ascii="新宋体" w:eastAsia="新宋体"/>
          <w:color w:val="0F0F0F"/>
        </w:rPr>
        <w:t>，对方可以向有管辖权的人民法院申请</w:t>
      </w:r>
      <w:r>
        <w:rPr>
          <w:rFonts w:hint="eastAsia" w:ascii="新宋体" w:eastAsia="新宋体"/>
          <w:color w:val="0F0F0F"/>
        </w:rPr>
        <w:t>执行。</w:t>
      </w:r>
    </w:p>
    <w:p w14:paraId="7F1B5B2F">
      <w:pPr>
        <w:ind w:firstLine="420" w:firstLineChars="200"/>
        <w:rPr>
          <w:rFonts w:ascii="新宋体" w:eastAsia="新宋体"/>
          <w:color w:val="0F0F0F"/>
        </w:rPr>
      </w:pPr>
      <w:r>
        <w:rPr>
          <w:rFonts w:ascii="新宋体" w:eastAsia="新宋体"/>
          <w:color w:val="0F0F0F"/>
        </w:rPr>
        <w:t>(2)任何一方提出</w:t>
      </w:r>
      <w:r>
        <w:rPr>
          <w:rFonts w:hint="eastAsia" w:ascii="新宋体" w:eastAsia="新宋体"/>
          <w:color w:val="0F0F0F"/>
        </w:rPr>
        <w:t>证</w:t>
      </w:r>
      <w:r>
        <w:rPr>
          <w:rFonts w:ascii="新宋体" w:eastAsia="新宋体"/>
          <w:color w:val="0F0F0F"/>
        </w:rPr>
        <w:t>据证明裁决</w:t>
      </w:r>
      <w:r>
        <w:rPr>
          <w:rFonts w:hint="eastAsia" w:ascii="新宋体" w:eastAsia="新宋体"/>
          <w:color w:val="0F0F0F"/>
        </w:rPr>
        <w:t>有</w:t>
      </w:r>
      <w:r>
        <w:rPr>
          <w:rFonts w:ascii="新宋体" w:eastAsia="新宋体"/>
          <w:color w:val="0F0F0F"/>
        </w:rPr>
        <w:t>《中华人民共和国仲裁法》第五十八条规定情</w:t>
      </w:r>
      <w:r>
        <w:rPr>
          <w:rFonts w:hint="eastAsia" w:ascii="新宋体" w:eastAsia="新宋体"/>
          <w:color w:val="0F0F0F"/>
        </w:rPr>
        <w:t>形之一的，可以向仲裁委员会所在地的中级人民法院申请撤销裁决．。人民法院认定执行该裁决违背社会公共利益的，裁定不予执行。仲裁裁决被人民法院裁定不予执行的，当事人可以根据双方达成的书两仲裁协议重新申请仲裁，也可以向人民法院上诉。</w:t>
      </w:r>
    </w:p>
    <w:p w14:paraId="33F8FD30">
      <w:pPr>
        <w:rPr>
          <w:rFonts w:ascii="新宋体" w:hAnsi="宋体" w:eastAsia="新宋体"/>
          <w:b/>
          <w:color w:val="0F0F0F"/>
          <w:sz w:val="25"/>
          <w:szCs w:val="32"/>
        </w:rPr>
      </w:pPr>
    </w:p>
    <w:p w14:paraId="3B4BAE57">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B 项目专用合同条款</w:t>
      </w:r>
    </w:p>
    <w:p w14:paraId="3728DB09">
      <w:pPr>
        <w:spacing w:line="400" w:lineRule="exact"/>
        <w:ind w:firstLine="523" w:firstLineChars="187"/>
        <w:rPr>
          <w:rFonts w:ascii="新宋体" w:eastAsia="新宋体"/>
          <w:b/>
          <w:color w:val="0F0F0F"/>
          <w:sz w:val="23"/>
          <w:szCs w:val="32"/>
        </w:rPr>
      </w:pPr>
      <w:r>
        <w:rPr>
          <w:rFonts w:hint="eastAsia" w:ascii="新宋体" w:eastAsia="新宋体"/>
          <w:color w:val="0F0F0F"/>
          <w:sz w:val="28"/>
          <w:szCs w:val="28"/>
        </w:rPr>
        <w:t>说明：</w:t>
      </w:r>
    </w:p>
    <w:p w14:paraId="6717D7D2">
      <w:pPr>
        <w:ind w:firstLine="420" w:firstLineChars="200"/>
        <w:rPr>
          <w:rFonts w:ascii="新宋体" w:eastAsia="新宋体"/>
          <w:color w:val="0F0F0F"/>
        </w:rPr>
      </w:pPr>
      <w:r>
        <w:rPr>
          <w:rFonts w:ascii="新宋体" w:eastAsia="新宋体"/>
          <w:color w:val="0F0F0F"/>
        </w:rPr>
        <w:t>1</w:t>
      </w:r>
      <w:r>
        <w:rPr>
          <w:rFonts w:hint="eastAsia" w:ascii="新宋体" w:eastAsia="新宋体"/>
          <w:color w:val="0F0F0F"/>
        </w:rPr>
        <w:t>．</w:t>
      </w:r>
      <w:r>
        <w:rPr>
          <w:rFonts w:hint="eastAsia" w:ascii="新宋体" w:eastAsia="新宋体"/>
          <w:color w:val="0F0F0F"/>
          <w:lang w:eastAsia="zh-CN"/>
        </w:rPr>
        <w:t>采购人</w:t>
      </w:r>
      <w:r>
        <w:rPr>
          <w:rFonts w:hint="eastAsia" w:ascii="新宋体" w:eastAsia="新宋体"/>
          <w:color w:val="0F0F0F"/>
        </w:rPr>
        <w:t>在根据《公路工程标准施工竞争性磋商文件》编制项目竞争性磋商文件中的</w:t>
      </w:r>
      <w:r>
        <w:rPr>
          <w:rFonts w:hint="cs" w:ascii="新宋体" w:eastAsia="新宋体"/>
          <w:color w:val="0F0F0F"/>
          <w:cs/>
        </w:rPr>
        <w:t>“</w:t>
      </w:r>
      <w:r>
        <w:rPr>
          <w:rFonts w:hint="eastAsia" w:ascii="新宋体" w:eastAsia="新宋体"/>
          <w:color w:val="0F0F0F"/>
        </w:rPr>
        <w:t>项目专用合同条款</w:t>
      </w:r>
      <w:r>
        <w:rPr>
          <w:rFonts w:hint="cs" w:ascii="新宋体" w:eastAsia="新宋体"/>
          <w:color w:val="0F0F0F"/>
          <w:cs/>
        </w:rPr>
        <w:t>”</w:t>
      </w:r>
      <w:r>
        <w:rPr>
          <w:rFonts w:hint="eastAsia" w:ascii="新宋体" w:eastAsia="新宋体"/>
          <w:color w:val="0F0F0F"/>
        </w:rPr>
        <w:t>时，可根据</w:t>
      </w:r>
      <w:r>
        <w:rPr>
          <w:rFonts w:hint="eastAsia" w:ascii="新宋体" w:eastAsia="新宋体"/>
          <w:color w:val="0F0F0F"/>
          <w:lang w:eastAsia="zh-CN"/>
        </w:rPr>
        <w:t>磋商</w:t>
      </w:r>
      <w:r>
        <w:rPr>
          <w:rFonts w:hint="eastAsia" w:ascii="新宋体" w:eastAsia="新宋体"/>
          <w:color w:val="0F0F0F"/>
        </w:rPr>
        <w:t>项目的具体特点和实际需要，对</w:t>
      </w:r>
      <w:r>
        <w:rPr>
          <w:rFonts w:hint="cs" w:ascii="新宋体" w:eastAsia="新宋体"/>
          <w:color w:val="0F0F0F"/>
          <w:cs/>
        </w:rPr>
        <w:t>“</w:t>
      </w:r>
      <w:r>
        <w:rPr>
          <w:rFonts w:hint="eastAsia" w:ascii="新宋体" w:eastAsia="新宋体"/>
          <w:color w:val="0F0F0F"/>
        </w:rPr>
        <w:t>通用合同务款</w:t>
      </w:r>
      <w:r>
        <w:rPr>
          <w:rFonts w:hint="cs" w:ascii="新宋体" w:eastAsia="新宋体"/>
          <w:color w:val="0F0F0F"/>
          <w:cs/>
        </w:rPr>
        <w:t>”</w:t>
      </w:r>
      <w:r>
        <w:rPr>
          <w:rFonts w:hint="eastAsia" w:ascii="新宋体" w:eastAsia="新宋体"/>
          <w:color w:val="0F0F0F"/>
        </w:rPr>
        <w:t>及</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进行补充和细化，除</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明确</w:t>
      </w:r>
      <w:r>
        <w:rPr>
          <w:rFonts w:hint="cs" w:ascii="新宋体" w:eastAsia="新宋体"/>
          <w:color w:val="0F0F0F"/>
          <w:cs/>
        </w:rPr>
        <w:t>“</w:t>
      </w:r>
      <w:r>
        <w:rPr>
          <w:rFonts w:hint="eastAsia" w:ascii="新宋体" w:eastAsia="新宋体"/>
          <w:color w:val="0F0F0F"/>
        </w:rPr>
        <w:t>专用合同条款</w:t>
      </w:r>
      <w:r>
        <w:rPr>
          <w:rFonts w:hint="cs" w:ascii="新宋体" w:eastAsia="新宋体"/>
          <w:color w:val="0F0F0F"/>
          <w:cs/>
        </w:rPr>
        <w:t>”</w:t>
      </w:r>
      <w:r>
        <w:rPr>
          <w:rFonts w:hint="eastAsia" w:ascii="新宋体" w:eastAsia="新宋体"/>
          <w:color w:val="0F0F0F"/>
        </w:rPr>
        <w:t>可作出不同约定以及</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明确</w:t>
      </w:r>
      <w:r>
        <w:rPr>
          <w:rFonts w:hint="cs" w:ascii="新宋体" w:eastAsia="新宋体"/>
          <w:color w:val="0F0F0F"/>
          <w:cs/>
        </w:rPr>
        <w:t>“</w:t>
      </w:r>
      <w:r>
        <w:rPr>
          <w:rFonts w:hint="eastAsia" w:ascii="新宋体" w:eastAsia="新宋体"/>
          <w:color w:val="0F0F0F"/>
        </w:rPr>
        <w:t>项目专用合同条款</w:t>
      </w:r>
      <w:r>
        <w:rPr>
          <w:rFonts w:hint="cs" w:ascii="新宋体" w:eastAsia="新宋体"/>
          <w:color w:val="0F0F0F"/>
          <w:cs/>
        </w:rPr>
        <w:t>”</w:t>
      </w:r>
      <w:r>
        <w:rPr>
          <w:rFonts w:hint="eastAsia" w:ascii="新宋体" w:eastAsia="新宋体"/>
          <w:color w:val="0F0F0F"/>
        </w:rPr>
        <w:t>可作出不同约定外，补充和细化的内容不得与</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及</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强制性规定相抵触。同时，补充、细化或约定的不同内容，不得违反法律、行政法规的强制性规定和平等、自愿、公平和诚实信用原则．。</w:t>
      </w:r>
    </w:p>
    <w:p w14:paraId="0878D9CC">
      <w:pPr>
        <w:ind w:firstLine="420" w:firstLineChars="200"/>
        <w:rPr>
          <w:rFonts w:ascii="新宋体" w:eastAsia="新宋体"/>
          <w:color w:val="0F0F0F"/>
        </w:rPr>
      </w:pPr>
      <w:r>
        <w:rPr>
          <w:rFonts w:ascii="新宋体" w:eastAsia="新宋体"/>
          <w:color w:val="0F0F0F"/>
        </w:rPr>
        <w:t>2</w:t>
      </w:r>
      <w:r>
        <w:rPr>
          <w:rFonts w:hint="eastAsia" w:ascii="新宋体" w:eastAsia="新宋体"/>
          <w:color w:val="0F0F0F"/>
        </w:rPr>
        <w:t>．项目专用合同条款的编号应与通用合同条款和公路工程专用合同条款一致。</w:t>
      </w:r>
    </w:p>
    <w:p w14:paraId="2AD25A20">
      <w:pPr>
        <w:ind w:firstLine="420" w:firstLineChars="200"/>
        <w:rPr>
          <w:rFonts w:ascii="新宋体" w:eastAsia="新宋体"/>
          <w:color w:val="0F0F0F"/>
        </w:rPr>
      </w:pPr>
      <w:r>
        <w:rPr>
          <w:rFonts w:ascii="新宋体" w:eastAsia="新宋体"/>
          <w:color w:val="0F0F0F"/>
        </w:rPr>
        <w:t>3</w:t>
      </w:r>
      <w:r>
        <w:rPr>
          <w:rFonts w:hint="eastAsia" w:ascii="新宋体" w:eastAsia="新宋体"/>
          <w:color w:val="0F0F0F"/>
        </w:rPr>
        <w:t>．项目专用合同条款可对下列内容进行补充和细化：</w:t>
      </w:r>
    </w:p>
    <w:p w14:paraId="776C6275">
      <w:pPr>
        <w:ind w:firstLine="420" w:firstLineChars="200"/>
        <w:rPr>
          <w:rFonts w:ascii="新宋体" w:eastAsia="新宋体"/>
          <w:color w:val="0F0F0F"/>
        </w:rPr>
      </w:pPr>
      <w:r>
        <w:rPr>
          <w:rFonts w:ascii="新宋体" w:eastAsia="新宋体"/>
          <w:color w:val="0F0F0F"/>
        </w:rPr>
        <w:t>(1)“</w:t>
      </w:r>
      <w:r>
        <w:rPr>
          <w:rFonts w:hint="eastAsia" w:ascii="新宋体" w:eastAsia="新宋体"/>
          <w:color w:val="0F0F0F"/>
        </w:rPr>
        <w:t>通用合同务款</w:t>
      </w:r>
      <w:r>
        <w:rPr>
          <w:rFonts w:hint="cs" w:ascii="新宋体" w:eastAsia="新宋体"/>
          <w:color w:val="0F0F0F"/>
          <w:cs/>
        </w:rPr>
        <w:t>”</w:t>
      </w:r>
      <w:r>
        <w:rPr>
          <w:rFonts w:hint="eastAsia" w:ascii="新宋体" w:eastAsia="新宋体"/>
          <w:color w:val="0F0F0F"/>
        </w:rPr>
        <w:t>中明确指出</w:t>
      </w:r>
      <w:r>
        <w:rPr>
          <w:rFonts w:hint="cs" w:ascii="新宋体" w:eastAsia="新宋体"/>
          <w:color w:val="0F0F0F"/>
          <w:cs/>
        </w:rPr>
        <w:t>‘‘</w:t>
      </w:r>
      <w:r>
        <w:rPr>
          <w:rFonts w:hint="eastAsia" w:ascii="新宋体" w:eastAsia="新宋体"/>
          <w:color w:val="0F0F0F"/>
        </w:rPr>
        <w:t>专用合同条款</w:t>
      </w:r>
      <w:r>
        <w:rPr>
          <w:rFonts w:hint="cs" w:ascii="新宋体" w:eastAsia="新宋体"/>
          <w:color w:val="0F0F0F"/>
          <w:cs/>
        </w:rPr>
        <w:t>”</w:t>
      </w:r>
      <w:r>
        <w:rPr>
          <w:rFonts w:hint="eastAsia" w:ascii="新宋体" w:eastAsia="新宋体"/>
          <w:color w:val="0F0F0F"/>
        </w:rPr>
        <w:t>可对</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进行修改的内容</w:t>
      </w:r>
      <w:r>
        <w:rPr>
          <w:rFonts w:ascii="新宋体" w:eastAsia="新宋体"/>
          <w:color w:val="0F0F0F"/>
        </w:rPr>
        <w:t>(</w:t>
      </w:r>
      <w:r>
        <w:rPr>
          <w:rFonts w:hint="eastAsia" w:ascii="新宋体" w:eastAsia="新宋体"/>
          <w:color w:val="0F0F0F"/>
        </w:rPr>
        <w:t>在</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中用</w:t>
      </w:r>
      <w:r>
        <w:rPr>
          <w:rFonts w:hint="cs" w:ascii="新宋体" w:eastAsia="新宋体"/>
          <w:color w:val="0F0F0F"/>
          <w:cs/>
        </w:rPr>
        <w:t>“</w:t>
      </w:r>
      <w:r>
        <w:rPr>
          <w:rFonts w:hint="eastAsia" w:ascii="新宋体" w:eastAsia="新宋体"/>
          <w:color w:val="0F0F0F"/>
        </w:rPr>
        <w:t>应按合同约定</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应按专用合同条款约定</w:t>
      </w:r>
      <w:r>
        <w:rPr>
          <w:rFonts w:hint="cs" w:ascii="新宋体" w:eastAsia="新宋体"/>
          <w:color w:val="0F0F0F"/>
          <w:cs/>
        </w:rPr>
        <w:t>”“</w:t>
      </w:r>
      <w:r>
        <w:rPr>
          <w:rFonts w:hint="eastAsia" w:ascii="新宋体" w:eastAsia="新宋体"/>
          <w:color w:val="0F0F0F"/>
        </w:rPr>
        <w:t>除合同另有约定外</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除专用合同条款另有约定外</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在专用合同条款中约定</w:t>
      </w:r>
      <w:r>
        <w:rPr>
          <w:rFonts w:hint="cs" w:ascii="新宋体" w:eastAsia="新宋体"/>
          <w:color w:val="0F0F0F"/>
          <w:cs/>
        </w:rPr>
        <w:t>”</w:t>
      </w:r>
      <w:r>
        <w:rPr>
          <w:rFonts w:hint="eastAsia" w:ascii="新宋体" w:eastAsia="新宋体"/>
          <w:color w:val="0F0F0F"/>
        </w:rPr>
        <w:t>等多种文字形式表达</w:t>
      </w:r>
      <w:r>
        <w:rPr>
          <w:rFonts w:ascii="新宋体" w:eastAsia="新宋体"/>
          <w:color w:val="0F0F0F"/>
        </w:rPr>
        <w:t>)</w:t>
      </w:r>
      <w:r>
        <w:rPr>
          <w:rFonts w:hint="eastAsia" w:ascii="新宋体" w:eastAsia="新宋体"/>
          <w:color w:val="0F0F0F"/>
        </w:rPr>
        <w:t>；</w:t>
      </w:r>
    </w:p>
    <w:p w14:paraId="02FD4CB6">
      <w:pPr>
        <w:ind w:firstLine="420" w:firstLineChars="200"/>
        <w:rPr>
          <w:rFonts w:ascii="新宋体" w:eastAsia="新宋体"/>
          <w:color w:val="0F0F0F"/>
        </w:rPr>
      </w:pPr>
      <w:r>
        <w:rPr>
          <w:rFonts w:ascii="新宋体" w:eastAsia="新宋体"/>
          <w:color w:val="0F0F0F"/>
        </w:rPr>
        <w:t>(2)“</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中明确指出</w:t>
      </w:r>
      <w:r>
        <w:rPr>
          <w:rFonts w:hint="cs" w:ascii="新宋体" w:eastAsia="新宋体"/>
          <w:color w:val="0F0F0F"/>
          <w:cs/>
        </w:rPr>
        <w:t>“</w:t>
      </w:r>
      <w:r>
        <w:rPr>
          <w:rFonts w:hint="eastAsia" w:ascii="新宋体" w:eastAsia="新宋体"/>
          <w:color w:val="0F0F0F"/>
        </w:rPr>
        <w:t>项目专用合同条款</w:t>
      </w:r>
      <w:r>
        <w:rPr>
          <w:rFonts w:hint="cs" w:ascii="新宋体" w:eastAsia="新宋体"/>
          <w:color w:val="0F0F0F"/>
          <w:cs/>
        </w:rPr>
        <w:t>”</w:t>
      </w:r>
      <w:r>
        <w:rPr>
          <w:rFonts w:hint="eastAsia" w:ascii="新宋体" w:eastAsia="新宋体"/>
          <w:color w:val="0F0F0F"/>
        </w:rPr>
        <w:t>可对</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进行修改的内容</w:t>
      </w:r>
      <w:r>
        <w:rPr>
          <w:rFonts w:ascii="新宋体" w:eastAsia="新宋体"/>
          <w:color w:val="0F0F0F"/>
        </w:rPr>
        <w:t>(</w:t>
      </w:r>
      <w:r>
        <w:rPr>
          <w:rFonts w:hint="eastAsia" w:ascii="新宋体" w:eastAsia="新宋体"/>
          <w:color w:val="0F0F0F"/>
        </w:rPr>
        <w:t>在</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中用</w:t>
      </w:r>
      <w:r>
        <w:rPr>
          <w:rFonts w:hint="cs" w:ascii="新宋体" w:eastAsia="新宋体"/>
          <w:color w:val="0F0F0F"/>
          <w:cs/>
        </w:rPr>
        <w:t>“</w:t>
      </w:r>
      <w:r>
        <w:rPr>
          <w:rFonts w:hint="eastAsia" w:ascii="新宋体" w:eastAsia="新宋体"/>
          <w:color w:val="0F0F0F"/>
        </w:rPr>
        <w:t>除项目专用合同条款另有约定外</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项目专用合同条款可能约定的</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项目专用合同条款约定的其他情形</w:t>
      </w:r>
      <w:r>
        <w:rPr>
          <w:rFonts w:hint="cs" w:ascii="新宋体" w:eastAsia="新宋体"/>
          <w:color w:val="0F0F0F"/>
          <w:cs/>
        </w:rPr>
        <w:t>”</w:t>
      </w:r>
      <w:r>
        <w:rPr>
          <w:rFonts w:hint="eastAsia" w:ascii="新宋体" w:eastAsia="新宋体"/>
          <w:color w:val="0F0F0F"/>
        </w:rPr>
        <w:t>等多种文字形式表达</w:t>
      </w:r>
      <w:r>
        <w:rPr>
          <w:rFonts w:ascii="新宋体" w:eastAsia="新宋体"/>
          <w:color w:val="0F0F0F"/>
        </w:rPr>
        <w:t>)</w:t>
      </w:r>
      <w:r>
        <w:rPr>
          <w:rFonts w:hint="eastAsia" w:ascii="新宋体" w:eastAsia="新宋体"/>
          <w:color w:val="0F0F0F"/>
        </w:rPr>
        <w:t>；</w:t>
      </w:r>
    </w:p>
    <w:p w14:paraId="4FDCE3A4">
      <w:pPr>
        <w:ind w:firstLine="420" w:firstLineChars="200"/>
        <w:rPr>
          <w:rFonts w:ascii="新宋体" w:eastAsia="新宋体"/>
          <w:color w:val="0F0F0F"/>
        </w:rPr>
      </w:pPr>
      <w:r>
        <w:rPr>
          <w:rFonts w:ascii="新宋体" w:eastAsia="新宋体"/>
          <w:color w:val="0F0F0F"/>
        </w:rPr>
        <w:t>(3)</w:t>
      </w:r>
      <w:r>
        <w:rPr>
          <w:rFonts w:hint="eastAsia" w:ascii="新宋体" w:eastAsia="新宋体"/>
          <w:color w:val="0F0F0F"/>
        </w:rPr>
        <w:t>其他需要补充、细化的内容。</w:t>
      </w:r>
    </w:p>
    <w:p w14:paraId="0071B713">
      <w:pPr>
        <w:rPr>
          <w:rFonts w:ascii="新宋体" w:eastAsia="新宋体"/>
          <w:b/>
          <w:color w:val="0F0F0F"/>
          <w:sz w:val="23"/>
          <w:szCs w:val="32"/>
        </w:rPr>
      </w:pPr>
    </w:p>
    <w:p w14:paraId="5BBD3CE0">
      <w:pPr>
        <w:jc w:val="center"/>
        <w:rPr>
          <w:rFonts w:ascii="新宋体" w:eastAsia="新宋体"/>
          <w:b/>
          <w:color w:val="0F0F0F"/>
          <w:sz w:val="32"/>
          <w:szCs w:val="32"/>
        </w:rPr>
      </w:pPr>
      <w:r>
        <w:rPr>
          <w:rFonts w:ascii="新宋体" w:eastAsia="新宋体"/>
          <w:b/>
          <w:color w:val="0F0F0F"/>
          <w:sz w:val="32"/>
          <w:szCs w:val="32"/>
        </w:rPr>
        <w:br w:type="page"/>
      </w:r>
    </w:p>
    <w:p w14:paraId="0CB19FFF">
      <w:pPr>
        <w:jc w:val="center"/>
        <w:rPr>
          <w:rFonts w:ascii="新宋体" w:eastAsia="新宋体"/>
          <w:b/>
          <w:color w:val="0F0F0F"/>
          <w:sz w:val="32"/>
          <w:szCs w:val="32"/>
        </w:rPr>
      </w:pPr>
    </w:p>
    <w:p w14:paraId="39C224F1">
      <w:pPr>
        <w:jc w:val="center"/>
        <w:rPr>
          <w:rFonts w:ascii="新宋体" w:eastAsia="新宋体"/>
          <w:b/>
          <w:color w:val="0F0F0F"/>
          <w:sz w:val="32"/>
          <w:szCs w:val="32"/>
        </w:rPr>
      </w:pPr>
      <w:r>
        <w:rPr>
          <w:rFonts w:hint="eastAsia" w:ascii="新宋体" w:eastAsia="新宋体"/>
          <w:b/>
          <w:color w:val="0F0F0F"/>
          <w:sz w:val="32"/>
          <w:szCs w:val="32"/>
        </w:rPr>
        <w:t>项目专用合同条款数据表</w:t>
      </w:r>
    </w:p>
    <w:p w14:paraId="06FECA36">
      <w:pPr>
        <w:spacing w:line="480" w:lineRule="auto"/>
        <w:ind w:firstLine="560" w:firstLineChars="200"/>
        <w:rPr>
          <w:rFonts w:ascii="新宋体" w:eastAsia="新宋体"/>
          <w:color w:val="0F0F0F"/>
          <w:sz w:val="28"/>
          <w:szCs w:val="28"/>
        </w:rPr>
      </w:pPr>
    </w:p>
    <w:p w14:paraId="2294B36D">
      <w:pPr>
        <w:spacing w:line="480" w:lineRule="auto"/>
        <w:ind w:firstLine="560" w:firstLineChars="200"/>
        <w:rPr>
          <w:rFonts w:ascii="新宋体" w:eastAsia="新宋体"/>
          <w:color w:val="0F0F0F"/>
        </w:rPr>
      </w:pPr>
      <w:r>
        <w:rPr>
          <w:rFonts w:hint="eastAsia" w:ascii="新宋体" w:eastAsia="新宋体"/>
          <w:color w:val="0F0F0F"/>
          <w:sz w:val="28"/>
          <w:szCs w:val="28"/>
        </w:rPr>
        <w:t>说明：</w:t>
      </w:r>
      <w:r>
        <w:rPr>
          <w:rFonts w:hint="eastAsia" w:ascii="新宋体" w:eastAsia="新宋体"/>
          <w:color w:val="0F0F0F"/>
        </w:rPr>
        <w:t>本数据表是项目专用合同条款中适用于本项目的信息和数据的归纳与提示，是项目专用合同条款的组成部分。第八章</w:t>
      </w:r>
      <w:r>
        <w:rPr>
          <w:rFonts w:hint="cs" w:ascii="新宋体" w:eastAsia="新宋体"/>
          <w:color w:val="0F0F0F"/>
          <w:cs/>
        </w:rPr>
        <w:t>“</w:t>
      </w:r>
      <w:r>
        <w:rPr>
          <w:rFonts w:hint="eastAsia" w:ascii="新宋体" w:eastAsia="新宋体"/>
          <w:color w:val="0F0F0F"/>
        </w:rPr>
        <w:t>响应文件格式</w:t>
      </w:r>
      <w:r>
        <w:rPr>
          <w:rFonts w:hint="cs" w:ascii="新宋体" w:eastAsia="新宋体"/>
          <w:color w:val="0F0F0F"/>
          <w:cs/>
        </w:rPr>
        <w:t>”</w:t>
      </w:r>
      <w:r>
        <w:rPr>
          <w:rFonts w:hint="eastAsia" w:ascii="新宋体" w:eastAsia="新宋体"/>
          <w:color w:val="0F0F0F"/>
        </w:rPr>
        <w:t>的投标函附录中的数据</w:t>
      </w:r>
      <w:r>
        <w:rPr>
          <w:rFonts w:ascii="新宋体" w:eastAsia="新宋体"/>
          <w:color w:val="0F0F0F"/>
        </w:rPr>
        <w:t>(</w:t>
      </w:r>
      <w:r>
        <w:rPr>
          <w:rFonts w:hint="eastAsia" w:ascii="新宋体" w:eastAsia="新宋体"/>
          <w:color w:val="0F0F0F"/>
        </w:rPr>
        <w:t>供</w:t>
      </w:r>
      <w:r>
        <w:rPr>
          <w:rFonts w:hint="eastAsia" w:ascii="新宋体" w:eastAsia="新宋体"/>
          <w:color w:val="0F0F0F"/>
          <w:lang w:eastAsia="zh-CN"/>
        </w:rPr>
        <w:t>供应商</w:t>
      </w:r>
      <w:r>
        <w:rPr>
          <w:rFonts w:hint="eastAsia" w:ascii="新宋体" w:eastAsia="新宋体"/>
          <w:color w:val="0F0F0F"/>
        </w:rPr>
        <w:t>确认</w:t>
      </w:r>
      <w:r>
        <w:rPr>
          <w:rFonts w:ascii="新宋体" w:eastAsia="新宋体"/>
          <w:color w:val="0F0F0F"/>
        </w:rPr>
        <w:t>)</w:t>
      </w:r>
      <w:r>
        <w:rPr>
          <w:rFonts w:hint="eastAsia" w:ascii="新宋体" w:eastAsia="新宋体"/>
          <w:color w:val="0F0F0F"/>
        </w:rPr>
        <w:t>与本表所列有重复。编写竞争性磋商文件的单位应仔细校核，不使数据出现差错或不一致。</w:t>
      </w:r>
    </w:p>
    <w:p w14:paraId="53B5F2BA">
      <w:pPr>
        <w:ind w:firstLine="420" w:firstLineChars="200"/>
        <w:rPr>
          <w:rFonts w:ascii="新宋体" w:eastAsia="新宋体"/>
          <w:color w:val="0F0F0F"/>
        </w:rPr>
      </w:pP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365"/>
        <w:gridCol w:w="6406"/>
      </w:tblGrid>
      <w:tr w14:paraId="07BDB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948" w:type="dxa"/>
            <w:noWrap/>
            <w:vAlign w:val="center"/>
          </w:tcPr>
          <w:p w14:paraId="57D026B8">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序号</w:t>
            </w:r>
          </w:p>
        </w:tc>
        <w:tc>
          <w:tcPr>
            <w:tcW w:w="1365" w:type="dxa"/>
            <w:noWrap/>
            <w:vAlign w:val="center"/>
          </w:tcPr>
          <w:p w14:paraId="57EAA2AC">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条目号</w:t>
            </w:r>
          </w:p>
        </w:tc>
        <w:tc>
          <w:tcPr>
            <w:tcW w:w="6406" w:type="dxa"/>
            <w:noWrap/>
            <w:vAlign w:val="center"/>
          </w:tcPr>
          <w:p w14:paraId="730CB877">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信息或数据</w:t>
            </w:r>
          </w:p>
        </w:tc>
      </w:tr>
      <w:tr w14:paraId="495E3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trPr>
        <w:tc>
          <w:tcPr>
            <w:tcW w:w="948" w:type="dxa"/>
            <w:noWrap/>
            <w:vAlign w:val="center"/>
          </w:tcPr>
          <w:p w14:paraId="60F5C4EA">
            <w:pPr>
              <w:jc w:val="center"/>
              <w:rPr>
                <w:rFonts w:ascii="新宋体" w:eastAsia="新宋体"/>
                <w:color w:val="0F0F0F"/>
              </w:rPr>
            </w:pPr>
            <w:r>
              <w:rPr>
                <w:rFonts w:hint="eastAsia" w:ascii="新宋体" w:eastAsia="新宋体"/>
                <w:color w:val="0F0F0F"/>
              </w:rPr>
              <w:t>1</w:t>
            </w:r>
          </w:p>
        </w:tc>
        <w:tc>
          <w:tcPr>
            <w:tcW w:w="1365" w:type="dxa"/>
            <w:noWrap/>
            <w:vAlign w:val="center"/>
          </w:tcPr>
          <w:p w14:paraId="54810054">
            <w:pPr>
              <w:jc w:val="center"/>
              <w:rPr>
                <w:rFonts w:ascii="新宋体" w:eastAsia="新宋体"/>
                <w:color w:val="0F0F0F"/>
              </w:rPr>
            </w:pPr>
            <w:r>
              <w:rPr>
                <w:rFonts w:hint="eastAsia" w:ascii="新宋体" w:eastAsia="新宋体"/>
                <w:color w:val="0F0F0F"/>
              </w:rPr>
              <w:t>1.1.2.2</w:t>
            </w:r>
          </w:p>
        </w:tc>
        <w:tc>
          <w:tcPr>
            <w:tcW w:w="6406" w:type="dxa"/>
            <w:noWrap/>
            <w:vAlign w:val="center"/>
          </w:tcPr>
          <w:p w14:paraId="607A841A">
            <w:pPr>
              <w:autoSpaceDE w:val="0"/>
              <w:autoSpaceDN w:val="0"/>
              <w:rPr>
                <w:rFonts w:ascii="新宋体" w:hAnsi="宋体" w:eastAsia="新宋体" w:cs="宋体"/>
                <w:color w:val="0F0F0F"/>
                <w:kern w:val="0"/>
                <w:szCs w:val="21"/>
              </w:rPr>
            </w:pPr>
          </w:p>
          <w:p w14:paraId="753C768F">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发包人：</w:t>
            </w:r>
          </w:p>
          <w:p w14:paraId="0F65BD7A">
            <w:pPr>
              <w:rPr>
                <w:rFonts w:ascii="新宋体" w:eastAsia="新宋体"/>
                <w:color w:val="0F0F0F"/>
              </w:rPr>
            </w:pPr>
          </w:p>
        </w:tc>
      </w:tr>
      <w:tr w14:paraId="0B3E8A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9" w:hRule="atLeast"/>
        </w:trPr>
        <w:tc>
          <w:tcPr>
            <w:tcW w:w="948" w:type="dxa"/>
            <w:noWrap/>
            <w:vAlign w:val="center"/>
          </w:tcPr>
          <w:p w14:paraId="53665AF7">
            <w:pPr>
              <w:jc w:val="center"/>
              <w:rPr>
                <w:rFonts w:ascii="新宋体" w:eastAsia="新宋体"/>
                <w:color w:val="0F0F0F"/>
              </w:rPr>
            </w:pPr>
            <w:r>
              <w:rPr>
                <w:rFonts w:hint="eastAsia" w:ascii="新宋体" w:eastAsia="新宋体"/>
                <w:color w:val="0F0F0F"/>
              </w:rPr>
              <w:t>2</w:t>
            </w:r>
          </w:p>
        </w:tc>
        <w:tc>
          <w:tcPr>
            <w:tcW w:w="1365" w:type="dxa"/>
            <w:noWrap/>
            <w:vAlign w:val="center"/>
          </w:tcPr>
          <w:p w14:paraId="5F79F6BD">
            <w:pPr>
              <w:jc w:val="center"/>
              <w:rPr>
                <w:rFonts w:ascii="新宋体" w:eastAsia="新宋体"/>
                <w:color w:val="0F0F0F"/>
              </w:rPr>
            </w:pPr>
            <w:r>
              <w:rPr>
                <w:rFonts w:hint="eastAsia" w:ascii="新宋体" w:eastAsia="新宋体"/>
                <w:color w:val="0F0F0F"/>
              </w:rPr>
              <w:t>1.1.2.6</w:t>
            </w:r>
          </w:p>
        </w:tc>
        <w:tc>
          <w:tcPr>
            <w:tcW w:w="6406" w:type="dxa"/>
            <w:noWrap/>
            <w:vAlign w:val="center"/>
          </w:tcPr>
          <w:p w14:paraId="219A92B4">
            <w:pPr>
              <w:autoSpaceDE w:val="0"/>
              <w:autoSpaceDN w:val="0"/>
              <w:rPr>
                <w:rFonts w:hint="eastAsia" w:ascii="新宋体" w:eastAsia="新宋体"/>
                <w:color w:val="0F0F0F"/>
                <w:lang w:eastAsia="zh-CN"/>
              </w:rPr>
            </w:pPr>
            <w:r>
              <w:rPr>
                <w:rFonts w:hint="eastAsia" w:ascii="新宋体" w:hAnsi="宋体" w:eastAsia="新宋体" w:cs="宋体"/>
                <w:color w:val="0F0F0F"/>
                <w:kern w:val="0"/>
                <w:szCs w:val="21"/>
                <w:highlight w:val="none"/>
              </w:rPr>
              <w:t>监理</w:t>
            </w:r>
            <w:r>
              <w:rPr>
                <w:rFonts w:hint="eastAsia" w:ascii="新宋体" w:hAnsi="宋体" w:eastAsia="新宋体" w:cs="宋体"/>
                <w:color w:val="auto"/>
                <w:kern w:val="0"/>
                <w:szCs w:val="21"/>
                <w:highlight w:val="none"/>
              </w:rPr>
              <w:t>人：</w:t>
            </w:r>
          </w:p>
        </w:tc>
      </w:tr>
      <w:tr w14:paraId="202AC3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948" w:type="dxa"/>
            <w:noWrap/>
            <w:vAlign w:val="center"/>
          </w:tcPr>
          <w:p w14:paraId="1B997720">
            <w:pPr>
              <w:jc w:val="center"/>
              <w:rPr>
                <w:rFonts w:ascii="新宋体" w:eastAsia="新宋体"/>
                <w:color w:val="0F0F0F"/>
              </w:rPr>
            </w:pPr>
            <w:r>
              <w:rPr>
                <w:rFonts w:hint="eastAsia" w:ascii="新宋体" w:eastAsia="新宋体"/>
                <w:color w:val="0F0F0F"/>
              </w:rPr>
              <w:t>3</w:t>
            </w:r>
          </w:p>
        </w:tc>
        <w:tc>
          <w:tcPr>
            <w:tcW w:w="1365" w:type="dxa"/>
            <w:noWrap/>
            <w:vAlign w:val="center"/>
          </w:tcPr>
          <w:p w14:paraId="07E6A87B">
            <w:pPr>
              <w:jc w:val="center"/>
              <w:rPr>
                <w:rFonts w:ascii="新宋体" w:eastAsia="新宋体"/>
                <w:color w:val="0F0F0F"/>
              </w:rPr>
            </w:pPr>
            <w:r>
              <w:rPr>
                <w:rFonts w:hint="eastAsia" w:ascii="新宋体" w:eastAsia="新宋体"/>
                <w:color w:val="0F0F0F"/>
              </w:rPr>
              <w:t>1.1.4.5</w:t>
            </w:r>
          </w:p>
        </w:tc>
        <w:tc>
          <w:tcPr>
            <w:tcW w:w="6406" w:type="dxa"/>
            <w:noWrap/>
            <w:vAlign w:val="center"/>
          </w:tcPr>
          <w:p w14:paraId="2213EBB2">
            <w:pPr>
              <w:rPr>
                <w:rFonts w:ascii="新宋体" w:eastAsia="新宋体"/>
                <w:color w:val="0F0F0F"/>
                <w:vertAlign w:val="superscript"/>
              </w:rPr>
            </w:pPr>
            <w:r>
              <w:rPr>
                <w:rFonts w:hint="eastAsia" w:ascii="新宋体" w:hAnsi="宋体" w:eastAsia="新宋体" w:cs="宋体"/>
                <w:color w:val="0F0F0F"/>
                <w:kern w:val="0"/>
                <w:szCs w:val="21"/>
              </w:rPr>
              <w:t>缺陷责任期:自实际交工日期起计算</w:t>
            </w:r>
            <w:r>
              <w:rPr>
                <w:rFonts w:hint="eastAsia" w:ascii="新宋体" w:hAnsi="宋体" w:eastAsia="新宋体" w:cs="宋体"/>
                <w:color w:val="0F0F0F"/>
                <w:kern w:val="0"/>
                <w:szCs w:val="21"/>
                <w:u w:val="single"/>
              </w:rPr>
              <w:t>1</w:t>
            </w:r>
            <w:r>
              <w:rPr>
                <w:rFonts w:hint="eastAsia" w:ascii="新宋体" w:hAnsi="宋体" w:eastAsia="新宋体" w:cs="宋体"/>
                <w:color w:val="0F0F0F"/>
                <w:kern w:val="0"/>
                <w:szCs w:val="21"/>
              </w:rPr>
              <w:t>年</w:t>
            </w:r>
          </w:p>
        </w:tc>
      </w:tr>
      <w:tr w14:paraId="73409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trPr>
        <w:tc>
          <w:tcPr>
            <w:tcW w:w="948" w:type="dxa"/>
            <w:noWrap/>
            <w:vAlign w:val="center"/>
          </w:tcPr>
          <w:p w14:paraId="69931749">
            <w:pPr>
              <w:jc w:val="center"/>
              <w:rPr>
                <w:rFonts w:ascii="新宋体" w:eastAsia="新宋体"/>
                <w:color w:val="0F0F0F"/>
              </w:rPr>
            </w:pPr>
            <w:r>
              <w:rPr>
                <w:rFonts w:hint="eastAsia" w:ascii="新宋体" w:eastAsia="新宋体"/>
                <w:color w:val="0F0F0F"/>
              </w:rPr>
              <w:t>4</w:t>
            </w:r>
          </w:p>
        </w:tc>
        <w:tc>
          <w:tcPr>
            <w:tcW w:w="1365" w:type="dxa"/>
            <w:noWrap/>
            <w:vAlign w:val="center"/>
          </w:tcPr>
          <w:p w14:paraId="3192AE1C">
            <w:pPr>
              <w:jc w:val="center"/>
              <w:rPr>
                <w:rFonts w:ascii="新宋体" w:eastAsia="新宋体"/>
                <w:color w:val="0F0F0F"/>
              </w:rPr>
            </w:pPr>
            <w:r>
              <w:rPr>
                <w:rFonts w:hint="eastAsia" w:ascii="新宋体" w:eastAsia="新宋体"/>
                <w:color w:val="0F0F0F"/>
              </w:rPr>
              <w:t>1.6.3</w:t>
            </w:r>
          </w:p>
        </w:tc>
        <w:tc>
          <w:tcPr>
            <w:tcW w:w="6406" w:type="dxa"/>
            <w:noWrap/>
            <w:vAlign w:val="center"/>
          </w:tcPr>
          <w:p w14:paraId="5D08D396">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图纸需要修改和补充的，应由监理人取得发包人同意后，在该工程或工程相应部位施工前</w:t>
            </w:r>
            <w:r>
              <w:rPr>
                <w:rFonts w:hint="eastAsia" w:ascii="新宋体" w:hAnsi="宋体" w:eastAsia="新宋体" w:cs="宋体"/>
                <w:color w:val="0F0F0F"/>
                <w:kern w:val="0"/>
                <w:szCs w:val="21"/>
                <w:u w:val="single"/>
              </w:rPr>
              <w:t>14</w:t>
            </w:r>
            <w:r>
              <w:rPr>
                <w:rFonts w:hint="eastAsia" w:ascii="新宋体" w:hAnsi="宋体" w:eastAsia="新宋体" w:cs="宋体"/>
                <w:color w:val="0F0F0F"/>
                <w:kern w:val="0"/>
                <w:szCs w:val="21"/>
              </w:rPr>
              <w:t>天签发图纸修改图给承包人</w:t>
            </w:r>
          </w:p>
        </w:tc>
      </w:tr>
      <w:tr w14:paraId="0C79FE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3" w:hRule="atLeast"/>
        </w:trPr>
        <w:tc>
          <w:tcPr>
            <w:tcW w:w="948" w:type="dxa"/>
            <w:noWrap/>
            <w:vAlign w:val="center"/>
          </w:tcPr>
          <w:p w14:paraId="7A7BAF39">
            <w:pPr>
              <w:jc w:val="center"/>
              <w:rPr>
                <w:rFonts w:ascii="新宋体" w:eastAsia="新宋体"/>
                <w:color w:val="0F0F0F"/>
              </w:rPr>
            </w:pPr>
            <w:r>
              <w:rPr>
                <w:rFonts w:hint="eastAsia" w:ascii="新宋体" w:eastAsia="新宋体"/>
                <w:color w:val="0F0F0F"/>
              </w:rPr>
              <w:t>5</w:t>
            </w:r>
          </w:p>
        </w:tc>
        <w:tc>
          <w:tcPr>
            <w:tcW w:w="1365" w:type="dxa"/>
            <w:noWrap/>
            <w:vAlign w:val="center"/>
          </w:tcPr>
          <w:p w14:paraId="39E9E780">
            <w:pPr>
              <w:jc w:val="center"/>
              <w:rPr>
                <w:rFonts w:ascii="新宋体" w:eastAsia="新宋体"/>
                <w:color w:val="0F0F0F"/>
              </w:rPr>
            </w:pPr>
            <w:r>
              <w:rPr>
                <w:rFonts w:hint="eastAsia" w:ascii="新宋体" w:eastAsia="新宋体"/>
                <w:color w:val="0F0F0F"/>
              </w:rPr>
              <w:t>3.1.1</w:t>
            </w:r>
          </w:p>
        </w:tc>
        <w:tc>
          <w:tcPr>
            <w:tcW w:w="6406" w:type="dxa"/>
            <w:noWrap/>
            <w:vAlign w:val="center"/>
          </w:tcPr>
          <w:p w14:paraId="73D2451A">
            <w:pPr>
              <w:autoSpaceDE w:val="0"/>
              <w:autoSpaceDN w:val="0"/>
              <w:rPr>
                <w:rFonts w:hint="eastAsia" w:ascii="新宋体" w:hAnsi="宋体" w:eastAsia="新宋体" w:cs="宋体"/>
                <w:color w:val="0F0F0F"/>
                <w:kern w:val="0"/>
                <w:szCs w:val="21"/>
              </w:rPr>
            </w:pPr>
            <w:r>
              <w:rPr>
                <w:rFonts w:hint="eastAsia" w:ascii="新宋体" w:hAnsi="宋体" w:eastAsia="新宋体" w:cs="宋体"/>
                <w:color w:val="0F0F0F"/>
                <w:kern w:val="0"/>
                <w:szCs w:val="21"/>
              </w:rPr>
              <w:t>监理人在行使权力前需要经发包人事先批准：</w:t>
            </w:r>
          </w:p>
          <w:p w14:paraId="3EF460B9">
            <w:pPr>
              <w:autoSpaceDE w:val="0"/>
              <w:autoSpaceDN w:val="0"/>
              <w:rPr>
                <w:rFonts w:hint="eastAsia" w:ascii="新宋体" w:hAnsi="宋体" w:eastAsia="新宋体" w:cs="宋体"/>
                <w:color w:val="0F0F0F"/>
                <w:kern w:val="0"/>
                <w:szCs w:val="21"/>
              </w:rPr>
            </w:pPr>
            <w:r>
              <w:rPr>
                <w:rFonts w:hint="eastAsia" w:ascii="新宋体" w:hAnsi="宋体" w:eastAsia="新宋体" w:cs="宋体"/>
                <w:color w:val="0F0F0F"/>
                <w:kern w:val="0"/>
                <w:szCs w:val="21"/>
              </w:rPr>
              <w:t>根据第15.3款发出的变更指示。</w:t>
            </w:r>
          </w:p>
          <w:p w14:paraId="0D506D43">
            <w:pPr>
              <w:autoSpaceDE w:val="0"/>
              <w:autoSpaceDN w:val="0"/>
              <w:rPr>
                <w:rFonts w:ascii="新宋体" w:hAnsi="宋体" w:eastAsia="新宋体" w:cs="宋体"/>
                <w:color w:val="0F0F0F"/>
                <w:kern w:val="0"/>
                <w:szCs w:val="21"/>
              </w:rPr>
            </w:pPr>
          </w:p>
        </w:tc>
      </w:tr>
      <w:tr w14:paraId="4A389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948" w:type="dxa"/>
            <w:noWrap/>
            <w:vAlign w:val="center"/>
          </w:tcPr>
          <w:p w14:paraId="127BBD5A">
            <w:pPr>
              <w:jc w:val="center"/>
              <w:rPr>
                <w:rFonts w:ascii="新宋体" w:eastAsia="新宋体"/>
                <w:color w:val="0F0F0F"/>
              </w:rPr>
            </w:pPr>
            <w:r>
              <w:rPr>
                <w:rFonts w:hint="eastAsia" w:ascii="新宋体" w:eastAsia="新宋体"/>
                <w:color w:val="0F0F0F"/>
              </w:rPr>
              <w:t>6</w:t>
            </w:r>
          </w:p>
        </w:tc>
        <w:tc>
          <w:tcPr>
            <w:tcW w:w="1365" w:type="dxa"/>
            <w:noWrap/>
            <w:vAlign w:val="center"/>
          </w:tcPr>
          <w:p w14:paraId="1F12CC76">
            <w:pPr>
              <w:jc w:val="center"/>
              <w:rPr>
                <w:rFonts w:ascii="新宋体" w:eastAsia="新宋体"/>
                <w:color w:val="0F0F0F"/>
              </w:rPr>
            </w:pPr>
            <w:r>
              <w:rPr>
                <w:rFonts w:hint="eastAsia" w:ascii="新宋体" w:eastAsia="新宋体"/>
                <w:color w:val="0F0F0F"/>
              </w:rPr>
              <w:t>5.2.1</w:t>
            </w:r>
          </w:p>
        </w:tc>
        <w:tc>
          <w:tcPr>
            <w:tcW w:w="6406" w:type="dxa"/>
            <w:noWrap/>
            <w:vAlign w:val="center"/>
          </w:tcPr>
          <w:p w14:paraId="25723A71">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发包人是否提供材料或工程设备：</w:t>
            </w:r>
            <w:r>
              <w:rPr>
                <w:rFonts w:hint="eastAsia" w:ascii="新宋体" w:hAnsi="宋体" w:eastAsia="新宋体" w:cs="宋体"/>
                <w:color w:val="0F0F0F"/>
                <w:kern w:val="0"/>
                <w:szCs w:val="21"/>
                <w:u w:val="single"/>
              </w:rPr>
              <w:t>否</w:t>
            </w:r>
          </w:p>
          <w:p w14:paraId="511E9745">
            <w:pPr>
              <w:autoSpaceDE w:val="0"/>
              <w:autoSpaceDN w:val="0"/>
              <w:ind w:firstLine="420" w:firstLineChars="200"/>
              <w:rPr>
                <w:rFonts w:ascii="新宋体" w:hAnsi="宋体" w:eastAsia="新宋体" w:cs="宋体"/>
                <w:color w:val="0F0F0F"/>
                <w:kern w:val="0"/>
                <w:szCs w:val="21"/>
                <w:u w:val="single"/>
              </w:rPr>
            </w:pPr>
          </w:p>
        </w:tc>
      </w:tr>
      <w:tr w14:paraId="7E66DE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948" w:type="dxa"/>
            <w:noWrap/>
            <w:vAlign w:val="center"/>
          </w:tcPr>
          <w:p w14:paraId="61F975DA">
            <w:pPr>
              <w:jc w:val="center"/>
              <w:rPr>
                <w:rFonts w:ascii="新宋体" w:eastAsia="新宋体"/>
                <w:color w:val="0F0F0F"/>
              </w:rPr>
            </w:pPr>
            <w:r>
              <w:rPr>
                <w:rFonts w:hint="eastAsia" w:ascii="新宋体" w:eastAsia="新宋体"/>
                <w:color w:val="0F0F0F"/>
              </w:rPr>
              <w:t>7</w:t>
            </w:r>
          </w:p>
        </w:tc>
        <w:tc>
          <w:tcPr>
            <w:tcW w:w="1365" w:type="dxa"/>
            <w:noWrap/>
            <w:vAlign w:val="center"/>
          </w:tcPr>
          <w:p w14:paraId="0F0411F5">
            <w:pPr>
              <w:jc w:val="center"/>
              <w:rPr>
                <w:rFonts w:ascii="新宋体" w:eastAsia="新宋体"/>
                <w:color w:val="0F0F0F"/>
              </w:rPr>
            </w:pPr>
            <w:r>
              <w:rPr>
                <w:rFonts w:hint="eastAsia" w:ascii="新宋体" w:eastAsia="新宋体"/>
                <w:color w:val="0F0F0F"/>
              </w:rPr>
              <w:t>6.2</w:t>
            </w:r>
          </w:p>
        </w:tc>
        <w:tc>
          <w:tcPr>
            <w:tcW w:w="6406" w:type="dxa"/>
            <w:noWrap/>
            <w:vAlign w:val="center"/>
          </w:tcPr>
          <w:p w14:paraId="1CC577BC">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发包人是备提供施工设备和临时设施：</w:t>
            </w:r>
            <w:r>
              <w:rPr>
                <w:rFonts w:hint="eastAsia" w:ascii="新宋体" w:hAnsi="宋体" w:eastAsia="新宋体" w:cs="宋体"/>
                <w:color w:val="0F0F0F"/>
                <w:kern w:val="0"/>
                <w:szCs w:val="21"/>
                <w:u w:val="single"/>
              </w:rPr>
              <w:t>否</w:t>
            </w:r>
          </w:p>
          <w:p w14:paraId="4E37C9D8">
            <w:pPr>
              <w:ind w:firstLine="420" w:firstLineChars="200"/>
              <w:rPr>
                <w:rFonts w:ascii="新宋体" w:eastAsia="新宋体"/>
                <w:color w:val="0F0F0F"/>
                <w:u w:val="single"/>
              </w:rPr>
            </w:pPr>
          </w:p>
        </w:tc>
      </w:tr>
      <w:tr w14:paraId="4CDA88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6" w:hRule="atLeast"/>
        </w:trPr>
        <w:tc>
          <w:tcPr>
            <w:tcW w:w="948" w:type="dxa"/>
            <w:noWrap/>
            <w:vAlign w:val="center"/>
          </w:tcPr>
          <w:p w14:paraId="1FD934B8">
            <w:pPr>
              <w:jc w:val="center"/>
              <w:rPr>
                <w:rFonts w:ascii="新宋体" w:eastAsia="新宋体"/>
                <w:color w:val="0F0F0F"/>
              </w:rPr>
            </w:pPr>
            <w:r>
              <w:rPr>
                <w:rFonts w:hint="eastAsia" w:ascii="新宋体" w:eastAsia="新宋体"/>
                <w:color w:val="0F0F0F"/>
              </w:rPr>
              <w:t>8</w:t>
            </w:r>
          </w:p>
        </w:tc>
        <w:tc>
          <w:tcPr>
            <w:tcW w:w="1365" w:type="dxa"/>
            <w:noWrap/>
            <w:vAlign w:val="center"/>
          </w:tcPr>
          <w:p w14:paraId="5AB3581D">
            <w:pPr>
              <w:jc w:val="center"/>
              <w:rPr>
                <w:rFonts w:ascii="新宋体" w:eastAsia="新宋体"/>
                <w:color w:val="0F0F0F"/>
              </w:rPr>
            </w:pPr>
            <w:r>
              <w:rPr>
                <w:rFonts w:hint="eastAsia" w:ascii="新宋体" w:eastAsia="新宋体"/>
                <w:color w:val="0F0F0F"/>
              </w:rPr>
              <w:t>8.1.1</w:t>
            </w:r>
          </w:p>
        </w:tc>
        <w:tc>
          <w:tcPr>
            <w:tcW w:w="6406" w:type="dxa"/>
            <w:noWrap/>
            <w:vAlign w:val="center"/>
          </w:tcPr>
          <w:p w14:paraId="63A28B30">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rPr>
              <w:t>发包人提供测量基准点、基准线和水准点及其书面资料的期限：</w:t>
            </w:r>
          </w:p>
          <w:p w14:paraId="3DA9BCDE">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u w:val="single"/>
              </w:rPr>
              <w:t>/天</w:t>
            </w:r>
          </w:p>
          <w:p w14:paraId="62DC94F5">
            <w:pPr>
              <w:rPr>
                <w:rFonts w:ascii="新宋体" w:eastAsia="新宋体"/>
                <w:color w:val="0F0F0F"/>
                <w:u w:val="single"/>
              </w:rPr>
            </w:pPr>
            <w:r>
              <w:rPr>
                <w:rFonts w:hint="eastAsia" w:ascii="新宋体" w:hAnsi="宋体" w:eastAsia="新宋体" w:cs="宋体"/>
                <w:color w:val="0F0F0F"/>
                <w:kern w:val="0"/>
                <w:szCs w:val="21"/>
              </w:rPr>
              <w:t>承包人将施工控制网资料报送监理人审批的期限：</w:t>
            </w:r>
            <w:r>
              <w:rPr>
                <w:rFonts w:hint="eastAsia" w:ascii="新宋体" w:hAnsi="宋体" w:eastAsia="新宋体" w:cs="宋体"/>
                <w:color w:val="0F0F0F"/>
                <w:kern w:val="0"/>
                <w:szCs w:val="21"/>
                <w:u w:val="single"/>
              </w:rPr>
              <w:t>/天</w:t>
            </w:r>
          </w:p>
        </w:tc>
      </w:tr>
      <w:tr w14:paraId="4EAA7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48" w:type="dxa"/>
            <w:noWrap/>
            <w:vAlign w:val="center"/>
          </w:tcPr>
          <w:p w14:paraId="0EA82DED">
            <w:pPr>
              <w:jc w:val="center"/>
              <w:rPr>
                <w:rFonts w:ascii="新宋体" w:eastAsia="新宋体"/>
                <w:color w:val="0F0F0F"/>
              </w:rPr>
            </w:pPr>
            <w:r>
              <w:rPr>
                <w:rFonts w:hint="eastAsia" w:ascii="新宋体" w:eastAsia="新宋体"/>
                <w:color w:val="0F0F0F"/>
              </w:rPr>
              <w:t>9</w:t>
            </w:r>
          </w:p>
        </w:tc>
        <w:tc>
          <w:tcPr>
            <w:tcW w:w="1365" w:type="dxa"/>
            <w:noWrap/>
            <w:vAlign w:val="center"/>
          </w:tcPr>
          <w:p w14:paraId="6AD8F348">
            <w:pPr>
              <w:jc w:val="center"/>
              <w:rPr>
                <w:rFonts w:ascii="新宋体" w:eastAsia="新宋体"/>
                <w:color w:val="0F0F0F"/>
              </w:rPr>
            </w:pPr>
            <w:r>
              <w:rPr>
                <w:rFonts w:hint="eastAsia" w:ascii="新宋体" w:eastAsia="新宋体"/>
                <w:color w:val="0F0F0F"/>
              </w:rPr>
              <w:t>11.5</w:t>
            </w:r>
          </w:p>
        </w:tc>
        <w:tc>
          <w:tcPr>
            <w:tcW w:w="6406" w:type="dxa"/>
            <w:noWrap/>
            <w:vAlign w:val="center"/>
          </w:tcPr>
          <w:p w14:paraId="6B5D4DFD">
            <w:pPr>
              <w:rPr>
                <w:rFonts w:ascii="新宋体" w:eastAsia="新宋体"/>
                <w:color w:val="0F0F0F"/>
              </w:rPr>
            </w:pPr>
            <w:r>
              <w:rPr>
                <w:rFonts w:hint="eastAsia" w:ascii="新宋体" w:hAnsi="宋体" w:eastAsia="新宋体" w:cs="宋体"/>
                <w:color w:val="0F0F0F"/>
                <w:kern w:val="0"/>
                <w:szCs w:val="21"/>
              </w:rPr>
              <w:t>逾期交工违约金：</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元／天</w:t>
            </w:r>
          </w:p>
        </w:tc>
      </w:tr>
      <w:tr w14:paraId="3E0D6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948" w:type="dxa"/>
            <w:noWrap/>
            <w:vAlign w:val="center"/>
          </w:tcPr>
          <w:p w14:paraId="1E71673F">
            <w:pPr>
              <w:jc w:val="center"/>
              <w:rPr>
                <w:rFonts w:ascii="新宋体" w:eastAsia="新宋体"/>
                <w:color w:val="0F0F0F"/>
              </w:rPr>
            </w:pPr>
            <w:r>
              <w:rPr>
                <w:rFonts w:hint="eastAsia" w:ascii="新宋体" w:eastAsia="新宋体"/>
                <w:color w:val="0F0F0F"/>
              </w:rPr>
              <w:t>10</w:t>
            </w:r>
          </w:p>
        </w:tc>
        <w:tc>
          <w:tcPr>
            <w:tcW w:w="1365" w:type="dxa"/>
            <w:noWrap/>
            <w:vAlign w:val="center"/>
          </w:tcPr>
          <w:p w14:paraId="1452F260">
            <w:pPr>
              <w:jc w:val="center"/>
              <w:rPr>
                <w:rFonts w:ascii="新宋体" w:eastAsia="新宋体"/>
                <w:color w:val="0F0F0F"/>
              </w:rPr>
            </w:pPr>
            <w:r>
              <w:rPr>
                <w:rFonts w:hint="eastAsia" w:ascii="新宋体" w:eastAsia="新宋体"/>
                <w:color w:val="0F0F0F"/>
              </w:rPr>
              <w:t>11.5</w:t>
            </w:r>
          </w:p>
        </w:tc>
        <w:tc>
          <w:tcPr>
            <w:tcW w:w="6406" w:type="dxa"/>
            <w:noWrap/>
            <w:vAlign w:val="center"/>
          </w:tcPr>
          <w:p w14:paraId="366D8224">
            <w:pPr>
              <w:rPr>
                <w:rFonts w:ascii="新宋体" w:eastAsia="新宋体"/>
                <w:color w:val="0F0F0F"/>
                <w:vertAlign w:val="superscript"/>
              </w:rPr>
            </w:pPr>
            <w:r>
              <w:rPr>
                <w:rFonts w:hint="eastAsia" w:ascii="新宋体" w:hAnsi="宋体" w:eastAsia="新宋体" w:cs="宋体"/>
                <w:color w:val="0F0F0F"/>
                <w:kern w:val="0"/>
                <w:szCs w:val="21"/>
              </w:rPr>
              <w:t>逾期交工违约金限额：</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％签约合同价</w:t>
            </w:r>
          </w:p>
        </w:tc>
      </w:tr>
      <w:tr w14:paraId="6FB79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948" w:type="dxa"/>
            <w:noWrap/>
            <w:vAlign w:val="center"/>
          </w:tcPr>
          <w:p w14:paraId="1ABDE362">
            <w:pPr>
              <w:jc w:val="center"/>
              <w:rPr>
                <w:rFonts w:ascii="新宋体" w:eastAsia="新宋体"/>
                <w:color w:val="0F0F0F"/>
              </w:rPr>
            </w:pPr>
            <w:r>
              <w:rPr>
                <w:rFonts w:hint="eastAsia" w:ascii="新宋体" w:eastAsia="新宋体"/>
                <w:color w:val="0F0F0F"/>
              </w:rPr>
              <w:t>11</w:t>
            </w:r>
          </w:p>
        </w:tc>
        <w:tc>
          <w:tcPr>
            <w:tcW w:w="1365" w:type="dxa"/>
            <w:noWrap/>
            <w:vAlign w:val="center"/>
          </w:tcPr>
          <w:p w14:paraId="15A390B6">
            <w:pPr>
              <w:jc w:val="center"/>
              <w:rPr>
                <w:rFonts w:ascii="新宋体" w:eastAsia="新宋体"/>
                <w:color w:val="0F0F0F"/>
              </w:rPr>
            </w:pPr>
            <w:r>
              <w:rPr>
                <w:rFonts w:hint="eastAsia" w:ascii="新宋体" w:eastAsia="新宋体"/>
                <w:color w:val="0F0F0F"/>
              </w:rPr>
              <w:t>11.6</w:t>
            </w:r>
          </w:p>
        </w:tc>
        <w:tc>
          <w:tcPr>
            <w:tcW w:w="6406" w:type="dxa"/>
            <w:noWrap/>
            <w:vAlign w:val="center"/>
          </w:tcPr>
          <w:p w14:paraId="07B2626B">
            <w:pPr>
              <w:rPr>
                <w:rFonts w:ascii="新宋体" w:eastAsia="新宋体"/>
                <w:color w:val="0F0F0F"/>
              </w:rPr>
            </w:pPr>
            <w:r>
              <w:rPr>
                <w:rFonts w:hint="eastAsia" w:ascii="新宋体" w:hAnsi="宋体" w:eastAsia="新宋体" w:cs="宋体"/>
                <w:color w:val="0F0F0F"/>
                <w:kern w:val="0"/>
                <w:szCs w:val="21"/>
              </w:rPr>
              <w:t>提前交</w:t>
            </w:r>
            <w:r>
              <w:rPr>
                <w:rFonts w:ascii="新宋体" w:hAnsi="宋体" w:eastAsia="新宋体" w:cs="宋体"/>
                <w:color w:val="0F0F0F"/>
                <w:kern w:val="0"/>
                <w:szCs w:val="21"/>
              </w:rPr>
              <w:t>=</w:t>
            </w:r>
            <w:r>
              <w:rPr>
                <w:rFonts w:hint="eastAsia" w:ascii="新宋体" w:hAnsi="宋体" w:eastAsia="新宋体" w:cs="宋体"/>
                <w:color w:val="0F0F0F"/>
                <w:kern w:val="0"/>
                <w:szCs w:val="21"/>
              </w:rPr>
              <w:t>工的奖金：</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元／天</w:t>
            </w:r>
          </w:p>
        </w:tc>
      </w:tr>
      <w:tr w14:paraId="72113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948" w:type="dxa"/>
            <w:noWrap/>
            <w:vAlign w:val="center"/>
          </w:tcPr>
          <w:p w14:paraId="3F89B07D">
            <w:pPr>
              <w:jc w:val="center"/>
              <w:rPr>
                <w:rFonts w:ascii="新宋体" w:eastAsia="新宋体"/>
                <w:color w:val="0F0F0F"/>
              </w:rPr>
            </w:pPr>
            <w:r>
              <w:rPr>
                <w:rFonts w:hint="eastAsia" w:ascii="新宋体" w:eastAsia="新宋体"/>
                <w:color w:val="0F0F0F"/>
              </w:rPr>
              <w:t>12</w:t>
            </w:r>
          </w:p>
        </w:tc>
        <w:tc>
          <w:tcPr>
            <w:tcW w:w="1365" w:type="dxa"/>
            <w:noWrap/>
            <w:vAlign w:val="center"/>
          </w:tcPr>
          <w:p w14:paraId="7499CD6E">
            <w:pPr>
              <w:jc w:val="center"/>
              <w:rPr>
                <w:rFonts w:ascii="新宋体" w:eastAsia="新宋体"/>
                <w:color w:val="0F0F0F"/>
              </w:rPr>
            </w:pPr>
            <w:r>
              <w:rPr>
                <w:rFonts w:hint="eastAsia" w:ascii="新宋体" w:eastAsia="新宋体"/>
                <w:color w:val="0F0F0F"/>
              </w:rPr>
              <w:t>11.6</w:t>
            </w:r>
          </w:p>
        </w:tc>
        <w:tc>
          <w:tcPr>
            <w:tcW w:w="6406" w:type="dxa"/>
            <w:noWrap/>
            <w:vAlign w:val="center"/>
          </w:tcPr>
          <w:p w14:paraId="1C180DBA">
            <w:pPr>
              <w:rPr>
                <w:rFonts w:ascii="新宋体" w:eastAsia="新宋体"/>
                <w:color w:val="0F0F0F"/>
              </w:rPr>
            </w:pPr>
            <w:r>
              <w:rPr>
                <w:rFonts w:hint="eastAsia" w:ascii="新宋体" w:hAnsi="宋体" w:eastAsia="新宋体" w:cs="宋体"/>
                <w:color w:val="0F0F0F"/>
                <w:kern w:val="0"/>
                <w:szCs w:val="21"/>
              </w:rPr>
              <w:t>提前交工的奖金限额：</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％签约合同价</w:t>
            </w:r>
          </w:p>
        </w:tc>
      </w:tr>
      <w:tr w14:paraId="309133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trPr>
        <w:tc>
          <w:tcPr>
            <w:tcW w:w="948" w:type="dxa"/>
            <w:noWrap/>
            <w:vAlign w:val="center"/>
          </w:tcPr>
          <w:p w14:paraId="56DEA4CB">
            <w:pPr>
              <w:jc w:val="center"/>
              <w:rPr>
                <w:rFonts w:ascii="新宋体" w:eastAsia="新宋体"/>
                <w:color w:val="0F0F0F"/>
              </w:rPr>
            </w:pPr>
            <w:r>
              <w:rPr>
                <w:rFonts w:hint="eastAsia" w:ascii="新宋体" w:eastAsia="新宋体"/>
                <w:color w:val="0F0F0F"/>
              </w:rPr>
              <w:t>13</w:t>
            </w:r>
          </w:p>
        </w:tc>
        <w:tc>
          <w:tcPr>
            <w:tcW w:w="1365" w:type="dxa"/>
            <w:noWrap/>
            <w:vAlign w:val="center"/>
          </w:tcPr>
          <w:p w14:paraId="7882A23A">
            <w:pPr>
              <w:jc w:val="center"/>
              <w:rPr>
                <w:rFonts w:ascii="新宋体" w:eastAsia="新宋体"/>
                <w:color w:val="0F0F0F"/>
              </w:rPr>
            </w:pPr>
            <w:r>
              <w:rPr>
                <w:rFonts w:hint="eastAsia" w:ascii="新宋体" w:eastAsia="新宋体"/>
                <w:color w:val="0F0F0F"/>
              </w:rPr>
              <w:t>15.5.2</w:t>
            </w:r>
          </w:p>
        </w:tc>
        <w:tc>
          <w:tcPr>
            <w:tcW w:w="6406" w:type="dxa"/>
            <w:noWrap/>
            <w:vAlign w:val="center"/>
          </w:tcPr>
          <w:p w14:paraId="56B052F0">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承包人提出的合理化建议降低了合同价格或者提高了工程经济效益的，发包人按所节约成本的</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％或增加收益的</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％给予奖励</w:t>
            </w:r>
          </w:p>
        </w:tc>
      </w:tr>
    </w:tbl>
    <w:p w14:paraId="6FB5A62A">
      <w:pPr>
        <w:autoSpaceDE w:val="0"/>
        <w:autoSpaceDN w:val="0"/>
        <w:rPr>
          <w:rFonts w:ascii="新宋体" w:hAnsi="宋体" w:eastAsia="新宋体" w:cs="宋体"/>
          <w:color w:val="0F0F0F"/>
          <w:kern w:val="0"/>
          <w:szCs w:val="21"/>
        </w:rPr>
      </w:pP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365"/>
        <w:gridCol w:w="6406"/>
      </w:tblGrid>
      <w:tr w14:paraId="5A171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7" w:hRule="atLeast"/>
        </w:trPr>
        <w:tc>
          <w:tcPr>
            <w:tcW w:w="948" w:type="dxa"/>
            <w:noWrap/>
            <w:vAlign w:val="center"/>
          </w:tcPr>
          <w:p w14:paraId="2546686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14</w:t>
            </w:r>
          </w:p>
        </w:tc>
        <w:tc>
          <w:tcPr>
            <w:tcW w:w="1365" w:type="dxa"/>
            <w:noWrap/>
            <w:vAlign w:val="center"/>
          </w:tcPr>
          <w:p w14:paraId="0FF99CA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16.1</w:t>
            </w:r>
          </w:p>
        </w:tc>
        <w:tc>
          <w:tcPr>
            <w:tcW w:w="6406" w:type="dxa"/>
            <w:noWrap/>
            <w:vAlign w:val="center"/>
          </w:tcPr>
          <w:p w14:paraId="1156DD3E">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☑合同期内不调价</w:t>
            </w:r>
          </w:p>
        </w:tc>
      </w:tr>
      <w:tr w14:paraId="7E208F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2" w:hRule="atLeast"/>
        </w:trPr>
        <w:tc>
          <w:tcPr>
            <w:tcW w:w="948" w:type="dxa"/>
            <w:noWrap/>
            <w:vAlign w:val="center"/>
          </w:tcPr>
          <w:p w14:paraId="33739FE3">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15</w:t>
            </w:r>
          </w:p>
        </w:tc>
        <w:tc>
          <w:tcPr>
            <w:tcW w:w="1365" w:type="dxa"/>
            <w:noWrap/>
            <w:vAlign w:val="center"/>
          </w:tcPr>
          <w:p w14:paraId="3FB4005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17.2.1</w:t>
            </w:r>
          </w:p>
        </w:tc>
        <w:tc>
          <w:tcPr>
            <w:tcW w:w="6406" w:type="dxa"/>
            <w:noWrap/>
            <w:vAlign w:val="center"/>
          </w:tcPr>
          <w:p w14:paraId="4B350D91">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开工预付款金额：无</w:t>
            </w:r>
          </w:p>
        </w:tc>
      </w:tr>
      <w:tr w14:paraId="46F37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7" w:hRule="atLeast"/>
        </w:trPr>
        <w:tc>
          <w:tcPr>
            <w:tcW w:w="948" w:type="dxa"/>
            <w:noWrap/>
            <w:vAlign w:val="center"/>
          </w:tcPr>
          <w:p w14:paraId="2DA77228">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16</w:t>
            </w:r>
          </w:p>
        </w:tc>
        <w:tc>
          <w:tcPr>
            <w:tcW w:w="1365" w:type="dxa"/>
            <w:noWrap/>
            <w:vAlign w:val="center"/>
          </w:tcPr>
          <w:p w14:paraId="32FEEF3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17.2.1</w:t>
            </w:r>
          </w:p>
        </w:tc>
        <w:tc>
          <w:tcPr>
            <w:tcW w:w="6406" w:type="dxa"/>
            <w:noWrap/>
            <w:vAlign w:val="center"/>
          </w:tcPr>
          <w:p w14:paraId="6CE83E40">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材料、设备预付款比例：无</w:t>
            </w:r>
          </w:p>
        </w:tc>
      </w:tr>
      <w:tr w14:paraId="793CC8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9" w:hRule="atLeast"/>
        </w:trPr>
        <w:tc>
          <w:tcPr>
            <w:tcW w:w="948" w:type="dxa"/>
            <w:noWrap/>
            <w:vAlign w:val="center"/>
          </w:tcPr>
          <w:p w14:paraId="6EABF2E0">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w:t>
            </w:r>
          </w:p>
        </w:tc>
        <w:tc>
          <w:tcPr>
            <w:tcW w:w="1365" w:type="dxa"/>
            <w:noWrap/>
            <w:vAlign w:val="center"/>
          </w:tcPr>
          <w:p w14:paraId="063B71B9">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17.3.2</w:t>
            </w:r>
          </w:p>
        </w:tc>
        <w:tc>
          <w:tcPr>
            <w:tcW w:w="6406" w:type="dxa"/>
            <w:noWrap/>
            <w:vAlign w:val="center"/>
          </w:tcPr>
          <w:p w14:paraId="5BC09FF8">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承包人在每个付款周期末向监理人提交进度付款申请单的份数：/份</w:t>
            </w:r>
          </w:p>
        </w:tc>
      </w:tr>
      <w:tr w14:paraId="49B6AE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2" w:hRule="atLeast"/>
        </w:trPr>
        <w:tc>
          <w:tcPr>
            <w:tcW w:w="948" w:type="dxa"/>
            <w:noWrap/>
            <w:vAlign w:val="center"/>
          </w:tcPr>
          <w:p w14:paraId="1B610550">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w:t>
            </w:r>
          </w:p>
        </w:tc>
        <w:tc>
          <w:tcPr>
            <w:tcW w:w="1365" w:type="dxa"/>
            <w:noWrap/>
            <w:vAlign w:val="center"/>
          </w:tcPr>
          <w:p w14:paraId="64EB7EF8">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17.3.3(1)</w:t>
            </w:r>
          </w:p>
        </w:tc>
        <w:tc>
          <w:tcPr>
            <w:tcW w:w="6406" w:type="dxa"/>
            <w:noWrap/>
            <w:vAlign w:val="center"/>
          </w:tcPr>
          <w:p w14:paraId="1301502A">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进度付款证书最低限额:</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％签约会同价</w:t>
            </w:r>
          </w:p>
        </w:tc>
      </w:tr>
      <w:tr w14:paraId="712114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trPr>
        <w:tc>
          <w:tcPr>
            <w:tcW w:w="948" w:type="dxa"/>
            <w:noWrap/>
            <w:vAlign w:val="center"/>
          </w:tcPr>
          <w:p w14:paraId="3D750CC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19</w:t>
            </w:r>
          </w:p>
        </w:tc>
        <w:tc>
          <w:tcPr>
            <w:tcW w:w="1365" w:type="dxa"/>
            <w:noWrap/>
            <w:vAlign w:val="center"/>
          </w:tcPr>
          <w:p w14:paraId="579F4B50">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17.3.3(2)</w:t>
            </w:r>
          </w:p>
        </w:tc>
        <w:tc>
          <w:tcPr>
            <w:tcW w:w="6406" w:type="dxa"/>
            <w:noWrap/>
            <w:vAlign w:val="center"/>
          </w:tcPr>
          <w:p w14:paraId="1C8B9A83">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逾期付款违约金的利率：</w:t>
            </w:r>
            <w:r>
              <w:rPr>
                <w:rFonts w:hint="eastAsia" w:ascii="新宋体" w:hAnsi="宋体" w:eastAsia="新宋体" w:cs="宋体"/>
                <w:color w:val="0F0F0F"/>
                <w:kern w:val="0"/>
                <w:szCs w:val="21"/>
                <w:u w:val="single"/>
              </w:rPr>
              <w:t>无</w:t>
            </w:r>
          </w:p>
        </w:tc>
      </w:tr>
      <w:tr w14:paraId="6ADDE9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9" w:hRule="atLeast"/>
        </w:trPr>
        <w:tc>
          <w:tcPr>
            <w:tcW w:w="948" w:type="dxa"/>
            <w:noWrap/>
            <w:vAlign w:val="center"/>
          </w:tcPr>
          <w:p w14:paraId="2E284FD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20</w:t>
            </w:r>
          </w:p>
        </w:tc>
        <w:tc>
          <w:tcPr>
            <w:tcW w:w="1365" w:type="dxa"/>
            <w:noWrap/>
            <w:vAlign w:val="center"/>
          </w:tcPr>
          <w:p w14:paraId="252C9AE8">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17.4.1</w:t>
            </w:r>
          </w:p>
        </w:tc>
        <w:tc>
          <w:tcPr>
            <w:tcW w:w="6406" w:type="dxa"/>
            <w:noWrap/>
            <w:vAlign w:val="center"/>
          </w:tcPr>
          <w:p w14:paraId="7EDE65BA">
            <w:pPr>
              <w:autoSpaceDE w:val="0"/>
              <w:autoSpaceDN w:val="0"/>
              <w:rPr>
                <w:rFonts w:ascii="新宋体" w:hAnsi="宋体" w:eastAsia="新宋体" w:cs="宋体"/>
                <w:color w:val="auto"/>
                <w:kern w:val="0"/>
                <w:szCs w:val="21"/>
              </w:rPr>
            </w:pPr>
            <w:r>
              <w:rPr>
                <w:rFonts w:hint="eastAsia" w:ascii="新宋体" w:hAnsi="宋体" w:eastAsia="新宋体" w:cs="宋体"/>
                <w:color w:val="0F0F0F"/>
                <w:kern w:val="0"/>
                <w:szCs w:val="21"/>
              </w:rPr>
              <w:t>质量保证金百分</w:t>
            </w:r>
            <w:r>
              <w:rPr>
                <w:rFonts w:hint="eastAsia" w:ascii="新宋体" w:hAnsi="宋体" w:eastAsia="新宋体" w:cs="宋体"/>
                <w:color w:val="auto"/>
                <w:kern w:val="0"/>
                <w:szCs w:val="21"/>
              </w:rPr>
              <w:t>比：不超过</w:t>
            </w:r>
            <w:r>
              <w:rPr>
                <w:rFonts w:hint="eastAsia" w:ascii="新宋体" w:hAnsi="宋体" w:eastAsia="新宋体" w:cs="宋体"/>
                <w:color w:val="auto"/>
                <w:kern w:val="0"/>
                <w:szCs w:val="21"/>
                <w:lang w:eastAsia="zh-CN"/>
              </w:rPr>
              <w:t>成交金额的</w:t>
            </w:r>
            <w:r>
              <w:rPr>
                <w:rFonts w:hint="eastAsia" w:ascii="新宋体" w:hAnsi="宋体" w:eastAsia="新宋体" w:cs="宋体"/>
                <w:color w:val="auto"/>
                <w:kern w:val="0"/>
                <w:szCs w:val="21"/>
                <w:u w:val="single"/>
              </w:rPr>
              <w:t>3</w:t>
            </w:r>
            <w:r>
              <w:rPr>
                <w:rFonts w:hint="eastAsia" w:ascii="新宋体" w:hAnsi="宋体" w:eastAsia="新宋体" w:cs="宋体"/>
                <w:color w:val="auto"/>
                <w:kern w:val="0"/>
                <w:szCs w:val="21"/>
              </w:rPr>
              <w:t>％</w:t>
            </w:r>
          </w:p>
          <w:p w14:paraId="7244734B">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质量保证金是否计息：</w:t>
            </w:r>
            <w:r>
              <w:rPr>
                <w:rFonts w:hint="eastAsia" w:ascii="新宋体" w:hAnsi="宋体" w:eastAsia="新宋体" w:cs="宋体"/>
                <w:color w:val="0F0F0F"/>
                <w:kern w:val="0"/>
                <w:szCs w:val="21"/>
                <w:u w:val="single"/>
              </w:rPr>
              <w:t>否</w:t>
            </w:r>
          </w:p>
        </w:tc>
      </w:tr>
      <w:tr w14:paraId="3D9659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4" w:hRule="atLeast"/>
        </w:trPr>
        <w:tc>
          <w:tcPr>
            <w:tcW w:w="948" w:type="dxa"/>
            <w:noWrap/>
            <w:vAlign w:val="center"/>
          </w:tcPr>
          <w:p w14:paraId="02769A5C">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21</w:t>
            </w:r>
          </w:p>
        </w:tc>
        <w:tc>
          <w:tcPr>
            <w:tcW w:w="1365" w:type="dxa"/>
            <w:noWrap/>
            <w:vAlign w:val="center"/>
          </w:tcPr>
          <w:p w14:paraId="184A53E3">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17.5.1</w:t>
            </w:r>
          </w:p>
        </w:tc>
        <w:tc>
          <w:tcPr>
            <w:tcW w:w="6406" w:type="dxa"/>
            <w:noWrap/>
            <w:vAlign w:val="center"/>
          </w:tcPr>
          <w:p w14:paraId="08DE1D9A">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承包人向监理人提交交工付款申请单</w:t>
            </w:r>
            <w:r>
              <w:rPr>
                <w:rFonts w:ascii="新宋体" w:hAnsi="宋体" w:eastAsia="新宋体" w:cs="宋体"/>
                <w:color w:val="0F0F0F"/>
                <w:kern w:val="0"/>
                <w:szCs w:val="21"/>
              </w:rPr>
              <w:t>(</w:t>
            </w:r>
            <w:r>
              <w:rPr>
                <w:rFonts w:hint="eastAsia" w:ascii="新宋体" w:hAnsi="宋体" w:eastAsia="新宋体" w:cs="宋体"/>
                <w:color w:val="0F0F0F"/>
                <w:kern w:val="0"/>
                <w:szCs w:val="21"/>
              </w:rPr>
              <w:t>包括相关证明材料</w:t>
            </w:r>
            <w:r>
              <w:rPr>
                <w:rFonts w:ascii="新宋体" w:hAnsi="宋体" w:eastAsia="新宋体" w:cs="宋体"/>
                <w:color w:val="0F0F0F"/>
                <w:kern w:val="0"/>
                <w:szCs w:val="21"/>
              </w:rPr>
              <w:t>)</w:t>
            </w:r>
            <w:r>
              <w:rPr>
                <w:rFonts w:hint="eastAsia" w:ascii="新宋体" w:hAnsi="宋体" w:eastAsia="新宋体" w:cs="宋体"/>
                <w:color w:val="0F0F0F"/>
                <w:kern w:val="0"/>
                <w:szCs w:val="21"/>
              </w:rPr>
              <w:t>的份数：</w:t>
            </w:r>
          </w:p>
          <w:p w14:paraId="79CC030D">
            <w:pPr>
              <w:autoSpaceDE w:val="0"/>
              <w:autoSpaceDN w:val="0"/>
              <w:ind w:firstLine="420" w:firstLineChars="200"/>
              <w:rPr>
                <w:rFonts w:ascii="新宋体" w:hAnsi="宋体" w:eastAsia="新宋体" w:cs="宋体"/>
                <w:color w:val="0F0F0F"/>
                <w:kern w:val="0"/>
                <w:szCs w:val="21"/>
              </w:rPr>
            </w:pPr>
            <w:r>
              <w:rPr>
                <w:rFonts w:hint="eastAsia" w:ascii="新宋体" w:hAnsi="宋体" w:eastAsia="新宋体" w:cs="宋体"/>
                <w:color w:val="0F0F0F"/>
                <w:kern w:val="0"/>
                <w:szCs w:val="21"/>
                <w:u w:val="single"/>
              </w:rPr>
              <w:t>2份</w:t>
            </w:r>
          </w:p>
        </w:tc>
      </w:tr>
      <w:tr w14:paraId="2EB414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4" w:hRule="atLeast"/>
        </w:trPr>
        <w:tc>
          <w:tcPr>
            <w:tcW w:w="948" w:type="dxa"/>
            <w:noWrap/>
            <w:vAlign w:val="center"/>
          </w:tcPr>
          <w:p w14:paraId="7FFA46F1">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22</w:t>
            </w:r>
          </w:p>
        </w:tc>
        <w:tc>
          <w:tcPr>
            <w:tcW w:w="1365" w:type="dxa"/>
            <w:noWrap/>
            <w:vAlign w:val="center"/>
          </w:tcPr>
          <w:p w14:paraId="3FAD2E9C">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17.6.1</w:t>
            </w:r>
          </w:p>
        </w:tc>
        <w:tc>
          <w:tcPr>
            <w:tcW w:w="6406" w:type="dxa"/>
            <w:noWrap/>
            <w:vAlign w:val="center"/>
          </w:tcPr>
          <w:p w14:paraId="33C2D925">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承包人向监理人提交最终结清申请单</w:t>
            </w:r>
            <w:r>
              <w:rPr>
                <w:rFonts w:ascii="新宋体" w:hAnsi="宋体" w:eastAsia="新宋体" w:cs="宋体"/>
                <w:color w:val="0F0F0F"/>
                <w:kern w:val="0"/>
                <w:szCs w:val="21"/>
              </w:rPr>
              <w:t>(</w:t>
            </w:r>
            <w:r>
              <w:rPr>
                <w:rFonts w:hint="eastAsia" w:ascii="新宋体" w:hAnsi="宋体" w:eastAsia="新宋体" w:cs="宋体"/>
                <w:color w:val="0F0F0F"/>
                <w:kern w:val="0"/>
                <w:szCs w:val="21"/>
              </w:rPr>
              <w:t>包括相关证明材料</w:t>
            </w:r>
            <w:r>
              <w:rPr>
                <w:rFonts w:ascii="新宋体" w:hAnsi="宋体" w:eastAsia="新宋体" w:cs="宋体"/>
                <w:color w:val="0F0F0F"/>
                <w:kern w:val="0"/>
                <w:szCs w:val="21"/>
              </w:rPr>
              <w:t>)</w:t>
            </w:r>
            <w:r>
              <w:rPr>
                <w:rFonts w:hint="eastAsia" w:ascii="新宋体" w:hAnsi="宋体" w:eastAsia="新宋体" w:cs="宋体"/>
                <w:color w:val="0F0F0F"/>
                <w:kern w:val="0"/>
                <w:szCs w:val="21"/>
              </w:rPr>
              <w:t>的份数:</w:t>
            </w:r>
          </w:p>
          <w:p w14:paraId="5C2560D2">
            <w:pPr>
              <w:autoSpaceDE w:val="0"/>
              <w:autoSpaceDN w:val="0"/>
              <w:ind w:firstLine="420" w:firstLineChars="200"/>
              <w:rPr>
                <w:rFonts w:ascii="新宋体" w:hAnsi="宋体" w:eastAsia="新宋体" w:cs="宋体"/>
                <w:color w:val="0F0F0F"/>
                <w:kern w:val="0"/>
                <w:szCs w:val="21"/>
              </w:rPr>
            </w:pPr>
            <w:r>
              <w:rPr>
                <w:rFonts w:hint="eastAsia" w:ascii="新宋体" w:hAnsi="宋体" w:eastAsia="新宋体" w:cs="宋体"/>
                <w:color w:val="0F0F0F"/>
                <w:kern w:val="0"/>
                <w:szCs w:val="21"/>
                <w:u w:val="single"/>
              </w:rPr>
              <w:t>2份</w:t>
            </w:r>
          </w:p>
        </w:tc>
      </w:tr>
      <w:tr w14:paraId="4B657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trPr>
        <w:tc>
          <w:tcPr>
            <w:tcW w:w="948" w:type="dxa"/>
            <w:noWrap/>
            <w:vAlign w:val="center"/>
          </w:tcPr>
          <w:p w14:paraId="65295B01">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23</w:t>
            </w:r>
          </w:p>
        </w:tc>
        <w:tc>
          <w:tcPr>
            <w:tcW w:w="1365" w:type="dxa"/>
            <w:noWrap/>
            <w:vAlign w:val="center"/>
          </w:tcPr>
          <w:p w14:paraId="170F2CB6">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18.2</w:t>
            </w:r>
          </w:p>
        </w:tc>
        <w:tc>
          <w:tcPr>
            <w:tcW w:w="6406" w:type="dxa"/>
            <w:noWrap/>
            <w:vAlign w:val="center"/>
          </w:tcPr>
          <w:p w14:paraId="37C2BE43">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竣工资料的份数：</w:t>
            </w:r>
            <w:r>
              <w:rPr>
                <w:rFonts w:hint="eastAsia" w:ascii="新宋体" w:hAnsi="宋体" w:eastAsia="新宋体" w:cs="宋体"/>
                <w:color w:val="0F0F0F"/>
                <w:kern w:val="0"/>
                <w:szCs w:val="21"/>
                <w:u w:val="single"/>
              </w:rPr>
              <w:t>2份</w:t>
            </w:r>
            <w:r>
              <w:rPr>
                <w:rFonts w:hint="eastAsia" w:ascii="新宋体" w:hAnsi="宋体" w:eastAsia="新宋体" w:cs="宋体"/>
                <w:color w:val="0F0F0F"/>
                <w:kern w:val="0"/>
                <w:szCs w:val="21"/>
              </w:rPr>
              <w:t>（纸制版、电子版各1份）</w:t>
            </w:r>
          </w:p>
        </w:tc>
      </w:tr>
      <w:tr w14:paraId="34F4A1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7" w:hRule="atLeast"/>
        </w:trPr>
        <w:tc>
          <w:tcPr>
            <w:tcW w:w="948" w:type="dxa"/>
            <w:noWrap/>
            <w:vAlign w:val="center"/>
          </w:tcPr>
          <w:p w14:paraId="3FF7DB5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24</w:t>
            </w:r>
          </w:p>
        </w:tc>
        <w:tc>
          <w:tcPr>
            <w:tcW w:w="1365" w:type="dxa"/>
            <w:noWrap/>
            <w:vAlign w:val="center"/>
          </w:tcPr>
          <w:p w14:paraId="7EAB248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18.5.1</w:t>
            </w:r>
          </w:p>
        </w:tc>
        <w:tc>
          <w:tcPr>
            <w:tcW w:w="6406" w:type="dxa"/>
            <w:noWrap/>
            <w:vAlign w:val="center"/>
          </w:tcPr>
          <w:p w14:paraId="4316A536">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rPr>
              <w:t>单位工程或工程设备是否需投入施工期运行：</w:t>
            </w:r>
            <w:r>
              <w:rPr>
                <w:rFonts w:hint="eastAsia" w:ascii="新宋体" w:hAnsi="宋体" w:eastAsia="新宋体" w:cs="宋体"/>
                <w:color w:val="0F0F0F"/>
                <w:kern w:val="0"/>
                <w:szCs w:val="21"/>
                <w:u w:val="single"/>
              </w:rPr>
              <w:t>否</w:t>
            </w:r>
          </w:p>
        </w:tc>
      </w:tr>
      <w:tr w14:paraId="103B8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2" w:hRule="atLeast"/>
        </w:trPr>
        <w:tc>
          <w:tcPr>
            <w:tcW w:w="948" w:type="dxa"/>
            <w:noWrap/>
            <w:vAlign w:val="center"/>
          </w:tcPr>
          <w:p w14:paraId="4A92ACEC">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25</w:t>
            </w:r>
          </w:p>
        </w:tc>
        <w:tc>
          <w:tcPr>
            <w:tcW w:w="1365" w:type="dxa"/>
            <w:noWrap/>
            <w:vAlign w:val="center"/>
          </w:tcPr>
          <w:p w14:paraId="2D0B625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18.6.1</w:t>
            </w:r>
          </w:p>
        </w:tc>
        <w:tc>
          <w:tcPr>
            <w:tcW w:w="6406" w:type="dxa"/>
            <w:noWrap/>
            <w:vAlign w:val="center"/>
          </w:tcPr>
          <w:p w14:paraId="18A872F2">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rPr>
              <w:t>本工程及工程设备是否进行试运行：</w:t>
            </w:r>
            <w:r>
              <w:rPr>
                <w:rFonts w:hint="eastAsia" w:ascii="新宋体" w:hAnsi="宋体" w:eastAsia="新宋体" w:cs="宋体"/>
                <w:color w:val="0F0F0F"/>
                <w:kern w:val="0"/>
                <w:szCs w:val="21"/>
                <w:u w:val="single"/>
              </w:rPr>
              <w:t>否</w:t>
            </w:r>
          </w:p>
        </w:tc>
      </w:tr>
    </w:tbl>
    <w:p w14:paraId="5273078A">
      <w:pPr>
        <w:autoSpaceDE w:val="0"/>
        <w:autoSpaceDN w:val="0"/>
        <w:ind w:firstLine="420" w:firstLineChars="200"/>
        <w:jc w:val="right"/>
        <w:rPr>
          <w:rFonts w:ascii="新宋体" w:hAnsi="宋体" w:eastAsia="新宋体" w:cs="宋体"/>
          <w:color w:val="0F0F0F"/>
          <w:kern w:val="0"/>
          <w:szCs w:val="21"/>
        </w:rPr>
      </w:pP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365"/>
        <w:gridCol w:w="6406"/>
      </w:tblGrid>
      <w:tr w14:paraId="18FCFB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8" w:type="dxa"/>
            <w:noWrap/>
            <w:vAlign w:val="center"/>
          </w:tcPr>
          <w:p w14:paraId="225EDCCB">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序号</w:t>
            </w:r>
          </w:p>
        </w:tc>
        <w:tc>
          <w:tcPr>
            <w:tcW w:w="1365" w:type="dxa"/>
            <w:noWrap/>
            <w:vAlign w:val="center"/>
          </w:tcPr>
          <w:p w14:paraId="7D0729E5">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条目号</w:t>
            </w:r>
          </w:p>
        </w:tc>
        <w:tc>
          <w:tcPr>
            <w:tcW w:w="6406" w:type="dxa"/>
            <w:noWrap/>
            <w:vAlign w:val="center"/>
          </w:tcPr>
          <w:p w14:paraId="6459D768">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信息或数据</w:t>
            </w:r>
          </w:p>
        </w:tc>
      </w:tr>
      <w:tr w14:paraId="74E74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7" w:hRule="atLeast"/>
        </w:trPr>
        <w:tc>
          <w:tcPr>
            <w:tcW w:w="948" w:type="dxa"/>
            <w:noWrap/>
            <w:vAlign w:val="center"/>
          </w:tcPr>
          <w:p w14:paraId="1A6684A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26</w:t>
            </w:r>
          </w:p>
        </w:tc>
        <w:tc>
          <w:tcPr>
            <w:tcW w:w="1365" w:type="dxa"/>
            <w:noWrap/>
            <w:vAlign w:val="center"/>
          </w:tcPr>
          <w:p w14:paraId="1A8D7F3A">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19.7</w:t>
            </w:r>
          </w:p>
        </w:tc>
        <w:tc>
          <w:tcPr>
            <w:tcW w:w="6406" w:type="dxa"/>
            <w:noWrap/>
            <w:vAlign w:val="center"/>
          </w:tcPr>
          <w:p w14:paraId="5D24E16B">
            <w:pPr>
              <w:autoSpaceDE w:val="0"/>
              <w:autoSpaceDN w:val="0"/>
              <w:rPr>
                <w:rFonts w:ascii="新宋体" w:hAnsi="宋体" w:eastAsia="新宋体" w:cs="宋体"/>
                <w:color w:val="0F0F0F"/>
                <w:kern w:val="0"/>
                <w:szCs w:val="21"/>
                <w:vertAlign w:val="superscript"/>
              </w:rPr>
            </w:pPr>
            <w:r>
              <w:rPr>
                <w:rFonts w:hint="eastAsia" w:ascii="新宋体" w:eastAsia="新宋体" w:cs="宋体"/>
                <w:color w:val="0F0F0F"/>
                <w:kern w:val="0"/>
                <w:szCs w:val="21"/>
              </w:rPr>
              <w:t>保修期：自实际交工日期起计算</w:t>
            </w:r>
            <w:r>
              <w:rPr>
                <w:rFonts w:hint="eastAsia" w:ascii="新宋体" w:eastAsia="新宋体" w:cs="宋体"/>
                <w:color w:val="0F0F0F"/>
                <w:kern w:val="0"/>
                <w:szCs w:val="21"/>
                <w:u w:val="single"/>
              </w:rPr>
              <w:t>1</w:t>
            </w:r>
            <w:r>
              <w:rPr>
                <w:rFonts w:hint="eastAsia" w:ascii="新宋体" w:eastAsia="新宋体" w:cs="宋体"/>
                <w:color w:val="0F0F0F"/>
                <w:kern w:val="0"/>
                <w:szCs w:val="21"/>
              </w:rPr>
              <w:t>年</w:t>
            </w:r>
          </w:p>
        </w:tc>
      </w:tr>
      <w:tr w14:paraId="483234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2" w:hRule="atLeast"/>
        </w:trPr>
        <w:tc>
          <w:tcPr>
            <w:tcW w:w="948" w:type="dxa"/>
            <w:noWrap/>
            <w:vAlign w:val="center"/>
          </w:tcPr>
          <w:p w14:paraId="795CE8CA">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28</w:t>
            </w:r>
          </w:p>
        </w:tc>
        <w:tc>
          <w:tcPr>
            <w:tcW w:w="1365" w:type="dxa"/>
            <w:noWrap/>
            <w:vAlign w:val="center"/>
          </w:tcPr>
          <w:p w14:paraId="3C8905CD">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20.1</w:t>
            </w:r>
          </w:p>
        </w:tc>
        <w:tc>
          <w:tcPr>
            <w:tcW w:w="6406" w:type="dxa"/>
            <w:noWrap/>
            <w:vAlign w:val="center"/>
          </w:tcPr>
          <w:p w14:paraId="6F205F6C">
            <w:pPr>
              <w:autoSpaceDE w:val="0"/>
              <w:autoSpaceDN w:val="0"/>
              <w:rPr>
                <w:rFonts w:ascii="新宋体" w:hAnsi="宋体" w:eastAsia="新宋体" w:cs="宋体"/>
                <w:color w:val="0F0F0F"/>
                <w:kern w:val="0"/>
                <w:szCs w:val="21"/>
              </w:rPr>
            </w:pPr>
            <w:r>
              <w:rPr>
                <w:rFonts w:hint="eastAsia" w:ascii="新宋体" w:eastAsia="新宋体" w:cs="宋体"/>
                <w:color w:val="0F0F0F"/>
                <w:kern w:val="0"/>
                <w:szCs w:val="21"/>
              </w:rPr>
              <w:t>建筑工程一切险的保险费率：</w:t>
            </w:r>
            <w:r>
              <w:rPr>
                <w:rFonts w:hint="eastAsia" w:ascii="新宋体" w:eastAsia="新宋体" w:cs="宋体"/>
                <w:color w:val="0F0F0F"/>
                <w:kern w:val="0"/>
                <w:szCs w:val="21"/>
                <w:u w:val="single"/>
              </w:rPr>
              <w:t>/</w:t>
            </w:r>
            <w:r>
              <w:rPr>
                <w:rFonts w:hint="eastAsia" w:ascii="新宋体" w:eastAsia="新宋体" w:cs="宋体"/>
                <w:color w:val="0F0F0F"/>
                <w:kern w:val="0"/>
                <w:szCs w:val="21"/>
              </w:rPr>
              <w:t>‰</w:t>
            </w:r>
          </w:p>
        </w:tc>
      </w:tr>
      <w:tr w14:paraId="21F2F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trPr>
        <w:tc>
          <w:tcPr>
            <w:tcW w:w="948" w:type="dxa"/>
            <w:noWrap/>
            <w:vAlign w:val="center"/>
          </w:tcPr>
          <w:p w14:paraId="5735A821">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29</w:t>
            </w:r>
          </w:p>
        </w:tc>
        <w:tc>
          <w:tcPr>
            <w:tcW w:w="1365" w:type="dxa"/>
            <w:noWrap/>
            <w:vAlign w:val="center"/>
          </w:tcPr>
          <w:p w14:paraId="219437C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20.4.2</w:t>
            </w:r>
          </w:p>
        </w:tc>
        <w:tc>
          <w:tcPr>
            <w:tcW w:w="6406" w:type="dxa"/>
            <w:noWrap/>
            <w:vAlign w:val="center"/>
          </w:tcPr>
          <w:p w14:paraId="2D00720E">
            <w:pPr>
              <w:autoSpaceDE w:val="0"/>
              <w:autoSpaceDN w:val="0"/>
              <w:rPr>
                <w:rFonts w:ascii="新宋体" w:eastAsia="新宋体" w:cs="宋体"/>
                <w:color w:val="0F0F0F"/>
                <w:kern w:val="0"/>
                <w:szCs w:val="21"/>
              </w:rPr>
            </w:pPr>
            <w:r>
              <w:rPr>
                <w:rFonts w:hint="eastAsia" w:ascii="新宋体" w:eastAsia="新宋体" w:cs="宋体"/>
                <w:color w:val="0F0F0F"/>
                <w:kern w:val="0"/>
                <w:szCs w:val="21"/>
              </w:rPr>
              <w:t>第三者责任险的最低投保金额：</w:t>
            </w:r>
            <w:r>
              <w:rPr>
                <w:rFonts w:hint="eastAsia" w:ascii="新宋体" w:eastAsia="新宋体" w:cs="宋体"/>
                <w:color w:val="0F0F0F"/>
                <w:kern w:val="0"/>
                <w:szCs w:val="21"/>
                <w:u w:val="single"/>
              </w:rPr>
              <w:t>/</w:t>
            </w:r>
            <w:r>
              <w:rPr>
                <w:rFonts w:hint="eastAsia" w:ascii="新宋体" w:eastAsia="新宋体" w:cs="宋体"/>
                <w:color w:val="0F0F0F"/>
                <w:kern w:val="0"/>
                <w:szCs w:val="21"/>
              </w:rPr>
              <w:t>万元，事故次数不限</w:t>
            </w:r>
            <w:r>
              <w:rPr>
                <w:rFonts w:ascii="新宋体" w:eastAsia="新宋体" w:cs="宋体"/>
                <w:color w:val="0F0F0F"/>
                <w:kern w:val="0"/>
                <w:szCs w:val="21"/>
              </w:rPr>
              <w:t>(</w:t>
            </w:r>
            <w:r>
              <w:rPr>
                <w:rFonts w:hint="eastAsia" w:ascii="新宋体" w:eastAsia="新宋体" w:cs="宋体"/>
                <w:color w:val="0F0F0F"/>
                <w:kern w:val="0"/>
                <w:szCs w:val="21"/>
              </w:rPr>
              <w:t>不计免赔额</w:t>
            </w:r>
            <w:r>
              <w:rPr>
                <w:rFonts w:ascii="新宋体" w:eastAsia="新宋体" w:cs="宋体"/>
                <w:color w:val="0F0F0F"/>
                <w:kern w:val="0"/>
                <w:szCs w:val="21"/>
              </w:rPr>
              <w:t>)</w:t>
            </w:r>
          </w:p>
          <w:p w14:paraId="0A3A1269">
            <w:pPr>
              <w:autoSpaceDE w:val="0"/>
              <w:autoSpaceDN w:val="0"/>
              <w:rPr>
                <w:rFonts w:ascii="新宋体" w:eastAsia="新宋体" w:cs="宋体"/>
                <w:color w:val="0F0F0F"/>
                <w:kern w:val="0"/>
                <w:szCs w:val="21"/>
              </w:rPr>
            </w:pPr>
            <w:r>
              <w:rPr>
                <w:rFonts w:hint="eastAsia" w:ascii="新宋体" w:eastAsia="新宋体" w:cs="宋体"/>
                <w:color w:val="0F0F0F"/>
                <w:kern w:val="0"/>
                <w:szCs w:val="21"/>
              </w:rPr>
              <w:t>保险费率：</w:t>
            </w:r>
            <w:r>
              <w:rPr>
                <w:rFonts w:hint="eastAsia" w:ascii="新宋体" w:eastAsia="新宋体" w:cs="宋体"/>
                <w:color w:val="0F0F0F"/>
                <w:kern w:val="0"/>
                <w:szCs w:val="21"/>
                <w:u w:val="single"/>
              </w:rPr>
              <w:t>/</w:t>
            </w:r>
            <w:r>
              <w:rPr>
                <w:rFonts w:hint="eastAsia" w:ascii="新宋体" w:eastAsia="新宋体" w:cs="宋体"/>
                <w:color w:val="0F0F0F"/>
                <w:kern w:val="0"/>
                <w:szCs w:val="21"/>
              </w:rPr>
              <w:t>‰</w:t>
            </w:r>
          </w:p>
        </w:tc>
      </w:tr>
      <w:tr w14:paraId="22300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9" w:hRule="atLeast"/>
        </w:trPr>
        <w:tc>
          <w:tcPr>
            <w:tcW w:w="948" w:type="dxa"/>
            <w:noWrap/>
            <w:vAlign w:val="center"/>
          </w:tcPr>
          <w:p w14:paraId="51D3FD56">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30</w:t>
            </w:r>
          </w:p>
        </w:tc>
        <w:tc>
          <w:tcPr>
            <w:tcW w:w="1365" w:type="dxa"/>
            <w:noWrap/>
            <w:vAlign w:val="center"/>
          </w:tcPr>
          <w:p w14:paraId="583536B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24.1</w:t>
            </w:r>
          </w:p>
        </w:tc>
        <w:tc>
          <w:tcPr>
            <w:tcW w:w="6406" w:type="dxa"/>
            <w:noWrap/>
            <w:vAlign w:val="center"/>
          </w:tcPr>
          <w:p w14:paraId="6C6B32B4">
            <w:pPr>
              <w:autoSpaceDE w:val="0"/>
              <w:autoSpaceDN w:val="0"/>
              <w:rPr>
                <w:rFonts w:ascii="新宋体" w:eastAsia="新宋体" w:cs="宋体"/>
                <w:color w:val="0F0F0F"/>
                <w:kern w:val="0"/>
                <w:szCs w:val="21"/>
              </w:rPr>
            </w:pPr>
            <w:r>
              <w:rPr>
                <w:rFonts w:hint="eastAsia" w:ascii="新宋体" w:eastAsia="新宋体" w:cs="宋体"/>
                <w:color w:val="0F0F0F"/>
                <w:kern w:val="0"/>
                <w:szCs w:val="21"/>
              </w:rPr>
              <w:t>争议的最终解决方式：</w:t>
            </w:r>
            <w:r>
              <w:rPr>
                <w:rFonts w:hint="eastAsia" w:ascii="新宋体" w:eastAsia="新宋体" w:cs="宋体"/>
                <w:color w:val="0F0F0F"/>
                <w:kern w:val="0"/>
                <w:szCs w:val="21"/>
                <w:u w:val="single"/>
              </w:rPr>
              <w:t>诉讼</w:t>
            </w:r>
          </w:p>
          <w:p w14:paraId="32FD4547">
            <w:pPr>
              <w:autoSpaceDE w:val="0"/>
              <w:autoSpaceDN w:val="0"/>
              <w:rPr>
                <w:rFonts w:ascii="新宋体" w:eastAsia="新宋体" w:cs="宋体"/>
                <w:color w:val="0F0F0F"/>
                <w:kern w:val="0"/>
                <w:szCs w:val="21"/>
                <w:u w:val="single"/>
              </w:rPr>
            </w:pPr>
            <w:r>
              <w:rPr>
                <w:rFonts w:hint="eastAsia" w:ascii="新宋体" w:eastAsia="新宋体" w:cs="宋体"/>
                <w:color w:val="0F0F0F"/>
                <w:kern w:val="0"/>
                <w:szCs w:val="21"/>
              </w:rPr>
              <w:t>诉讼机构名称：</w:t>
            </w:r>
            <w:r>
              <w:rPr>
                <w:rFonts w:hint="eastAsia" w:ascii="新宋体" w:eastAsia="新宋体" w:cs="宋体"/>
                <w:color w:val="0F0F0F"/>
                <w:kern w:val="0"/>
                <w:szCs w:val="21"/>
                <w:u w:val="single"/>
              </w:rPr>
              <w:t>敦化市人民法院</w:t>
            </w:r>
          </w:p>
        </w:tc>
      </w:tr>
    </w:tbl>
    <w:p w14:paraId="1C41B62A">
      <w:pPr>
        <w:autoSpaceDE w:val="0"/>
        <w:autoSpaceDN w:val="0"/>
        <w:adjustRightInd w:val="0"/>
        <w:jc w:val="left"/>
        <w:rPr>
          <w:rFonts w:ascii="新宋体" w:eastAsia="新宋体" w:cs="宋体"/>
          <w:color w:val="0F0F0F"/>
          <w:kern w:val="0"/>
          <w:sz w:val="18"/>
          <w:szCs w:val="18"/>
        </w:rPr>
      </w:pPr>
    </w:p>
    <w:p w14:paraId="770A93AC">
      <w:pPr>
        <w:rPr>
          <w:rFonts w:ascii="新宋体" w:hAnsi="宋体" w:eastAsia="新宋体"/>
          <w:b/>
          <w:color w:val="0F0F0F"/>
          <w:sz w:val="22"/>
          <w:szCs w:val="32"/>
        </w:rPr>
      </w:pPr>
    </w:p>
    <w:p w14:paraId="5EEBB320">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项目专用合同条款</w:t>
      </w:r>
    </w:p>
    <w:p w14:paraId="71FA97AB">
      <w:pPr>
        <w:autoSpaceDE w:val="0"/>
        <w:autoSpaceDN w:val="0"/>
        <w:ind w:firstLine="560" w:firstLineChars="200"/>
        <w:rPr>
          <w:rFonts w:ascii="新宋体" w:eastAsia="新宋体"/>
          <w:color w:val="0F0F0F"/>
          <w:sz w:val="28"/>
          <w:szCs w:val="28"/>
        </w:rPr>
      </w:pPr>
    </w:p>
    <w:p w14:paraId="52FC274A">
      <w:pPr>
        <w:autoSpaceDE w:val="0"/>
        <w:autoSpaceDN w:val="0"/>
        <w:ind w:firstLine="560" w:firstLineChars="200"/>
        <w:rPr>
          <w:rFonts w:ascii="新宋体" w:eastAsia="新宋体"/>
          <w:color w:val="0F0F0F"/>
          <w:sz w:val="28"/>
          <w:szCs w:val="28"/>
        </w:rPr>
      </w:pPr>
    </w:p>
    <w:p w14:paraId="7C19D864">
      <w:pPr>
        <w:autoSpaceDE w:val="0"/>
        <w:autoSpaceDN w:val="0"/>
        <w:spacing w:line="400" w:lineRule="exact"/>
        <w:ind w:firstLine="560" w:firstLineChars="200"/>
        <w:rPr>
          <w:rFonts w:ascii="新宋体" w:hAnsi="宋体" w:eastAsia="新宋体" w:cs="宋体"/>
          <w:color w:val="0F0F0F"/>
          <w:kern w:val="0"/>
          <w:szCs w:val="21"/>
        </w:rPr>
      </w:pPr>
      <w:r>
        <w:rPr>
          <w:rFonts w:hint="eastAsia" w:ascii="新宋体" w:eastAsia="新宋体"/>
          <w:color w:val="0F0F0F"/>
          <w:sz w:val="28"/>
          <w:szCs w:val="28"/>
        </w:rPr>
        <w:t>说明：</w:t>
      </w:r>
      <w:r>
        <w:rPr>
          <w:rFonts w:hint="eastAsia" w:ascii="新宋体" w:hAnsi="宋体" w:eastAsia="新宋体" w:cs="宋体"/>
          <w:color w:val="0F0F0F"/>
          <w:kern w:val="0"/>
          <w:szCs w:val="21"/>
        </w:rPr>
        <w:t>本部分所列的项目专用合同条款是对“公路工程专用合同条款”中规定必须在项目专用合同条款中明确的内容的集中，</w:t>
      </w:r>
      <w:r>
        <w:rPr>
          <w:rFonts w:hint="eastAsia" w:ascii="新宋体" w:hAnsi="宋体" w:eastAsia="新宋体" w:cs="宋体"/>
          <w:color w:val="0F0F0F"/>
          <w:kern w:val="0"/>
          <w:szCs w:val="21"/>
          <w:lang w:eastAsia="zh-CN"/>
        </w:rPr>
        <w:t>采购人</w:t>
      </w:r>
      <w:r>
        <w:rPr>
          <w:rFonts w:hint="eastAsia" w:ascii="新宋体" w:hAnsi="宋体" w:eastAsia="新宋体" w:cs="宋体"/>
          <w:color w:val="0F0F0F"/>
          <w:kern w:val="0"/>
          <w:szCs w:val="21"/>
        </w:rPr>
        <w:t>编制的“项目专用合同条款”不限于本部分所列内容。</w:t>
      </w:r>
    </w:p>
    <w:p w14:paraId="01A2212D">
      <w:pPr>
        <w:spacing w:line="400" w:lineRule="exact"/>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1承包人的一般义务</w:t>
      </w:r>
    </w:p>
    <w:p w14:paraId="167B23EF">
      <w:pPr>
        <w:autoSpaceDE w:val="0"/>
        <w:autoSpaceDN w:val="0"/>
        <w:spacing w:line="400" w:lineRule="exact"/>
        <w:ind w:firstLine="420" w:firstLineChars="200"/>
        <w:rPr>
          <w:rFonts w:ascii="新宋体" w:hAnsi="宋体" w:eastAsia="新宋体" w:cs="宋体"/>
          <w:color w:val="0F0F0F"/>
          <w:kern w:val="0"/>
          <w:szCs w:val="21"/>
        </w:rPr>
      </w:pPr>
      <w:r>
        <w:rPr>
          <w:rFonts w:ascii="新宋体" w:hAnsi="宋体" w:eastAsia="新宋体" w:cs="宋体"/>
          <w:color w:val="0F0F0F"/>
          <w:kern w:val="0"/>
          <w:szCs w:val="21"/>
        </w:rPr>
        <w:t xml:space="preserve"> 4</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10其他义务</w:t>
      </w:r>
    </w:p>
    <w:p w14:paraId="74320881">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 xml:space="preserve">  (4)承包人应履行的其他义务</w:t>
      </w:r>
      <w:r>
        <w:rPr>
          <w:rFonts w:hint="eastAsia" w:ascii="新宋体" w:hAnsi="宋体" w:eastAsia="新宋体" w:cs="宋体"/>
          <w:color w:val="0F0F0F"/>
          <w:kern w:val="0"/>
          <w:szCs w:val="21"/>
        </w:rPr>
        <w:t>:</w:t>
      </w:r>
      <w:r>
        <w:rPr>
          <w:rFonts w:hint="eastAsia" w:ascii="新宋体" w:hAnsi="宋体" w:eastAsia="新宋体" w:cs="宋体"/>
          <w:color w:val="0F0F0F"/>
          <w:kern w:val="0"/>
          <w:szCs w:val="21"/>
          <w:u w:val="single"/>
        </w:rPr>
        <w:t>/</w:t>
      </w:r>
    </w:p>
    <w:p w14:paraId="3DE2D043">
      <w:pPr>
        <w:spacing w:line="400" w:lineRule="exact"/>
        <w:rPr>
          <w:rFonts w:ascii="新宋体" w:hAnsi="宋体" w:eastAsia="新宋体"/>
          <w:b/>
          <w:color w:val="0F0F0F"/>
          <w:sz w:val="23"/>
          <w:szCs w:val="32"/>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1l不</w:t>
      </w:r>
      <w:r>
        <w:rPr>
          <w:rFonts w:hint="eastAsia" w:ascii="新宋体" w:eastAsia="新宋体"/>
          <w:color w:val="0F0F0F"/>
          <w:sz w:val="24"/>
        </w:rPr>
        <w:t>利</w:t>
      </w:r>
      <w:r>
        <w:rPr>
          <w:rFonts w:ascii="新宋体" w:eastAsia="新宋体"/>
          <w:color w:val="0F0F0F"/>
          <w:sz w:val="24"/>
        </w:rPr>
        <w:t>物质条件</w:t>
      </w:r>
    </w:p>
    <w:p w14:paraId="1F1233D0">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 xml:space="preserve"> 4</w:t>
      </w:r>
      <w:r>
        <w:rPr>
          <w:rFonts w:hint="eastAsia" w:ascii="新宋体" w:hAnsi="宋体" w:eastAsia="新宋体" w:cs="宋体"/>
          <w:color w:val="0F0F0F"/>
          <w:kern w:val="0"/>
          <w:szCs w:val="21"/>
        </w:rPr>
        <w:t>.</w:t>
      </w:r>
      <w:r>
        <w:rPr>
          <w:rFonts w:ascii="新宋体" w:hAnsi="宋体" w:eastAsia="新宋体" w:cs="宋体"/>
          <w:color w:val="0F0F0F"/>
          <w:kern w:val="0"/>
          <w:szCs w:val="21"/>
        </w:rPr>
        <w:t>ll</w:t>
      </w:r>
      <w:r>
        <w:rPr>
          <w:rFonts w:hint="eastAsia" w:ascii="新宋体" w:hAnsi="宋体" w:eastAsia="新宋体" w:cs="宋体"/>
          <w:color w:val="0F0F0F"/>
          <w:kern w:val="0"/>
          <w:szCs w:val="21"/>
        </w:rPr>
        <w:t>.</w:t>
      </w:r>
      <w:r>
        <w:rPr>
          <w:rFonts w:ascii="新宋体" w:hAnsi="宋体" w:eastAsia="新宋体" w:cs="宋体"/>
          <w:color w:val="0F0F0F"/>
          <w:kern w:val="0"/>
          <w:szCs w:val="21"/>
        </w:rPr>
        <w:t>l不利物质条件的范围：</w:t>
      </w:r>
      <w:r>
        <w:rPr>
          <w:rFonts w:hint="eastAsia" w:ascii="新宋体" w:hAnsi="宋体" w:eastAsia="新宋体" w:cs="宋体"/>
          <w:color w:val="0F0F0F"/>
          <w:kern w:val="0"/>
          <w:szCs w:val="21"/>
          <w:u w:val="single"/>
        </w:rPr>
        <w:t>/</w:t>
      </w:r>
    </w:p>
    <w:p w14:paraId="489D0350">
      <w:pPr>
        <w:spacing w:line="400" w:lineRule="exact"/>
        <w:rPr>
          <w:rFonts w:ascii="新宋体" w:eastAsia="新宋体"/>
          <w:color w:val="0F0F0F"/>
          <w:sz w:val="24"/>
        </w:rPr>
      </w:pPr>
      <w:r>
        <w:rPr>
          <w:rFonts w:ascii="新宋体" w:eastAsia="新宋体"/>
          <w:color w:val="0F0F0F"/>
          <w:sz w:val="24"/>
        </w:rPr>
        <w:t>lO</w:t>
      </w:r>
      <w:r>
        <w:rPr>
          <w:rFonts w:hint="eastAsia" w:ascii="新宋体" w:eastAsia="新宋体"/>
          <w:color w:val="0F0F0F"/>
          <w:sz w:val="24"/>
        </w:rPr>
        <w:t>.</w:t>
      </w:r>
      <w:r>
        <w:rPr>
          <w:rFonts w:ascii="新宋体" w:eastAsia="新宋体"/>
          <w:color w:val="0F0F0F"/>
          <w:sz w:val="24"/>
        </w:rPr>
        <w:t>1合</w:t>
      </w:r>
      <w:r>
        <w:rPr>
          <w:rFonts w:hint="eastAsia" w:ascii="新宋体" w:eastAsia="新宋体"/>
          <w:color w:val="0F0F0F"/>
          <w:sz w:val="24"/>
        </w:rPr>
        <w:t>同</w:t>
      </w:r>
      <w:r>
        <w:rPr>
          <w:rFonts w:ascii="新宋体" w:eastAsia="新宋体"/>
          <w:color w:val="0F0F0F"/>
          <w:sz w:val="24"/>
        </w:rPr>
        <w:t>进度计</w:t>
      </w:r>
      <w:r>
        <w:rPr>
          <w:rFonts w:hint="eastAsia" w:ascii="新宋体" w:eastAsia="新宋体"/>
          <w:color w:val="0F0F0F"/>
          <w:sz w:val="24"/>
        </w:rPr>
        <w:t>划</w:t>
      </w:r>
    </w:p>
    <w:p w14:paraId="6A060035">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承包人编制施工方案的内容：</w:t>
      </w:r>
      <w:r>
        <w:rPr>
          <w:rFonts w:hint="eastAsia" w:ascii="新宋体" w:hAnsi="宋体" w:eastAsia="新宋体" w:cs="宋体"/>
          <w:color w:val="0F0F0F"/>
          <w:kern w:val="0"/>
          <w:szCs w:val="21"/>
          <w:u w:val="single"/>
        </w:rPr>
        <w:t>/</w:t>
      </w:r>
    </w:p>
    <w:p w14:paraId="1852440C">
      <w:pPr>
        <w:spacing w:line="400" w:lineRule="exact"/>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4异常恶劣的气候条件</w:t>
      </w:r>
    </w:p>
    <w:p w14:paraId="056A91EE">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异常</w:t>
      </w:r>
      <w:r>
        <w:rPr>
          <w:rFonts w:hint="eastAsia" w:ascii="新宋体" w:hAnsi="宋体" w:eastAsia="新宋体" w:cs="宋体"/>
          <w:color w:val="0F0F0F"/>
          <w:kern w:val="0"/>
          <w:szCs w:val="21"/>
        </w:rPr>
        <w:t>恶劣的气候条件的范围：</w:t>
      </w:r>
      <w:r>
        <w:rPr>
          <w:rFonts w:hint="eastAsia" w:ascii="新宋体" w:hAnsi="宋体" w:eastAsia="新宋体" w:cs="宋体"/>
          <w:color w:val="0F0F0F"/>
          <w:kern w:val="0"/>
          <w:szCs w:val="21"/>
          <w:u w:val="single"/>
        </w:rPr>
        <w:t>/</w:t>
      </w:r>
    </w:p>
    <w:p w14:paraId="372A6ACD">
      <w:pPr>
        <w:spacing w:line="400" w:lineRule="exact"/>
        <w:rPr>
          <w:rFonts w:ascii="新宋体" w:eastAsia="新宋体"/>
          <w:color w:val="0F0F0F"/>
          <w:sz w:val="24"/>
        </w:rPr>
      </w:pPr>
      <w:r>
        <w:rPr>
          <w:rFonts w:ascii="新宋体" w:eastAsia="新宋体"/>
          <w:color w:val="0F0F0F"/>
          <w:sz w:val="24"/>
        </w:rPr>
        <w:t>12</w:t>
      </w:r>
      <w:r>
        <w:rPr>
          <w:rFonts w:hint="eastAsia" w:ascii="新宋体" w:eastAsia="新宋体"/>
          <w:color w:val="0F0F0F"/>
          <w:sz w:val="24"/>
        </w:rPr>
        <w:t>.</w:t>
      </w:r>
      <w:r>
        <w:rPr>
          <w:rFonts w:ascii="新宋体" w:eastAsia="新宋体"/>
          <w:color w:val="0F0F0F"/>
          <w:sz w:val="24"/>
        </w:rPr>
        <w:t>1承包人暂停施工的责任</w:t>
      </w:r>
    </w:p>
    <w:p w14:paraId="0DA1D3DE">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 xml:space="preserve"> 12</w:t>
      </w:r>
      <w:r>
        <w:rPr>
          <w:rFonts w:hint="eastAsia" w:ascii="新宋体" w:hAnsi="宋体" w:eastAsia="新宋体" w:cs="宋体"/>
          <w:color w:val="0F0F0F"/>
          <w:kern w:val="0"/>
          <w:szCs w:val="21"/>
        </w:rPr>
        <w:t>.</w:t>
      </w:r>
      <w:r>
        <w:rPr>
          <w:rFonts w:ascii="新宋体" w:hAnsi="宋体" w:eastAsia="新宋体" w:cs="宋体"/>
          <w:color w:val="0F0F0F"/>
          <w:kern w:val="0"/>
          <w:szCs w:val="21"/>
        </w:rPr>
        <w:t>1  (6)由承包人承担的其他暂停</w:t>
      </w:r>
      <w:r>
        <w:rPr>
          <w:rFonts w:hint="eastAsia" w:ascii="新宋体" w:hAnsi="宋体" w:eastAsia="新宋体" w:cs="宋体"/>
          <w:color w:val="0F0F0F"/>
          <w:kern w:val="0"/>
          <w:szCs w:val="21"/>
        </w:rPr>
        <w:t>施工</w:t>
      </w:r>
      <w:r>
        <w:rPr>
          <w:rFonts w:ascii="新宋体" w:hAnsi="宋体" w:eastAsia="新宋体" w:cs="宋体"/>
          <w:color w:val="0F0F0F"/>
          <w:kern w:val="0"/>
          <w:szCs w:val="21"/>
        </w:rPr>
        <w:t>：</w:t>
      </w:r>
      <w:r>
        <w:rPr>
          <w:rFonts w:hint="eastAsia" w:ascii="新宋体" w:hAnsi="宋体" w:eastAsia="新宋体" w:cs="宋体"/>
          <w:color w:val="0F0F0F"/>
          <w:kern w:val="0"/>
          <w:szCs w:val="21"/>
          <w:u w:val="single"/>
        </w:rPr>
        <w:t>/</w:t>
      </w:r>
    </w:p>
    <w:p w14:paraId="7D663EF5">
      <w:pPr>
        <w:spacing w:line="400" w:lineRule="exact"/>
        <w:rPr>
          <w:rFonts w:ascii="新宋体" w:eastAsia="新宋体"/>
          <w:color w:val="0F0F0F"/>
          <w:sz w:val="24"/>
        </w:rPr>
      </w:pPr>
      <w:r>
        <w:rPr>
          <w:rFonts w:ascii="新宋体" w:eastAsia="新宋体"/>
          <w:color w:val="0F0F0F"/>
          <w:sz w:val="24"/>
        </w:rPr>
        <w:t>21</w:t>
      </w:r>
      <w:r>
        <w:rPr>
          <w:rFonts w:hint="eastAsia" w:ascii="新宋体" w:eastAsia="新宋体"/>
          <w:color w:val="0F0F0F"/>
          <w:sz w:val="24"/>
        </w:rPr>
        <w:t>.</w:t>
      </w:r>
      <w:r>
        <w:rPr>
          <w:rFonts w:ascii="新宋体" w:eastAsia="新宋体"/>
          <w:color w:val="0F0F0F"/>
          <w:sz w:val="24"/>
        </w:rPr>
        <w:t>1不可抗力的确认</w:t>
      </w:r>
    </w:p>
    <w:p w14:paraId="17A871C9">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21</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1(6)不可抗力的其他情形：</w:t>
      </w:r>
      <w:r>
        <w:rPr>
          <w:rFonts w:hint="eastAsia" w:ascii="新宋体" w:hAnsi="宋体" w:eastAsia="新宋体" w:cs="宋体"/>
          <w:color w:val="0F0F0F"/>
          <w:kern w:val="0"/>
          <w:szCs w:val="21"/>
          <w:u w:val="single"/>
        </w:rPr>
        <w:t>/</w:t>
      </w:r>
    </w:p>
    <w:p w14:paraId="0BF1662A">
      <w:pPr>
        <w:spacing w:line="400" w:lineRule="exact"/>
        <w:rPr>
          <w:rFonts w:ascii="新宋体" w:eastAsia="新宋体"/>
          <w:color w:val="0F0F0F"/>
          <w:sz w:val="24"/>
        </w:rPr>
      </w:pPr>
      <w:r>
        <w:rPr>
          <w:rFonts w:ascii="新宋体" w:eastAsia="新宋体"/>
          <w:color w:val="0F0F0F"/>
          <w:sz w:val="24"/>
        </w:rPr>
        <w:t>22</w:t>
      </w:r>
      <w:r>
        <w:rPr>
          <w:rFonts w:hint="eastAsia" w:ascii="新宋体" w:eastAsia="新宋体"/>
          <w:color w:val="0F0F0F"/>
          <w:sz w:val="24"/>
        </w:rPr>
        <w:t>.</w:t>
      </w:r>
      <w:r>
        <w:rPr>
          <w:rFonts w:ascii="新宋体" w:eastAsia="新宋体"/>
          <w:color w:val="0F0F0F"/>
          <w:sz w:val="24"/>
        </w:rPr>
        <w:t>1承包人违约</w:t>
      </w:r>
    </w:p>
    <w:p w14:paraId="58B31520">
      <w:pPr>
        <w:autoSpaceDE w:val="0"/>
        <w:autoSpaceDN w:val="0"/>
        <w:spacing w:line="400" w:lineRule="exact"/>
        <w:ind w:firstLine="420" w:firstLineChars="200"/>
        <w:rPr>
          <w:rFonts w:ascii="新宋体" w:hAnsi="宋体" w:eastAsia="新宋体" w:cs="宋体"/>
          <w:color w:val="0F0F0F"/>
          <w:kern w:val="0"/>
          <w:szCs w:val="21"/>
          <w:u w:val="single"/>
        </w:rPr>
      </w:pPr>
      <w:r>
        <w:rPr>
          <w:rFonts w:ascii="新宋体" w:hAnsi="宋体" w:eastAsia="新宋体" w:cs="宋体"/>
          <w:color w:val="0F0F0F"/>
          <w:kern w:val="0"/>
          <w:szCs w:val="21"/>
        </w:rPr>
        <w:t>22</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2</w:t>
      </w:r>
      <w:r>
        <w:rPr>
          <w:rFonts w:hint="eastAsia" w:ascii="新宋体" w:hAnsi="宋体" w:eastAsia="新宋体" w:cs="宋体"/>
          <w:color w:val="0F0F0F"/>
          <w:kern w:val="0"/>
          <w:szCs w:val="21"/>
        </w:rPr>
        <w:t>当</w:t>
      </w:r>
      <w:r>
        <w:rPr>
          <w:rFonts w:ascii="新宋体" w:hAnsi="宋体" w:eastAsia="新宋体" w:cs="宋体"/>
          <w:color w:val="0F0F0F"/>
          <w:kern w:val="0"/>
          <w:szCs w:val="21"/>
        </w:rPr>
        <w:t>承包人发生第22</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1项约定的违约情况时，发包人有权向承包人课以</w:t>
      </w:r>
      <w:r>
        <w:rPr>
          <w:rFonts w:hint="eastAsia" w:ascii="新宋体" w:hAnsi="宋体" w:eastAsia="新宋体" w:cs="宋体"/>
          <w:color w:val="0F0F0F"/>
          <w:kern w:val="0"/>
          <w:szCs w:val="21"/>
        </w:rPr>
        <w:t>违约金，具体约定如下：</w:t>
      </w:r>
      <w:r>
        <w:rPr>
          <w:rFonts w:hint="eastAsia" w:ascii="新宋体" w:hAnsi="宋体" w:eastAsia="新宋体" w:cs="宋体"/>
          <w:color w:val="0F0F0F"/>
          <w:kern w:val="0"/>
          <w:szCs w:val="21"/>
          <w:u w:val="single"/>
        </w:rPr>
        <w:t>/</w:t>
      </w:r>
    </w:p>
    <w:p w14:paraId="6BB0AECE">
      <w:pPr>
        <w:autoSpaceDE w:val="0"/>
        <w:autoSpaceDN w:val="0"/>
        <w:rPr>
          <w:rFonts w:ascii="新宋体" w:hAnsi="宋体" w:eastAsia="新宋体" w:cs="宋体"/>
          <w:color w:val="0F0F0F"/>
          <w:kern w:val="0"/>
          <w:szCs w:val="21"/>
        </w:rPr>
      </w:pPr>
    </w:p>
    <w:p w14:paraId="376973CD">
      <w:pPr>
        <w:autoSpaceDE w:val="0"/>
        <w:autoSpaceDN w:val="0"/>
        <w:ind w:firstLine="420" w:firstLineChars="200"/>
        <w:rPr>
          <w:rFonts w:ascii="新宋体" w:hAnsi="宋体" w:eastAsia="新宋体" w:cs="宋体"/>
          <w:color w:val="0F0F0F"/>
          <w:kern w:val="0"/>
          <w:szCs w:val="21"/>
        </w:rPr>
      </w:pPr>
    </w:p>
    <w:p w14:paraId="696BC01B">
      <w:pPr>
        <w:rPr>
          <w:rFonts w:ascii="新宋体" w:hAnsi="宋体" w:eastAsia="新宋体"/>
          <w:b/>
          <w:color w:val="0F0F0F"/>
          <w:sz w:val="23"/>
          <w:szCs w:val="32"/>
        </w:rPr>
      </w:pPr>
    </w:p>
    <w:p w14:paraId="56D22AF2">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第三节 合同附件</w:t>
      </w:r>
    </w:p>
    <w:p w14:paraId="323B0978">
      <w:pPr>
        <w:rPr>
          <w:rFonts w:ascii="新宋体" w:eastAsia="新宋体"/>
          <w:color w:val="0F0F0F"/>
          <w:sz w:val="24"/>
        </w:rPr>
      </w:pPr>
      <w:r>
        <w:rPr>
          <w:rFonts w:ascii="新宋体" w:eastAsia="新宋体"/>
          <w:color w:val="0F0F0F"/>
          <w:sz w:val="24"/>
        </w:rPr>
        <w:br w:type="page"/>
      </w:r>
      <w:r>
        <w:rPr>
          <w:rFonts w:hint="eastAsia" w:ascii="新宋体" w:eastAsia="新宋体"/>
          <w:color w:val="0F0F0F"/>
          <w:sz w:val="24"/>
        </w:rPr>
        <w:t>附件一  合同协议书</w:t>
      </w:r>
    </w:p>
    <w:p w14:paraId="0A6ADB8B">
      <w:pPr>
        <w:jc w:val="center"/>
        <w:rPr>
          <w:rFonts w:ascii="新宋体" w:eastAsia="新宋体"/>
          <w:b/>
          <w:color w:val="0F0F0F"/>
          <w:sz w:val="32"/>
          <w:szCs w:val="32"/>
        </w:rPr>
      </w:pPr>
      <w:r>
        <w:rPr>
          <w:rFonts w:hint="eastAsia" w:ascii="新宋体" w:eastAsia="新宋体"/>
          <w:b/>
          <w:color w:val="0F0F0F"/>
          <w:sz w:val="32"/>
          <w:szCs w:val="32"/>
        </w:rPr>
        <w:t>合同协议书</w:t>
      </w:r>
    </w:p>
    <w:p w14:paraId="503A5501">
      <w:pPr>
        <w:spacing w:line="480" w:lineRule="exact"/>
        <w:ind w:firstLine="523" w:firstLineChars="218"/>
        <w:rPr>
          <w:rFonts w:ascii="新宋体" w:hAnsi="宋体" w:eastAsia="新宋体"/>
          <w:color w:val="0F0F0F"/>
          <w:sz w:val="24"/>
        </w:rPr>
      </w:pPr>
      <w:r>
        <w:rPr>
          <w:rFonts w:ascii="新宋体" w:hAnsi="宋体" w:eastAsia="新宋体"/>
          <w:color w:val="0F0F0F"/>
          <w:sz w:val="24"/>
        </w:rPr>
        <w:t>(发包人名称，以下简称“发包人”)为实施(项</w:t>
      </w:r>
      <w:r>
        <w:rPr>
          <w:rFonts w:hint="eastAsia" w:ascii="新宋体" w:hAnsi="宋体" w:eastAsia="新宋体"/>
          <w:color w:val="0F0F0F"/>
          <w:sz w:val="24"/>
        </w:rPr>
        <w:t>目名称</w:t>
      </w:r>
      <w:r>
        <w:rPr>
          <w:rFonts w:ascii="新宋体" w:hAnsi="宋体" w:eastAsia="新宋体"/>
          <w:color w:val="0F0F0F"/>
          <w:sz w:val="24"/>
        </w:rPr>
        <w:t>)，已接受 (承包人名称，以下简称“承包人”)对该项目标段</w:t>
      </w:r>
      <w:r>
        <w:rPr>
          <w:rFonts w:hint="eastAsia" w:ascii="新宋体" w:hAnsi="宋体" w:eastAsia="新宋体"/>
          <w:color w:val="0F0F0F"/>
          <w:sz w:val="24"/>
        </w:rPr>
        <w:t>施工的投标。发包人和承包人共同达成如下协议。</w:t>
      </w:r>
    </w:p>
    <w:p w14:paraId="407D00BF">
      <w:pPr>
        <w:spacing w:line="480" w:lineRule="exact"/>
        <w:ind w:firstLine="501" w:firstLineChars="209"/>
        <w:rPr>
          <w:rFonts w:ascii="新宋体" w:hAnsi="宋体" w:eastAsia="新宋体"/>
          <w:color w:val="0F0F0F"/>
          <w:sz w:val="24"/>
        </w:rPr>
      </w:pPr>
      <w:r>
        <w:rPr>
          <w:rFonts w:ascii="新宋体" w:hAnsi="宋体" w:eastAsia="新宋体"/>
          <w:color w:val="0F0F0F"/>
          <w:sz w:val="24"/>
        </w:rPr>
        <w:t>1</w:t>
      </w:r>
      <w:r>
        <w:rPr>
          <w:rFonts w:hint="eastAsia" w:ascii="新宋体" w:hAnsi="宋体" w:eastAsia="新宋体"/>
          <w:color w:val="0F0F0F"/>
          <w:sz w:val="24"/>
        </w:rPr>
        <w:t>.</w:t>
      </w:r>
      <w:r>
        <w:rPr>
          <w:rFonts w:ascii="新宋体" w:hAnsi="宋体" w:eastAsia="新宋体"/>
          <w:color w:val="0F0F0F"/>
          <w:sz w:val="24"/>
        </w:rPr>
        <w:t>第标段由K+至K+，长约km，公路等级为，设</w:t>
      </w:r>
      <w:r>
        <w:rPr>
          <w:rFonts w:hint="eastAsia" w:ascii="新宋体" w:hAnsi="宋体" w:eastAsia="新宋体"/>
          <w:color w:val="0F0F0F"/>
          <w:sz w:val="24"/>
        </w:rPr>
        <w:t>计时速为，路面，有立交处；特大桥座，计长m．；大中桥座，计长</w:t>
      </w:r>
      <w:r>
        <w:rPr>
          <w:rFonts w:ascii="新宋体" w:hAnsi="宋体" w:eastAsia="新宋体"/>
          <w:color w:val="0F0F0F"/>
          <w:sz w:val="24"/>
        </w:rPr>
        <w:t>m；隧道座，计长m以及其他构造物工程等。</w:t>
      </w:r>
    </w:p>
    <w:p w14:paraId="61389DEB">
      <w:pPr>
        <w:spacing w:line="480" w:lineRule="exact"/>
        <w:ind w:firstLine="501" w:firstLineChars="209"/>
        <w:rPr>
          <w:rFonts w:ascii="新宋体" w:hAnsi="宋体" w:eastAsia="新宋体"/>
          <w:color w:val="0F0F0F"/>
          <w:sz w:val="24"/>
        </w:rPr>
      </w:pPr>
      <w:r>
        <w:rPr>
          <w:rFonts w:ascii="新宋体" w:hAnsi="宋体" w:eastAsia="新宋体"/>
          <w:color w:val="0F0F0F"/>
          <w:sz w:val="24"/>
        </w:rPr>
        <w:t>2</w:t>
      </w:r>
      <w:r>
        <w:rPr>
          <w:rFonts w:hint="eastAsia" w:ascii="新宋体" w:hAnsi="宋体" w:eastAsia="新宋体"/>
          <w:color w:val="0F0F0F"/>
          <w:sz w:val="24"/>
        </w:rPr>
        <w:t>.</w:t>
      </w:r>
      <w:r>
        <w:rPr>
          <w:rFonts w:ascii="新宋体" w:hAnsi="宋体" w:eastAsia="新宋体"/>
          <w:color w:val="0F0F0F"/>
          <w:sz w:val="24"/>
        </w:rPr>
        <w:t>下列文件应视为构成合同文</w:t>
      </w:r>
      <w:r>
        <w:rPr>
          <w:rFonts w:ascii="新宋体" w:hAnsi="宋体" w:eastAsia="新宋体"/>
          <w:color w:val="000000" w:themeColor="text1"/>
          <w:sz w:val="24"/>
          <w14:textFill>
            <w14:solidFill>
              <w14:schemeClr w14:val="tx1"/>
            </w14:solidFill>
          </w14:textFill>
        </w:rPr>
        <w:t>件的</w:t>
      </w:r>
      <w:r>
        <w:rPr>
          <w:rFonts w:hint="eastAsia" w:ascii="新宋体" w:hAnsi="宋体" w:eastAsia="新宋体"/>
          <w:color w:val="000000" w:themeColor="text1"/>
          <w:sz w:val="24"/>
          <w:lang w:eastAsia="zh-CN"/>
          <w14:textFill>
            <w14:solidFill>
              <w14:schemeClr w14:val="tx1"/>
            </w14:solidFill>
          </w14:textFill>
        </w:rPr>
        <w:t>组成</w:t>
      </w:r>
      <w:r>
        <w:rPr>
          <w:rFonts w:ascii="新宋体" w:hAnsi="宋体" w:eastAsia="新宋体"/>
          <w:color w:val="000000" w:themeColor="text1"/>
          <w:sz w:val="24"/>
          <w14:textFill>
            <w14:solidFill>
              <w14:schemeClr w14:val="tx1"/>
            </w14:solidFill>
          </w14:textFill>
        </w:rPr>
        <w:t>部分：</w:t>
      </w:r>
    </w:p>
    <w:p w14:paraId="5445FF45">
      <w:pPr>
        <w:spacing w:line="480" w:lineRule="exact"/>
        <w:ind w:firstLine="501" w:firstLineChars="209"/>
        <w:rPr>
          <w:rFonts w:ascii="新宋体" w:hAnsi="宋体" w:eastAsia="新宋体"/>
          <w:color w:val="0F0F0F"/>
          <w:sz w:val="24"/>
        </w:rPr>
      </w:pPr>
      <w:r>
        <w:rPr>
          <w:rFonts w:ascii="新宋体" w:hAnsi="宋体" w:eastAsia="新宋体"/>
          <w:color w:val="0F0F0F"/>
          <w:sz w:val="24"/>
        </w:rPr>
        <w:t>(1)本协议书及各种合</w:t>
      </w:r>
      <w:r>
        <w:rPr>
          <w:rFonts w:hint="eastAsia" w:ascii="新宋体" w:hAnsi="宋体" w:eastAsia="新宋体"/>
          <w:color w:val="0F0F0F"/>
          <w:sz w:val="24"/>
        </w:rPr>
        <w:t>同</w:t>
      </w:r>
      <w:r>
        <w:rPr>
          <w:rFonts w:ascii="新宋体" w:hAnsi="宋体" w:eastAsia="新宋体"/>
          <w:color w:val="0F0F0F"/>
          <w:sz w:val="24"/>
        </w:rPr>
        <w:t>附件(</w:t>
      </w:r>
      <w:r>
        <w:rPr>
          <w:rFonts w:hint="eastAsia" w:ascii="新宋体" w:hAnsi="宋体" w:eastAsia="新宋体"/>
          <w:color w:val="0F0F0F"/>
          <w:sz w:val="24"/>
        </w:rPr>
        <w:t>含</w:t>
      </w:r>
      <w:r>
        <w:rPr>
          <w:rFonts w:ascii="新宋体" w:hAnsi="宋体" w:eastAsia="新宋体"/>
          <w:color w:val="0F0F0F"/>
          <w:sz w:val="24"/>
        </w:rPr>
        <w:t>评标期</w:t>
      </w:r>
      <w:r>
        <w:rPr>
          <w:rFonts w:hint="eastAsia" w:ascii="新宋体" w:hAnsi="宋体" w:eastAsia="新宋体"/>
          <w:color w:val="0F0F0F"/>
          <w:sz w:val="24"/>
        </w:rPr>
        <w:t>间</w:t>
      </w:r>
      <w:r>
        <w:rPr>
          <w:rFonts w:ascii="新宋体" w:hAnsi="宋体" w:eastAsia="新宋体"/>
          <w:color w:val="0F0F0F"/>
          <w:sz w:val="24"/>
        </w:rPr>
        <w:t>和</w:t>
      </w:r>
      <w:r>
        <w:rPr>
          <w:rFonts w:hint="eastAsia" w:ascii="新宋体" w:hAnsi="宋体" w:eastAsia="新宋体"/>
          <w:color w:val="0F0F0F"/>
          <w:sz w:val="24"/>
        </w:rPr>
        <w:t>合同谈判过程中的澄清文件和补充资料</w:t>
      </w:r>
      <w:r>
        <w:rPr>
          <w:rFonts w:ascii="新宋体" w:hAnsi="宋体" w:eastAsia="新宋体"/>
          <w:color w:val="0F0F0F"/>
          <w:sz w:val="24"/>
        </w:rPr>
        <w:t>)；</w:t>
      </w:r>
    </w:p>
    <w:p w14:paraId="15160913">
      <w:pPr>
        <w:spacing w:line="480" w:lineRule="exact"/>
        <w:ind w:firstLine="501" w:firstLineChars="209"/>
        <w:rPr>
          <w:rFonts w:ascii="新宋体" w:hAnsi="宋体" w:eastAsia="新宋体"/>
          <w:color w:val="0F0F0F"/>
          <w:sz w:val="24"/>
        </w:rPr>
      </w:pPr>
      <w:r>
        <w:rPr>
          <w:rFonts w:ascii="新宋体" w:hAnsi="宋体" w:eastAsia="新宋体"/>
          <w:color w:val="0F0F0F"/>
          <w:sz w:val="24"/>
        </w:rPr>
        <w:t>(2)</w:t>
      </w:r>
      <w:r>
        <w:rPr>
          <w:rFonts w:hint="eastAsia" w:ascii="新宋体" w:hAnsi="宋体" w:eastAsia="新宋体"/>
          <w:color w:val="0F0F0F"/>
          <w:sz w:val="24"/>
          <w:lang w:eastAsia="zh-CN"/>
        </w:rPr>
        <w:t>成交</w:t>
      </w:r>
      <w:r>
        <w:rPr>
          <w:rFonts w:ascii="新宋体" w:hAnsi="宋体" w:eastAsia="新宋体"/>
          <w:color w:val="0F0F0F"/>
          <w:sz w:val="24"/>
        </w:rPr>
        <w:t>通知书；</w:t>
      </w:r>
    </w:p>
    <w:p w14:paraId="15DFCE48">
      <w:pPr>
        <w:spacing w:line="480" w:lineRule="exact"/>
        <w:ind w:firstLine="501" w:firstLineChars="209"/>
        <w:rPr>
          <w:rFonts w:ascii="新宋体" w:hAnsi="宋体" w:eastAsia="新宋体"/>
          <w:color w:val="0F0F0F"/>
          <w:sz w:val="24"/>
        </w:rPr>
      </w:pPr>
      <w:r>
        <w:rPr>
          <w:rFonts w:ascii="新宋体" w:hAnsi="宋体" w:eastAsia="新宋体"/>
          <w:color w:val="0F0F0F"/>
          <w:sz w:val="24"/>
        </w:rPr>
        <w:t>(3)投标函；</w:t>
      </w:r>
    </w:p>
    <w:p w14:paraId="66D99E34">
      <w:pPr>
        <w:spacing w:line="480" w:lineRule="exact"/>
        <w:ind w:firstLine="501" w:firstLineChars="209"/>
        <w:rPr>
          <w:rFonts w:ascii="新宋体" w:hAnsi="宋体" w:eastAsia="新宋体"/>
          <w:color w:val="0F0F0F"/>
          <w:sz w:val="24"/>
        </w:rPr>
      </w:pPr>
      <w:r>
        <w:rPr>
          <w:rFonts w:ascii="新宋体" w:hAnsi="宋体" w:eastAsia="新宋体"/>
          <w:color w:val="0F0F0F"/>
          <w:sz w:val="24"/>
        </w:rPr>
        <w:t>(4)项目专用合同条款；</w:t>
      </w:r>
    </w:p>
    <w:p w14:paraId="4F88A8F8">
      <w:pPr>
        <w:spacing w:line="480" w:lineRule="exact"/>
        <w:ind w:firstLine="501" w:firstLineChars="209"/>
        <w:rPr>
          <w:rFonts w:ascii="新宋体" w:hAnsi="宋体" w:eastAsia="新宋体"/>
          <w:color w:val="0F0F0F"/>
          <w:sz w:val="24"/>
        </w:rPr>
      </w:pPr>
      <w:r>
        <w:rPr>
          <w:rFonts w:ascii="新宋体" w:hAnsi="宋体" w:eastAsia="新宋体"/>
          <w:color w:val="0F0F0F"/>
          <w:sz w:val="24"/>
        </w:rPr>
        <w:t>(5)公路工程专用合同条款；</w:t>
      </w:r>
    </w:p>
    <w:p w14:paraId="1978092F">
      <w:pPr>
        <w:spacing w:line="480" w:lineRule="exact"/>
        <w:ind w:firstLine="501" w:firstLineChars="209"/>
        <w:rPr>
          <w:rFonts w:ascii="新宋体" w:hAnsi="宋体" w:eastAsia="新宋体"/>
          <w:color w:val="0F0F0F"/>
          <w:sz w:val="24"/>
        </w:rPr>
      </w:pPr>
      <w:r>
        <w:rPr>
          <w:rFonts w:ascii="新宋体" w:hAnsi="宋体" w:eastAsia="新宋体"/>
          <w:color w:val="0F0F0F"/>
          <w:sz w:val="24"/>
        </w:rPr>
        <w:t>(6)通用合</w:t>
      </w:r>
      <w:r>
        <w:rPr>
          <w:rFonts w:hint="eastAsia" w:ascii="新宋体" w:hAnsi="宋体" w:eastAsia="新宋体"/>
          <w:color w:val="0F0F0F"/>
          <w:sz w:val="24"/>
        </w:rPr>
        <w:t>同</w:t>
      </w:r>
      <w:r>
        <w:rPr>
          <w:rFonts w:ascii="新宋体" w:hAnsi="宋体" w:eastAsia="新宋体"/>
          <w:color w:val="0F0F0F"/>
          <w:sz w:val="24"/>
        </w:rPr>
        <w:t>条款；</w:t>
      </w:r>
    </w:p>
    <w:p w14:paraId="26BAB70D">
      <w:pPr>
        <w:spacing w:line="480" w:lineRule="exact"/>
        <w:ind w:firstLine="501" w:firstLineChars="209"/>
        <w:rPr>
          <w:rFonts w:ascii="新宋体" w:hAnsi="宋体" w:eastAsia="新宋体"/>
          <w:color w:val="0F0F0F"/>
          <w:sz w:val="24"/>
        </w:rPr>
      </w:pPr>
      <w:r>
        <w:rPr>
          <w:rFonts w:ascii="新宋体" w:hAnsi="宋体" w:eastAsia="新宋体"/>
          <w:color w:val="0F0F0F"/>
          <w:sz w:val="24"/>
        </w:rPr>
        <w:t>(7)技术规范；</w:t>
      </w:r>
    </w:p>
    <w:p w14:paraId="2CD33114">
      <w:pPr>
        <w:spacing w:line="480" w:lineRule="exact"/>
        <w:ind w:firstLine="501" w:firstLineChars="209"/>
        <w:rPr>
          <w:rFonts w:ascii="新宋体" w:hAnsi="宋体" w:eastAsia="新宋体"/>
          <w:color w:val="0F0F0F"/>
          <w:sz w:val="24"/>
        </w:rPr>
      </w:pPr>
      <w:r>
        <w:rPr>
          <w:rFonts w:ascii="新宋体" w:hAnsi="宋体" w:eastAsia="新宋体"/>
          <w:color w:val="0F0F0F"/>
          <w:sz w:val="24"/>
        </w:rPr>
        <w:t>(8)图纸：</w:t>
      </w:r>
    </w:p>
    <w:p w14:paraId="25DE4DA8">
      <w:pPr>
        <w:spacing w:line="480" w:lineRule="exact"/>
        <w:ind w:firstLine="501" w:firstLineChars="209"/>
        <w:rPr>
          <w:rFonts w:ascii="新宋体" w:hAnsi="宋体" w:eastAsia="新宋体"/>
          <w:color w:val="0F0F0F"/>
          <w:sz w:val="24"/>
        </w:rPr>
      </w:pPr>
      <w:r>
        <w:rPr>
          <w:rFonts w:ascii="新宋体" w:hAnsi="宋体" w:eastAsia="新宋体"/>
          <w:color w:val="0F0F0F"/>
          <w:sz w:val="24"/>
        </w:rPr>
        <w:t>(9)已标价</w:t>
      </w:r>
      <w:r>
        <w:rPr>
          <w:rFonts w:hint="eastAsia" w:ascii="新宋体" w:hAnsi="宋体" w:eastAsia="新宋体"/>
          <w:color w:val="0F0F0F"/>
          <w:sz w:val="24"/>
        </w:rPr>
        <w:t>工</w:t>
      </w:r>
      <w:r>
        <w:rPr>
          <w:rFonts w:ascii="新宋体" w:hAnsi="宋体" w:eastAsia="新宋体"/>
          <w:color w:val="0F0F0F"/>
          <w:sz w:val="24"/>
        </w:rPr>
        <w:t>程量清单；</w:t>
      </w:r>
    </w:p>
    <w:p w14:paraId="4D50E968">
      <w:pPr>
        <w:spacing w:line="480" w:lineRule="exact"/>
        <w:ind w:firstLine="501" w:firstLineChars="209"/>
        <w:rPr>
          <w:rFonts w:ascii="新宋体" w:hAnsi="宋体" w:eastAsia="新宋体"/>
          <w:color w:val="0F0F0F"/>
          <w:sz w:val="24"/>
        </w:rPr>
      </w:pPr>
      <w:r>
        <w:rPr>
          <w:rFonts w:ascii="新宋体" w:hAnsi="宋体" w:eastAsia="新宋体"/>
          <w:color w:val="0F0F0F"/>
          <w:sz w:val="24"/>
        </w:rPr>
        <w:t>(10)承包人有关人员、设备投入的承诺及</w:t>
      </w:r>
      <w:r>
        <w:rPr>
          <w:rFonts w:hint="eastAsia" w:ascii="新宋体" w:hAnsi="宋体" w:eastAsia="新宋体"/>
          <w:color w:val="0F0F0F"/>
          <w:sz w:val="24"/>
        </w:rPr>
        <w:t>响应文件中</w:t>
      </w:r>
      <w:r>
        <w:rPr>
          <w:rFonts w:ascii="新宋体" w:hAnsi="宋体" w:eastAsia="新宋体"/>
          <w:color w:val="0F0F0F"/>
          <w:sz w:val="24"/>
        </w:rPr>
        <w:t>的施工组织设计；</w:t>
      </w:r>
    </w:p>
    <w:p w14:paraId="381E32D2">
      <w:pPr>
        <w:spacing w:line="480" w:lineRule="exact"/>
        <w:ind w:firstLine="501" w:firstLineChars="209"/>
        <w:rPr>
          <w:rFonts w:ascii="新宋体" w:hAnsi="宋体" w:eastAsia="新宋体"/>
          <w:color w:val="0F0F0F"/>
          <w:sz w:val="24"/>
        </w:rPr>
      </w:pPr>
      <w:r>
        <w:rPr>
          <w:rFonts w:ascii="新宋体" w:hAnsi="宋体" w:eastAsia="新宋体"/>
          <w:color w:val="0F0F0F"/>
          <w:sz w:val="24"/>
        </w:rPr>
        <w:t>(11)其他合同文件。</w:t>
      </w:r>
    </w:p>
    <w:p w14:paraId="6BEF26C1">
      <w:pPr>
        <w:spacing w:line="480" w:lineRule="exact"/>
        <w:ind w:firstLine="501" w:firstLineChars="209"/>
        <w:rPr>
          <w:rFonts w:ascii="新宋体" w:hAnsi="宋体" w:eastAsia="新宋体"/>
          <w:color w:val="0F0F0F"/>
          <w:sz w:val="24"/>
        </w:rPr>
      </w:pPr>
      <w:r>
        <w:rPr>
          <w:rFonts w:ascii="新宋体" w:hAnsi="宋体" w:eastAsia="新宋体"/>
          <w:color w:val="0F0F0F"/>
          <w:sz w:val="24"/>
        </w:rPr>
        <w:t>3</w:t>
      </w:r>
      <w:r>
        <w:rPr>
          <w:rFonts w:hint="eastAsia" w:ascii="新宋体" w:hAnsi="宋体" w:eastAsia="新宋体"/>
          <w:color w:val="0F0F0F"/>
          <w:sz w:val="24"/>
        </w:rPr>
        <w:t>.</w:t>
      </w:r>
      <w:r>
        <w:rPr>
          <w:rFonts w:ascii="新宋体" w:hAnsi="宋体" w:eastAsia="新宋体"/>
          <w:color w:val="0F0F0F"/>
          <w:sz w:val="24"/>
        </w:rPr>
        <w:t>上述文件互相补充和解释，如有不明确或不一致之处，以合</w:t>
      </w:r>
      <w:r>
        <w:rPr>
          <w:rFonts w:hint="eastAsia" w:ascii="新宋体" w:hAnsi="宋体" w:eastAsia="新宋体"/>
          <w:color w:val="0F0F0F"/>
          <w:sz w:val="24"/>
        </w:rPr>
        <w:t>同</w:t>
      </w:r>
      <w:r>
        <w:rPr>
          <w:rFonts w:ascii="新宋体" w:hAnsi="宋体" w:eastAsia="新宋体"/>
          <w:color w:val="0F0F0F"/>
          <w:sz w:val="24"/>
        </w:rPr>
        <w:t>约定次序在先者</w:t>
      </w:r>
      <w:r>
        <w:rPr>
          <w:rFonts w:hint="eastAsia" w:ascii="新宋体" w:hAnsi="宋体" w:eastAsia="新宋体"/>
          <w:color w:val="0F0F0F"/>
          <w:sz w:val="24"/>
        </w:rPr>
        <w:t>为准。</w:t>
      </w:r>
    </w:p>
    <w:p w14:paraId="19DA323D">
      <w:pPr>
        <w:spacing w:line="480" w:lineRule="exact"/>
        <w:ind w:firstLine="501" w:firstLineChars="209"/>
        <w:rPr>
          <w:rFonts w:ascii="新宋体" w:hAnsi="宋体" w:eastAsia="新宋体"/>
          <w:color w:val="0F0F0F"/>
          <w:sz w:val="24"/>
        </w:rPr>
      </w:pPr>
      <w:r>
        <w:rPr>
          <w:rFonts w:ascii="新宋体" w:hAnsi="宋体" w:eastAsia="新宋体"/>
          <w:color w:val="0F0F0F"/>
          <w:sz w:val="24"/>
        </w:rPr>
        <w:t>4</w:t>
      </w:r>
      <w:r>
        <w:rPr>
          <w:rFonts w:hint="eastAsia" w:ascii="新宋体" w:hAnsi="宋体" w:eastAsia="新宋体"/>
          <w:color w:val="0F0F0F"/>
          <w:sz w:val="24"/>
        </w:rPr>
        <w:t>.</w:t>
      </w:r>
      <w:r>
        <w:rPr>
          <w:rFonts w:ascii="新宋体" w:hAnsi="宋体" w:eastAsia="新宋体"/>
          <w:color w:val="0F0F0F"/>
          <w:sz w:val="24"/>
        </w:rPr>
        <w:t>根据</w:t>
      </w:r>
      <w:r>
        <w:rPr>
          <w:rFonts w:hint="eastAsia" w:ascii="新宋体" w:hAnsi="宋体" w:eastAsia="新宋体"/>
          <w:color w:val="0F0F0F"/>
          <w:sz w:val="24"/>
        </w:rPr>
        <w:t>工</w:t>
      </w:r>
      <w:r>
        <w:rPr>
          <w:rFonts w:ascii="新宋体" w:hAnsi="宋体" w:eastAsia="新宋体"/>
          <w:color w:val="0F0F0F"/>
          <w:sz w:val="24"/>
        </w:rPr>
        <w:t>程量清单所列的预计数量和单价或总额价计算的签约合同价</w:t>
      </w:r>
      <w:r>
        <w:rPr>
          <w:rFonts w:hint="eastAsia" w:ascii="新宋体" w:hAnsi="宋体" w:eastAsia="新宋体"/>
          <w:color w:val="0F0F0F"/>
          <w:sz w:val="24"/>
        </w:rPr>
        <w:t>：人民币</w:t>
      </w:r>
      <w:r>
        <w:rPr>
          <w:rFonts w:ascii="新宋体" w:hAnsi="宋体" w:eastAsia="新宋体"/>
          <w:color w:val="0F0F0F"/>
          <w:sz w:val="24"/>
        </w:rPr>
        <w:t>(大</w:t>
      </w:r>
      <w:r>
        <w:rPr>
          <w:rFonts w:hint="eastAsia" w:ascii="新宋体" w:hAnsi="宋体" w:eastAsia="新宋体"/>
          <w:color w:val="0F0F0F"/>
          <w:sz w:val="24"/>
        </w:rPr>
        <w:t>写</w:t>
      </w:r>
      <w:r>
        <w:rPr>
          <w:rFonts w:ascii="新宋体" w:hAnsi="宋体" w:eastAsia="新宋体"/>
          <w:color w:val="0F0F0F"/>
          <w:sz w:val="24"/>
        </w:rPr>
        <w:t>)元(￥)</w:t>
      </w:r>
      <w:r>
        <w:rPr>
          <w:rFonts w:hint="eastAsia" w:ascii="新宋体" w:hAnsi="宋体" w:eastAsia="新宋体"/>
          <w:color w:val="0F0F0F"/>
          <w:sz w:val="24"/>
        </w:rPr>
        <w:t>。</w:t>
      </w:r>
    </w:p>
    <w:p w14:paraId="7FFC5F0B">
      <w:pPr>
        <w:spacing w:line="480" w:lineRule="exact"/>
        <w:ind w:firstLine="501" w:firstLineChars="209"/>
        <w:rPr>
          <w:rFonts w:ascii="新宋体" w:hAnsi="宋体" w:eastAsia="新宋体"/>
          <w:color w:val="0F0F0F"/>
          <w:sz w:val="24"/>
        </w:rPr>
      </w:pPr>
      <w:r>
        <w:rPr>
          <w:rFonts w:ascii="新宋体" w:hAnsi="宋体" w:eastAsia="新宋体"/>
          <w:color w:val="0F0F0F"/>
          <w:sz w:val="24"/>
        </w:rPr>
        <w:t>5</w:t>
      </w:r>
      <w:r>
        <w:rPr>
          <w:rFonts w:hint="eastAsia" w:ascii="新宋体" w:hAnsi="宋体" w:eastAsia="新宋体"/>
          <w:color w:val="0F0F0F"/>
          <w:sz w:val="24"/>
        </w:rPr>
        <w:t>.</w:t>
      </w:r>
      <w:r>
        <w:rPr>
          <w:rFonts w:ascii="新宋体" w:hAnsi="宋体" w:eastAsia="新宋体"/>
          <w:color w:val="0F0F0F"/>
          <w:sz w:val="24"/>
        </w:rPr>
        <w:t>承包人项</w:t>
      </w:r>
      <w:r>
        <w:rPr>
          <w:rFonts w:hint="eastAsia" w:ascii="新宋体" w:hAnsi="宋体" w:eastAsia="新宋体"/>
          <w:color w:val="0F0F0F"/>
          <w:sz w:val="24"/>
        </w:rPr>
        <w:t>目</w:t>
      </w:r>
      <w:r>
        <w:rPr>
          <w:rFonts w:ascii="新宋体" w:hAnsi="宋体" w:eastAsia="新宋体"/>
          <w:color w:val="0F0F0F"/>
          <w:sz w:val="24"/>
        </w:rPr>
        <w:t>经理：。承包人项目总工：。</w:t>
      </w:r>
    </w:p>
    <w:p w14:paraId="10A9E144">
      <w:pPr>
        <w:spacing w:line="480" w:lineRule="exact"/>
        <w:ind w:firstLine="501" w:firstLineChars="209"/>
        <w:rPr>
          <w:rFonts w:ascii="新宋体" w:hAnsi="宋体" w:eastAsia="新宋体"/>
          <w:color w:val="0F0F0F"/>
          <w:sz w:val="24"/>
        </w:rPr>
      </w:pPr>
      <w:r>
        <w:rPr>
          <w:rFonts w:ascii="新宋体" w:hAnsi="宋体" w:eastAsia="新宋体"/>
          <w:color w:val="0F0F0F"/>
          <w:sz w:val="24"/>
        </w:rPr>
        <w:t>6</w:t>
      </w:r>
      <w:r>
        <w:rPr>
          <w:rFonts w:hint="eastAsia" w:ascii="新宋体" w:hAnsi="宋体" w:eastAsia="新宋体"/>
          <w:color w:val="0F0F0F"/>
          <w:sz w:val="24"/>
        </w:rPr>
        <w:t>.</w:t>
      </w:r>
      <w:r>
        <w:rPr>
          <w:rFonts w:ascii="新宋体" w:hAnsi="宋体" w:eastAsia="新宋体"/>
          <w:color w:val="0F0F0F"/>
          <w:sz w:val="24"/>
        </w:rPr>
        <w:t>工程质量符合标准。</w:t>
      </w:r>
    </w:p>
    <w:p w14:paraId="4005BD7E">
      <w:pPr>
        <w:spacing w:line="480" w:lineRule="exact"/>
        <w:ind w:firstLine="501" w:firstLineChars="209"/>
        <w:rPr>
          <w:rFonts w:ascii="新宋体" w:hAnsi="宋体" w:eastAsia="新宋体"/>
          <w:color w:val="0F0F0F"/>
          <w:sz w:val="24"/>
        </w:rPr>
      </w:pPr>
      <w:r>
        <w:rPr>
          <w:rFonts w:ascii="新宋体" w:hAnsi="宋体" w:eastAsia="新宋体"/>
          <w:color w:val="0F0F0F"/>
          <w:sz w:val="24"/>
        </w:rPr>
        <w:t>7</w:t>
      </w:r>
      <w:r>
        <w:rPr>
          <w:rFonts w:hint="eastAsia" w:ascii="新宋体" w:hAnsi="宋体" w:eastAsia="新宋体"/>
          <w:color w:val="0F0F0F"/>
          <w:sz w:val="24"/>
        </w:rPr>
        <w:t>.</w:t>
      </w:r>
      <w:r>
        <w:rPr>
          <w:rFonts w:ascii="新宋体" w:hAnsi="宋体" w:eastAsia="新宋体"/>
          <w:color w:val="0F0F0F"/>
          <w:sz w:val="24"/>
        </w:rPr>
        <w:t>承包入承诺按合同约定承担工程的实施、完成及缺陷修复。</w:t>
      </w:r>
    </w:p>
    <w:p w14:paraId="6D673140">
      <w:pPr>
        <w:spacing w:line="480" w:lineRule="exact"/>
        <w:ind w:firstLine="501" w:firstLineChars="209"/>
        <w:rPr>
          <w:rFonts w:ascii="新宋体" w:hAnsi="宋体" w:eastAsia="新宋体"/>
          <w:color w:val="0F0F0F"/>
          <w:sz w:val="24"/>
        </w:rPr>
      </w:pPr>
      <w:r>
        <w:rPr>
          <w:rFonts w:ascii="新宋体" w:hAnsi="宋体" w:eastAsia="新宋体"/>
          <w:color w:val="0F0F0F"/>
          <w:sz w:val="24"/>
        </w:rPr>
        <w:t>8</w:t>
      </w:r>
      <w:r>
        <w:rPr>
          <w:rFonts w:hint="eastAsia" w:ascii="新宋体" w:hAnsi="宋体" w:eastAsia="新宋体"/>
          <w:color w:val="0F0F0F"/>
          <w:sz w:val="24"/>
        </w:rPr>
        <w:t>.</w:t>
      </w:r>
      <w:r>
        <w:rPr>
          <w:rFonts w:ascii="新宋体" w:hAnsi="宋体" w:eastAsia="新宋体"/>
          <w:color w:val="0F0F0F"/>
          <w:sz w:val="24"/>
        </w:rPr>
        <w:t>发包人承诺按合同约定的条件、时间和方式嗣承包人支付合同价款。</w:t>
      </w:r>
    </w:p>
    <w:p w14:paraId="30535953">
      <w:pPr>
        <w:spacing w:line="480" w:lineRule="exact"/>
        <w:ind w:firstLine="501" w:firstLineChars="209"/>
        <w:rPr>
          <w:rFonts w:ascii="新宋体" w:hAnsi="宋体" w:eastAsia="新宋体"/>
          <w:color w:val="0F0F0F"/>
          <w:sz w:val="24"/>
        </w:rPr>
      </w:pPr>
      <w:r>
        <w:rPr>
          <w:rFonts w:ascii="新宋体" w:hAnsi="宋体" w:eastAsia="新宋体"/>
          <w:color w:val="0F0F0F"/>
          <w:sz w:val="24"/>
        </w:rPr>
        <w:t>9</w:t>
      </w:r>
      <w:r>
        <w:rPr>
          <w:rFonts w:hint="eastAsia" w:ascii="新宋体" w:hAnsi="宋体" w:eastAsia="新宋体"/>
          <w:color w:val="0F0F0F"/>
          <w:sz w:val="24"/>
        </w:rPr>
        <w:t>.</w:t>
      </w:r>
      <w:r>
        <w:rPr>
          <w:rFonts w:ascii="新宋体" w:hAnsi="宋体" w:eastAsia="新宋体"/>
          <w:color w:val="0F0F0F"/>
          <w:sz w:val="24"/>
        </w:rPr>
        <w:t>承包人应按照监理人指示开</w:t>
      </w:r>
      <w:r>
        <w:rPr>
          <w:rFonts w:hint="eastAsia" w:ascii="新宋体" w:hAnsi="宋体" w:eastAsia="新宋体"/>
          <w:color w:val="0F0F0F"/>
          <w:sz w:val="24"/>
        </w:rPr>
        <w:t>工</w:t>
      </w:r>
      <w:r>
        <w:rPr>
          <w:rFonts w:ascii="新宋体" w:hAnsi="宋体" w:eastAsia="新宋体"/>
          <w:color w:val="0F0F0F"/>
          <w:sz w:val="24"/>
        </w:rPr>
        <w:t>：，工期为</w:t>
      </w:r>
      <w:r>
        <w:rPr>
          <w:rFonts w:hint="eastAsia" w:ascii="新宋体" w:hAnsi="宋体" w:eastAsia="新宋体"/>
          <w:color w:val="0F0F0F"/>
          <w:sz w:val="24"/>
        </w:rPr>
        <w:t>日</w:t>
      </w:r>
      <w:r>
        <w:rPr>
          <w:rFonts w:ascii="新宋体" w:hAnsi="宋体" w:eastAsia="新宋体"/>
          <w:color w:val="0F0F0F"/>
          <w:sz w:val="24"/>
        </w:rPr>
        <w:t>历天。</w:t>
      </w:r>
    </w:p>
    <w:p w14:paraId="08EC8140">
      <w:pPr>
        <w:spacing w:line="480" w:lineRule="exact"/>
        <w:ind w:firstLine="501" w:firstLineChars="209"/>
        <w:rPr>
          <w:rFonts w:ascii="新宋体" w:hAnsi="宋体" w:eastAsia="新宋体"/>
          <w:color w:val="0F0F0F"/>
          <w:sz w:val="24"/>
        </w:rPr>
      </w:pPr>
      <w:r>
        <w:rPr>
          <w:rFonts w:ascii="新宋体" w:hAnsi="宋体" w:eastAsia="新宋体"/>
          <w:color w:val="0F0F0F"/>
          <w:sz w:val="24"/>
        </w:rPr>
        <w:t>10</w:t>
      </w:r>
      <w:r>
        <w:rPr>
          <w:rFonts w:hint="eastAsia" w:ascii="新宋体" w:hAnsi="宋体" w:eastAsia="新宋体"/>
          <w:color w:val="0F0F0F"/>
          <w:sz w:val="24"/>
        </w:rPr>
        <w:t>.</w:t>
      </w:r>
      <w:r>
        <w:rPr>
          <w:rFonts w:ascii="新宋体" w:hAnsi="宋体" w:eastAsia="新宋体"/>
          <w:color w:val="0F0F0F"/>
          <w:sz w:val="24"/>
        </w:rPr>
        <w:t>本协议书在承包人提供</w:t>
      </w:r>
      <w:r>
        <w:rPr>
          <w:rFonts w:hint="eastAsia" w:ascii="新宋体" w:hAnsi="宋体" w:eastAsia="新宋体"/>
          <w:color w:val="0F0F0F"/>
          <w:sz w:val="24"/>
        </w:rPr>
        <w:t>履</w:t>
      </w:r>
      <w:r>
        <w:rPr>
          <w:rFonts w:ascii="新宋体" w:hAnsi="宋体" w:eastAsia="新宋体"/>
          <w:color w:val="0F0F0F"/>
          <w:sz w:val="24"/>
        </w:rPr>
        <w:t>约</w:t>
      </w:r>
      <w:r>
        <w:rPr>
          <w:rFonts w:hint="eastAsia" w:ascii="新宋体" w:hAnsi="宋体" w:eastAsia="新宋体"/>
          <w:color w:val="0F0F0F"/>
          <w:sz w:val="24"/>
        </w:rPr>
        <w:t>担</w:t>
      </w:r>
      <w:r>
        <w:rPr>
          <w:rFonts w:ascii="新宋体" w:hAnsi="宋体" w:eastAsia="新宋体"/>
          <w:color w:val="0F0F0F"/>
          <w:sz w:val="24"/>
        </w:rPr>
        <w:t>保后，</w:t>
      </w:r>
      <w:r>
        <w:rPr>
          <w:rFonts w:hint="eastAsia" w:ascii="新宋体" w:hAnsi="宋体" w:eastAsia="新宋体"/>
          <w:color w:val="0F0F0F"/>
          <w:sz w:val="24"/>
        </w:rPr>
        <w:t>由</w:t>
      </w:r>
      <w:r>
        <w:rPr>
          <w:rFonts w:ascii="新宋体" w:hAnsi="宋体" w:eastAsia="新宋体"/>
          <w:color w:val="0F0F0F"/>
          <w:sz w:val="24"/>
        </w:rPr>
        <w:t>双方法定代表人或其委托代理人签署并</w:t>
      </w:r>
      <w:r>
        <w:rPr>
          <w:rFonts w:hint="eastAsia" w:ascii="新宋体" w:hAnsi="宋体" w:eastAsia="新宋体"/>
          <w:color w:val="0F0F0F"/>
          <w:sz w:val="24"/>
        </w:rPr>
        <w:t>加盖单位章后生效。全部工程完工后经交工</w:t>
      </w:r>
      <w:r>
        <w:rPr>
          <w:rFonts w:ascii="新宋体" w:hAnsi="宋体" w:eastAsia="新宋体"/>
          <w:color w:val="0F0F0F"/>
          <w:sz w:val="24"/>
        </w:rPr>
        <w:t>验收合格、缺陷责任期满</w:t>
      </w:r>
      <w:r>
        <w:rPr>
          <w:rFonts w:hint="eastAsia" w:ascii="新宋体" w:hAnsi="宋体" w:eastAsia="新宋体"/>
          <w:color w:val="0F0F0F"/>
          <w:sz w:val="24"/>
        </w:rPr>
        <w:t>签</w:t>
      </w:r>
      <w:r>
        <w:rPr>
          <w:rFonts w:ascii="新宋体" w:hAnsi="宋体" w:eastAsia="新宋体"/>
          <w:color w:val="0F0F0F"/>
          <w:sz w:val="24"/>
        </w:rPr>
        <w:t>发缺陷责</w:t>
      </w:r>
      <w:r>
        <w:rPr>
          <w:rFonts w:hint="eastAsia" w:ascii="新宋体" w:hAnsi="宋体" w:eastAsia="新宋体"/>
          <w:color w:val="0F0F0F"/>
          <w:sz w:val="24"/>
        </w:rPr>
        <w:t>任终止证书后失效。</w:t>
      </w:r>
    </w:p>
    <w:p w14:paraId="240C3120">
      <w:pPr>
        <w:spacing w:line="480" w:lineRule="exact"/>
        <w:ind w:firstLine="501" w:firstLineChars="209"/>
        <w:rPr>
          <w:rFonts w:ascii="新宋体" w:hAnsi="宋体" w:eastAsia="新宋体"/>
          <w:color w:val="0F0F0F"/>
          <w:sz w:val="24"/>
        </w:rPr>
      </w:pPr>
      <w:r>
        <w:rPr>
          <w:rFonts w:ascii="新宋体" w:hAnsi="宋体" w:eastAsia="新宋体"/>
          <w:color w:val="0F0F0F"/>
          <w:sz w:val="24"/>
        </w:rPr>
        <w:t>l1</w:t>
      </w:r>
      <w:r>
        <w:rPr>
          <w:rFonts w:hint="eastAsia" w:ascii="新宋体" w:hAnsi="宋体" w:eastAsia="新宋体"/>
          <w:color w:val="0F0F0F"/>
          <w:sz w:val="24"/>
        </w:rPr>
        <w:t>.</w:t>
      </w:r>
      <w:r>
        <w:rPr>
          <w:rFonts w:ascii="新宋体" w:hAnsi="宋体" w:eastAsia="新宋体"/>
          <w:color w:val="0F0F0F"/>
          <w:sz w:val="24"/>
        </w:rPr>
        <w:t>本协议书正本二份、副本份，合同双方</w:t>
      </w:r>
      <w:r>
        <w:rPr>
          <w:rFonts w:hint="eastAsia" w:ascii="新宋体" w:hAnsi="宋体" w:eastAsia="新宋体"/>
          <w:color w:val="0F0F0F"/>
          <w:sz w:val="24"/>
        </w:rPr>
        <w:t>各</w:t>
      </w:r>
      <w:r>
        <w:rPr>
          <w:rFonts w:ascii="新宋体" w:hAnsi="宋体" w:eastAsia="新宋体"/>
          <w:color w:val="0F0F0F"/>
          <w:sz w:val="24"/>
        </w:rPr>
        <w:t>执正本一份，</w:t>
      </w:r>
      <w:r>
        <w:rPr>
          <w:rFonts w:hint="eastAsia" w:ascii="新宋体" w:hAnsi="宋体" w:eastAsia="新宋体"/>
          <w:color w:val="0F0F0F"/>
          <w:sz w:val="24"/>
        </w:rPr>
        <w:t>副</w:t>
      </w:r>
      <w:r>
        <w:rPr>
          <w:rFonts w:ascii="新宋体" w:hAnsi="宋体" w:eastAsia="新宋体"/>
          <w:color w:val="0F0F0F"/>
          <w:sz w:val="24"/>
        </w:rPr>
        <w:t>本份，当正本</w:t>
      </w:r>
      <w:r>
        <w:rPr>
          <w:rFonts w:hint="eastAsia" w:ascii="新宋体" w:hAnsi="宋体" w:eastAsia="新宋体"/>
          <w:color w:val="0F0F0F"/>
          <w:sz w:val="24"/>
        </w:rPr>
        <w:t>与副本的内容不一致时，以正本为准。</w:t>
      </w:r>
    </w:p>
    <w:p w14:paraId="3395BA40">
      <w:pPr>
        <w:spacing w:line="480" w:lineRule="exact"/>
        <w:ind w:firstLine="501" w:firstLineChars="209"/>
        <w:rPr>
          <w:rFonts w:ascii="新宋体" w:hAnsi="宋体" w:eastAsia="新宋体"/>
          <w:color w:val="0F0F0F"/>
          <w:sz w:val="24"/>
        </w:rPr>
      </w:pPr>
      <w:r>
        <w:rPr>
          <w:rFonts w:ascii="新宋体" w:hAnsi="宋体" w:eastAsia="新宋体"/>
          <w:color w:val="0F0F0F"/>
          <w:sz w:val="24"/>
        </w:rPr>
        <w:t>12</w:t>
      </w:r>
      <w:r>
        <w:rPr>
          <w:rFonts w:hint="eastAsia" w:ascii="新宋体" w:hAnsi="宋体" w:eastAsia="新宋体"/>
          <w:color w:val="0F0F0F"/>
          <w:sz w:val="24"/>
        </w:rPr>
        <w:t>.</w:t>
      </w:r>
      <w:r>
        <w:rPr>
          <w:rFonts w:ascii="新宋体" w:hAnsi="宋体" w:eastAsia="新宋体"/>
          <w:color w:val="0F0F0F"/>
          <w:sz w:val="24"/>
        </w:rPr>
        <w:t>合同未尽事宜，双方另行</w:t>
      </w:r>
      <w:r>
        <w:rPr>
          <w:rFonts w:hint="eastAsia" w:ascii="新宋体" w:hAnsi="宋体" w:eastAsia="新宋体"/>
          <w:color w:val="0F0F0F"/>
          <w:sz w:val="24"/>
        </w:rPr>
        <w:t>签</w:t>
      </w:r>
      <w:r>
        <w:rPr>
          <w:rFonts w:ascii="新宋体" w:hAnsi="宋体" w:eastAsia="新宋体"/>
          <w:color w:val="0F0F0F"/>
          <w:sz w:val="24"/>
        </w:rPr>
        <w:t>订补充协议。</w:t>
      </w:r>
      <w:r>
        <w:rPr>
          <w:rFonts w:hint="eastAsia" w:ascii="新宋体" w:hAnsi="宋体" w:eastAsia="新宋体"/>
          <w:color w:val="0F0F0F"/>
          <w:sz w:val="24"/>
        </w:rPr>
        <w:t>补</w:t>
      </w:r>
      <w:r>
        <w:rPr>
          <w:rFonts w:ascii="新宋体" w:hAnsi="宋体" w:eastAsia="新宋体"/>
          <w:color w:val="0F0F0F"/>
          <w:sz w:val="24"/>
        </w:rPr>
        <w:t>充协议是合同的</w:t>
      </w:r>
      <w:r>
        <w:rPr>
          <w:rFonts w:hint="eastAsia" w:ascii="新宋体" w:hAnsi="宋体" w:eastAsia="新宋体"/>
          <w:color w:val="0F0F0F"/>
          <w:sz w:val="24"/>
        </w:rPr>
        <w:t>组</w:t>
      </w:r>
      <w:r>
        <w:rPr>
          <w:rFonts w:ascii="新宋体" w:hAnsi="宋体" w:eastAsia="新宋体"/>
          <w:color w:val="0F0F0F"/>
          <w:sz w:val="24"/>
        </w:rPr>
        <w:t>成部分。</w:t>
      </w:r>
    </w:p>
    <w:p w14:paraId="606BB490">
      <w:pPr>
        <w:spacing w:line="480" w:lineRule="exact"/>
        <w:rPr>
          <w:rFonts w:ascii="新宋体" w:hAnsi="宋体" w:eastAsia="新宋体"/>
          <w:color w:val="0F0F0F"/>
          <w:sz w:val="24"/>
        </w:rPr>
      </w:pPr>
    </w:p>
    <w:p w14:paraId="749C41E0">
      <w:pPr>
        <w:spacing w:line="480" w:lineRule="exact"/>
        <w:rPr>
          <w:rFonts w:ascii="新宋体" w:hAnsi="宋体" w:eastAsia="新宋体"/>
          <w:color w:val="0F0F0F"/>
          <w:sz w:val="24"/>
        </w:rPr>
      </w:pPr>
      <w:r>
        <w:rPr>
          <w:rFonts w:hint="eastAsia" w:ascii="新宋体" w:hAnsi="宋体" w:eastAsia="新宋体"/>
          <w:color w:val="0F0F0F"/>
          <w:sz w:val="24"/>
        </w:rPr>
        <w:t>发包人：</w:t>
      </w:r>
      <w:r>
        <w:rPr>
          <w:rFonts w:ascii="新宋体" w:hAnsi="宋体" w:eastAsia="新宋体"/>
          <w:color w:val="0F0F0F"/>
          <w:sz w:val="24"/>
        </w:rPr>
        <w:t>(</w:t>
      </w:r>
      <w:r>
        <w:rPr>
          <w:rFonts w:hint="eastAsia" w:ascii="新宋体" w:hAnsi="宋体" w:eastAsia="新宋体"/>
          <w:color w:val="0F0F0F"/>
          <w:sz w:val="24"/>
        </w:rPr>
        <w:t>盖单位章)            承</w:t>
      </w:r>
      <w:r>
        <w:rPr>
          <w:rFonts w:ascii="新宋体" w:hAnsi="宋体" w:eastAsia="新宋体"/>
          <w:color w:val="0F0F0F"/>
          <w:sz w:val="24"/>
        </w:rPr>
        <w:t>包人：(</w:t>
      </w:r>
      <w:r>
        <w:rPr>
          <w:rFonts w:hint="eastAsia" w:ascii="新宋体" w:hAnsi="宋体" w:eastAsia="新宋体"/>
          <w:color w:val="0F0F0F"/>
          <w:sz w:val="24"/>
        </w:rPr>
        <w:t>盖单位章)</w:t>
      </w:r>
    </w:p>
    <w:p w14:paraId="35D9EAE6">
      <w:pPr>
        <w:spacing w:line="480" w:lineRule="exact"/>
        <w:rPr>
          <w:rFonts w:ascii="新宋体" w:hAnsi="宋体" w:eastAsia="新宋体"/>
          <w:color w:val="0F0F0F"/>
          <w:sz w:val="24"/>
        </w:rPr>
      </w:pPr>
    </w:p>
    <w:p w14:paraId="09DF59F5">
      <w:pPr>
        <w:spacing w:line="480" w:lineRule="exact"/>
        <w:rPr>
          <w:rFonts w:ascii="新宋体" w:hAnsi="宋体" w:eastAsia="新宋体"/>
          <w:color w:val="0F0F0F"/>
          <w:sz w:val="24"/>
        </w:rPr>
      </w:pPr>
      <w:r>
        <w:rPr>
          <w:rFonts w:hint="eastAsia" w:ascii="新宋体" w:hAnsi="宋体" w:eastAsia="新宋体"/>
          <w:color w:val="0F0F0F"/>
          <w:sz w:val="24"/>
        </w:rPr>
        <w:t>法定代表人或其委托代理人</w:t>
      </w:r>
      <w:r>
        <w:rPr>
          <w:rFonts w:ascii="新宋体" w:hAnsi="宋体" w:eastAsia="新宋体"/>
          <w:color w:val="0F0F0F"/>
          <w:sz w:val="24"/>
        </w:rPr>
        <w:t>： (</w:t>
      </w:r>
      <w:r>
        <w:rPr>
          <w:rFonts w:hint="eastAsia" w:ascii="新宋体" w:hAnsi="宋体" w:eastAsia="新宋体"/>
          <w:color w:val="0F0F0F"/>
          <w:sz w:val="24"/>
        </w:rPr>
        <w:t>签</w:t>
      </w:r>
      <w:r>
        <w:rPr>
          <w:rFonts w:ascii="新宋体" w:hAnsi="宋体" w:eastAsia="新宋体"/>
          <w:color w:val="0F0F0F"/>
          <w:sz w:val="24"/>
        </w:rPr>
        <w:t xml:space="preserve">字)  </w:t>
      </w:r>
      <w:r>
        <w:rPr>
          <w:rFonts w:hint="eastAsia" w:ascii="新宋体" w:hAnsi="宋体" w:eastAsia="新宋体"/>
          <w:color w:val="0F0F0F"/>
          <w:sz w:val="24"/>
        </w:rPr>
        <w:t>法定代表人或其委托代理人</w:t>
      </w:r>
      <w:r>
        <w:rPr>
          <w:rFonts w:ascii="新宋体" w:hAnsi="宋体" w:eastAsia="新宋体"/>
          <w:color w:val="0F0F0F"/>
          <w:sz w:val="24"/>
        </w:rPr>
        <w:t>： (</w:t>
      </w:r>
      <w:r>
        <w:rPr>
          <w:rFonts w:hint="eastAsia" w:ascii="新宋体" w:hAnsi="宋体" w:eastAsia="新宋体"/>
          <w:color w:val="0F0F0F"/>
          <w:sz w:val="24"/>
        </w:rPr>
        <w:t>签</w:t>
      </w:r>
      <w:r>
        <w:rPr>
          <w:rFonts w:ascii="新宋体" w:hAnsi="宋体" w:eastAsia="新宋体"/>
          <w:color w:val="0F0F0F"/>
          <w:sz w:val="24"/>
        </w:rPr>
        <w:t>字)</w:t>
      </w:r>
    </w:p>
    <w:p w14:paraId="10E5AA04">
      <w:pPr>
        <w:spacing w:line="480" w:lineRule="exact"/>
        <w:ind w:firstLine="523" w:firstLineChars="218"/>
        <w:rPr>
          <w:rFonts w:ascii="新宋体" w:hAnsi="宋体" w:eastAsia="新宋体"/>
          <w:color w:val="0F0F0F"/>
          <w:sz w:val="24"/>
        </w:rPr>
      </w:pPr>
      <w:r>
        <w:rPr>
          <w:rFonts w:ascii="新宋体" w:hAnsi="宋体" w:eastAsia="新宋体"/>
          <w:color w:val="0F0F0F"/>
          <w:sz w:val="24"/>
        </w:rPr>
        <w:t>年月日  年月日</w:t>
      </w:r>
    </w:p>
    <w:p w14:paraId="105FC60E">
      <w:pPr>
        <w:rPr>
          <w:rFonts w:ascii="新宋体" w:hAnsi="宋体" w:eastAsia="新宋体"/>
          <w:b/>
          <w:color w:val="0F0F0F"/>
          <w:sz w:val="25"/>
          <w:szCs w:val="32"/>
        </w:rPr>
      </w:pPr>
    </w:p>
    <w:p w14:paraId="03D297B5">
      <w:pPr>
        <w:rPr>
          <w:rFonts w:ascii="新宋体" w:eastAsia="新宋体"/>
          <w:color w:val="0F0F0F"/>
          <w:sz w:val="24"/>
        </w:rPr>
      </w:pPr>
      <w:r>
        <w:rPr>
          <w:rFonts w:ascii="新宋体" w:eastAsia="新宋体"/>
          <w:color w:val="0F0F0F"/>
          <w:sz w:val="24"/>
        </w:rPr>
        <w:br w:type="page"/>
      </w:r>
      <w:r>
        <w:rPr>
          <w:rFonts w:hint="eastAsia" w:ascii="新宋体" w:eastAsia="新宋体"/>
          <w:color w:val="0F0F0F"/>
          <w:sz w:val="24"/>
        </w:rPr>
        <w:t>附件二 廉政合同</w:t>
      </w:r>
    </w:p>
    <w:p w14:paraId="167D99EB">
      <w:pPr>
        <w:jc w:val="center"/>
        <w:rPr>
          <w:rFonts w:ascii="新宋体" w:eastAsia="新宋体"/>
          <w:b/>
          <w:color w:val="0F0F0F"/>
          <w:sz w:val="32"/>
          <w:szCs w:val="32"/>
        </w:rPr>
      </w:pPr>
      <w:r>
        <w:rPr>
          <w:rFonts w:hint="eastAsia" w:ascii="新宋体" w:eastAsia="新宋体"/>
          <w:b/>
          <w:color w:val="0F0F0F"/>
          <w:sz w:val="32"/>
          <w:szCs w:val="32"/>
        </w:rPr>
        <w:t>廉政合同</w:t>
      </w:r>
    </w:p>
    <w:p w14:paraId="4B6FAFA4">
      <w:pPr>
        <w:spacing w:line="400" w:lineRule="exact"/>
        <w:ind w:firstLine="523" w:firstLineChars="218"/>
        <w:rPr>
          <w:rFonts w:ascii="新宋体" w:hAnsi="宋体" w:eastAsia="新宋体"/>
          <w:color w:val="0F0F0F"/>
          <w:sz w:val="24"/>
        </w:rPr>
      </w:pPr>
      <w:r>
        <w:rPr>
          <w:rFonts w:ascii="新宋体" w:hAnsi="宋体" w:eastAsia="新宋体"/>
          <w:color w:val="0F0F0F"/>
          <w:sz w:val="24"/>
        </w:rPr>
        <w:t>根据《关予在交通基础设施建设中加强廉政建设的若干意见》以及有关工程建设、</w:t>
      </w:r>
      <w:r>
        <w:rPr>
          <w:rFonts w:hint="eastAsia" w:ascii="新宋体" w:hAnsi="宋体" w:eastAsia="新宋体"/>
          <w:color w:val="0F0F0F"/>
          <w:sz w:val="24"/>
        </w:rPr>
        <w:t>廉政建设的规定，为做好工程建设中的党风廉政建设，保证工程建设高效优质，保证建设资金的安全和有效使用以及投资效益，(</w:t>
      </w:r>
      <w:r>
        <w:rPr>
          <w:rFonts w:ascii="新宋体" w:hAnsi="宋体" w:eastAsia="新宋体"/>
          <w:color w:val="0F0F0F"/>
          <w:sz w:val="24"/>
        </w:rPr>
        <w:t>项目名称)的项目法人(项目法人名称，以下简称“发包人”)与该项目标段的施工单位(</w:t>
      </w:r>
      <w:r>
        <w:rPr>
          <w:rFonts w:hint="eastAsia" w:ascii="新宋体" w:hAnsi="宋体" w:eastAsia="新宋体"/>
          <w:color w:val="0F0F0F"/>
          <w:sz w:val="24"/>
        </w:rPr>
        <w:t>施工</w:t>
      </w:r>
      <w:r>
        <w:rPr>
          <w:rFonts w:ascii="新宋体" w:hAnsi="宋体" w:eastAsia="新宋体"/>
          <w:color w:val="0F0F0F"/>
          <w:sz w:val="24"/>
        </w:rPr>
        <w:t>单位名称，以下简称“承包人”)，特订</w:t>
      </w:r>
      <w:r>
        <w:rPr>
          <w:rFonts w:hint="eastAsia" w:ascii="新宋体" w:hAnsi="宋体" w:eastAsia="新宋体"/>
          <w:color w:val="0F0F0F"/>
          <w:sz w:val="24"/>
        </w:rPr>
        <w:t>立</w:t>
      </w:r>
      <w:r>
        <w:rPr>
          <w:rFonts w:ascii="新宋体" w:hAnsi="宋体" w:eastAsia="新宋体"/>
          <w:color w:val="0F0F0F"/>
          <w:sz w:val="24"/>
        </w:rPr>
        <w:t>如下合同。</w:t>
      </w:r>
    </w:p>
    <w:p w14:paraId="6AB7825E">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1．发包入和承包人双方的权</w:t>
      </w:r>
      <w:r>
        <w:rPr>
          <w:rFonts w:hint="eastAsia" w:ascii="新宋体" w:hAnsi="宋体" w:eastAsia="新宋体"/>
          <w:color w:val="0F0F0F"/>
          <w:sz w:val="24"/>
        </w:rPr>
        <w:t>利</w:t>
      </w:r>
      <w:r>
        <w:rPr>
          <w:rFonts w:ascii="新宋体" w:hAnsi="宋体" w:eastAsia="新宋体"/>
          <w:color w:val="0F0F0F"/>
          <w:sz w:val="24"/>
        </w:rPr>
        <w:t>和义务</w:t>
      </w:r>
    </w:p>
    <w:p w14:paraId="708C0B8B">
      <w:pPr>
        <w:spacing w:line="400" w:lineRule="exact"/>
        <w:ind w:firstLine="523" w:firstLineChars="218"/>
        <w:rPr>
          <w:rFonts w:ascii="新宋体" w:hAnsi="宋体" w:eastAsia="新宋体"/>
          <w:color w:val="0F0F0F"/>
          <w:sz w:val="24"/>
        </w:rPr>
      </w:pPr>
      <w:r>
        <w:rPr>
          <w:rFonts w:ascii="新宋体" w:hAnsi="宋体" w:eastAsia="新宋体"/>
          <w:color w:val="0F0F0F"/>
          <w:sz w:val="24"/>
        </w:rPr>
        <w:t>(</w:t>
      </w:r>
      <w:r>
        <w:rPr>
          <w:rFonts w:hint="eastAsia" w:ascii="新宋体" w:hAnsi="宋体" w:eastAsia="新宋体"/>
          <w:color w:val="0F0F0F"/>
          <w:sz w:val="24"/>
        </w:rPr>
        <w:t>1</w:t>
      </w:r>
      <w:r>
        <w:rPr>
          <w:rFonts w:ascii="新宋体" w:hAnsi="宋体" w:eastAsia="新宋体"/>
          <w:color w:val="0F0F0F"/>
          <w:sz w:val="24"/>
        </w:rPr>
        <w:t>)严格遵守党的政策规定和</w:t>
      </w:r>
      <w:r>
        <w:rPr>
          <w:rFonts w:hint="eastAsia" w:ascii="新宋体" w:hAnsi="宋体" w:eastAsia="新宋体"/>
          <w:color w:val="0F0F0F"/>
          <w:sz w:val="24"/>
        </w:rPr>
        <w:t>国</w:t>
      </w:r>
      <w:r>
        <w:rPr>
          <w:rFonts w:ascii="新宋体" w:hAnsi="宋体" w:eastAsia="新宋体"/>
          <w:color w:val="0F0F0F"/>
          <w:sz w:val="24"/>
        </w:rPr>
        <w:t>家有关法</w:t>
      </w:r>
      <w:r>
        <w:rPr>
          <w:rFonts w:hint="eastAsia" w:ascii="新宋体" w:hAnsi="宋体" w:eastAsia="新宋体"/>
          <w:color w:val="0F0F0F"/>
          <w:sz w:val="24"/>
        </w:rPr>
        <w:t>律</w:t>
      </w:r>
      <w:r>
        <w:rPr>
          <w:rFonts w:ascii="新宋体" w:hAnsi="宋体" w:eastAsia="新宋体"/>
          <w:color w:val="0F0F0F"/>
          <w:sz w:val="24"/>
        </w:rPr>
        <w:t>法规及交通运输部的有关规定。</w:t>
      </w:r>
    </w:p>
    <w:p w14:paraId="6E7458F9">
      <w:pPr>
        <w:spacing w:line="400" w:lineRule="exact"/>
        <w:ind w:firstLine="523" w:firstLineChars="218"/>
        <w:rPr>
          <w:rFonts w:ascii="新宋体" w:hAnsi="宋体" w:eastAsia="新宋体"/>
          <w:color w:val="0F0F0F"/>
          <w:sz w:val="24"/>
        </w:rPr>
      </w:pPr>
      <w:r>
        <w:rPr>
          <w:rFonts w:ascii="新宋体" w:hAnsi="宋体" w:eastAsia="新宋体"/>
          <w:color w:val="0F0F0F"/>
          <w:sz w:val="24"/>
        </w:rPr>
        <w:t>(2)严格执行(项目名称)</w:t>
      </w:r>
      <w:r>
        <w:rPr>
          <w:rFonts w:hint="eastAsia" w:ascii="新宋体" w:hAnsi="宋体" w:eastAsia="新宋体"/>
          <w:color w:val="0F0F0F"/>
          <w:sz w:val="24"/>
        </w:rPr>
        <w:t>标段施工合同文件，自觉按台同办事。</w:t>
      </w:r>
    </w:p>
    <w:p w14:paraId="5E109BF8">
      <w:pPr>
        <w:spacing w:line="400" w:lineRule="exact"/>
        <w:ind w:firstLine="523" w:firstLineChars="218"/>
        <w:rPr>
          <w:rFonts w:ascii="新宋体" w:hAnsi="宋体" w:eastAsia="新宋体"/>
          <w:color w:val="0F0F0F"/>
          <w:sz w:val="24"/>
        </w:rPr>
      </w:pPr>
      <w:r>
        <w:rPr>
          <w:rFonts w:ascii="新宋体" w:hAnsi="宋体" w:eastAsia="新宋体"/>
          <w:color w:val="0F0F0F"/>
          <w:sz w:val="24"/>
        </w:rPr>
        <w:t>(3)双方的业务活动坚持公开、公正、诚信、透明的原则(法律认定的商业秘密和合</w:t>
      </w:r>
      <w:r>
        <w:rPr>
          <w:rFonts w:hint="eastAsia" w:ascii="新宋体" w:hAnsi="宋体" w:eastAsia="新宋体"/>
          <w:color w:val="0F0F0F"/>
          <w:sz w:val="24"/>
        </w:rPr>
        <w:t>同文件另有规定除外</w:t>
      </w:r>
      <w:r>
        <w:rPr>
          <w:rFonts w:ascii="新宋体" w:hAnsi="宋体" w:eastAsia="新宋体"/>
          <w:color w:val="0F0F0F"/>
          <w:sz w:val="24"/>
        </w:rPr>
        <w:t>)，不得损害</w:t>
      </w:r>
      <w:r>
        <w:rPr>
          <w:rFonts w:hint="eastAsia" w:ascii="新宋体" w:hAnsi="宋体" w:eastAsia="新宋体"/>
          <w:color w:val="0F0F0F"/>
          <w:sz w:val="24"/>
        </w:rPr>
        <w:t>国</w:t>
      </w:r>
      <w:r>
        <w:rPr>
          <w:rFonts w:ascii="新宋体" w:hAnsi="宋体" w:eastAsia="新宋体"/>
          <w:color w:val="0F0F0F"/>
          <w:sz w:val="24"/>
        </w:rPr>
        <w:t>家和集体</w:t>
      </w:r>
      <w:r>
        <w:rPr>
          <w:rFonts w:hint="eastAsia" w:ascii="新宋体" w:hAnsi="宋体" w:eastAsia="新宋体"/>
          <w:color w:val="0F0F0F"/>
          <w:sz w:val="24"/>
        </w:rPr>
        <w:t>利</w:t>
      </w:r>
      <w:r>
        <w:rPr>
          <w:rFonts w:ascii="新宋体" w:hAnsi="宋体" w:eastAsia="新宋体"/>
          <w:color w:val="0F0F0F"/>
          <w:sz w:val="24"/>
        </w:rPr>
        <w:t>益，不得违反工程建设管理规章制度。</w:t>
      </w:r>
    </w:p>
    <w:p w14:paraId="510F8197">
      <w:pPr>
        <w:spacing w:line="400" w:lineRule="exact"/>
        <w:ind w:firstLine="523" w:firstLineChars="218"/>
        <w:rPr>
          <w:rFonts w:ascii="新宋体" w:hAnsi="宋体" w:eastAsia="新宋体"/>
          <w:color w:val="0F0F0F"/>
          <w:sz w:val="24"/>
        </w:rPr>
      </w:pPr>
      <w:r>
        <w:rPr>
          <w:rFonts w:ascii="新宋体" w:hAnsi="宋体" w:eastAsia="新宋体"/>
          <w:color w:val="0F0F0F"/>
          <w:sz w:val="24"/>
        </w:rPr>
        <w:t>(4)建立健全廉</w:t>
      </w:r>
      <w:r>
        <w:rPr>
          <w:rFonts w:hint="eastAsia" w:ascii="新宋体" w:hAnsi="宋体" w:eastAsia="新宋体"/>
          <w:color w:val="0F0F0F"/>
          <w:sz w:val="24"/>
        </w:rPr>
        <w:t>政</w:t>
      </w:r>
      <w:r>
        <w:rPr>
          <w:rFonts w:ascii="新宋体" w:hAnsi="宋体" w:eastAsia="新宋体"/>
          <w:color w:val="0F0F0F"/>
          <w:sz w:val="24"/>
        </w:rPr>
        <w:t>制度，开展廉</w:t>
      </w:r>
      <w:r>
        <w:rPr>
          <w:rFonts w:hint="eastAsia" w:ascii="新宋体" w:hAnsi="宋体" w:eastAsia="新宋体"/>
          <w:color w:val="0F0F0F"/>
          <w:sz w:val="24"/>
        </w:rPr>
        <w:t>政</w:t>
      </w:r>
      <w:r>
        <w:rPr>
          <w:rFonts w:ascii="新宋体" w:hAnsi="宋体" w:eastAsia="新宋体"/>
          <w:color w:val="0F0F0F"/>
          <w:sz w:val="24"/>
        </w:rPr>
        <w:t>教育，设擞廉政告示牌，公布举报电话，监督并认</w:t>
      </w:r>
      <w:r>
        <w:rPr>
          <w:rFonts w:hint="eastAsia" w:ascii="新宋体" w:hAnsi="宋体" w:eastAsia="新宋体"/>
          <w:color w:val="0F0F0F"/>
          <w:sz w:val="24"/>
        </w:rPr>
        <w:t>真查处违法违纪行为。</w:t>
      </w:r>
    </w:p>
    <w:p w14:paraId="61EF0749">
      <w:pPr>
        <w:spacing w:line="400" w:lineRule="exact"/>
        <w:ind w:firstLine="523" w:firstLineChars="218"/>
        <w:rPr>
          <w:rFonts w:ascii="新宋体" w:hAnsi="宋体" w:eastAsia="新宋体"/>
          <w:color w:val="0F0F0F"/>
          <w:sz w:val="24"/>
        </w:rPr>
      </w:pPr>
      <w:r>
        <w:rPr>
          <w:rFonts w:ascii="新宋体" w:hAnsi="宋体" w:eastAsia="新宋体"/>
          <w:color w:val="0F0F0F"/>
          <w:sz w:val="24"/>
        </w:rPr>
        <w:t>(5)发现对方在业务活动中有违反廉政规定的行为，有及时提醒对方纠正的权利和</w:t>
      </w:r>
      <w:r>
        <w:rPr>
          <w:rFonts w:hint="eastAsia" w:ascii="新宋体" w:hAnsi="宋体" w:eastAsia="新宋体"/>
          <w:color w:val="0F0F0F"/>
          <w:sz w:val="24"/>
        </w:rPr>
        <w:t>义务。</w:t>
      </w:r>
    </w:p>
    <w:p w14:paraId="3BDADF23">
      <w:pPr>
        <w:spacing w:line="400" w:lineRule="exact"/>
        <w:ind w:firstLine="523" w:firstLineChars="218"/>
        <w:rPr>
          <w:rFonts w:ascii="新宋体" w:hAnsi="宋体" w:eastAsia="新宋体"/>
          <w:color w:val="0F0F0F"/>
          <w:sz w:val="24"/>
        </w:rPr>
      </w:pPr>
      <w:r>
        <w:rPr>
          <w:rFonts w:ascii="新宋体" w:hAnsi="宋体" w:eastAsia="新宋体"/>
          <w:color w:val="0F0F0F"/>
          <w:sz w:val="24"/>
        </w:rPr>
        <w:t>(6)发现对方严</w:t>
      </w:r>
      <w:r>
        <w:rPr>
          <w:rFonts w:hint="eastAsia" w:ascii="新宋体" w:hAnsi="宋体" w:eastAsia="新宋体"/>
          <w:color w:val="0F0F0F"/>
          <w:sz w:val="24"/>
        </w:rPr>
        <w:t>重</w:t>
      </w:r>
      <w:r>
        <w:rPr>
          <w:rFonts w:ascii="新宋体" w:hAnsi="宋体" w:eastAsia="新宋体"/>
          <w:color w:val="0F0F0F"/>
          <w:sz w:val="24"/>
        </w:rPr>
        <w:t>违反本合同义务条款的</w:t>
      </w:r>
      <w:r>
        <w:rPr>
          <w:rFonts w:hint="eastAsia" w:ascii="新宋体" w:hAnsi="宋体" w:eastAsia="新宋体"/>
          <w:color w:val="0F0F0F"/>
          <w:sz w:val="24"/>
        </w:rPr>
        <w:t>行</w:t>
      </w:r>
      <w:r>
        <w:rPr>
          <w:rFonts w:ascii="新宋体" w:hAnsi="宋体" w:eastAsia="新宋体"/>
          <w:color w:val="0F0F0F"/>
          <w:sz w:val="24"/>
        </w:rPr>
        <w:t>为，有向其上级有关部门举报、建议给</w:t>
      </w:r>
      <w:r>
        <w:rPr>
          <w:rFonts w:hint="eastAsia" w:ascii="新宋体" w:hAnsi="宋体" w:eastAsia="新宋体"/>
          <w:color w:val="0F0F0F"/>
          <w:sz w:val="24"/>
        </w:rPr>
        <w:t>予处理并要求告知处理结果的权利。</w:t>
      </w:r>
    </w:p>
    <w:p w14:paraId="7816C127">
      <w:pPr>
        <w:spacing w:line="400" w:lineRule="exact"/>
        <w:ind w:firstLine="523" w:firstLineChars="218"/>
        <w:rPr>
          <w:rFonts w:ascii="新宋体" w:hAnsi="宋体" w:eastAsia="新宋体"/>
          <w:color w:val="0F0F0F"/>
          <w:sz w:val="24"/>
        </w:rPr>
      </w:pPr>
      <w:r>
        <w:rPr>
          <w:rFonts w:ascii="新宋体" w:hAnsi="宋体" w:eastAsia="新宋体"/>
          <w:color w:val="0F0F0F"/>
          <w:sz w:val="24"/>
        </w:rPr>
        <w:t>2．发包入的义务</w:t>
      </w:r>
    </w:p>
    <w:p w14:paraId="572F84CD">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(1)发包入及其工作人员不得索要或接受承包人的礼金、有价证券和</w:t>
      </w:r>
      <w:r>
        <w:rPr>
          <w:rFonts w:hint="eastAsia" w:ascii="新宋体" w:hAnsi="宋体" w:eastAsia="新宋体"/>
          <w:color w:val="0F0F0F"/>
          <w:sz w:val="24"/>
        </w:rPr>
        <w:t>贵</w:t>
      </w:r>
      <w:r>
        <w:rPr>
          <w:rFonts w:ascii="新宋体" w:hAnsi="宋体" w:eastAsia="新宋体"/>
          <w:color w:val="0F0F0F"/>
          <w:sz w:val="24"/>
        </w:rPr>
        <w:t>重物品，不</w:t>
      </w:r>
      <w:r>
        <w:rPr>
          <w:rFonts w:hint="eastAsia" w:ascii="新宋体" w:hAnsi="宋体" w:eastAsia="新宋体"/>
          <w:color w:val="0F0F0F"/>
          <w:sz w:val="24"/>
        </w:rPr>
        <w:t>得让承包人报销任何应由发包人或发包人工</w:t>
      </w:r>
      <w:r>
        <w:rPr>
          <w:rFonts w:ascii="新宋体" w:hAnsi="宋体" w:eastAsia="新宋体"/>
          <w:color w:val="0F0F0F"/>
          <w:sz w:val="24"/>
        </w:rPr>
        <w:t>作人员个人支付的费用等。</w:t>
      </w:r>
    </w:p>
    <w:p w14:paraId="343CBE26">
      <w:pPr>
        <w:spacing w:line="400" w:lineRule="exact"/>
        <w:ind w:firstLine="523" w:firstLineChars="218"/>
        <w:rPr>
          <w:rFonts w:ascii="新宋体" w:hAnsi="宋体" w:eastAsia="新宋体"/>
          <w:color w:val="0F0F0F"/>
          <w:sz w:val="24"/>
        </w:rPr>
      </w:pPr>
      <w:r>
        <w:rPr>
          <w:rFonts w:ascii="新宋体" w:hAnsi="宋体" w:eastAsia="新宋体"/>
          <w:color w:val="0F0F0F"/>
          <w:sz w:val="24"/>
        </w:rPr>
        <w:t>(2)发包人工作人员不得参加承包人安排的超标准宴请和娱乐活动；不得接受承包</w:t>
      </w:r>
      <w:r>
        <w:rPr>
          <w:rFonts w:hint="eastAsia" w:ascii="新宋体" w:hAnsi="宋体" w:eastAsia="新宋体"/>
          <w:color w:val="0F0F0F"/>
          <w:sz w:val="24"/>
        </w:rPr>
        <w:t>人提供的通讯工具、交通工具和高档办公用品等。</w:t>
      </w:r>
    </w:p>
    <w:p w14:paraId="390269AB">
      <w:pPr>
        <w:spacing w:line="400" w:lineRule="exact"/>
        <w:ind w:firstLine="523" w:firstLineChars="218"/>
        <w:rPr>
          <w:rFonts w:ascii="新宋体" w:hAnsi="宋体" w:eastAsia="新宋体"/>
          <w:color w:val="0F0F0F"/>
          <w:sz w:val="24"/>
        </w:rPr>
      </w:pPr>
      <w:r>
        <w:rPr>
          <w:rFonts w:ascii="新宋体" w:hAnsi="宋体" w:eastAsia="新宋体"/>
          <w:color w:val="0F0F0F"/>
          <w:sz w:val="24"/>
        </w:rPr>
        <w:t>(3)发包人及其工作人员不得要求或者接受承包人为其住房装修、婚丧嫁娶活动、</w:t>
      </w:r>
      <w:r>
        <w:rPr>
          <w:rFonts w:hint="eastAsia" w:ascii="新宋体" w:hAnsi="宋体" w:eastAsia="新宋体"/>
          <w:color w:val="0F0F0F"/>
          <w:sz w:val="24"/>
        </w:rPr>
        <w:t>配偶子女的工作安排以及出国出境、旅游等提供方便等。</w:t>
      </w:r>
    </w:p>
    <w:p w14:paraId="2748B7D8">
      <w:pPr>
        <w:spacing w:line="400" w:lineRule="exact"/>
        <w:ind w:firstLine="523" w:firstLineChars="218"/>
        <w:rPr>
          <w:rFonts w:ascii="新宋体" w:hAnsi="宋体" w:eastAsia="新宋体"/>
          <w:color w:val="0F0F0F"/>
          <w:sz w:val="24"/>
        </w:rPr>
      </w:pPr>
      <w:r>
        <w:rPr>
          <w:rFonts w:ascii="新宋体" w:hAnsi="宋体" w:eastAsia="新宋体"/>
          <w:color w:val="0F0F0F"/>
          <w:sz w:val="24"/>
        </w:rPr>
        <w:t>(4)发包人</w:t>
      </w:r>
      <w:r>
        <w:rPr>
          <w:rFonts w:hint="eastAsia" w:ascii="新宋体" w:hAnsi="宋体" w:eastAsia="新宋体"/>
          <w:color w:val="0F0F0F"/>
          <w:sz w:val="24"/>
        </w:rPr>
        <w:t>工</w:t>
      </w:r>
      <w:r>
        <w:rPr>
          <w:rFonts w:ascii="新宋体" w:hAnsi="宋体" w:eastAsia="新宋体"/>
          <w:color w:val="0F0F0F"/>
          <w:sz w:val="24"/>
        </w:rPr>
        <w:t>作人员及其配偶、子女不得从事与发包人</w:t>
      </w:r>
      <w:r>
        <w:rPr>
          <w:rFonts w:hint="eastAsia" w:ascii="新宋体" w:hAnsi="宋体" w:eastAsia="新宋体"/>
          <w:color w:val="0F0F0F"/>
          <w:sz w:val="24"/>
        </w:rPr>
        <w:t>工程有关的材料设备供应、工程分包、劳务等经济活动等。</w:t>
      </w:r>
    </w:p>
    <w:p w14:paraId="07065237">
      <w:pPr>
        <w:spacing w:line="400" w:lineRule="exact"/>
        <w:ind w:firstLine="523" w:firstLineChars="218"/>
        <w:rPr>
          <w:rFonts w:ascii="新宋体" w:hAnsi="宋体" w:eastAsia="新宋体"/>
          <w:color w:val="0F0F0F"/>
          <w:sz w:val="24"/>
        </w:rPr>
      </w:pPr>
      <w:r>
        <w:rPr>
          <w:rFonts w:ascii="新宋体" w:hAnsi="宋体" w:eastAsia="新宋体"/>
          <w:color w:val="0F0F0F"/>
          <w:sz w:val="24"/>
        </w:rPr>
        <w:t>(5)发包人及</w:t>
      </w:r>
      <w:r>
        <w:rPr>
          <w:rFonts w:hint="eastAsia" w:ascii="新宋体" w:hAnsi="宋体" w:eastAsia="新宋体"/>
          <w:color w:val="0F0F0F"/>
          <w:sz w:val="24"/>
        </w:rPr>
        <w:t>其</w:t>
      </w:r>
      <w:r>
        <w:rPr>
          <w:rFonts w:ascii="新宋体" w:hAnsi="宋体" w:eastAsia="新宋体"/>
          <w:color w:val="0F0F0F"/>
          <w:sz w:val="24"/>
        </w:rPr>
        <w:t>工作人员不得以任何理由向承包人推荐分包单位或推销材料，不得</w:t>
      </w:r>
      <w:r>
        <w:rPr>
          <w:rFonts w:hint="eastAsia" w:ascii="新宋体" w:hAnsi="宋体" w:eastAsia="新宋体"/>
          <w:color w:val="0F0F0F"/>
          <w:sz w:val="24"/>
        </w:rPr>
        <w:t>要求承包人获取合同规定外的材料和设备。</w:t>
      </w:r>
    </w:p>
    <w:p w14:paraId="3FB266CF">
      <w:pPr>
        <w:spacing w:line="400" w:lineRule="exact"/>
        <w:ind w:firstLine="523" w:firstLineChars="218"/>
        <w:rPr>
          <w:rFonts w:ascii="新宋体" w:hAnsi="宋体" w:eastAsia="新宋体"/>
          <w:color w:val="0F0F0F"/>
          <w:sz w:val="24"/>
        </w:rPr>
      </w:pPr>
      <w:r>
        <w:rPr>
          <w:rFonts w:ascii="新宋体" w:hAnsi="宋体" w:eastAsia="新宋体"/>
          <w:color w:val="0F0F0F"/>
          <w:sz w:val="24"/>
        </w:rPr>
        <w:t>(6)发包人工作人员要秉公办事，不准营私舞弊，不准利用职权从事各种个人</w:t>
      </w:r>
      <w:r>
        <w:rPr>
          <w:rFonts w:hint="eastAsia" w:ascii="新宋体" w:hAnsi="宋体" w:eastAsia="新宋体"/>
          <w:color w:val="0F0F0F"/>
          <w:sz w:val="24"/>
        </w:rPr>
        <w:t>有</w:t>
      </w:r>
      <w:r>
        <w:rPr>
          <w:rFonts w:ascii="新宋体" w:hAnsi="宋体" w:eastAsia="新宋体"/>
          <w:color w:val="0F0F0F"/>
          <w:sz w:val="24"/>
        </w:rPr>
        <w:t>偿</w:t>
      </w:r>
      <w:r>
        <w:rPr>
          <w:rFonts w:hint="eastAsia" w:ascii="新宋体" w:hAnsi="宋体" w:eastAsia="新宋体"/>
          <w:color w:val="0F0F0F"/>
          <w:sz w:val="24"/>
        </w:rPr>
        <w:t>中介活动和安排个人施工队伍。</w:t>
      </w:r>
    </w:p>
    <w:p w14:paraId="6D3D9A3E">
      <w:pPr>
        <w:spacing w:line="400" w:lineRule="exact"/>
        <w:ind w:firstLine="523" w:firstLineChars="218"/>
        <w:rPr>
          <w:rFonts w:ascii="新宋体" w:hAnsi="宋体" w:eastAsia="新宋体"/>
          <w:color w:val="0F0F0F"/>
          <w:sz w:val="24"/>
        </w:rPr>
      </w:pPr>
      <w:r>
        <w:rPr>
          <w:rFonts w:ascii="新宋体" w:hAnsi="宋体" w:eastAsia="新宋体"/>
          <w:color w:val="0F0F0F"/>
          <w:sz w:val="24"/>
        </w:rPr>
        <w:t>3．承包人的义务</w:t>
      </w:r>
    </w:p>
    <w:p w14:paraId="6D0F2184">
      <w:pPr>
        <w:spacing w:line="400" w:lineRule="exact"/>
        <w:ind w:firstLine="523" w:firstLineChars="218"/>
        <w:rPr>
          <w:rFonts w:ascii="新宋体" w:hAnsi="宋体" w:eastAsia="新宋体"/>
          <w:color w:val="0F0F0F"/>
          <w:sz w:val="24"/>
        </w:rPr>
      </w:pPr>
      <w:r>
        <w:rPr>
          <w:rFonts w:ascii="新宋体" w:hAnsi="宋体" w:eastAsia="新宋体"/>
          <w:color w:val="0F0F0F"/>
          <w:sz w:val="24"/>
        </w:rPr>
        <w:t>(1)承包人不得以任何理由向发包人及其工作人员行贿或馈赠礼金、有价证券、贵</w:t>
      </w:r>
      <w:r>
        <w:rPr>
          <w:rFonts w:hint="eastAsia" w:ascii="新宋体" w:hAnsi="宋体" w:eastAsia="新宋体"/>
          <w:color w:val="0F0F0F"/>
          <w:sz w:val="24"/>
        </w:rPr>
        <w:t>重礼品</w:t>
      </w:r>
      <w:r>
        <w:rPr>
          <w:rFonts w:ascii="新宋体" w:hAnsi="宋体" w:eastAsia="新宋体"/>
          <w:color w:val="0F0F0F"/>
          <w:sz w:val="24"/>
        </w:rPr>
        <w:t>。</w:t>
      </w:r>
    </w:p>
    <w:p w14:paraId="2D367094">
      <w:pPr>
        <w:spacing w:line="400" w:lineRule="exact"/>
        <w:ind w:firstLine="523" w:firstLineChars="218"/>
        <w:rPr>
          <w:rFonts w:ascii="新宋体" w:hAnsi="宋体" w:eastAsia="新宋体"/>
          <w:color w:val="0F0F0F"/>
          <w:sz w:val="24"/>
        </w:rPr>
      </w:pPr>
      <w:r>
        <w:rPr>
          <w:rFonts w:ascii="新宋体" w:hAnsi="宋体" w:eastAsia="新宋体"/>
          <w:color w:val="0F0F0F"/>
          <w:sz w:val="24"/>
        </w:rPr>
        <w:t>(2)承包人不得以任何名义为发包人及其工</w:t>
      </w:r>
      <w:r>
        <w:rPr>
          <w:rFonts w:hint="eastAsia" w:ascii="新宋体" w:hAnsi="宋体" w:eastAsia="新宋体"/>
          <w:color w:val="0F0F0F"/>
          <w:sz w:val="24"/>
        </w:rPr>
        <w:t>作</w:t>
      </w:r>
      <w:r>
        <w:rPr>
          <w:rFonts w:ascii="新宋体" w:hAnsi="宋体" w:eastAsia="新宋体"/>
          <w:color w:val="0F0F0F"/>
          <w:sz w:val="24"/>
        </w:rPr>
        <w:t>人员</w:t>
      </w:r>
      <w:r>
        <w:rPr>
          <w:rFonts w:hint="eastAsia" w:ascii="新宋体" w:hAnsi="宋体" w:eastAsia="新宋体"/>
          <w:color w:val="0F0F0F"/>
          <w:sz w:val="24"/>
        </w:rPr>
        <w:t>报</w:t>
      </w:r>
      <w:r>
        <w:rPr>
          <w:rFonts w:ascii="新宋体" w:hAnsi="宋体" w:eastAsia="新宋体"/>
          <w:color w:val="0F0F0F"/>
          <w:sz w:val="24"/>
        </w:rPr>
        <w:t>销应由发包人单位或个人支</w:t>
      </w:r>
      <w:r>
        <w:rPr>
          <w:rFonts w:hint="eastAsia" w:ascii="新宋体" w:hAnsi="宋体" w:eastAsia="新宋体"/>
          <w:color w:val="0F0F0F"/>
          <w:sz w:val="24"/>
        </w:rPr>
        <w:t>付的任何费用。</w:t>
      </w:r>
    </w:p>
    <w:p w14:paraId="6CAAFB04">
      <w:pPr>
        <w:spacing w:line="400" w:lineRule="exact"/>
        <w:ind w:firstLine="523" w:firstLineChars="218"/>
        <w:rPr>
          <w:rFonts w:ascii="新宋体" w:hAnsi="宋体" w:eastAsia="新宋体"/>
          <w:color w:val="0F0F0F"/>
          <w:sz w:val="24"/>
        </w:rPr>
      </w:pPr>
      <w:r>
        <w:rPr>
          <w:rFonts w:ascii="新宋体" w:hAnsi="宋体" w:eastAsia="新宋体"/>
          <w:color w:val="0F0F0F"/>
          <w:sz w:val="24"/>
        </w:rPr>
        <w:t>(3)承包人不得以任</w:t>
      </w:r>
      <w:r>
        <w:rPr>
          <w:rFonts w:hint="eastAsia" w:ascii="新宋体" w:hAnsi="宋体" w:eastAsia="新宋体"/>
          <w:color w:val="0F0F0F"/>
          <w:sz w:val="24"/>
        </w:rPr>
        <w:t>何</w:t>
      </w:r>
      <w:r>
        <w:rPr>
          <w:rFonts w:ascii="新宋体" w:hAnsi="宋体" w:eastAsia="新宋体"/>
          <w:color w:val="0F0F0F"/>
          <w:sz w:val="24"/>
        </w:rPr>
        <w:t>理由安排发包人工作人员参</w:t>
      </w:r>
      <w:r>
        <w:rPr>
          <w:rFonts w:hint="eastAsia" w:ascii="新宋体" w:hAnsi="宋体" w:eastAsia="新宋体"/>
          <w:color w:val="0F0F0F"/>
          <w:sz w:val="24"/>
        </w:rPr>
        <w:t>加</w:t>
      </w:r>
      <w:r>
        <w:rPr>
          <w:rFonts w:ascii="新宋体" w:hAnsi="宋体" w:eastAsia="新宋体"/>
          <w:color w:val="0F0F0F"/>
          <w:sz w:val="24"/>
        </w:rPr>
        <w:t>超标准宴请及娱乐活动。</w:t>
      </w:r>
    </w:p>
    <w:p w14:paraId="6C683EF7">
      <w:pPr>
        <w:spacing w:line="400" w:lineRule="exact"/>
        <w:ind w:firstLine="523" w:firstLineChars="218"/>
        <w:rPr>
          <w:rFonts w:ascii="新宋体" w:hAnsi="宋体" w:eastAsia="新宋体"/>
          <w:color w:val="0F0F0F"/>
          <w:sz w:val="24"/>
        </w:rPr>
      </w:pPr>
      <w:r>
        <w:rPr>
          <w:rFonts w:ascii="新宋体" w:hAnsi="宋体" w:eastAsia="新宋体"/>
          <w:color w:val="0F0F0F"/>
          <w:sz w:val="24"/>
        </w:rPr>
        <w:t>(4)承包人不得为发包人单位和个人购置或提供通讯工具、交通工具和高档办公</w:t>
      </w:r>
      <w:r>
        <w:rPr>
          <w:rFonts w:hint="eastAsia" w:ascii="新宋体" w:hAnsi="宋体" w:eastAsia="新宋体"/>
          <w:color w:val="0F0F0F"/>
          <w:sz w:val="24"/>
        </w:rPr>
        <w:t>用品等。</w:t>
      </w:r>
    </w:p>
    <w:p w14:paraId="0F4AF13D">
      <w:pPr>
        <w:spacing w:line="400" w:lineRule="exact"/>
        <w:ind w:firstLine="523" w:firstLineChars="218"/>
        <w:rPr>
          <w:rFonts w:ascii="新宋体" w:hAnsi="宋体" w:eastAsia="新宋体"/>
          <w:color w:val="0F0F0F"/>
          <w:sz w:val="24"/>
        </w:rPr>
      </w:pPr>
      <w:r>
        <w:rPr>
          <w:rFonts w:ascii="新宋体" w:hAnsi="宋体" w:eastAsia="新宋体"/>
          <w:color w:val="0F0F0F"/>
          <w:sz w:val="24"/>
        </w:rPr>
        <w:t>4．违约责任</w:t>
      </w:r>
    </w:p>
    <w:p w14:paraId="6CB8B71D">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(1)发包人及其工作人员违反本含同第l、2条，按管理权限，依据有关规定给予党</w:t>
      </w:r>
      <w:r>
        <w:rPr>
          <w:rFonts w:hint="eastAsia" w:ascii="新宋体" w:hAnsi="宋体" w:eastAsia="新宋体"/>
          <w:color w:val="0F0F0F"/>
          <w:sz w:val="24"/>
        </w:rPr>
        <w:t>纪、政纪或组织处理；涉嫌犯罪的，移交司法机关追究刑事责任；给承包人单位造成经济损失的，应予以赔偿。</w:t>
      </w:r>
    </w:p>
    <w:p w14:paraId="3006D1F1">
      <w:pPr>
        <w:spacing w:line="400" w:lineRule="exact"/>
        <w:ind w:firstLine="523" w:firstLineChars="218"/>
        <w:rPr>
          <w:rFonts w:ascii="新宋体" w:hAnsi="宋体" w:eastAsia="新宋体"/>
          <w:color w:val="0F0F0F"/>
          <w:sz w:val="24"/>
        </w:rPr>
      </w:pPr>
      <w:r>
        <w:rPr>
          <w:rFonts w:ascii="新宋体" w:hAnsi="宋体" w:eastAsia="新宋体"/>
          <w:color w:val="0F0F0F"/>
          <w:sz w:val="24"/>
        </w:rPr>
        <w:t>(2)承包人及其正</w:t>
      </w:r>
      <w:r>
        <w:rPr>
          <w:rFonts w:hint="eastAsia" w:ascii="新宋体" w:hAnsi="宋体" w:eastAsia="新宋体"/>
          <w:color w:val="0F0F0F"/>
          <w:sz w:val="24"/>
        </w:rPr>
        <w:t>作人员违反本合同第</w:t>
      </w:r>
      <w:r>
        <w:rPr>
          <w:rFonts w:ascii="新宋体" w:hAnsi="宋体" w:eastAsia="新宋体"/>
          <w:color w:val="0F0F0F"/>
          <w:sz w:val="24"/>
        </w:rPr>
        <w:t>l、3条，按管理权限，依据有关规定给予党</w:t>
      </w:r>
      <w:r>
        <w:rPr>
          <w:rFonts w:hint="eastAsia" w:ascii="新宋体" w:hAnsi="宋体" w:eastAsia="新宋体"/>
          <w:color w:val="0F0F0F"/>
          <w:sz w:val="24"/>
        </w:rPr>
        <w:t>纪、政纪或组织处理；给发包人单位造成经济损失的。应予以赂偿；情节严重的，发包人建议交通主管部门给予承包人一至三年内不得进入其主管的公路建设市场的处罚。</w:t>
      </w:r>
    </w:p>
    <w:p w14:paraId="23921731">
      <w:pPr>
        <w:spacing w:line="400" w:lineRule="exact"/>
        <w:ind w:firstLine="523" w:firstLineChars="218"/>
        <w:rPr>
          <w:rFonts w:ascii="新宋体" w:hAnsi="宋体" w:eastAsia="新宋体"/>
          <w:color w:val="0F0F0F"/>
          <w:sz w:val="24"/>
        </w:rPr>
      </w:pPr>
      <w:r>
        <w:rPr>
          <w:rFonts w:ascii="新宋体" w:hAnsi="宋体" w:eastAsia="新宋体"/>
          <w:color w:val="0F0F0F"/>
          <w:sz w:val="24"/>
        </w:rPr>
        <w:t>5．双方约定：本合同由双方或双方上级单位的纪检监察部门负资监督执行。由发</w:t>
      </w:r>
      <w:r>
        <w:rPr>
          <w:rFonts w:hint="eastAsia" w:ascii="新宋体" w:hAnsi="宋体" w:eastAsia="新宋体"/>
          <w:color w:val="0F0F0F"/>
          <w:sz w:val="24"/>
        </w:rPr>
        <w:t>包人或发包人上级单位的纪检监察部门约请承包人或承包人上级单位纪检察部门对本合同执行情况进行检查，提出在本合同规定范围内的裁定意见。</w:t>
      </w:r>
    </w:p>
    <w:p w14:paraId="1C2E5B21">
      <w:pPr>
        <w:spacing w:line="400" w:lineRule="exact"/>
        <w:ind w:firstLine="523" w:firstLineChars="218"/>
        <w:rPr>
          <w:rFonts w:ascii="新宋体" w:hAnsi="宋体" w:eastAsia="新宋体"/>
          <w:color w:val="0F0F0F"/>
          <w:sz w:val="24"/>
        </w:rPr>
      </w:pPr>
      <w:r>
        <w:rPr>
          <w:rFonts w:ascii="新宋体" w:hAnsi="宋体" w:eastAsia="新宋体"/>
          <w:color w:val="0F0F0F"/>
          <w:sz w:val="24"/>
        </w:rPr>
        <w:t>6．本合同有效期为发包人和承包人签署之日起至该</w:t>
      </w:r>
      <w:r>
        <w:rPr>
          <w:rFonts w:hint="eastAsia" w:ascii="新宋体" w:hAnsi="宋体" w:eastAsia="新宋体"/>
          <w:color w:val="0F0F0F"/>
          <w:sz w:val="24"/>
        </w:rPr>
        <w:t>工程</w:t>
      </w:r>
      <w:r>
        <w:rPr>
          <w:rFonts w:ascii="新宋体" w:hAnsi="宋体" w:eastAsia="新宋体"/>
          <w:color w:val="0F0F0F"/>
          <w:sz w:val="24"/>
        </w:rPr>
        <w:t>项目竣</w:t>
      </w:r>
      <w:r>
        <w:rPr>
          <w:rFonts w:hint="eastAsia" w:ascii="新宋体" w:hAnsi="宋体" w:eastAsia="新宋体"/>
          <w:color w:val="0F0F0F"/>
          <w:sz w:val="24"/>
        </w:rPr>
        <w:t>工</w:t>
      </w:r>
      <w:r>
        <w:rPr>
          <w:rFonts w:ascii="新宋体" w:hAnsi="宋体" w:eastAsia="新宋体"/>
          <w:color w:val="0F0F0F"/>
          <w:sz w:val="24"/>
        </w:rPr>
        <w:t>验收后</w:t>
      </w:r>
      <w:r>
        <w:rPr>
          <w:rFonts w:hint="eastAsia" w:ascii="新宋体" w:hAnsi="宋体" w:eastAsia="新宋体"/>
          <w:color w:val="0F0F0F"/>
          <w:sz w:val="24"/>
        </w:rPr>
        <w:t>止</w:t>
      </w:r>
      <w:r>
        <w:rPr>
          <w:rFonts w:ascii="新宋体" w:hAnsi="宋体" w:eastAsia="新宋体"/>
          <w:color w:val="0F0F0F"/>
          <w:sz w:val="24"/>
        </w:rPr>
        <w:t>。</w:t>
      </w:r>
    </w:p>
    <w:p w14:paraId="7A7B6A10">
      <w:pPr>
        <w:spacing w:line="400" w:lineRule="exact"/>
        <w:ind w:firstLine="523" w:firstLineChars="218"/>
        <w:rPr>
          <w:rFonts w:ascii="新宋体" w:hAnsi="宋体" w:eastAsia="新宋体"/>
          <w:color w:val="0F0F0F"/>
          <w:sz w:val="24"/>
        </w:rPr>
      </w:pPr>
      <w:r>
        <w:rPr>
          <w:rFonts w:ascii="新宋体" w:hAnsi="宋体" w:eastAsia="新宋体"/>
          <w:color w:val="0F0F0F"/>
          <w:sz w:val="24"/>
        </w:rPr>
        <w:t>7．本合同作为 (项目名称)标段施工合同的附件，与工程施工</w:t>
      </w:r>
      <w:r>
        <w:rPr>
          <w:rFonts w:hint="eastAsia" w:ascii="新宋体" w:hAnsi="宋体" w:eastAsia="新宋体"/>
          <w:color w:val="0F0F0F"/>
          <w:sz w:val="24"/>
        </w:rPr>
        <w:t>合同具有同等的法律效力，经合同双方签署后立即生效。</w:t>
      </w:r>
    </w:p>
    <w:p w14:paraId="2839752B">
      <w:pPr>
        <w:spacing w:line="400" w:lineRule="exact"/>
        <w:ind w:firstLine="523" w:firstLineChars="218"/>
        <w:rPr>
          <w:rFonts w:ascii="新宋体" w:hAnsi="宋体" w:eastAsia="新宋体"/>
          <w:color w:val="0F0F0F"/>
          <w:sz w:val="24"/>
        </w:rPr>
      </w:pPr>
      <w:r>
        <w:rPr>
          <w:rFonts w:ascii="新宋体" w:hAnsi="宋体" w:eastAsia="新宋体"/>
          <w:color w:val="0F0F0F"/>
          <w:sz w:val="24"/>
        </w:rPr>
        <w:t>8．本合同一式四份，由发包人和承包人</w:t>
      </w:r>
      <w:r>
        <w:rPr>
          <w:rFonts w:hint="eastAsia" w:ascii="新宋体" w:hAnsi="宋体" w:eastAsia="新宋体"/>
          <w:color w:val="0F0F0F"/>
          <w:sz w:val="24"/>
        </w:rPr>
        <w:t>各</w:t>
      </w:r>
      <w:r>
        <w:rPr>
          <w:rFonts w:ascii="新宋体" w:hAnsi="宋体" w:eastAsia="新宋体"/>
          <w:color w:val="0F0F0F"/>
          <w:sz w:val="24"/>
        </w:rPr>
        <w:t>执一份，送交发包人和承包人的监督单位</w:t>
      </w:r>
      <w:r>
        <w:rPr>
          <w:rFonts w:hint="eastAsia" w:ascii="新宋体" w:hAnsi="宋体" w:eastAsia="新宋体"/>
          <w:color w:val="0F0F0F"/>
          <w:sz w:val="24"/>
        </w:rPr>
        <w:t>各一份。</w:t>
      </w:r>
    </w:p>
    <w:p w14:paraId="125441B2">
      <w:pPr>
        <w:spacing w:line="400" w:lineRule="exact"/>
        <w:rPr>
          <w:rFonts w:ascii="新宋体" w:hAnsi="宋体" w:eastAsia="新宋体"/>
          <w:color w:val="0F0F0F"/>
          <w:sz w:val="24"/>
        </w:rPr>
      </w:pPr>
    </w:p>
    <w:p w14:paraId="7CEE2E17">
      <w:pPr>
        <w:spacing w:line="400" w:lineRule="exact"/>
        <w:rPr>
          <w:rFonts w:ascii="新宋体" w:hAnsi="宋体" w:eastAsia="新宋体"/>
          <w:color w:val="0F0F0F"/>
          <w:sz w:val="24"/>
        </w:rPr>
      </w:pPr>
      <w:r>
        <w:rPr>
          <w:rFonts w:hint="eastAsia" w:ascii="新宋体" w:hAnsi="宋体" w:eastAsia="新宋体"/>
          <w:color w:val="0F0F0F"/>
          <w:sz w:val="24"/>
        </w:rPr>
        <w:t>发</w:t>
      </w:r>
      <w:r>
        <w:rPr>
          <w:rFonts w:ascii="新宋体" w:hAnsi="宋体" w:eastAsia="新宋体"/>
          <w:color w:val="0F0F0F"/>
          <w:sz w:val="24"/>
        </w:rPr>
        <w:t>包</w:t>
      </w:r>
      <w:r>
        <w:rPr>
          <w:rFonts w:hint="eastAsia" w:ascii="新宋体" w:hAnsi="宋体" w:eastAsia="新宋体"/>
          <w:color w:val="0F0F0F"/>
          <w:sz w:val="24"/>
        </w:rPr>
        <w:t>人</w:t>
      </w:r>
      <w:r>
        <w:rPr>
          <w:rFonts w:ascii="新宋体" w:hAnsi="宋体" w:eastAsia="新宋体"/>
          <w:color w:val="0F0F0F"/>
          <w:sz w:val="24"/>
        </w:rPr>
        <w:t>： (</w:t>
      </w:r>
      <w:r>
        <w:rPr>
          <w:rFonts w:hint="eastAsia" w:ascii="新宋体" w:hAnsi="宋体" w:eastAsia="新宋体"/>
          <w:color w:val="0F0F0F"/>
          <w:sz w:val="24"/>
        </w:rPr>
        <w:t>盖</w:t>
      </w:r>
      <w:r>
        <w:rPr>
          <w:rFonts w:ascii="新宋体" w:hAnsi="宋体" w:eastAsia="新宋体"/>
          <w:color w:val="0F0F0F"/>
          <w:sz w:val="24"/>
        </w:rPr>
        <w:t>单位章)承包人： (</w:t>
      </w:r>
      <w:r>
        <w:rPr>
          <w:rFonts w:hint="eastAsia" w:ascii="新宋体" w:hAnsi="宋体" w:eastAsia="新宋体"/>
          <w:color w:val="0F0F0F"/>
          <w:sz w:val="24"/>
        </w:rPr>
        <w:t>盖</w:t>
      </w:r>
      <w:r>
        <w:rPr>
          <w:rFonts w:ascii="新宋体" w:hAnsi="宋体" w:eastAsia="新宋体"/>
          <w:color w:val="0F0F0F"/>
          <w:sz w:val="24"/>
        </w:rPr>
        <w:t>单位章)</w:t>
      </w:r>
    </w:p>
    <w:p w14:paraId="4B79E654">
      <w:pPr>
        <w:spacing w:line="400" w:lineRule="exact"/>
        <w:rPr>
          <w:rFonts w:ascii="新宋体" w:hAnsi="宋体" w:eastAsia="新宋体"/>
          <w:color w:val="0F0F0F"/>
          <w:sz w:val="24"/>
        </w:rPr>
      </w:pPr>
    </w:p>
    <w:p w14:paraId="46F5223E">
      <w:pPr>
        <w:spacing w:line="400" w:lineRule="exact"/>
        <w:rPr>
          <w:rFonts w:ascii="新宋体" w:hAnsi="宋体" w:eastAsia="新宋体"/>
          <w:color w:val="0F0F0F"/>
          <w:sz w:val="24"/>
        </w:rPr>
      </w:pPr>
      <w:r>
        <w:rPr>
          <w:rFonts w:ascii="新宋体" w:hAnsi="宋体" w:eastAsia="新宋体"/>
          <w:color w:val="0F0F0F"/>
          <w:sz w:val="24"/>
        </w:rPr>
        <w:t>法定代表人</w:t>
      </w:r>
      <w:r>
        <w:rPr>
          <w:rFonts w:hint="eastAsia" w:ascii="新宋体" w:hAnsi="宋体" w:eastAsia="新宋体"/>
          <w:color w:val="0F0F0F"/>
          <w:sz w:val="24"/>
        </w:rPr>
        <w:t>或其委托代理</w:t>
      </w:r>
      <w:r>
        <w:rPr>
          <w:rFonts w:ascii="新宋体" w:hAnsi="宋体" w:eastAsia="新宋体"/>
          <w:color w:val="0F0F0F"/>
          <w:sz w:val="24"/>
        </w:rPr>
        <w:t>人： (签字) 法定代表人</w:t>
      </w:r>
      <w:r>
        <w:rPr>
          <w:rFonts w:hint="eastAsia" w:ascii="新宋体" w:hAnsi="宋体" w:eastAsia="新宋体"/>
          <w:color w:val="0F0F0F"/>
          <w:sz w:val="24"/>
        </w:rPr>
        <w:t>或其委托代理</w:t>
      </w:r>
      <w:r>
        <w:rPr>
          <w:rFonts w:ascii="新宋体" w:hAnsi="宋体" w:eastAsia="新宋体"/>
          <w:color w:val="0F0F0F"/>
          <w:sz w:val="24"/>
        </w:rPr>
        <w:t>人： (签字)</w:t>
      </w:r>
    </w:p>
    <w:p w14:paraId="0622A1DB">
      <w:pPr>
        <w:spacing w:line="400" w:lineRule="exact"/>
        <w:ind w:firstLine="523" w:firstLineChars="218"/>
        <w:rPr>
          <w:rFonts w:ascii="新宋体" w:hAnsi="宋体" w:eastAsia="新宋体"/>
          <w:color w:val="0F0F0F"/>
          <w:sz w:val="24"/>
        </w:rPr>
      </w:pPr>
      <w:r>
        <w:rPr>
          <w:rFonts w:ascii="新宋体" w:hAnsi="宋体" w:eastAsia="新宋体"/>
          <w:color w:val="0F0F0F"/>
          <w:sz w:val="24"/>
        </w:rPr>
        <w:t>年月日    年月日</w:t>
      </w:r>
    </w:p>
    <w:p w14:paraId="1E07C6DA">
      <w:pPr>
        <w:spacing w:line="400" w:lineRule="exact"/>
        <w:rPr>
          <w:rFonts w:ascii="新宋体" w:hAnsi="宋体" w:eastAsia="新宋体"/>
          <w:color w:val="0F0F0F"/>
          <w:sz w:val="24"/>
        </w:rPr>
      </w:pPr>
    </w:p>
    <w:p w14:paraId="1422D4B7">
      <w:pPr>
        <w:spacing w:line="400" w:lineRule="exact"/>
        <w:rPr>
          <w:rFonts w:ascii="新宋体" w:hAnsi="宋体" w:eastAsia="新宋体"/>
          <w:color w:val="0F0F0F"/>
          <w:sz w:val="24"/>
        </w:rPr>
      </w:pPr>
      <w:r>
        <w:rPr>
          <w:rFonts w:ascii="新宋体" w:hAnsi="宋体" w:eastAsia="新宋体"/>
          <w:color w:val="0F0F0F"/>
          <w:sz w:val="24"/>
        </w:rPr>
        <w:t>发包</w:t>
      </w:r>
      <w:r>
        <w:rPr>
          <w:rFonts w:hint="eastAsia" w:ascii="新宋体" w:hAnsi="宋体" w:eastAsia="新宋体"/>
          <w:color w:val="0F0F0F"/>
          <w:sz w:val="24"/>
        </w:rPr>
        <w:t>人</w:t>
      </w:r>
      <w:r>
        <w:rPr>
          <w:rFonts w:ascii="新宋体" w:hAnsi="宋体" w:eastAsia="新宋体"/>
          <w:color w:val="0F0F0F"/>
          <w:sz w:val="24"/>
        </w:rPr>
        <w:t>监督单位：</w:t>
      </w:r>
      <w:r>
        <w:rPr>
          <w:rFonts w:hint="eastAsia" w:ascii="新宋体" w:hAnsi="宋体" w:eastAsia="新宋体"/>
          <w:color w:val="0F0F0F"/>
          <w:sz w:val="24"/>
          <w:u w:val="single"/>
        </w:rPr>
        <w:t>（全称）（盖单位章）</w:t>
      </w:r>
      <w:r>
        <w:rPr>
          <w:rFonts w:hint="eastAsia" w:ascii="新宋体" w:hAnsi="宋体" w:eastAsia="新宋体"/>
          <w:color w:val="0F0F0F"/>
          <w:sz w:val="24"/>
        </w:rPr>
        <w:t xml:space="preserve">  承</w:t>
      </w:r>
      <w:r>
        <w:rPr>
          <w:rFonts w:ascii="新宋体" w:hAnsi="宋体" w:eastAsia="新宋体"/>
          <w:color w:val="0F0F0F"/>
          <w:sz w:val="24"/>
        </w:rPr>
        <w:t>包</w:t>
      </w:r>
      <w:r>
        <w:rPr>
          <w:rFonts w:hint="eastAsia" w:ascii="新宋体" w:hAnsi="宋体" w:eastAsia="新宋体"/>
          <w:color w:val="0F0F0F"/>
          <w:sz w:val="24"/>
        </w:rPr>
        <w:t>人</w:t>
      </w:r>
      <w:r>
        <w:rPr>
          <w:rFonts w:ascii="新宋体" w:hAnsi="宋体" w:eastAsia="新宋体"/>
          <w:color w:val="0F0F0F"/>
          <w:sz w:val="24"/>
        </w:rPr>
        <w:t>监督单位：</w:t>
      </w:r>
      <w:r>
        <w:rPr>
          <w:rFonts w:hint="eastAsia" w:ascii="新宋体" w:hAnsi="宋体" w:eastAsia="新宋体"/>
          <w:color w:val="0F0F0F"/>
          <w:sz w:val="24"/>
          <w:u w:val="single"/>
        </w:rPr>
        <w:t>（全称）（盖单位章）</w:t>
      </w:r>
    </w:p>
    <w:p w14:paraId="1E36E0E9">
      <w:pPr>
        <w:rPr>
          <w:rFonts w:ascii="新宋体" w:hAnsi="宋体" w:eastAsia="新宋体"/>
          <w:b/>
          <w:color w:val="0F0F0F"/>
          <w:sz w:val="25"/>
          <w:szCs w:val="32"/>
        </w:rPr>
      </w:pPr>
    </w:p>
    <w:p w14:paraId="2722E1EC">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附件三 安全生产合同</w:t>
      </w:r>
    </w:p>
    <w:p w14:paraId="3FFB14A8">
      <w:pPr>
        <w:jc w:val="center"/>
        <w:rPr>
          <w:rFonts w:ascii="新宋体" w:eastAsia="新宋体"/>
          <w:b/>
          <w:color w:val="0F0F0F"/>
          <w:sz w:val="32"/>
          <w:szCs w:val="32"/>
        </w:rPr>
      </w:pPr>
      <w:r>
        <w:rPr>
          <w:rFonts w:hint="eastAsia" w:ascii="新宋体" w:eastAsia="新宋体"/>
          <w:b/>
          <w:color w:val="0F0F0F"/>
          <w:sz w:val="32"/>
          <w:szCs w:val="32"/>
        </w:rPr>
        <w:t>安全生产合同</w:t>
      </w:r>
    </w:p>
    <w:p w14:paraId="140BB377">
      <w:pPr>
        <w:spacing w:line="400" w:lineRule="exact"/>
        <w:ind w:firstLine="523" w:firstLineChars="218"/>
        <w:rPr>
          <w:rFonts w:ascii="新宋体" w:hAnsi="宋体" w:eastAsia="新宋体"/>
          <w:color w:val="0F0F0F"/>
          <w:sz w:val="24"/>
        </w:rPr>
      </w:pPr>
      <w:r>
        <w:rPr>
          <w:rFonts w:ascii="新宋体" w:hAnsi="宋体" w:eastAsia="新宋体"/>
          <w:color w:val="0F0F0F"/>
          <w:sz w:val="24"/>
        </w:rPr>
        <w:t>为在(项目名称)标段施工合弼的实施过程中创造安全、高效</w:t>
      </w:r>
      <w:r>
        <w:rPr>
          <w:rFonts w:hint="eastAsia" w:ascii="新宋体" w:hAnsi="宋体" w:eastAsia="新宋体"/>
          <w:color w:val="0F0F0F"/>
          <w:sz w:val="24"/>
        </w:rPr>
        <w:t>的施工环境，切实搞好本项酲的安会管理工作，本项目发包人</w:t>
      </w:r>
      <w:r>
        <w:rPr>
          <w:rFonts w:ascii="新宋体" w:hAnsi="宋体" w:eastAsia="新宋体"/>
          <w:color w:val="0F0F0F"/>
          <w:sz w:val="24"/>
        </w:rPr>
        <w:t xml:space="preserve"> (发包人名称，</w:t>
      </w:r>
      <w:r>
        <w:rPr>
          <w:rFonts w:hint="eastAsia" w:ascii="新宋体" w:hAnsi="宋体" w:eastAsia="新宋体"/>
          <w:color w:val="0F0F0F"/>
          <w:sz w:val="24"/>
        </w:rPr>
        <w:t>以下简称“发包人”</w:t>
      </w:r>
      <w:r>
        <w:rPr>
          <w:rFonts w:ascii="新宋体" w:hAnsi="宋体" w:eastAsia="新宋体"/>
          <w:color w:val="0F0F0F"/>
          <w:sz w:val="24"/>
        </w:rPr>
        <w:t>)与承包人(承包人名称，以下简称“承包人”)特此签订</w:t>
      </w:r>
      <w:r>
        <w:rPr>
          <w:rFonts w:hint="eastAsia" w:ascii="新宋体" w:hAnsi="宋体" w:eastAsia="新宋体"/>
          <w:color w:val="0F0F0F"/>
          <w:sz w:val="24"/>
        </w:rPr>
        <w:t>安全生产合同：</w:t>
      </w:r>
    </w:p>
    <w:p w14:paraId="1AFCB38A">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1．发包人职资</w:t>
      </w:r>
    </w:p>
    <w:p w14:paraId="1F8234A5">
      <w:pPr>
        <w:spacing w:line="400" w:lineRule="exact"/>
        <w:ind w:firstLine="523" w:firstLineChars="218"/>
        <w:rPr>
          <w:rFonts w:ascii="新宋体" w:hAnsi="宋体" w:eastAsia="新宋体"/>
          <w:color w:val="0F0F0F"/>
          <w:sz w:val="24"/>
        </w:rPr>
      </w:pPr>
      <w:r>
        <w:rPr>
          <w:rFonts w:ascii="新宋体" w:hAnsi="宋体" w:eastAsia="新宋体"/>
          <w:color w:val="0F0F0F"/>
          <w:sz w:val="24"/>
        </w:rPr>
        <w:t>(1)严格遵守嗣家有关安全生产的法律法规，认真执行工程承包合同中的有关安</w:t>
      </w:r>
      <w:r>
        <w:rPr>
          <w:rFonts w:hint="eastAsia" w:ascii="新宋体" w:hAnsi="宋体" w:eastAsia="新宋体"/>
          <w:color w:val="0F0F0F"/>
          <w:sz w:val="24"/>
        </w:rPr>
        <w:t>全要求。</w:t>
      </w:r>
    </w:p>
    <w:p w14:paraId="71CC1AE3">
      <w:pPr>
        <w:spacing w:line="400" w:lineRule="exact"/>
        <w:ind w:firstLine="523" w:firstLineChars="218"/>
        <w:rPr>
          <w:rFonts w:ascii="新宋体" w:hAnsi="宋体" w:eastAsia="新宋体"/>
          <w:color w:val="0F0F0F"/>
          <w:sz w:val="24"/>
        </w:rPr>
      </w:pPr>
      <w:r>
        <w:rPr>
          <w:rFonts w:ascii="新宋体" w:hAnsi="宋体" w:eastAsia="新宋体"/>
          <w:color w:val="0F0F0F"/>
          <w:sz w:val="24"/>
        </w:rPr>
        <w:t>(2)按照“安全第一、预防为主”和坚持“管生产必须管安全”的原则进行安全生产</w:t>
      </w:r>
      <w:r>
        <w:rPr>
          <w:rFonts w:hint="eastAsia" w:ascii="新宋体" w:hAnsi="宋体" w:eastAsia="新宋体"/>
          <w:color w:val="0F0F0F"/>
          <w:sz w:val="24"/>
        </w:rPr>
        <w:t>管理，做到生产与安全工作同时计划、布置、检查、总结和评比。</w:t>
      </w:r>
    </w:p>
    <w:p w14:paraId="5D8AB492">
      <w:pPr>
        <w:spacing w:line="400" w:lineRule="exact"/>
        <w:ind w:firstLine="523" w:firstLineChars="218"/>
        <w:rPr>
          <w:rFonts w:ascii="新宋体" w:hAnsi="宋体" w:eastAsia="新宋体"/>
          <w:color w:val="0F0F0F"/>
          <w:sz w:val="24"/>
        </w:rPr>
      </w:pPr>
      <w:r>
        <w:rPr>
          <w:rFonts w:ascii="新宋体" w:hAnsi="宋体" w:eastAsia="新宋体"/>
          <w:color w:val="0F0F0F"/>
          <w:sz w:val="24"/>
        </w:rPr>
        <w:t>(3)重要的安全设施必须坚持与主体</w:t>
      </w:r>
      <w:r>
        <w:rPr>
          <w:rFonts w:hint="eastAsia" w:ascii="新宋体" w:hAnsi="宋体" w:eastAsia="新宋体"/>
          <w:color w:val="0F0F0F"/>
          <w:sz w:val="24"/>
        </w:rPr>
        <w:t>工程</w:t>
      </w:r>
      <w:r>
        <w:rPr>
          <w:rFonts w:ascii="新宋体" w:hAnsi="宋体" w:eastAsia="新宋体"/>
          <w:color w:val="0F0F0F"/>
          <w:sz w:val="24"/>
        </w:rPr>
        <w:t>“三同时”的原</w:t>
      </w:r>
      <w:r>
        <w:rPr>
          <w:rFonts w:hint="eastAsia" w:ascii="新宋体" w:hAnsi="宋体" w:eastAsia="新宋体"/>
          <w:color w:val="0F0F0F"/>
          <w:sz w:val="24"/>
        </w:rPr>
        <w:t>则</w:t>
      </w:r>
      <w:r>
        <w:rPr>
          <w:rFonts w:ascii="新宋体" w:hAnsi="宋体" w:eastAsia="新宋体"/>
          <w:color w:val="0F0F0F"/>
          <w:sz w:val="24"/>
        </w:rPr>
        <w:t>，即：同</w:t>
      </w:r>
      <w:r>
        <w:rPr>
          <w:rFonts w:hint="eastAsia" w:ascii="新宋体" w:hAnsi="宋体" w:eastAsia="新宋体"/>
          <w:color w:val="0F0F0F"/>
          <w:sz w:val="24"/>
        </w:rPr>
        <w:t>时</w:t>
      </w:r>
      <w:r>
        <w:rPr>
          <w:rFonts w:ascii="新宋体" w:hAnsi="宋体" w:eastAsia="新宋体"/>
          <w:color w:val="0F0F0F"/>
          <w:sz w:val="24"/>
        </w:rPr>
        <w:t>设计、审批，同</w:t>
      </w:r>
      <w:r>
        <w:rPr>
          <w:rFonts w:hint="eastAsia" w:ascii="新宋体" w:hAnsi="宋体" w:eastAsia="新宋体"/>
          <w:color w:val="0F0F0F"/>
          <w:sz w:val="24"/>
        </w:rPr>
        <w:t>时施工，同时验收，投人使用。</w:t>
      </w:r>
    </w:p>
    <w:p w14:paraId="28C3BB92">
      <w:pPr>
        <w:spacing w:line="400" w:lineRule="exact"/>
        <w:ind w:firstLine="523" w:firstLineChars="218"/>
        <w:rPr>
          <w:rFonts w:ascii="新宋体" w:hAnsi="宋体" w:eastAsia="新宋体"/>
          <w:color w:val="0F0F0F"/>
          <w:sz w:val="24"/>
        </w:rPr>
      </w:pPr>
      <w:r>
        <w:rPr>
          <w:rFonts w:ascii="新宋体" w:hAnsi="宋体" w:eastAsia="新宋体"/>
          <w:color w:val="0F0F0F"/>
          <w:sz w:val="24"/>
        </w:rPr>
        <w:t>(4)定期</w:t>
      </w:r>
      <w:r>
        <w:rPr>
          <w:rFonts w:hint="eastAsia" w:ascii="新宋体" w:hAnsi="宋体" w:eastAsia="新宋体"/>
          <w:color w:val="0F0F0F"/>
          <w:sz w:val="24"/>
        </w:rPr>
        <w:t>召</w:t>
      </w:r>
      <w:r>
        <w:rPr>
          <w:rFonts w:ascii="新宋体" w:hAnsi="宋体" w:eastAsia="新宋体"/>
          <w:color w:val="0F0F0F"/>
          <w:sz w:val="24"/>
        </w:rPr>
        <w:t>开安全生产调度会，及时传达中央及地方有关安全生产的精神。</w:t>
      </w:r>
    </w:p>
    <w:p w14:paraId="76A8939B">
      <w:pPr>
        <w:spacing w:line="400" w:lineRule="exact"/>
        <w:ind w:firstLine="523" w:firstLineChars="218"/>
        <w:rPr>
          <w:rFonts w:ascii="新宋体" w:hAnsi="宋体" w:eastAsia="新宋体"/>
          <w:color w:val="0F0F0F"/>
          <w:sz w:val="24"/>
        </w:rPr>
      </w:pPr>
      <w:r>
        <w:rPr>
          <w:rFonts w:ascii="新宋体" w:hAnsi="宋体" w:eastAsia="新宋体"/>
          <w:color w:val="0F0F0F"/>
          <w:sz w:val="24"/>
        </w:rPr>
        <w:t>(5)组织对承包人施工现场进行安全生产检查，监督承包人及时处理发现的</w:t>
      </w:r>
      <w:r>
        <w:rPr>
          <w:rFonts w:hint="eastAsia" w:ascii="新宋体" w:hAnsi="宋体" w:eastAsia="新宋体"/>
          <w:color w:val="0F0F0F"/>
          <w:sz w:val="24"/>
        </w:rPr>
        <w:t>各</w:t>
      </w:r>
      <w:r>
        <w:rPr>
          <w:rFonts w:ascii="新宋体" w:hAnsi="宋体" w:eastAsia="新宋体"/>
          <w:color w:val="0F0F0F"/>
          <w:sz w:val="24"/>
        </w:rPr>
        <w:t>种</w:t>
      </w:r>
      <w:r>
        <w:rPr>
          <w:rFonts w:hint="eastAsia" w:ascii="新宋体" w:hAnsi="宋体" w:eastAsia="新宋体"/>
          <w:color w:val="0F0F0F"/>
          <w:sz w:val="24"/>
        </w:rPr>
        <w:t>安全隐患。</w:t>
      </w:r>
    </w:p>
    <w:p w14:paraId="296928BD">
      <w:pPr>
        <w:spacing w:line="400" w:lineRule="exact"/>
        <w:ind w:firstLine="523" w:firstLineChars="218"/>
        <w:rPr>
          <w:rFonts w:ascii="新宋体" w:hAnsi="宋体" w:eastAsia="新宋体"/>
          <w:color w:val="0F0F0F"/>
          <w:sz w:val="24"/>
        </w:rPr>
      </w:pPr>
      <w:r>
        <w:rPr>
          <w:rFonts w:ascii="新宋体" w:hAnsi="宋体" w:eastAsia="新宋体"/>
          <w:color w:val="0F0F0F"/>
          <w:sz w:val="24"/>
        </w:rPr>
        <w:t>2．承包人职责</w:t>
      </w:r>
    </w:p>
    <w:p w14:paraId="3474BA3E">
      <w:pPr>
        <w:spacing w:line="400" w:lineRule="exact"/>
        <w:ind w:firstLine="523" w:firstLineChars="218"/>
        <w:rPr>
          <w:rFonts w:ascii="新宋体" w:hAnsi="宋体" w:eastAsia="新宋体"/>
          <w:color w:val="0F0F0F"/>
          <w:sz w:val="24"/>
        </w:rPr>
      </w:pPr>
      <w:r>
        <w:rPr>
          <w:rFonts w:ascii="新宋体" w:hAnsi="宋体" w:eastAsia="新宋体"/>
          <w:color w:val="0F0F0F"/>
          <w:sz w:val="24"/>
        </w:rPr>
        <w:t>(1)严格遵守《中华人民共和</w:t>
      </w:r>
      <w:r>
        <w:rPr>
          <w:rFonts w:hint="eastAsia" w:ascii="新宋体" w:hAnsi="宋体" w:eastAsia="新宋体"/>
          <w:color w:val="0F0F0F"/>
          <w:sz w:val="24"/>
        </w:rPr>
        <w:t>国</w:t>
      </w:r>
      <w:r>
        <w:rPr>
          <w:rFonts w:ascii="新宋体" w:hAnsi="宋体" w:eastAsia="新宋体"/>
          <w:color w:val="0F0F0F"/>
          <w:sz w:val="24"/>
        </w:rPr>
        <w:t>安全生产法》、《建设工程安全生产管理条例》等国</w:t>
      </w:r>
      <w:r>
        <w:rPr>
          <w:rFonts w:hint="eastAsia" w:ascii="新宋体" w:hAnsi="宋体" w:eastAsia="新宋体"/>
          <w:color w:val="0F0F0F"/>
          <w:sz w:val="24"/>
        </w:rPr>
        <w:t>家有关安全生产的法律法规、《公路水运工程安全生产监督管理办法》、《公路工程施工安全技术规程》和《公路筑养路机械操作规程》等有关安全生产的规定。认真执行工程承包合同中的有关安全要求。</w:t>
      </w:r>
    </w:p>
    <w:p w14:paraId="553BBE28">
      <w:pPr>
        <w:spacing w:line="400" w:lineRule="exact"/>
        <w:ind w:firstLine="523" w:firstLineChars="218"/>
        <w:rPr>
          <w:rFonts w:ascii="新宋体" w:hAnsi="宋体" w:eastAsia="新宋体"/>
          <w:color w:val="0F0F0F"/>
          <w:sz w:val="24"/>
        </w:rPr>
      </w:pPr>
      <w:r>
        <w:rPr>
          <w:rFonts w:ascii="新宋体" w:hAnsi="宋体" w:eastAsia="新宋体"/>
          <w:color w:val="0F0F0F"/>
          <w:sz w:val="24"/>
        </w:rPr>
        <w:t>(2)坚持“安全第一、预防为主”和“管生产必须管安全”的原则，加强安全生产</w:t>
      </w:r>
      <w:r>
        <w:rPr>
          <w:rFonts w:hint="eastAsia" w:ascii="新宋体" w:hAnsi="宋体" w:eastAsia="新宋体"/>
          <w:color w:val="0F0F0F"/>
          <w:sz w:val="24"/>
        </w:rPr>
        <w:t>宣</w:t>
      </w:r>
      <w:r>
        <w:rPr>
          <w:rFonts w:ascii="新宋体" w:hAnsi="宋体" w:eastAsia="新宋体"/>
          <w:color w:val="0F0F0F"/>
          <w:sz w:val="24"/>
        </w:rPr>
        <w:t>传</w:t>
      </w:r>
      <w:r>
        <w:rPr>
          <w:rFonts w:hint="eastAsia" w:ascii="新宋体" w:hAnsi="宋体" w:eastAsia="新宋体"/>
          <w:color w:val="0F0F0F"/>
          <w:sz w:val="24"/>
        </w:rPr>
        <w:t>教育，增强全员安全生产意识，建立健全各项安全生产的管理机构和安全生产管理制度，配备专职及兼职安全检查人员，有组织有领导地开展安全生产活动。各级领导、工程技术人员、生产管理人员和具体操作人员，必须熟悉和遵守本合同的各项规定，做到生产与安全工作同时计划、布置、检查、总结和评比。</w:t>
      </w:r>
    </w:p>
    <w:p w14:paraId="7FB3C9AE">
      <w:pPr>
        <w:spacing w:line="400" w:lineRule="exact"/>
        <w:ind w:firstLine="523" w:firstLineChars="218"/>
        <w:rPr>
          <w:rFonts w:ascii="新宋体" w:hAnsi="宋体" w:eastAsia="新宋体"/>
          <w:color w:val="0F0F0F"/>
          <w:sz w:val="24"/>
        </w:rPr>
      </w:pPr>
      <w:r>
        <w:rPr>
          <w:rFonts w:ascii="新宋体" w:hAnsi="宋体" w:eastAsia="新宋体"/>
          <w:color w:val="0F0F0F"/>
          <w:sz w:val="24"/>
        </w:rPr>
        <w:t>(3)建立健全安全生产责任制</w:t>
      </w:r>
      <w:r>
        <w:rPr>
          <w:rFonts w:hint="eastAsia" w:ascii="新宋体" w:hAnsi="宋体" w:eastAsia="新宋体"/>
          <w:color w:val="0F0F0F"/>
          <w:sz w:val="24"/>
        </w:rPr>
        <w:t>。从派往项目实施的项目经理到生产工人</w:t>
      </w:r>
      <w:r>
        <w:rPr>
          <w:rFonts w:ascii="新宋体" w:hAnsi="宋体" w:eastAsia="新宋体"/>
          <w:color w:val="0F0F0F"/>
          <w:sz w:val="24"/>
        </w:rPr>
        <w:t>(包括临</w:t>
      </w:r>
      <w:r>
        <w:rPr>
          <w:rFonts w:hint="eastAsia" w:ascii="新宋体" w:hAnsi="宋体" w:eastAsia="新宋体"/>
          <w:color w:val="0F0F0F"/>
          <w:sz w:val="24"/>
        </w:rPr>
        <w:t>时雇请的民工</w:t>
      </w:r>
      <w:r>
        <w:rPr>
          <w:rFonts w:ascii="新宋体" w:hAnsi="宋体" w:eastAsia="新宋体"/>
          <w:color w:val="0F0F0F"/>
          <w:sz w:val="24"/>
        </w:rPr>
        <w:t>)的安全生产管理系统必须做到纵向到底，一环不漏；各职能部门、人员的</w:t>
      </w:r>
      <w:r>
        <w:rPr>
          <w:rFonts w:hint="eastAsia" w:ascii="新宋体" w:hAnsi="宋体" w:eastAsia="新宋体"/>
          <w:color w:val="0F0F0F"/>
          <w:sz w:val="24"/>
        </w:rPr>
        <w:t>安全生产责任制做到横向到边，人人有责。项目经理是安全生产的第一责任人。现场设置的安全机构，应按《公路水运工</w:t>
      </w:r>
      <w:r>
        <w:rPr>
          <w:rFonts w:ascii="新宋体" w:hAnsi="宋体" w:eastAsia="新宋体"/>
          <w:color w:val="0F0F0F"/>
          <w:sz w:val="24"/>
        </w:rPr>
        <w:t>程安全生产监督管理办法》规定的最低数</w:t>
      </w:r>
      <w:r>
        <w:rPr>
          <w:rFonts w:hint="eastAsia" w:ascii="新宋体" w:hAnsi="宋体" w:eastAsia="新宋体"/>
          <w:color w:val="0F0F0F"/>
          <w:sz w:val="24"/>
        </w:rPr>
        <w:t>量</w:t>
      </w:r>
      <w:r>
        <w:rPr>
          <w:rFonts w:ascii="新宋体" w:hAnsi="宋体" w:eastAsia="新宋体"/>
          <w:color w:val="0F0F0F"/>
          <w:sz w:val="24"/>
        </w:rPr>
        <w:t>和资质</w:t>
      </w:r>
      <w:r>
        <w:rPr>
          <w:rFonts w:hint="eastAsia" w:ascii="新宋体" w:hAnsi="宋体" w:eastAsia="新宋体"/>
          <w:color w:val="0F0F0F"/>
          <w:sz w:val="24"/>
        </w:rPr>
        <w:t>条件配备专职安全生产管理人员，专职负责所有员工</w:t>
      </w:r>
      <w:r>
        <w:rPr>
          <w:rFonts w:ascii="新宋体" w:hAnsi="宋体" w:eastAsia="新宋体"/>
          <w:color w:val="0F0F0F"/>
          <w:sz w:val="24"/>
        </w:rPr>
        <w:t>的安全和治安保</w:t>
      </w:r>
      <w:r>
        <w:rPr>
          <w:rFonts w:hint="eastAsia" w:ascii="新宋体" w:hAnsi="宋体" w:eastAsia="新宋体"/>
          <w:color w:val="0F0F0F"/>
          <w:sz w:val="24"/>
        </w:rPr>
        <w:t>卫</w:t>
      </w:r>
      <w:r>
        <w:rPr>
          <w:rFonts w:ascii="新宋体" w:hAnsi="宋体" w:eastAsia="新宋体"/>
          <w:color w:val="0F0F0F"/>
          <w:sz w:val="24"/>
        </w:rPr>
        <w:t>工作及预防事</w:t>
      </w:r>
      <w:r>
        <w:rPr>
          <w:rFonts w:hint="eastAsia" w:ascii="新宋体" w:hAnsi="宋体" w:eastAsia="新宋体"/>
          <w:color w:val="0F0F0F"/>
          <w:sz w:val="24"/>
        </w:rPr>
        <w:t>故的发生。安全机构人员有权按有关规定发布指令，并采取保护性措施防止事故发生。</w:t>
      </w:r>
    </w:p>
    <w:p w14:paraId="4BF82C73">
      <w:pPr>
        <w:spacing w:line="400" w:lineRule="exact"/>
        <w:ind w:firstLine="523" w:firstLineChars="218"/>
        <w:rPr>
          <w:rFonts w:ascii="新宋体" w:hAnsi="宋体" w:eastAsia="新宋体"/>
          <w:color w:val="0F0F0F"/>
          <w:sz w:val="24"/>
        </w:rPr>
      </w:pPr>
      <w:r>
        <w:rPr>
          <w:rFonts w:ascii="新宋体" w:hAnsi="宋体" w:eastAsia="新宋体"/>
          <w:color w:val="0F0F0F"/>
          <w:sz w:val="24"/>
        </w:rPr>
        <w:t>(4)承包人在任何时候都应采</w:t>
      </w:r>
      <w:r>
        <w:rPr>
          <w:rFonts w:hint="eastAsia" w:ascii="新宋体" w:hAnsi="宋体" w:eastAsia="新宋体"/>
          <w:color w:val="0F0F0F"/>
          <w:sz w:val="24"/>
        </w:rPr>
        <w:t>取</w:t>
      </w:r>
      <w:r>
        <w:rPr>
          <w:rFonts w:ascii="新宋体" w:hAnsi="宋体" w:eastAsia="新宋体"/>
          <w:color w:val="0F0F0F"/>
          <w:sz w:val="24"/>
        </w:rPr>
        <w:t>各种合理的预防</w:t>
      </w:r>
      <w:r>
        <w:rPr>
          <w:rFonts w:hint="eastAsia" w:ascii="新宋体" w:hAnsi="宋体" w:eastAsia="新宋体"/>
          <w:color w:val="0F0F0F"/>
          <w:sz w:val="24"/>
        </w:rPr>
        <w:t>措</w:t>
      </w:r>
      <w:r>
        <w:rPr>
          <w:rFonts w:ascii="新宋体" w:hAnsi="宋体" w:eastAsia="新宋体"/>
          <w:color w:val="0F0F0F"/>
          <w:sz w:val="24"/>
        </w:rPr>
        <w:t>施，防止其员工</w:t>
      </w:r>
      <w:r>
        <w:rPr>
          <w:rFonts w:hint="eastAsia" w:ascii="新宋体" w:hAnsi="宋体" w:eastAsia="新宋体"/>
          <w:color w:val="0F0F0F"/>
          <w:sz w:val="24"/>
        </w:rPr>
        <w:t>发生任何违法、违禁、爆力或妨碍治安的行为。</w:t>
      </w:r>
    </w:p>
    <w:p w14:paraId="3F263C41">
      <w:pPr>
        <w:spacing w:line="400" w:lineRule="exact"/>
        <w:ind w:firstLine="523" w:firstLineChars="218"/>
        <w:rPr>
          <w:rFonts w:ascii="新宋体" w:hAnsi="宋体" w:eastAsia="新宋体"/>
          <w:color w:val="0F0F0F"/>
          <w:sz w:val="24"/>
        </w:rPr>
      </w:pPr>
      <w:r>
        <w:rPr>
          <w:rFonts w:ascii="新宋体" w:hAnsi="宋体" w:eastAsia="新宋体"/>
          <w:color w:val="0F0F0F"/>
          <w:sz w:val="24"/>
        </w:rPr>
        <w:t>(5</w:t>
      </w:r>
      <w:r>
        <w:rPr>
          <w:rFonts w:hint="eastAsia" w:ascii="新宋体" w:hAnsi="宋体" w:eastAsia="新宋体"/>
          <w:color w:val="0F0F0F"/>
          <w:sz w:val="24"/>
        </w:rPr>
        <w:t>)</w:t>
      </w:r>
      <w:r>
        <w:rPr>
          <w:rFonts w:ascii="新宋体" w:hAnsi="宋体" w:eastAsia="新宋体"/>
          <w:color w:val="0F0F0F"/>
          <w:sz w:val="24"/>
        </w:rPr>
        <w:t>承包人必须具有劳动安全管理部门</w:t>
      </w:r>
      <w:r>
        <w:rPr>
          <w:rFonts w:hint="eastAsia" w:ascii="新宋体" w:hAnsi="宋体" w:eastAsia="新宋体"/>
          <w:color w:val="0F0F0F"/>
          <w:sz w:val="24"/>
        </w:rPr>
        <w:t>颁</w:t>
      </w:r>
      <w:r>
        <w:rPr>
          <w:rFonts w:ascii="新宋体" w:hAnsi="宋体" w:eastAsia="新宋体"/>
          <w:color w:val="0F0F0F"/>
          <w:sz w:val="24"/>
        </w:rPr>
        <w:t>发的</w:t>
      </w:r>
      <w:r>
        <w:rPr>
          <w:rFonts w:hint="eastAsia" w:ascii="新宋体" w:hAnsi="宋体" w:eastAsia="新宋体"/>
          <w:color w:val="0F0F0F"/>
          <w:sz w:val="24"/>
        </w:rPr>
        <w:t>安</w:t>
      </w:r>
      <w:r>
        <w:rPr>
          <w:rFonts w:ascii="新宋体" w:hAnsi="宋体" w:eastAsia="新宋体"/>
          <w:color w:val="0F0F0F"/>
          <w:sz w:val="24"/>
        </w:rPr>
        <w:t>全生产考核合格证书，参加施工</w:t>
      </w:r>
      <w:r>
        <w:rPr>
          <w:rFonts w:hint="eastAsia" w:ascii="新宋体" w:hAnsi="宋体" w:eastAsia="新宋体"/>
          <w:color w:val="0F0F0F"/>
          <w:sz w:val="24"/>
        </w:rPr>
        <w:t>的人员，必须接受安全技术教育，熟知和遵守本工种的各项安全技术操作规程，定期进行安全技术考核，合格者方准上岗操作。对于从事电气、起重、建筑登高架设作业、锅炉、压力容器、焊接、机动车船艇驾驶、爆破、潜水、瓦斯检验等特殊工种的人员，经过专业培训，获得《安全操作合格证</w:t>
      </w:r>
      <w:r>
        <w:rPr>
          <w:rFonts w:ascii="新宋体" w:hAnsi="宋体" w:eastAsia="新宋体"/>
          <w:color w:val="0F0F0F"/>
          <w:sz w:val="24"/>
        </w:rPr>
        <w:t>》后，方准持证上岗。施工现场如出现特种作业无证操作</w:t>
      </w:r>
      <w:r>
        <w:rPr>
          <w:rFonts w:hint="eastAsia" w:ascii="新宋体" w:hAnsi="宋体" w:eastAsia="新宋体"/>
          <w:color w:val="0F0F0F"/>
          <w:sz w:val="24"/>
        </w:rPr>
        <w:t>现象时，项目经理必须承担管理责任。</w:t>
      </w:r>
    </w:p>
    <w:p w14:paraId="75E4C8AA">
      <w:pPr>
        <w:spacing w:line="400" w:lineRule="exact"/>
        <w:ind w:firstLine="523" w:firstLineChars="218"/>
        <w:rPr>
          <w:rFonts w:ascii="新宋体" w:hAnsi="宋体" w:eastAsia="新宋体"/>
          <w:color w:val="0F0F0F"/>
          <w:sz w:val="24"/>
        </w:rPr>
      </w:pPr>
      <w:r>
        <w:rPr>
          <w:rFonts w:ascii="新宋体" w:hAnsi="宋体" w:eastAsia="新宋体"/>
          <w:color w:val="0F0F0F"/>
          <w:sz w:val="24"/>
        </w:rPr>
        <w:t>(6)对于易燃易爆的材料除应专门妥善保管之外，还</w:t>
      </w:r>
      <w:r>
        <w:rPr>
          <w:rFonts w:hint="eastAsia" w:ascii="新宋体" w:hAnsi="宋体" w:eastAsia="新宋体"/>
          <w:color w:val="0F0F0F"/>
          <w:sz w:val="24"/>
        </w:rPr>
        <w:t>应</w:t>
      </w:r>
      <w:r>
        <w:rPr>
          <w:rFonts w:ascii="新宋体" w:hAnsi="宋体" w:eastAsia="新宋体"/>
          <w:color w:val="0F0F0F"/>
          <w:sz w:val="24"/>
        </w:rPr>
        <w:t>配备有足够的消</w:t>
      </w:r>
      <w:r>
        <w:rPr>
          <w:rFonts w:hint="eastAsia" w:ascii="新宋体" w:hAnsi="宋体" w:eastAsia="新宋体"/>
          <w:color w:val="0F0F0F"/>
          <w:sz w:val="24"/>
        </w:rPr>
        <w:t>防设施，所有施工</w:t>
      </w:r>
      <w:r>
        <w:rPr>
          <w:rFonts w:ascii="新宋体" w:hAnsi="宋体" w:eastAsia="新宋体"/>
          <w:color w:val="0F0F0F"/>
          <w:sz w:val="24"/>
        </w:rPr>
        <w:t>人员都应熟悉消防设备的性能和使用方法；承包人不得将任何种类的爆炸物给</w:t>
      </w:r>
      <w:r>
        <w:rPr>
          <w:rFonts w:hint="eastAsia" w:ascii="新宋体" w:hAnsi="宋体" w:eastAsia="新宋体"/>
          <w:color w:val="0F0F0F"/>
          <w:sz w:val="24"/>
        </w:rPr>
        <w:t>予、易货或以其他方式转让给任何其他人，或允许、容忍上述同样行为。</w:t>
      </w:r>
    </w:p>
    <w:p w14:paraId="6D81233B">
      <w:pPr>
        <w:spacing w:line="400" w:lineRule="exact"/>
        <w:ind w:firstLine="523" w:firstLineChars="218"/>
        <w:rPr>
          <w:rFonts w:ascii="新宋体" w:hAnsi="宋体" w:eastAsia="新宋体"/>
          <w:color w:val="0F0F0F"/>
          <w:sz w:val="24"/>
        </w:rPr>
      </w:pPr>
      <w:r>
        <w:rPr>
          <w:rFonts w:ascii="新宋体" w:hAnsi="宋体" w:eastAsia="新宋体"/>
          <w:color w:val="0F0F0F"/>
          <w:sz w:val="24"/>
        </w:rPr>
        <w:t>(7)操作人员上岗，必须按规定穿戴防护用</w:t>
      </w:r>
      <w:r>
        <w:rPr>
          <w:rFonts w:hint="eastAsia" w:ascii="新宋体" w:hAnsi="宋体" w:eastAsia="新宋体"/>
          <w:color w:val="0F0F0F"/>
          <w:sz w:val="24"/>
        </w:rPr>
        <w:t>品</w:t>
      </w:r>
      <w:r>
        <w:rPr>
          <w:rFonts w:ascii="新宋体" w:hAnsi="宋体" w:eastAsia="新宋体"/>
          <w:color w:val="0F0F0F"/>
          <w:sz w:val="24"/>
        </w:rPr>
        <w:t>。施工负责人</w:t>
      </w:r>
      <w:r>
        <w:rPr>
          <w:rFonts w:hint="eastAsia" w:ascii="新宋体" w:hAnsi="宋体" w:eastAsia="新宋体"/>
          <w:color w:val="0F0F0F"/>
          <w:sz w:val="24"/>
        </w:rPr>
        <w:t>和</w:t>
      </w:r>
      <w:r>
        <w:rPr>
          <w:rFonts w:ascii="新宋体" w:hAnsi="宋体" w:eastAsia="新宋体"/>
          <w:color w:val="0F0F0F"/>
          <w:sz w:val="24"/>
        </w:rPr>
        <w:t>安全检查员应随时</w:t>
      </w:r>
      <w:r>
        <w:rPr>
          <w:rFonts w:hint="eastAsia" w:ascii="新宋体" w:hAnsi="宋体" w:eastAsia="新宋体"/>
          <w:color w:val="0F0F0F"/>
          <w:sz w:val="24"/>
        </w:rPr>
        <w:t>检查劳动防护用品的穿戴情况，不按规定穿戴防护用品的人员不得上岗。</w:t>
      </w:r>
    </w:p>
    <w:p w14:paraId="69C779DD">
      <w:pPr>
        <w:spacing w:line="400" w:lineRule="exact"/>
        <w:ind w:firstLine="523" w:firstLineChars="218"/>
        <w:rPr>
          <w:rFonts w:ascii="新宋体" w:hAnsi="宋体" w:eastAsia="新宋体"/>
          <w:color w:val="0F0F0F"/>
          <w:sz w:val="24"/>
        </w:rPr>
      </w:pPr>
      <w:r>
        <w:rPr>
          <w:rFonts w:ascii="新宋体" w:hAnsi="宋体" w:eastAsia="新宋体"/>
          <w:color w:val="0F0F0F"/>
          <w:sz w:val="24"/>
        </w:rPr>
        <w:t>(8)所有施工机具设备和高空作业的设备均应定期</w:t>
      </w:r>
      <w:r>
        <w:rPr>
          <w:rFonts w:hint="eastAsia" w:ascii="新宋体" w:hAnsi="宋体" w:eastAsia="新宋体"/>
          <w:color w:val="0F0F0F"/>
          <w:sz w:val="24"/>
        </w:rPr>
        <w:t>检查</w:t>
      </w:r>
      <w:r>
        <w:rPr>
          <w:rFonts w:ascii="新宋体" w:hAnsi="宋体" w:eastAsia="新宋体"/>
          <w:color w:val="0F0F0F"/>
          <w:sz w:val="24"/>
        </w:rPr>
        <w:t>，并有安全员的签字记录，</w:t>
      </w:r>
      <w:r>
        <w:rPr>
          <w:rFonts w:hint="eastAsia" w:ascii="新宋体" w:hAnsi="宋体" w:eastAsia="新宋体"/>
          <w:color w:val="0F0F0F"/>
          <w:sz w:val="24"/>
        </w:rPr>
        <w:t>保证其经常处予完好状态；不合格的机具、设备和劳动保护用品严禁使用。</w:t>
      </w:r>
    </w:p>
    <w:p w14:paraId="2FB988E8">
      <w:pPr>
        <w:spacing w:line="400" w:lineRule="exact"/>
        <w:ind w:firstLine="523" w:firstLineChars="218"/>
        <w:rPr>
          <w:rFonts w:ascii="新宋体" w:hAnsi="宋体" w:eastAsia="新宋体"/>
          <w:color w:val="0F0F0F"/>
          <w:sz w:val="24"/>
        </w:rPr>
      </w:pPr>
      <w:r>
        <w:rPr>
          <w:rFonts w:ascii="新宋体" w:hAnsi="宋体" w:eastAsia="新宋体"/>
          <w:color w:val="0F0F0F"/>
          <w:sz w:val="24"/>
        </w:rPr>
        <w:t>(9)施工</w:t>
      </w:r>
      <w:r>
        <w:rPr>
          <w:rFonts w:hint="eastAsia" w:ascii="新宋体" w:hAnsi="宋体" w:eastAsia="新宋体"/>
          <w:color w:val="0F0F0F"/>
          <w:sz w:val="24"/>
        </w:rPr>
        <w:t>中</w:t>
      </w:r>
      <w:r>
        <w:rPr>
          <w:rFonts w:ascii="新宋体" w:hAnsi="宋体" w:eastAsia="新宋体"/>
          <w:color w:val="0F0F0F"/>
          <w:sz w:val="24"/>
        </w:rPr>
        <w:t>采用新技术、新工艺、新设备、新材</w:t>
      </w:r>
      <w:r>
        <w:rPr>
          <w:rFonts w:hint="eastAsia" w:ascii="新宋体" w:hAnsi="宋体" w:eastAsia="新宋体"/>
          <w:color w:val="0F0F0F"/>
          <w:sz w:val="24"/>
        </w:rPr>
        <w:t>料时，必须制定相应的安全技术措施，施工现场必须具有相关的安全标志牌。</w:t>
      </w:r>
    </w:p>
    <w:p w14:paraId="27FA2A51">
      <w:pPr>
        <w:spacing w:line="400" w:lineRule="exact"/>
        <w:ind w:firstLine="523" w:firstLineChars="218"/>
        <w:rPr>
          <w:rFonts w:ascii="新宋体" w:hAnsi="宋体" w:eastAsia="新宋体"/>
          <w:color w:val="0F0F0F"/>
          <w:sz w:val="24"/>
        </w:rPr>
      </w:pPr>
      <w:r>
        <w:rPr>
          <w:rFonts w:ascii="新宋体" w:hAnsi="宋体" w:eastAsia="新宋体"/>
          <w:color w:val="0F0F0F"/>
          <w:sz w:val="24"/>
        </w:rPr>
        <w:t>(10)承包人必须按照本</w:t>
      </w:r>
      <w:r>
        <w:rPr>
          <w:rFonts w:hint="eastAsia" w:ascii="新宋体" w:hAnsi="宋体" w:eastAsia="新宋体"/>
          <w:color w:val="0F0F0F"/>
          <w:sz w:val="24"/>
        </w:rPr>
        <w:t>工</w:t>
      </w:r>
      <w:r>
        <w:rPr>
          <w:rFonts w:ascii="新宋体" w:hAnsi="宋体" w:eastAsia="新宋体"/>
          <w:color w:val="0F0F0F"/>
          <w:sz w:val="24"/>
        </w:rPr>
        <w:t>程项目特点，</w:t>
      </w:r>
      <w:r>
        <w:rPr>
          <w:rFonts w:hint="eastAsia" w:ascii="新宋体" w:hAnsi="宋体" w:eastAsia="新宋体"/>
          <w:color w:val="0F0F0F"/>
          <w:sz w:val="24"/>
        </w:rPr>
        <w:t>组</w:t>
      </w:r>
      <w:r>
        <w:rPr>
          <w:rFonts w:ascii="新宋体" w:hAnsi="宋体" w:eastAsia="新宋体"/>
          <w:color w:val="0F0F0F"/>
          <w:sz w:val="24"/>
        </w:rPr>
        <w:t>织制定本工程实施中的生产安全事故应</w:t>
      </w:r>
      <w:r>
        <w:rPr>
          <w:rFonts w:hint="eastAsia" w:ascii="新宋体" w:hAnsi="宋体" w:eastAsia="新宋体"/>
          <w:color w:val="0F0F0F"/>
          <w:sz w:val="24"/>
        </w:rPr>
        <w:t>急救援预案；如果发生安全事故，应按照《国务院关于特大安全事故行政责任追究的规定》以及其他有关规定，及时上报有关部</w:t>
      </w:r>
      <w:r>
        <w:rPr>
          <w:rFonts w:ascii="新宋体" w:hAnsi="宋体" w:eastAsia="新宋体"/>
          <w:color w:val="0F0F0F"/>
          <w:sz w:val="24"/>
        </w:rPr>
        <w:t>，并坚持“四不放过”的原则，严肃处理相关</w:t>
      </w:r>
      <w:r>
        <w:rPr>
          <w:rFonts w:hint="eastAsia" w:ascii="新宋体" w:hAnsi="宋体" w:eastAsia="新宋体"/>
          <w:color w:val="0F0F0F"/>
          <w:sz w:val="24"/>
        </w:rPr>
        <w:t>责任人。</w:t>
      </w:r>
    </w:p>
    <w:p w14:paraId="2A624B49">
      <w:pPr>
        <w:spacing w:line="400" w:lineRule="exact"/>
        <w:ind w:firstLine="523" w:firstLineChars="218"/>
        <w:rPr>
          <w:rFonts w:ascii="新宋体" w:hAnsi="宋体" w:eastAsia="新宋体"/>
          <w:color w:val="0F0F0F"/>
          <w:sz w:val="24"/>
        </w:rPr>
      </w:pPr>
      <w:r>
        <w:rPr>
          <w:rFonts w:ascii="新宋体" w:hAnsi="宋体" w:eastAsia="新宋体"/>
          <w:color w:val="0F0F0F"/>
          <w:sz w:val="24"/>
        </w:rPr>
        <w:t>(11)安全生产费用按照《公路水运工程安全生产监督管理办法》的</w:t>
      </w:r>
      <w:r>
        <w:rPr>
          <w:rFonts w:hint="eastAsia" w:ascii="新宋体" w:hAnsi="宋体" w:eastAsia="新宋体"/>
          <w:color w:val="0F0F0F"/>
          <w:sz w:val="24"/>
        </w:rPr>
        <w:t>相关使用和管理。</w:t>
      </w:r>
    </w:p>
    <w:p w14:paraId="55581E71">
      <w:pPr>
        <w:spacing w:line="400" w:lineRule="exact"/>
        <w:ind w:firstLine="523" w:firstLineChars="218"/>
        <w:rPr>
          <w:rFonts w:ascii="新宋体" w:hAnsi="宋体" w:eastAsia="新宋体"/>
          <w:color w:val="0F0F0F"/>
          <w:sz w:val="24"/>
        </w:rPr>
      </w:pPr>
      <w:r>
        <w:rPr>
          <w:rFonts w:ascii="新宋体" w:hAnsi="宋体" w:eastAsia="新宋体"/>
          <w:color w:val="0F0F0F"/>
          <w:sz w:val="24"/>
        </w:rPr>
        <w:t>3．违约责任</w:t>
      </w:r>
    </w:p>
    <w:p w14:paraId="00D07CE9">
      <w:pPr>
        <w:spacing w:line="400" w:lineRule="exact"/>
        <w:ind w:firstLine="523" w:firstLineChars="218"/>
        <w:rPr>
          <w:rFonts w:ascii="新宋体" w:hAnsi="宋体" w:eastAsia="新宋体"/>
          <w:color w:val="0F0F0F"/>
          <w:sz w:val="24"/>
        </w:rPr>
      </w:pPr>
      <w:r>
        <w:rPr>
          <w:rFonts w:ascii="新宋体" w:hAnsi="宋体" w:eastAsia="新宋体"/>
          <w:color w:val="0F0F0F"/>
          <w:sz w:val="24"/>
        </w:rPr>
        <w:t>如因发包人或承包人违约造成安全事故，将依法追究</w:t>
      </w:r>
      <w:r>
        <w:rPr>
          <w:rFonts w:hint="eastAsia" w:ascii="新宋体" w:hAnsi="宋体" w:eastAsia="新宋体"/>
          <w:color w:val="0F0F0F"/>
          <w:sz w:val="24"/>
        </w:rPr>
        <w:t>责</w:t>
      </w:r>
      <w:r>
        <w:rPr>
          <w:rFonts w:ascii="新宋体" w:hAnsi="宋体" w:eastAsia="新宋体"/>
          <w:color w:val="0F0F0F"/>
          <w:sz w:val="24"/>
        </w:rPr>
        <w:t>任。</w:t>
      </w:r>
    </w:p>
    <w:p w14:paraId="3BA0D242">
      <w:pPr>
        <w:spacing w:line="400" w:lineRule="exact"/>
        <w:ind w:firstLine="523" w:firstLineChars="218"/>
        <w:rPr>
          <w:rFonts w:ascii="新宋体" w:hAnsi="宋体" w:eastAsia="新宋体"/>
          <w:color w:val="0F0F0F"/>
          <w:sz w:val="24"/>
        </w:rPr>
      </w:pPr>
      <w:r>
        <w:rPr>
          <w:rFonts w:ascii="新宋体" w:hAnsi="宋体" w:eastAsia="新宋体"/>
          <w:color w:val="0F0F0F"/>
          <w:sz w:val="24"/>
        </w:rPr>
        <w:t>4．本</w:t>
      </w:r>
      <w:r>
        <w:rPr>
          <w:rFonts w:hint="eastAsia" w:ascii="新宋体" w:hAnsi="宋体" w:eastAsia="新宋体"/>
          <w:color w:val="0F0F0F"/>
          <w:sz w:val="24"/>
        </w:rPr>
        <w:t>合同由双方法定代表人或其授权的代理人签署并加盖单位章后生效，全部工程竣工验收后失效。</w:t>
      </w:r>
    </w:p>
    <w:p w14:paraId="6743386E">
      <w:pPr>
        <w:spacing w:line="400" w:lineRule="exact"/>
        <w:ind w:firstLine="523" w:firstLineChars="218"/>
        <w:rPr>
          <w:rFonts w:ascii="新宋体" w:hAnsi="宋体" w:eastAsia="新宋体"/>
          <w:color w:val="0F0F0F"/>
          <w:sz w:val="24"/>
        </w:rPr>
      </w:pPr>
      <w:r>
        <w:rPr>
          <w:rFonts w:ascii="新宋体" w:hAnsi="宋体" w:eastAsia="新宋体"/>
          <w:color w:val="0F0F0F"/>
          <w:sz w:val="24"/>
        </w:rPr>
        <w:t>5．本合同正本二份、副本份，合同双方各执正本一份，副本份，当正本</w:t>
      </w:r>
      <w:r>
        <w:rPr>
          <w:rFonts w:hint="eastAsia" w:ascii="新宋体" w:hAnsi="宋体" w:eastAsia="新宋体"/>
          <w:color w:val="0F0F0F"/>
          <w:sz w:val="24"/>
        </w:rPr>
        <w:t>与</w:t>
      </w:r>
      <w:r>
        <w:rPr>
          <w:rFonts w:ascii="新宋体" w:hAnsi="宋体" w:eastAsia="新宋体"/>
          <w:color w:val="0F0F0F"/>
          <w:sz w:val="24"/>
        </w:rPr>
        <w:t>副</w:t>
      </w:r>
      <w:r>
        <w:rPr>
          <w:rFonts w:hint="eastAsia" w:ascii="新宋体" w:hAnsi="宋体" w:eastAsia="新宋体"/>
          <w:color w:val="0F0F0F"/>
          <w:sz w:val="24"/>
        </w:rPr>
        <w:t>本的内容不一致时，以正本为准。</w:t>
      </w:r>
    </w:p>
    <w:p w14:paraId="0F59D267">
      <w:pPr>
        <w:spacing w:line="400" w:lineRule="exact"/>
        <w:rPr>
          <w:rFonts w:ascii="新宋体" w:hAnsi="宋体" w:eastAsia="新宋体"/>
          <w:color w:val="0F0F0F"/>
          <w:sz w:val="24"/>
        </w:rPr>
      </w:pPr>
    </w:p>
    <w:p w14:paraId="1F582BFD">
      <w:pPr>
        <w:spacing w:line="400" w:lineRule="exact"/>
        <w:rPr>
          <w:rFonts w:ascii="新宋体" w:hAnsi="宋体" w:eastAsia="新宋体"/>
          <w:color w:val="0F0F0F"/>
          <w:sz w:val="24"/>
        </w:rPr>
      </w:pPr>
      <w:r>
        <w:rPr>
          <w:rFonts w:hint="eastAsia" w:ascii="新宋体" w:hAnsi="宋体" w:eastAsia="新宋体"/>
          <w:color w:val="0F0F0F"/>
          <w:sz w:val="24"/>
        </w:rPr>
        <w:t>发包人：</w:t>
      </w:r>
      <w:r>
        <w:rPr>
          <w:rFonts w:ascii="新宋体" w:hAnsi="宋体" w:eastAsia="新宋体"/>
          <w:color w:val="0F0F0F"/>
          <w:sz w:val="24"/>
        </w:rPr>
        <w:t xml:space="preserve"> (</w:t>
      </w:r>
      <w:r>
        <w:rPr>
          <w:rFonts w:hint="eastAsia" w:ascii="新宋体" w:hAnsi="宋体" w:eastAsia="新宋体"/>
          <w:color w:val="0F0F0F"/>
          <w:sz w:val="24"/>
        </w:rPr>
        <w:t>盖</w:t>
      </w:r>
      <w:r>
        <w:rPr>
          <w:rFonts w:ascii="新宋体" w:hAnsi="宋体" w:eastAsia="新宋体"/>
          <w:color w:val="0F0F0F"/>
          <w:sz w:val="24"/>
        </w:rPr>
        <w:t>单位章)承包人： (</w:t>
      </w:r>
      <w:r>
        <w:rPr>
          <w:rFonts w:hint="eastAsia" w:ascii="新宋体" w:hAnsi="宋体" w:eastAsia="新宋体"/>
          <w:color w:val="0F0F0F"/>
          <w:sz w:val="24"/>
        </w:rPr>
        <w:t>盖</w:t>
      </w:r>
      <w:r>
        <w:rPr>
          <w:rFonts w:ascii="新宋体" w:hAnsi="宋体" w:eastAsia="新宋体"/>
          <w:color w:val="0F0F0F"/>
          <w:sz w:val="24"/>
        </w:rPr>
        <w:t>单位章)</w:t>
      </w:r>
    </w:p>
    <w:p w14:paraId="7B993AA8">
      <w:pPr>
        <w:spacing w:line="400" w:lineRule="exact"/>
        <w:rPr>
          <w:rFonts w:ascii="新宋体" w:hAnsi="宋体" w:eastAsia="新宋体"/>
          <w:color w:val="0F0F0F"/>
          <w:sz w:val="24"/>
        </w:rPr>
      </w:pPr>
    </w:p>
    <w:p w14:paraId="037B2630">
      <w:pPr>
        <w:spacing w:line="400" w:lineRule="exact"/>
        <w:rPr>
          <w:rFonts w:ascii="新宋体" w:hAnsi="宋体" w:eastAsia="新宋体"/>
          <w:color w:val="0F0F0F"/>
          <w:sz w:val="24"/>
        </w:rPr>
      </w:pPr>
      <w:r>
        <w:rPr>
          <w:rFonts w:hint="eastAsia" w:ascii="新宋体" w:hAnsi="宋体" w:eastAsia="新宋体"/>
          <w:color w:val="0F0F0F"/>
          <w:sz w:val="24"/>
        </w:rPr>
        <w:t>法定代表人或其委托代</w:t>
      </w:r>
      <w:r>
        <w:rPr>
          <w:rFonts w:ascii="新宋体" w:hAnsi="宋体" w:eastAsia="新宋体"/>
          <w:color w:val="0F0F0F"/>
          <w:sz w:val="24"/>
        </w:rPr>
        <w:t>理人：</w:t>
      </w:r>
      <w:r>
        <w:rPr>
          <w:rFonts w:hint="eastAsia" w:ascii="新宋体" w:hAnsi="宋体" w:eastAsia="新宋体"/>
          <w:color w:val="0F0F0F"/>
          <w:sz w:val="24"/>
        </w:rPr>
        <w:t>（</w:t>
      </w:r>
      <w:r>
        <w:rPr>
          <w:rFonts w:ascii="新宋体" w:hAnsi="宋体" w:eastAsia="新宋体"/>
          <w:color w:val="0F0F0F"/>
          <w:sz w:val="24"/>
        </w:rPr>
        <w:t>签字)</w:t>
      </w:r>
      <w:r>
        <w:rPr>
          <w:rFonts w:hint="eastAsia" w:ascii="新宋体" w:hAnsi="宋体" w:eastAsia="新宋体"/>
          <w:color w:val="0F0F0F"/>
          <w:sz w:val="24"/>
        </w:rPr>
        <w:t xml:space="preserve"> 法定代表人或其委托代</w:t>
      </w:r>
      <w:r>
        <w:rPr>
          <w:rFonts w:ascii="新宋体" w:hAnsi="宋体" w:eastAsia="新宋体"/>
          <w:color w:val="0F0F0F"/>
          <w:sz w:val="24"/>
        </w:rPr>
        <w:t>理人：(签字)</w:t>
      </w:r>
    </w:p>
    <w:p w14:paraId="6EC27578">
      <w:pPr>
        <w:spacing w:line="400" w:lineRule="exact"/>
        <w:ind w:firstLine="523" w:firstLineChars="218"/>
        <w:rPr>
          <w:rFonts w:ascii="新宋体" w:hAnsi="宋体" w:eastAsia="新宋体"/>
          <w:color w:val="0F0F0F"/>
          <w:sz w:val="24"/>
        </w:rPr>
      </w:pPr>
      <w:r>
        <w:rPr>
          <w:rFonts w:ascii="新宋体" w:hAnsi="宋体" w:eastAsia="新宋体"/>
          <w:color w:val="0F0F0F"/>
          <w:sz w:val="24"/>
        </w:rPr>
        <w:t>年月日    年月日</w:t>
      </w:r>
    </w:p>
    <w:p w14:paraId="08AF55E9">
      <w:pPr>
        <w:rPr>
          <w:rFonts w:ascii="新宋体" w:hAnsi="宋体" w:eastAsia="新宋体"/>
          <w:b/>
          <w:color w:val="0F0F0F"/>
          <w:sz w:val="25"/>
          <w:szCs w:val="32"/>
        </w:rPr>
      </w:pPr>
    </w:p>
    <w:p w14:paraId="0D022653">
      <w:pPr>
        <w:rPr>
          <w:rFonts w:ascii="新宋体" w:eastAsia="新宋体"/>
          <w:color w:val="0F0F0F"/>
          <w:sz w:val="28"/>
          <w:szCs w:val="28"/>
          <w:vertAlign w:val="superscript"/>
        </w:rPr>
      </w:pPr>
      <w:r>
        <w:rPr>
          <w:rFonts w:ascii="新宋体" w:eastAsia="新宋体"/>
          <w:color w:val="0F0F0F"/>
          <w:sz w:val="28"/>
          <w:szCs w:val="28"/>
        </w:rPr>
        <w:br w:type="page"/>
      </w:r>
      <w:r>
        <w:rPr>
          <w:rFonts w:hint="eastAsia" w:ascii="新宋体" w:eastAsia="新宋体"/>
          <w:color w:val="0F0F0F"/>
          <w:sz w:val="24"/>
        </w:rPr>
        <w:t>附件四 其他主要管理人员和技术人员最低要求</w:t>
      </w:r>
      <w:r>
        <w:rPr>
          <w:rFonts w:hint="eastAsia" w:ascii="新宋体" w:eastAsia="新宋体"/>
          <w:color w:val="0F0F0F"/>
          <w:sz w:val="24"/>
          <w:vertAlign w:val="superscript"/>
        </w:rPr>
        <w:t>①</w:t>
      </w:r>
    </w:p>
    <w:tbl>
      <w:tblPr>
        <w:tblStyle w:val="88"/>
        <w:tblW w:w="0" w:type="auto"/>
        <w:tblInd w:w="0" w:type="dxa"/>
        <w:tblLayout w:type="fixed"/>
        <w:tblCellMar>
          <w:top w:w="0" w:type="dxa"/>
          <w:left w:w="0" w:type="dxa"/>
          <w:bottom w:w="0" w:type="dxa"/>
          <w:right w:w="0" w:type="dxa"/>
        </w:tblCellMar>
      </w:tblPr>
      <w:tblGrid>
        <w:gridCol w:w="2817"/>
        <w:gridCol w:w="2832"/>
        <w:gridCol w:w="3159"/>
      </w:tblGrid>
      <w:tr w14:paraId="0AA78F45">
        <w:tblPrEx>
          <w:tblCellMar>
            <w:top w:w="0" w:type="dxa"/>
            <w:left w:w="0" w:type="dxa"/>
            <w:bottom w:w="0" w:type="dxa"/>
            <w:right w:w="0" w:type="dxa"/>
          </w:tblCellMar>
        </w:tblPrEx>
        <w:trPr>
          <w:trHeight w:val="454" w:hRule="atLeast"/>
        </w:trPr>
        <w:tc>
          <w:tcPr>
            <w:tcW w:w="2817" w:type="dxa"/>
            <w:tcBorders>
              <w:top w:val="single" w:color="auto" w:sz="12" w:space="0"/>
              <w:left w:val="single" w:color="auto" w:sz="12" w:space="0"/>
              <w:bottom w:val="single" w:color="auto" w:sz="8" w:space="0"/>
              <w:right w:val="single" w:color="auto" w:sz="8" w:space="0"/>
            </w:tcBorders>
            <w:noWrap/>
            <w:vAlign w:val="center"/>
          </w:tcPr>
          <w:p w14:paraId="4A69745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人员</w:t>
            </w:r>
          </w:p>
        </w:tc>
        <w:tc>
          <w:tcPr>
            <w:tcW w:w="2832" w:type="dxa"/>
            <w:tcBorders>
              <w:top w:val="single" w:color="auto" w:sz="12" w:space="0"/>
              <w:left w:val="single" w:color="auto" w:sz="8" w:space="0"/>
              <w:bottom w:val="single" w:color="auto" w:sz="8" w:space="0"/>
              <w:right w:val="single" w:color="auto" w:sz="8" w:space="0"/>
            </w:tcBorders>
            <w:noWrap/>
            <w:vAlign w:val="center"/>
          </w:tcPr>
          <w:p w14:paraId="1B566497">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数量</w:t>
            </w:r>
          </w:p>
        </w:tc>
        <w:tc>
          <w:tcPr>
            <w:tcW w:w="3159" w:type="dxa"/>
            <w:tcBorders>
              <w:top w:val="single" w:color="auto" w:sz="12" w:space="0"/>
              <w:left w:val="single" w:color="auto" w:sz="8" w:space="0"/>
              <w:bottom w:val="single" w:color="auto" w:sz="8" w:space="0"/>
              <w:right w:val="single" w:color="auto" w:sz="12" w:space="0"/>
            </w:tcBorders>
            <w:noWrap/>
            <w:vAlign w:val="center"/>
          </w:tcPr>
          <w:p w14:paraId="546A239A">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资格要求</w:t>
            </w:r>
          </w:p>
        </w:tc>
      </w:tr>
      <w:tr w14:paraId="4FD5E49E">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491E020">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27A188F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4199640">
            <w:pPr>
              <w:autoSpaceDE w:val="0"/>
              <w:autoSpaceDN w:val="0"/>
              <w:jc w:val="center"/>
              <w:rPr>
                <w:rFonts w:ascii="新宋体" w:hAnsi="宋体" w:eastAsia="新宋体"/>
                <w:color w:val="0F0F0F"/>
                <w:kern w:val="0"/>
                <w:szCs w:val="21"/>
              </w:rPr>
            </w:pPr>
          </w:p>
        </w:tc>
      </w:tr>
      <w:tr w14:paraId="3626B2A9">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266C5B01">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0015F518">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3546481">
            <w:pPr>
              <w:autoSpaceDE w:val="0"/>
              <w:autoSpaceDN w:val="0"/>
              <w:jc w:val="center"/>
              <w:rPr>
                <w:rFonts w:ascii="新宋体" w:hAnsi="宋体" w:eastAsia="新宋体"/>
                <w:color w:val="0F0F0F"/>
                <w:kern w:val="0"/>
                <w:szCs w:val="21"/>
              </w:rPr>
            </w:pPr>
          </w:p>
        </w:tc>
      </w:tr>
      <w:tr w14:paraId="570F0933">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432072C8">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432B1D20">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6839F065">
            <w:pPr>
              <w:autoSpaceDE w:val="0"/>
              <w:autoSpaceDN w:val="0"/>
              <w:jc w:val="center"/>
              <w:rPr>
                <w:rFonts w:ascii="新宋体" w:hAnsi="宋体" w:eastAsia="新宋体"/>
                <w:color w:val="0F0F0F"/>
                <w:kern w:val="0"/>
                <w:szCs w:val="21"/>
              </w:rPr>
            </w:pPr>
          </w:p>
        </w:tc>
      </w:tr>
      <w:tr w14:paraId="3748CB03">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3FAA95E">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648CCAD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4BBB5AC">
            <w:pPr>
              <w:autoSpaceDE w:val="0"/>
              <w:autoSpaceDN w:val="0"/>
              <w:jc w:val="center"/>
              <w:rPr>
                <w:rFonts w:ascii="新宋体" w:hAnsi="宋体" w:eastAsia="新宋体"/>
                <w:color w:val="0F0F0F"/>
                <w:kern w:val="0"/>
                <w:szCs w:val="21"/>
              </w:rPr>
            </w:pPr>
          </w:p>
        </w:tc>
      </w:tr>
      <w:tr w14:paraId="7A40CD95">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3264AC77">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202DF2EF">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1D292182">
            <w:pPr>
              <w:autoSpaceDE w:val="0"/>
              <w:autoSpaceDN w:val="0"/>
              <w:jc w:val="center"/>
              <w:rPr>
                <w:rFonts w:ascii="新宋体" w:hAnsi="宋体" w:eastAsia="新宋体"/>
                <w:color w:val="0F0F0F"/>
                <w:kern w:val="0"/>
                <w:szCs w:val="21"/>
              </w:rPr>
            </w:pPr>
          </w:p>
        </w:tc>
      </w:tr>
      <w:tr w14:paraId="1B8BE116">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48C5A428">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40CF6A4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CCBC027">
            <w:pPr>
              <w:autoSpaceDE w:val="0"/>
              <w:autoSpaceDN w:val="0"/>
              <w:jc w:val="center"/>
              <w:rPr>
                <w:rFonts w:ascii="新宋体" w:hAnsi="宋体" w:eastAsia="新宋体"/>
                <w:color w:val="0F0F0F"/>
                <w:kern w:val="0"/>
                <w:szCs w:val="21"/>
              </w:rPr>
            </w:pPr>
          </w:p>
        </w:tc>
      </w:tr>
      <w:tr w14:paraId="3D5F6820">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3B17C013">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148829F4">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4340A001">
            <w:pPr>
              <w:autoSpaceDE w:val="0"/>
              <w:autoSpaceDN w:val="0"/>
              <w:jc w:val="center"/>
              <w:rPr>
                <w:rFonts w:ascii="新宋体" w:hAnsi="宋体" w:eastAsia="新宋体"/>
                <w:color w:val="0F0F0F"/>
                <w:kern w:val="0"/>
                <w:szCs w:val="21"/>
              </w:rPr>
            </w:pPr>
          </w:p>
        </w:tc>
      </w:tr>
      <w:tr w14:paraId="09014CD7">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665678AD">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665F71BB">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4085B044">
            <w:pPr>
              <w:autoSpaceDE w:val="0"/>
              <w:autoSpaceDN w:val="0"/>
              <w:jc w:val="center"/>
              <w:rPr>
                <w:rFonts w:ascii="新宋体" w:hAnsi="宋体" w:eastAsia="新宋体"/>
                <w:color w:val="0F0F0F"/>
                <w:kern w:val="0"/>
                <w:szCs w:val="21"/>
              </w:rPr>
            </w:pPr>
          </w:p>
        </w:tc>
      </w:tr>
      <w:tr w14:paraId="541E8AEC">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3CBC4E7C">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34D391C4">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467476B">
            <w:pPr>
              <w:autoSpaceDE w:val="0"/>
              <w:autoSpaceDN w:val="0"/>
              <w:jc w:val="center"/>
              <w:rPr>
                <w:rFonts w:ascii="新宋体" w:hAnsi="宋体" w:eastAsia="新宋体"/>
                <w:color w:val="0F0F0F"/>
                <w:kern w:val="0"/>
                <w:szCs w:val="21"/>
              </w:rPr>
            </w:pPr>
          </w:p>
        </w:tc>
      </w:tr>
      <w:tr w14:paraId="2F30F1B6">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EC31A05">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32EF7DAC">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429E06E3">
            <w:pPr>
              <w:autoSpaceDE w:val="0"/>
              <w:autoSpaceDN w:val="0"/>
              <w:jc w:val="center"/>
              <w:rPr>
                <w:rFonts w:ascii="新宋体" w:hAnsi="宋体" w:eastAsia="新宋体"/>
                <w:color w:val="0F0F0F"/>
                <w:kern w:val="0"/>
                <w:szCs w:val="21"/>
              </w:rPr>
            </w:pPr>
          </w:p>
        </w:tc>
      </w:tr>
      <w:tr w14:paraId="160FEEC9">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FF2AE94">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553569DA">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3C774BCE">
            <w:pPr>
              <w:autoSpaceDE w:val="0"/>
              <w:autoSpaceDN w:val="0"/>
              <w:jc w:val="center"/>
              <w:rPr>
                <w:rFonts w:ascii="新宋体" w:hAnsi="宋体" w:eastAsia="新宋体"/>
                <w:color w:val="0F0F0F"/>
                <w:kern w:val="0"/>
                <w:szCs w:val="21"/>
              </w:rPr>
            </w:pPr>
          </w:p>
        </w:tc>
      </w:tr>
      <w:tr w14:paraId="0D915E58">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D218962">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729A2EC6">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EA8F2A9">
            <w:pPr>
              <w:autoSpaceDE w:val="0"/>
              <w:autoSpaceDN w:val="0"/>
              <w:jc w:val="center"/>
              <w:rPr>
                <w:rFonts w:ascii="新宋体" w:hAnsi="宋体" w:eastAsia="新宋体"/>
                <w:color w:val="0F0F0F"/>
                <w:kern w:val="0"/>
                <w:szCs w:val="21"/>
              </w:rPr>
            </w:pPr>
          </w:p>
        </w:tc>
      </w:tr>
      <w:tr w14:paraId="33120547">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1DE8D2A">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1592F6D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62878987">
            <w:pPr>
              <w:autoSpaceDE w:val="0"/>
              <w:autoSpaceDN w:val="0"/>
              <w:jc w:val="center"/>
              <w:rPr>
                <w:rFonts w:ascii="新宋体" w:hAnsi="宋体" w:eastAsia="新宋体"/>
                <w:color w:val="0F0F0F"/>
                <w:kern w:val="0"/>
                <w:szCs w:val="21"/>
              </w:rPr>
            </w:pPr>
          </w:p>
        </w:tc>
      </w:tr>
      <w:tr w14:paraId="33262E64">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41FD988">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7CADB15C">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12C931D">
            <w:pPr>
              <w:autoSpaceDE w:val="0"/>
              <w:autoSpaceDN w:val="0"/>
              <w:jc w:val="center"/>
              <w:rPr>
                <w:rFonts w:ascii="新宋体" w:hAnsi="宋体" w:eastAsia="新宋体"/>
                <w:color w:val="0F0F0F"/>
                <w:kern w:val="0"/>
                <w:szCs w:val="21"/>
              </w:rPr>
            </w:pPr>
          </w:p>
        </w:tc>
      </w:tr>
      <w:tr w14:paraId="32F196EF">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09DCB23">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3F269391">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490B5F1">
            <w:pPr>
              <w:autoSpaceDE w:val="0"/>
              <w:autoSpaceDN w:val="0"/>
              <w:jc w:val="center"/>
              <w:rPr>
                <w:rFonts w:ascii="新宋体" w:hAnsi="宋体" w:eastAsia="新宋体"/>
                <w:color w:val="0F0F0F"/>
                <w:kern w:val="0"/>
                <w:szCs w:val="21"/>
              </w:rPr>
            </w:pPr>
          </w:p>
        </w:tc>
      </w:tr>
      <w:tr w14:paraId="7AD3F218">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0CC33293">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16CCB316">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630B996C">
            <w:pPr>
              <w:autoSpaceDE w:val="0"/>
              <w:autoSpaceDN w:val="0"/>
              <w:jc w:val="center"/>
              <w:rPr>
                <w:rFonts w:ascii="新宋体" w:hAnsi="宋体" w:eastAsia="新宋体"/>
                <w:color w:val="0F0F0F"/>
                <w:kern w:val="0"/>
                <w:szCs w:val="21"/>
              </w:rPr>
            </w:pPr>
          </w:p>
        </w:tc>
      </w:tr>
      <w:tr w14:paraId="6A269370">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12" w:space="0"/>
              <w:right w:val="single" w:color="auto" w:sz="8" w:space="0"/>
            </w:tcBorders>
            <w:noWrap/>
            <w:vAlign w:val="center"/>
          </w:tcPr>
          <w:p w14:paraId="5B308BA1">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12" w:space="0"/>
              <w:right w:val="single" w:color="auto" w:sz="8" w:space="0"/>
            </w:tcBorders>
            <w:noWrap/>
            <w:vAlign w:val="center"/>
          </w:tcPr>
          <w:p w14:paraId="0F6F0F03">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12" w:space="0"/>
              <w:right w:val="single" w:color="auto" w:sz="12" w:space="0"/>
            </w:tcBorders>
            <w:noWrap/>
            <w:vAlign w:val="center"/>
          </w:tcPr>
          <w:p w14:paraId="32FB08FB">
            <w:pPr>
              <w:autoSpaceDE w:val="0"/>
              <w:autoSpaceDN w:val="0"/>
              <w:jc w:val="center"/>
              <w:rPr>
                <w:rFonts w:ascii="新宋体" w:hAnsi="宋体" w:eastAsia="新宋体"/>
                <w:color w:val="0F0F0F"/>
                <w:kern w:val="0"/>
                <w:szCs w:val="21"/>
              </w:rPr>
            </w:pPr>
          </w:p>
        </w:tc>
      </w:tr>
    </w:tbl>
    <w:p w14:paraId="1B8ED0CF">
      <w:pPr>
        <w:autoSpaceDE w:val="0"/>
        <w:autoSpaceDN w:val="0"/>
        <w:adjustRightInd w:val="0"/>
        <w:jc w:val="left"/>
        <w:rPr>
          <w:rFonts w:ascii="新宋体" w:eastAsia="新宋体"/>
          <w:color w:val="0F0F0F"/>
          <w:kern w:val="0"/>
          <w:sz w:val="24"/>
          <w:u w:val="single"/>
        </w:rPr>
      </w:pPr>
    </w:p>
    <w:p w14:paraId="477D66D7">
      <w:pPr>
        <w:autoSpaceDE w:val="0"/>
        <w:autoSpaceDN w:val="0"/>
        <w:ind w:left="525" w:hanging="525" w:hangingChars="250"/>
        <w:rPr>
          <w:rFonts w:ascii="新宋体" w:eastAsia="新宋体" w:cs="宋体"/>
          <w:color w:val="0F0F0F"/>
          <w:kern w:val="0"/>
          <w:szCs w:val="21"/>
        </w:rPr>
      </w:pPr>
      <w:r>
        <w:rPr>
          <w:rFonts w:hint="eastAsia" w:ascii="新宋体" w:eastAsia="新宋体" w:cs="宋体"/>
          <w:color w:val="0F0F0F"/>
          <w:kern w:val="0"/>
          <w:szCs w:val="21"/>
        </w:rPr>
        <w:t>①a</w:t>
      </w:r>
      <w:r>
        <w:rPr>
          <w:rFonts w:ascii="新宋体" w:eastAsia="新宋体" w:cs="宋体"/>
          <w:color w:val="0F0F0F"/>
          <w:kern w:val="0"/>
          <w:szCs w:val="21"/>
        </w:rPr>
        <w:t>．</w:t>
      </w:r>
      <w:r>
        <w:rPr>
          <w:rFonts w:hint="eastAsia" w:ascii="新宋体" w:eastAsia="新宋体" w:cs="宋体"/>
          <w:color w:val="0F0F0F"/>
          <w:kern w:val="0"/>
          <w:szCs w:val="21"/>
          <w:lang w:eastAsia="zh-CN"/>
        </w:rPr>
        <w:t>采购人</w:t>
      </w:r>
      <w:r>
        <w:rPr>
          <w:rFonts w:ascii="新宋体" w:eastAsia="新宋体" w:cs="宋体"/>
          <w:color w:val="0F0F0F"/>
          <w:kern w:val="0"/>
          <w:szCs w:val="21"/>
        </w:rPr>
        <w:t>应在</w:t>
      </w:r>
      <w:r>
        <w:rPr>
          <w:rFonts w:hint="eastAsia" w:ascii="新宋体" w:eastAsia="新宋体" w:cs="宋体"/>
          <w:color w:val="0F0F0F"/>
          <w:kern w:val="0"/>
          <w:szCs w:val="21"/>
        </w:rPr>
        <w:t>竞争性磋商文件中</w:t>
      </w:r>
      <w:r>
        <w:rPr>
          <w:rFonts w:ascii="新宋体" w:eastAsia="新宋体" w:cs="宋体"/>
          <w:color w:val="0F0F0F"/>
          <w:kern w:val="0"/>
          <w:szCs w:val="21"/>
        </w:rPr>
        <w:t>规定若</w:t>
      </w:r>
      <w:r>
        <w:rPr>
          <w:rFonts w:hint="eastAsia" w:ascii="新宋体" w:eastAsia="新宋体" w:cs="宋体"/>
          <w:color w:val="0F0F0F"/>
          <w:kern w:val="0"/>
          <w:szCs w:val="21"/>
          <w:lang w:eastAsia="zh-CN"/>
        </w:rPr>
        <w:t>供应商</w:t>
      </w:r>
      <w:r>
        <w:rPr>
          <w:rFonts w:ascii="新宋体" w:eastAsia="新宋体" w:cs="宋体"/>
          <w:color w:val="0F0F0F"/>
          <w:kern w:val="0"/>
          <w:szCs w:val="21"/>
        </w:rPr>
        <w:t>程所投标段</w:t>
      </w:r>
      <w:r>
        <w:rPr>
          <w:rFonts w:hint="eastAsia" w:ascii="新宋体" w:eastAsia="新宋体" w:cs="宋体"/>
          <w:color w:val="0F0F0F"/>
          <w:kern w:val="0"/>
          <w:szCs w:val="21"/>
          <w:lang w:eastAsia="zh-CN"/>
        </w:rPr>
        <w:t>成交</w:t>
      </w:r>
      <w:r>
        <w:rPr>
          <w:rFonts w:hint="eastAsia" w:ascii="新宋体" w:eastAsia="新宋体" w:cs="宋体"/>
          <w:color w:val="0F0F0F"/>
          <w:kern w:val="0"/>
          <w:szCs w:val="21"/>
        </w:rPr>
        <w:t>需派驻的其他主要管理人员和技术人员。</w:t>
      </w:r>
      <w:r>
        <w:rPr>
          <w:rFonts w:hint="eastAsia" w:ascii="新宋体" w:eastAsia="新宋体" w:cs="宋体"/>
          <w:color w:val="0F0F0F"/>
          <w:kern w:val="0"/>
          <w:szCs w:val="21"/>
          <w:lang w:eastAsia="zh-CN"/>
        </w:rPr>
        <w:t>采购人</w:t>
      </w:r>
      <w:r>
        <w:rPr>
          <w:rFonts w:ascii="新宋体" w:eastAsia="新宋体" w:cs="宋体"/>
          <w:color w:val="0F0F0F"/>
          <w:kern w:val="0"/>
          <w:szCs w:val="21"/>
        </w:rPr>
        <w:t>将在发</w:t>
      </w:r>
      <w:r>
        <w:rPr>
          <w:rFonts w:hint="eastAsia" w:ascii="新宋体" w:eastAsia="新宋体" w:cs="宋体"/>
          <w:color w:val="0F0F0F"/>
          <w:kern w:val="0"/>
          <w:szCs w:val="21"/>
        </w:rPr>
        <w:t>出</w:t>
      </w:r>
      <w:r>
        <w:rPr>
          <w:rFonts w:hint="eastAsia" w:ascii="新宋体" w:eastAsia="新宋体" w:cs="宋体"/>
          <w:color w:val="0F0F0F"/>
          <w:kern w:val="0"/>
          <w:szCs w:val="21"/>
          <w:lang w:eastAsia="zh-CN"/>
        </w:rPr>
        <w:t>成交</w:t>
      </w:r>
      <w:r>
        <w:rPr>
          <w:rFonts w:ascii="新宋体" w:eastAsia="新宋体" w:cs="宋体"/>
          <w:color w:val="0F0F0F"/>
          <w:kern w:val="0"/>
          <w:szCs w:val="21"/>
        </w:rPr>
        <w:t>通知书之</w:t>
      </w:r>
      <w:r>
        <w:rPr>
          <w:rFonts w:hint="eastAsia" w:ascii="新宋体" w:eastAsia="新宋体" w:cs="宋体"/>
          <w:color w:val="0F0F0F"/>
          <w:kern w:val="0"/>
          <w:szCs w:val="21"/>
        </w:rPr>
        <w:t>前要</w:t>
      </w:r>
      <w:r>
        <w:rPr>
          <w:rFonts w:ascii="新宋体" w:eastAsia="新宋体" w:cs="宋体"/>
          <w:color w:val="0F0F0F"/>
          <w:kern w:val="0"/>
          <w:szCs w:val="21"/>
        </w:rPr>
        <w:t>求</w:t>
      </w:r>
      <w:r>
        <w:rPr>
          <w:rFonts w:hint="eastAsia" w:ascii="新宋体" w:eastAsia="新宋体" w:cs="宋体"/>
          <w:color w:val="0F0F0F"/>
          <w:kern w:val="0"/>
          <w:szCs w:val="21"/>
          <w:lang w:eastAsia="zh-CN"/>
        </w:rPr>
        <w:t>成交</w:t>
      </w:r>
      <w:r>
        <w:rPr>
          <w:rFonts w:ascii="新宋体" w:eastAsia="新宋体" w:cs="宋体"/>
          <w:color w:val="0F0F0F"/>
          <w:kern w:val="0"/>
          <w:szCs w:val="21"/>
        </w:rPr>
        <w:t>人按照</w:t>
      </w:r>
      <w:r>
        <w:rPr>
          <w:rFonts w:hint="eastAsia" w:ascii="新宋体" w:eastAsia="新宋体" w:cs="宋体"/>
          <w:color w:val="0F0F0F"/>
          <w:kern w:val="0"/>
          <w:szCs w:val="21"/>
        </w:rPr>
        <w:t>本表</w:t>
      </w:r>
      <w:r>
        <w:rPr>
          <w:rFonts w:ascii="新宋体" w:eastAsia="新宋体" w:cs="宋体"/>
          <w:color w:val="0F0F0F"/>
          <w:kern w:val="0"/>
          <w:szCs w:val="21"/>
        </w:rPr>
        <w:t>的最低</w:t>
      </w:r>
      <w:r>
        <w:rPr>
          <w:rFonts w:hint="eastAsia" w:ascii="新宋体" w:eastAsia="新宋体" w:cs="宋体"/>
          <w:color w:val="0F0F0F"/>
          <w:kern w:val="0"/>
          <w:szCs w:val="21"/>
        </w:rPr>
        <w:t>要求填报派驻本标段的其他主要管理人员和技术人员</w:t>
      </w:r>
      <w:r>
        <w:rPr>
          <w:rFonts w:ascii="新宋体" w:eastAsia="新宋体" w:cs="宋体"/>
          <w:color w:val="0F0F0F"/>
          <w:kern w:val="0"/>
          <w:szCs w:val="21"/>
        </w:rPr>
        <w:t>，在经</w:t>
      </w:r>
      <w:r>
        <w:rPr>
          <w:rFonts w:hint="eastAsia" w:ascii="新宋体" w:eastAsia="新宋体" w:cs="宋体"/>
          <w:color w:val="0F0F0F"/>
          <w:kern w:val="0"/>
          <w:szCs w:val="21"/>
          <w:lang w:eastAsia="zh-CN"/>
        </w:rPr>
        <w:t>采购人</w:t>
      </w:r>
      <w:r>
        <w:rPr>
          <w:rFonts w:ascii="新宋体" w:eastAsia="新宋体" w:cs="宋体"/>
          <w:color w:val="0F0F0F"/>
          <w:kern w:val="0"/>
          <w:szCs w:val="21"/>
        </w:rPr>
        <w:t>审批</w:t>
      </w:r>
      <w:r>
        <w:rPr>
          <w:rFonts w:hint="eastAsia" w:ascii="新宋体" w:eastAsia="新宋体" w:cs="宋体"/>
          <w:color w:val="0F0F0F"/>
          <w:kern w:val="0"/>
          <w:szCs w:val="21"/>
        </w:rPr>
        <w:t>后</w:t>
      </w:r>
      <w:r>
        <w:rPr>
          <w:rFonts w:ascii="新宋体" w:eastAsia="新宋体" w:cs="宋体"/>
          <w:color w:val="0F0F0F"/>
          <w:kern w:val="0"/>
          <w:szCs w:val="21"/>
        </w:rPr>
        <w:t>作为</w:t>
      </w:r>
      <w:r>
        <w:rPr>
          <w:rFonts w:hint="eastAsia" w:ascii="新宋体" w:eastAsia="新宋体" w:cs="宋体"/>
          <w:color w:val="0F0F0F"/>
          <w:kern w:val="0"/>
          <w:szCs w:val="21"/>
        </w:rPr>
        <w:t>派驻本标段的项目管理机构主要人员且</w:t>
      </w:r>
      <w:r>
        <w:rPr>
          <w:rFonts w:ascii="新宋体" w:eastAsia="新宋体" w:cs="宋体"/>
          <w:color w:val="0F0F0F"/>
          <w:kern w:val="0"/>
          <w:szCs w:val="21"/>
        </w:rPr>
        <w:t>不允许</w:t>
      </w:r>
      <w:r>
        <w:rPr>
          <w:rFonts w:hint="eastAsia" w:ascii="新宋体" w:eastAsia="新宋体" w:cs="宋体"/>
          <w:color w:val="0F0F0F"/>
          <w:kern w:val="0"/>
          <w:szCs w:val="21"/>
        </w:rPr>
        <w:t>更</w:t>
      </w:r>
      <w:r>
        <w:rPr>
          <w:rFonts w:ascii="新宋体" w:eastAsia="新宋体" w:cs="宋体"/>
          <w:color w:val="0F0F0F"/>
          <w:kern w:val="0"/>
          <w:szCs w:val="21"/>
        </w:rPr>
        <w:t>换。</w:t>
      </w:r>
    </w:p>
    <w:p w14:paraId="1C0726E5">
      <w:pPr>
        <w:autoSpaceDE w:val="0"/>
        <w:autoSpaceDN w:val="0"/>
        <w:ind w:left="525" w:leftChars="250"/>
        <w:rPr>
          <w:rFonts w:ascii="新宋体" w:eastAsia="新宋体" w:cs="宋体"/>
          <w:color w:val="0F0F0F"/>
          <w:kern w:val="0"/>
          <w:szCs w:val="21"/>
        </w:rPr>
      </w:pPr>
      <w:r>
        <w:rPr>
          <w:rFonts w:ascii="新宋体" w:eastAsia="新宋体" w:cs="宋体"/>
          <w:color w:val="0F0F0F"/>
          <w:kern w:val="0"/>
          <w:szCs w:val="21"/>
        </w:rPr>
        <w:t>b．本</w:t>
      </w:r>
      <w:r>
        <w:rPr>
          <w:rFonts w:hint="eastAsia" w:ascii="新宋体" w:eastAsia="新宋体" w:cs="宋体"/>
          <w:color w:val="0F0F0F"/>
          <w:kern w:val="0"/>
          <w:szCs w:val="21"/>
        </w:rPr>
        <w:t>表</w:t>
      </w:r>
      <w:r>
        <w:rPr>
          <w:rFonts w:ascii="新宋体" w:eastAsia="新宋体" w:cs="宋体"/>
          <w:color w:val="0F0F0F"/>
          <w:kern w:val="0"/>
          <w:szCs w:val="21"/>
        </w:rPr>
        <w:t>不适用于已按资格顼审文件</w:t>
      </w:r>
      <w:r>
        <w:rPr>
          <w:rFonts w:hint="eastAsia" w:ascii="新宋体" w:eastAsia="新宋体" w:cs="宋体"/>
          <w:color w:val="0F0F0F"/>
          <w:kern w:val="0"/>
          <w:szCs w:val="21"/>
        </w:rPr>
        <w:t>或竞争性磋商文件</w:t>
      </w:r>
      <w:r>
        <w:rPr>
          <w:rFonts w:ascii="新宋体" w:eastAsia="新宋体" w:cs="宋体"/>
          <w:color w:val="0F0F0F"/>
          <w:kern w:val="0"/>
          <w:szCs w:val="21"/>
        </w:rPr>
        <w:t>要求</w:t>
      </w:r>
      <w:r>
        <w:rPr>
          <w:rFonts w:hint="eastAsia" w:ascii="新宋体" w:eastAsia="新宋体" w:cs="宋体"/>
          <w:color w:val="0F0F0F"/>
          <w:kern w:val="0"/>
          <w:szCs w:val="21"/>
        </w:rPr>
        <w:t>提</w:t>
      </w:r>
      <w:r>
        <w:rPr>
          <w:rFonts w:ascii="新宋体" w:eastAsia="新宋体" w:cs="宋体"/>
          <w:color w:val="0F0F0F"/>
          <w:kern w:val="0"/>
          <w:szCs w:val="21"/>
        </w:rPr>
        <w:t>供了</w:t>
      </w:r>
      <w:r>
        <w:rPr>
          <w:rFonts w:hint="eastAsia" w:ascii="新宋体" w:eastAsia="新宋体" w:cs="宋体"/>
          <w:color w:val="0F0F0F"/>
          <w:kern w:val="0"/>
          <w:szCs w:val="21"/>
        </w:rPr>
        <w:t>其他主要管理人员和技术人员的</w:t>
      </w:r>
      <w:r>
        <w:rPr>
          <w:rFonts w:ascii="新宋体" w:eastAsia="新宋体" w:cs="宋体"/>
          <w:color w:val="0F0F0F"/>
          <w:kern w:val="0"/>
          <w:szCs w:val="21"/>
        </w:rPr>
        <w:t>技术特别复杂的特大桥粱和长大</w:t>
      </w:r>
      <w:r>
        <w:rPr>
          <w:rFonts w:hint="eastAsia" w:ascii="新宋体" w:eastAsia="新宋体" w:cs="宋体"/>
          <w:color w:val="0F0F0F"/>
          <w:kern w:val="0"/>
          <w:szCs w:val="21"/>
        </w:rPr>
        <w:t>隧道工程</w:t>
      </w:r>
      <w:r>
        <w:rPr>
          <w:rFonts w:ascii="新宋体" w:eastAsia="新宋体" w:cs="宋体"/>
          <w:color w:val="0F0F0F"/>
          <w:kern w:val="0"/>
          <w:szCs w:val="21"/>
        </w:rPr>
        <w:t>。</w:t>
      </w:r>
    </w:p>
    <w:p w14:paraId="5A76A650">
      <w:pPr>
        <w:rPr>
          <w:rFonts w:ascii="新宋体" w:hAnsi="宋体" w:eastAsia="新宋体"/>
          <w:color w:val="0F0F0F"/>
          <w:szCs w:val="28"/>
          <w:vertAlign w:val="superscript"/>
        </w:rPr>
      </w:pPr>
    </w:p>
    <w:p w14:paraId="5E8860BB">
      <w:pPr>
        <w:rPr>
          <w:rFonts w:ascii="新宋体" w:eastAsia="新宋体"/>
          <w:color w:val="0F0F0F"/>
          <w:sz w:val="24"/>
          <w:vertAlign w:val="superscript"/>
        </w:rPr>
      </w:pPr>
      <w:r>
        <w:rPr>
          <w:rFonts w:ascii="新宋体" w:eastAsia="新宋体"/>
          <w:color w:val="0F0F0F"/>
          <w:sz w:val="28"/>
          <w:szCs w:val="28"/>
        </w:rPr>
        <w:br w:type="page"/>
      </w:r>
      <w:r>
        <w:rPr>
          <w:rFonts w:hint="eastAsia" w:ascii="新宋体" w:eastAsia="新宋体"/>
          <w:color w:val="0F0F0F"/>
          <w:sz w:val="24"/>
        </w:rPr>
        <w:t>附件五 主要机械设备和试验检测设备最低要求</w:t>
      </w:r>
      <w:r>
        <w:rPr>
          <w:rFonts w:hint="eastAsia" w:ascii="新宋体" w:eastAsia="新宋体"/>
          <w:color w:val="0F0F0F"/>
          <w:sz w:val="24"/>
          <w:vertAlign w:val="superscript"/>
        </w:rPr>
        <w:t>①</w:t>
      </w:r>
    </w:p>
    <w:p w14:paraId="542D3702">
      <w:pPr>
        <w:rPr>
          <w:rFonts w:ascii="新宋体" w:eastAsia="新宋体"/>
          <w:color w:val="0F0F0F"/>
          <w:sz w:val="28"/>
          <w:szCs w:val="28"/>
          <w:vertAlign w:val="superscript"/>
        </w:rPr>
      </w:pPr>
    </w:p>
    <w:tbl>
      <w:tblPr>
        <w:tblStyle w:val="88"/>
        <w:tblW w:w="0" w:type="auto"/>
        <w:tblInd w:w="0" w:type="dxa"/>
        <w:tblLayout w:type="fixed"/>
        <w:tblCellMar>
          <w:top w:w="0" w:type="dxa"/>
          <w:left w:w="0" w:type="dxa"/>
          <w:bottom w:w="0" w:type="dxa"/>
          <w:right w:w="0" w:type="dxa"/>
        </w:tblCellMar>
      </w:tblPr>
      <w:tblGrid>
        <w:gridCol w:w="2030"/>
        <w:gridCol w:w="2890"/>
        <w:gridCol w:w="1440"/>
        <w:gridCol w:w="2448"/>
      </w:tblGrid>
      <w:tr w14:paraId="7F1B521B">
        <w:tblPrEx>
          <w:tblCellMar>
            <w:top w:w="0" w:type="dxa"/>
            <w:left w:w="0" w:type="dxa"/>
            <w:bottom w:w="0" w:type="dxa"/>
            <w:right w:w="0" w:type="dxa"/>
          </w:tblCellMar>
        </w:tblPrEx>
        <w:trPr>
          <w:trHeight w:val="510" w:hRule="atLeast"/>
        </w:trPr>
        <w:tc>
          <w:tcPr>
            <w:tcW w:w="2030" w:type="dxa"/>
            <w:tcBorders>
              <w:top w:val="single" w:color="auto" w:sz="12" w:space="0"/>
              <w:left w:val="single" w:color="auto" w:sz="12" w:space="0"/>
              <w:bottom w:val="single" w:color="auto" w:sz="8" w:space="0"/>
              <w:right w:val="single" w:color="auto" w:sz="8" w:space="0"/>
            </w:tcBorders>
            <w:noWrap/>
            <w:vAlign w:val="center"/>
          </w:tcPr>
          <w:p w14:paraId="293DC545">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设备名称</w:t>
            </w:r>
          </w:p>
        </w:tc>
        <w:tc>
          <w:tcPr>
            <w:tcW w:w="2890" w:type="dxa"/>
            <w:tcBorders>
              <w:top w:val="single" w:color="auto" w:sz="12" w:space="0"/>
              <w:left w:val="single" w:color="auto" w:sz="8" w:space="0"/>
              <w:bottom w:val="single" w:color="auto" w:sz="8" w:space="0"/>
              <w:right w:val="single" w:color="auto" w:sz="8" w:space="0"/>
            </w:tcBorders>
            <w:noWrap/>
            <w:vAlign w:val="center"/>
          </w:tcPr>
          <w:p w14:paraId="2047262F">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规格、功率及容量</w:t>
            </w:r>
          </w:p>
        </w:tc>
        <w:tc>
          <w:tcPr>
            <w:tcW w:w="1440" w:type="dxa"/>
            <w:tcBorders>
              <w:top w:val="single" w:color="auto" w:sz="12" w:space="0"/>
              <w:left w:val="single" w:color="auto" w:sz="8" w:space="0"/>
              <w:bottom w:val="single" w:color="auto" w:sz="8" w:space="0"/>
              <w:right w:val="single" w:color="auto" w:sz="8" w:space="0"/>
            </w:tcBorders>
            <w:noWrap/>
            <w:vAlign w:val="center"/>
          </w:tcPr>
          <w:p w14:paraId="2C41D702">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单位</w:t>
            </w:r>
          </w:p>
        </w:tc>
        <w:tc>
          <w:tcPr>
            <w:tcW w:w="2448" w:type="dxa"/>
            <w:tcBorders>
              <w:top w:val="single" w:color="auto" w:sz="12" w:space="0"/>
              <w:left w:val="single" w:color="auto" w:sz="8" w:space="0"/>
              <w:bottom w:val="single" w:color="auto" w:sz="8" w:space="0"/>
              <w:right w:val="single" w:color="auto" w:sz="12" w:space="0"/>
            </w:tcBorders>
            <w:noWrap/>
            <w:vAlign w:val="center"/>
          </w:tcPr>
          <w:p w14:paraId="441841FC">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最低数量要求</w:t>
            </w:r>
          </w:p>
        </w:tc>
      </w:tr>
      <w:tr w14:paraId="78ACA40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53181476">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410FA24">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3610C3E">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0FE5901A">
            <w:pPr>
              <w:autoSpaceDE w:val="0"/>
              <w:autoSpaceDN w:val="0"/>
              <w:jc w:val="center"/>
              <w:rPr>
                <w:rFonts w:ascii="新宋体" w:eastAsia="新宋体"/>
                <w:color w:val="0F0F0F"/>
                <w:kern w:val="0"/>
                <w:szCs w:val="21"/>
              </w:rPr>
            </w:pPr>
          </w:p>
        </w:tc>
      </w:tr>
      <w:tr w14:paraId="178FC0E0">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0E078BD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8B5C4EE">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73AF82C8">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63E7C3F">
            <w:pPr>
              <w:autoSpaceDE w:val="0"/>
              <w:autoSpaceDN w:val="0"/>
              <w:jc w:val="center"/>
              <w:rPr>
                <w:rFonts w:ascii="新宋体" w:eastAsia="新宋体"/>
                <w:color w:val="0F0F0F"/>
                <w:kern w:val="0"/>
                <w:szCs w:val="21"/>
              </w:rPr>
            </w:pPr>
          </w:p>
        </w:tc>
      </w:tr>
      <w:tr w14:paraId="516C988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34761247">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98D87F5">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3257012">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79FE2911">
            <w:pPr>
              <w:autoSpaceDE w:val="0"/>
              <w:autoSpaceDN w:val="0"/>
              <w:jc w:val="center"/>
              <w:rPr>
                <w:rFonts w:ascii="新宋体" w:eastAsia="新宋体"/>
                <w:color w:val="0F0F0F"/>
                <w:kern w:val="0"/>
                <w:szCs w:val="21"/>
              </w:rPr>
            </w:pPr>
          </w:p>
        </w:tc>
      </w:tr>
      <w:tr w14:paraId="5BC9CA99">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0B57F949">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0EAC1557">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892EF22">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3BAB449">
            <w:pPr>
              <w:autoSpaceDE w:val="0"/>
              <w:autoSpaceDN w:val="0"/>
              <w:jc w:val="center"/>
              <w:rPr>
                <w:rFonts w:ascii="新宋体" w:eastAsia="新宋体"/>
                <w:color w:val="0F0F0F"/>
                <w:kern w:val="0"/>
                <w:szCs w:val="21"/>
              </w:rPr>
            </w:pPr>
          </w:p>
        </w:tc>
      </w:tr>
      <w:tr w14:paraId="2E310A27">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3A5B0D2D">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B928A3F">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B28726D">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1F3037C0">
            <w:pPr>
              <w:autoSpaceDE w:val="0"/>
              <w:autoSpaceDN w:val="0"/>
              <w:jc w:val="center"/>
              <w:rPr>
                <w:rFonts w:ascii="新宋体" w:eastAsia="新宋体"/>
                <w:color w:val="0F0F0F"/>
                <w:kern w:val="0"/>
                <w:szCs w:val="21"/>
              </w:rPr>
            </w:pPr>
          </w:p>
        </w:tc>
      </w:tr>
      <w:tr w14:paraId="431D3D71">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7560B28">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77AF5722">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08F1741">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1AB2753C">
            <w:pPr>
              <w:autoSpaceDE w:val="0"/>
              <w:autoSpaceDN w:val="0"/>
              <w:jc w:val="center"/>
              <w:rPr>
                <w:rFonts w:ascii="新宋体" w:eastAsia="新宋体"/>
                <w:color w:val="0F0F0F"/>
                <w:kern w:val="0"/>
                <w:szCs w:val="21"/>
              </w:rPr>
            </w:pPr>
          </w:p>
        </w:tc>
      </w:tr>
      <w:tr w14:paraId="3C074EFD">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7670AAD7">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7DB03713">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6D1C7B53">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8721057">
            <w:pPr>
              <w:autoSpaceDE w:val="0"/>
              <w:autoSpaceDN w:val="0"/>
              <w:jc w:val="center"/>
              <w:rPr>
                <w:rFonts w:ascii="新宋体" w:eastAsia="新宋体"/>
                <w:color w:val="0F0F0F"/>
                <w:kern w:val="0"/>
                <w:szCs w:val="21"/>
              </w:rPr>
            </w:pPr>
          </w:p>
        </w:tc>
      </w:tr>
      <w:tr w14:paraId="1BBF340A">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1AF4E095">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133B0FF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618C68D1">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12E5D6E1">
            <w:pPr>
              <w:autoSpaceDE w:val="0"/>
              <w:autoSpaceDN w:val="0"/>
              <w:jc w:val="center"/>
              <w:rPr>
                <w:rFonts w:ascii="新宋体" w:eastAsia="新宋体"/>
                <w:color w:val="0F0F0F"/>
                <w:kern w:val="0"/>
                <w:szCs w:val="21"/>
              </w:rPr>
            </w:pPr>
          </w:p>
        </w:tc>
      </w:tr>
      <w:tr w14:paraId="0A7756AB">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8E5CB96">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BBB1D3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50F16CCD">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3D26FC6">
            <w:pPr>
              <w:autoSpaceDE w:val="0"/>
              <w:autoSpaceDN w:val="0"/>
              <w:jc w:val="center"/>
              <w:rPr>
                <w:rFonts w:ascii="新宋体" w:eastAsia="新宋体"/>
                <w:color w:val="0F0F0F"/>
                <w:kern w:val="0"/>
                <w:szCs w:val="21"/>
              </w:rPr>
            </w:pPr>
          </w:p>
        </w:tc>
      </w:tr>
      <w:tr w14:paraId="1D870F1B">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697EBF4">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67A6551A">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441AF88F">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D84264F">
            <w:pPr>
              <w:autoSpaceDE w:val="0"/>
              <w:autoSpaceDN w:val="0"/>
              <w:jc w:val="center"/>
              <w:rPr>
                <w:rFonts w:ascii="新宋体" w:eastAsia="新宋体"/>
                <w:color w:val="0F0F0F"/>
                <w:kern w:val="0"/>
                <w:szCs w:val="21"/>
              </w:rPr>
            </w:pPr>
          </w:p>
        </w:tc>
      </w:tr>
      <w:tr w14:paraId="77C6917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3B8335F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6BEED8C">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6CF01417">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527BB02">
            <w:pPr>
              <w:autoSpaceDE w:val="0"/>
              <w:autoSpaceDN w:val="0"/>
              <w:jc w:val="center"/>
              <w:rPr>
                <w:rFonts w:ascii="新宋体" w:eastAsia="新宋体"/>
                <w:color w:val="0F0F0F"/>
                <w:kern w:val="0"/>
                <w:szCs w:val="21"/>
              </w:rPr>
            </w:pPr>
          </w:p>
        </w:tc>
      </w:tr>
      <w:tr w14:paraId="5274708C">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FE04BD5">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B0B8622">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0DE4005">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3FDDD6D">
            <w:pPr>
              <w:autoSpaceDE w:val="0"/>
              <w:autoSpaceDN w:val="0"/>
              <w:jc w:val="center"/>
              <w:rPr>
                <w:rFonts w:ascii="新宋体" w:eastAsia="新宋体"/>
                <w:color w:val="0F0F0F"/>
                <w:kern w:val="0"/>
                <w:szCs w:val="21"/>
              </w:rPr>
            </w:pPr>
          </w:p>
        </w:tc>
      </w:tr>
      <w:tr w14:paraId="09B44D1B">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9191CA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5255AD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7B36BFB7">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FE37CC3">
            <w:pPr>
              <w:autoSpaceDE w:val="0"/>
              <w:autoSpaceDN w:val="0"/>
              <w:jc w:val="center"/>
              <w:rPr>
                <w:rFonts w:ascii="新宋体" w:eastAsia="新宋体"/>
                <w:color w:val="0F0F0F"/>
                <w:kern w:val="0"/>
                <w:szCs w:val="21"/>
              </w:rPr>
            </w:pPr>
          </w:p>
        </w:tc>
      </w:tr>
      <w:tr w14:paraId="7D4EA3F0">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AD4A41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77B1D33F">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96ADED2">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276A4920">
            <w:pPr>
              <w:autoSpaceDE w:val="0"/>
              <w:autoSpaceDN w:val="0"/>
              <w:jc w:val="center"/>
              <w:rPr>
                <w:rFonts w:ascii="新宋体" w:eastAsia="新宋体"/>
                <w:color w:val="0F0F0F"/>
                <w:kern w:val="0"/>
                <w:szCs w:val="21"/>
              </w:rPr>
            </w:pPr>
          </w:p>
        </w:tc>
      </w:tr>
      <w:tr w14:paraId="5E247DB8">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246CA750">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47E84CB">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577452F">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1BD1ECC">
            <w:pPr>
              <w:autoSpaceDE w:val="0"/>
              <w:autoSpaceDN w:val="0"/>
              <w:jc w:val="center"/>
              <w:rPr>
                <w:rFonts w:ascii="新宋体" w:eastAsia="新宋体"/>
                <w:color w:val="0F0F0F"/>
                <w:kern w:val="0"/>
                <w:szCs w:val="21"/>
              </w:rPr>
            </w:pPr>
          </w:p>
        </w:tc>
      </w:tr>
      <w:tr w14:paraId="58D761A9">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0578B721">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C79DCE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7E0468DC">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06AB6C0D">
            <w:pPr>
              <w:autoSpaceDE w:val="0"/>
              <w:autoSpaceDN w:val="0"/>
              <w:jc w:val="center"/>
              <w:rPr>
                <w:rFonts w:ascii="新宋体" w:eastAsia="新宋体"/>
                <w:color w:val="0F0F0F"/>
                <w:kern w:val="0"/>
                <w:szCs w:val="21"/>
              </w:rPr>
            </w:pPr>
          </w:p>
        </w:tc>
      </w:tr>
      <w:tr w14:paraId="1D5BD13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12" w:space="0"/>
              <w:right w:val="single" w:color="auto" w:sz="8" w:space="0"/>
            </w:tcBorders>
            <w:noWrap/>
            <w:vAlign w:val="center"/>
          </w:tcPr>
          <w:p w14:paraId="1E078EA5">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12" w:space="0"/>
              <w:right w:val="single" w:color="auto" w:sz="8" w:space="0"/>
            </w:tcBorders>
            <w:noWrap/>
            <w:vAlign w:val="center"/>
          </w:tcPr>
          <w:p w14:paraId="536631DA">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12" w:space="0"/>
              <w:right w:val="single" w:color="auto" w:sz="8" w:space="0"/>
            </w:tcBorders>
            <w:noWrap/>
            <w:vAlign w:val="center"/>
          </w:tcPr>
          <w:p w14:paraId="7E3018FD">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12" w:space="0"/>
              <w:right w:val="single" w:color="auto" w:sz="12" w:space="0"/>
            </w:tcBorders>
            <w:noWrap/>
            <w:vAlign w:val="center"/>
          </w:tcPr>
          <w:p w14:paraId="7F13350D">
            <w:pPr>
              <w:autoSpaceDE w:val="0"/>
              <w:autoSpaceDN w:val="0"/>
              <w:jc w:val="center"/>
              <w:rPr>
                <w:rFonts w:ascii="新宋体" w:eastAsia="新宋体"/>
                <w:color w:val="0F0F0F"/>
                <w:kern w:val="0"/>
                <w:szCs w:val="21"/>
              </w:rPr>
            </w:pPr>
          </w:p>
        </w:tc>
      </w:tr>
    </w:tbl>
    <w:p w14:paraId="3726AA27">
      <w:pPr>
        <w:autoSpaceDE w:val="0"/>
        <w:autoSpaceDN w:val="0"/>
        <w:adjustRightInd w:val="0"/>
        <w:jc w:val="left"/>
        <w:rPr>
          <w:rFonts w:ascii="新宋体" w:eastAsia="新宋体"/>
          <w:color w:val="0F0F0F"/>
          <w:kern w:val="0"/>
          <w:sz w:val="24"/>
          <w:u w:val="single"/>
        </w:rPr>
      </w:pPr>
    </w:p>
    <w:p w14:paraId="0BA376E0">
      <w:pPr>
        <w:autoSpaceDE w:val="0"/>
        <w:autoSpaceDN w:val="0"/>
        <w:ind w:left="126" w:hanging="126" w:hangingChars="60"/>
        <w:rPr>
          <w:rFonts w:ascii="新宋体" w:eastAsia="新宋体" w:cs="宋体"/>
          <w:color w:val="0F0F0F"/>
          <w:kern w:val="0"/>
          <w:szCs w:val="21"/>
        </w:rPr>
      </w:pPr>
      <w:r>
        <w:rPr>
          <w:rFonts w:hint="eastAsia" w:ascii="新宋体" w:eastAsia="新宋体" w:cs="宋体"/>
          <w:color w:val="0F0F0F"/>
          <w:kern w:val="0"/>
          <w:szCs w:val="21"/>
        </w:rPr>
        <w:t>①a</w:t>
      </w:r>
      <w:r>
        <w:rPr>
          <w:rFonts w:ascii="新宋体" w:eastAsia="新宋体" w:cs="宋体"/>
          <w:color w:val="0F0F0F"/>
          <w:kern w:val="0"/>
          <w:szCs w:val="21"/>
        </w:rPr>
        <w:t>．</w:t>
      </w:r>
      <w:r>
        <w:rPr>
          <w:rFonts w:hint="eastAsia" w:ascii="新宋体" w:eastAsia="新宋体" w:cs="宋体"/>
          <w:color w:val="0F0F0F"/>
          <w:kern w:val="0"/>
          <w:szCs w:val="21"/>
          <w:lang w:eastAsia="zh-CN"/>
        </w:rPr>
        <w:t>采购人</w:t>
      </w:r>
      <w:r>
        <w:rPr>
          <w:rFonts w:ascii="新宋体" w:eastAsia="新宋体" w:cs="宋体"/>
          <w:color w:val="0F0F0F"/>
          <w:kern w:val="0"/>
          <w:szCs w:val="21"/>
        </w:rPr>
        <w:t>应在</w:t>
      </w:r>
      <w:r>
        <w:rPr>
          <w:rFonts w:hint="eastAsia" w:ascii="新宋体" w:eastAsia="新宋体" w:cs="宋体"/>
          <w:color w:val="0F0F0F"/>
          <w:kern w:val="0"/>
          <w:szCs w:val="21"/>
        </w:rPr>
        <w:t>竞争性磋商文件中</w:t>
      </w:r>
      <w:r>
        <w:rPr>
          <w:rFonts w:ascii="新宋体" w:eastAsia="新宋体" w:cs="宋体"/>
          <w:color w:val="0F0F0F"/>
          <w:kern w:val="0"/>
          <w:szCs w:val="21"/>
        </w:rPr>
        <w:t>规定若</w:t>
      </w:r>
      <w:r>
        <w:rPr>
          <w:rFonts w:hint="eastAsia" w:ascii="新宋体" w:eastAsia="新宋体" w:cs="宋体"/>
          <w:color w:val="0F0F0F"/>
          <w:kern w:val="0"/>
          <w:szCs w:val="21"/>
          <w:lang w:eastAsia="zh-CN"/>
        </w:rPr>
        <w:t>供应商</w:t>
      </w:r>
      <w:r>
        <w:rPr>
          <w:rFonts w:ascii="新宋体" w:eastAsia="新宋体" w:cs="宋体"/>
          <w:color w:val="0F0F0F"/>
          <w:kern w:val="0"/>
          <w:szCs w:val="21"/>
        </w:rPr>
        <w:t>程所投标段</w:t>
      </w:r>
      <w:r>
        <w:rPr>
          <w:rFonts w:hint="eastAsia" w:ascii="新宋体" w:eastAsia="新宋体" w:cs="宋体"/>
          <w:color w:val="0F0F0F"/>
          <w:kern w:val="0"/>
          <w:szCs w:val="21"/>
          <w:lang w:eastAsia="zh-CN"/>
        </w:rPr>
        <w:t>成交</w:t>
      </w:r>
      <w:r>
        <w:rPr>
          <w:rFonts w:hint="eastAsia" w:ascii="新宋体" w:eastAsia="新宋体" w:cs="宋体"/>
          <w:color w:val="0F0F0F"/>
          <w:kern w:val="0"/>
          <w:szCs w:val="21"/>
        </w:rPr>
        <w:t>需提</w:t>
      </w:r>
      <w:r>
        <w:rPr>
          <w:rFonts w:ascii="新宋体" w:eastAsia="新宋体" w:cs="宋体"/>
          <w:color w:val="0F0F0F"/>
          <w:kern w:val="0"/>
          <w:szCs w:val="21"/>
        </w:rPr>
        <w:t>供的主</w:t>
      </w:r>
      <w:r>
        <w:rPr>
          <w:rFonts w:hint="eastAsia" w:ascii="新宋体" w:eastAsia="新宋体" w:cs="宋体"/>
          <w:color w:val="0F0F0F"/>
          <w:kern w:val="0"/>
          <w:szCs w:val="21"/>
        </w:rPr>
        <w:t>要</w:t>
      </w:r>
      <w:r>
        <w:rPr>
          <w:rFonts w:ascii="新宋体" w:eastAsia="新宋体" w:cs="宋体"/>
          <w:color w:val="0F0F0F"/>
          <w:kern w:val="0"/>
          <w:szCs w:val="21"/>
        </w:rPr>
        <w:t>机械设备和试验检</w:t>
      </w:r>
      <w:r>
        <w:rPr>
          <w:rFonts w:hint="eastAsia" w:ascii="新宋体" w:eastAsia="新宋体" w:cs="宋体"/>
          <w:color w:val="0F0F0F"/>
          <w:kern w:val="0"/>
          <w:szCs w:val="21"/>
        </w:rPr>
        <w:t>测</w:t>
      </w:r>
      <w:r>
        <w:rPr>
          <w:rFonts w:ascii="新宋体" w:eastAsia="新宋体" w:cs="宋体"/>
          <w:color w:val="0F0F0F"/>
          <w:kern w:val="0"/>
          <w:szCs w:val="21"/>
        </w:rPr>
        <w:t>设备。</w:t>
      </w:r>
      <w:r>
        <w:rPr>
          <w:rFonts w:hint="eastAsia" w:ascii="新宋体" w:eastAsia="新宋体" w:cs="宋体"/>
          <w:color w:val="0F0F0F"/>
          <w:kern w:val="0"/>
          <w:szCs w:val="21"/>
          <w:lang w:eastAsia="zh-CN"/>
        </w:rPr>
        <w:t>采购人</w:t>
      </w:r>
      <w:r>
        <w:rPr>
          <w:rFonts w:ascii="新宋体" w:eastAsia="新宋体" w:cs="宋体"/>
          <w:color w:val="0F0F0F"/>
          <w:kern w:val="0"/>
          <w:szCs w:val="21"/>
        </w:rPr>
        <w:t>将在发</w:t>
      </w:r>
      <w:r>
        <w:rPr>
          <w:rFonts w:hint="eastAsia" w:ascii="新宋体" w:eastAsia="新宋体" w:cs="宋体"/>
          <w:color w:val="0F0F0F"/>
          <w:kern w:val="0"/>
          <w:szCs w:val="21"/>
        </w:rPr>
        <w:t>出</w:t>
      </w:r>
      <w:r>
        <w:rPr>
          <w:rFonts w:hint="eastAsia" w:ascii="新宋体" w:eastAsia="新宋体" w:cs="宋体"/>
          <w:color w:val="0F0F0F"/>
          <w:kern w:val="0"/>
          <w:szCs w:val="21"/>
          <w:lang w:eastAsia="zh-CN"/>
        </w:rPr>
        <w:t>成交</w:t>
      </w:r>
      <w:r>
        <w:rPr>
          <w:rFonts w:ascii="新宋体" w:eastAsia="新宋体" w:cs="宋体"/>
          <w:color w:val="0F0F0F"/>
          <w:kern w:val="0"/>
          <w:szCs w:val="21"/>
        </w:rPr>
        <w:t>通知书之</w:t>
      </w:r>
      <w:r>
        <w:rPr>
          <w:rFonts w:hint="eastAsia" w:ascii="新宋体" w:eastAsia="新宋体" w:cs="宋体"/>
          <w:color w:val="0F0F0F"/>
          <w:kern w:val="0"/>
          <w:szCs w:val="21"/>
        </w:rPr>
        <w:t>前要</w:t>
      </w:r>
      <w:r>
        <w:rPr>
          <w:rFonts w:ascii="新宋体" w:eastAsia="新宋体" w:cs="宋体"/>
          <w:color w:val="0F0F0F"/>
          <w:kern w:val="0"/>
          <w:szCs w:val="21"/>
        </w:rPr>
        <w:t>求</w:t>
      </w:r>
      <w:r>
        <w:rPr>
          <w:rFonts w:hint="eastAsia" w:ascii="新宋体" w:eastAsia="新宋体" w:cs="宋体"/>
          <w:color w:val="0F0F0F"/>
          <w:kern w:val="0"/>
          <w:szCs w:val="21"/>
          <w:lang w:eastAsia="zh-CN"/>
        </w:rPr>
        <w:t>成交</w:t>
      </w:r>
      <w:r>
        <w:rPr>
          <w:rFonts w:ascii="新宋体" w:eastAsia="新宋体" w:cs="宋体"/>
          <w:color w:val="0F0F0F"/>
          <w:kern w:val="0"/>
          <w:szCs w:val="21"/>
        </w:rPr>
        <w:t>人按照</w:t>
      </w:r>
      <w:r>
        <w:rPr>
          <w:rFonts w:hint="eastAsia" w:ascii="新宋体" w:eastAsia="新宋体" w:cs="宋体"/>
          <w:color w:val="0F0F0F"/>
          <w:kern w:val="0"/>
          <w:szCs w:val="21"/>
        </w:rPr>
        <w:t>本表</w:t>
      </w:r>
      <w:r>
        <w:rPr>
          <w:rFonts w:ascii="新宋体" w:eastAsia="新宋体" w:cs="宋体"/>
          <w:color w:val="0F0F0F"/>
          <w:kern w:val="0"/>
          <w:szCs w:val="21"/>
        </w:rPr>
        <w:t>的最低</w:t>
      </w:r>
      <w:r>
        <w:rPr>
          <w:rFonts w:hint="eastAsia" w:ascii="新宋体" w:eastAsia="新宋体" w:cs="宋体"/>
          <w:color w:val="0F0F0F"/>
          <w:kern w:val="0"/>
          <w:szCs w:val="21"/>
        </w:rPr>
        <w:t>要求填报</w:t>
      </w:r>
      <w:r>
        <w:rPr>
          <w:rFonts w:ascii="新宋体" w:eastAsia="新宋体" w:cs="宋体"/>
          <w:color w:val="0F0F0F"/>
          <w:kern w:val="0"/>
          <w:szCs w:val="21"/>
        </w:rPr>
        <w:t>为</w:t>
      </w:r>
      <w:r>
        <w:rPr>
          <w:rFonts w:hint="eastAsia" w:ascii="新宋体" w:eastAsia="新宋体" w:cs="宋体"/>
          <w:color w:val="0F0F0F"/>
          <w:kern w:val="0"/>
          <w:szCs w:val="21"/>
        </w:rPr>
        <w:t>本</w:t>
      </w:r>
      <w:r>
        <w:rPr>
          <w:rFonts w:ascii="新宋体" w:eastAsia="新宋体" w:cs="宋体"/>
          <w:color w:val="0F0F0F"/>
          <w:kern w:val="0"/>
          <w:szCs w:val="21"/>
        </w:rPr>
        <w:t>标段配备的主婴设备，在经</w:t>
      </w:r>
      <w:r>
        <w:rPr>
          <w:rFonts w:hint="eastAsia" w:ascii="新宋体" w:eastAsia="新宋体" w:cs="宋体"/>
          <w:color w:val="0F0F0F"/>
          <w:kern w:val="0"/>
          <w:szCs w:val="21"/>
          <w:lang w:eastAsia="zh-CN"/>
        </w:rPr>
        <w:t>采购人</w:t>
      </w:r>
      <w:r>
        <w:rPr>
          <w:rFonts w:ascii="新宋体" w:eastAsia="新宋体" w:cs="宋体"/>
          <w:color w:val="0F0F0F"/>
          <w:kern w:val="0"/>
          <w:szCs w:val="21"/>
        </w:rPr>
        <w:t>审批</w:t>
      </w:r>
      <w:r>
        <w:rPr>
          <w:rFonts w:hint="eastAsia" w:ascii="新宋体" w:eastAsia="新宋体" w:cs="宋体"/>
          <w:color w:val="0F0F0F"/>
          <w:kern w:val="0"/>
          <w:szCs w:val="21"/>
        </w:rPr>
        <w:t>后</w:t>
      </w:r>
      <w:r>
        <w:rPr>
          <w:rFonts w:ascii="新宋体" w:eastAsia="新宋体" w:cs="宋体"/>
          <w:color w:val="0F0F0F"/>
          <w:kern w:val="0"/>
          <w:szCs w:val="21"/>
        </w:rPr>
        <w:t>作为投入本</w:t>
      </w:r>
      <w:r>
        <w:rPr>
          <w:rFonts w:hint="eastAsia" w:ascii="新宋体" w:eastAsia="新宋体" w:cs="宋体"/>
          <w:color w:val="0F0F0F"/>
          <w:kern w:val="0"/>
          <w:szCs w:val="21"/>
        </w:rPr>
        <w:t>标</w:t>
      </w:r>
      <w:r>
        <w:rPr>
          <w:rFonts w:ascii="新宋体" w:eastAsia="新宋体" w:cs="宋体"/>
          <w:color w:val="0F0F0F"/>
          <w:kern w:val="0"/>
          <w:szCs w:val="21"/>
        </w:rPr>
        <w:t>段的</w:t>
      </w:r>
      <w:r>
        <w:rPr>
          <w:rFonts w:hint="eastAsia" w:ascii="新宋体" w:eastAsia="新宋体" w:cs="宋体"/>
          <w:color w:val="0F0F0F"/>
          <w:kern w:val="0"/>
          <w:szCs w:val="21"/>
        </w:rPr>
        <w:t>主要</w:t>
      </w:r>
      <w:r>
        <w:rPr>
          <w:rFonts w:ascii="新宋体" w:eastAsia="新宋体" w:cs="宋体"/>
          <w:color w:val="0F0F0F"/>
          <w:kern w:val="0"/>
          <w:szCs w:val="21"/>
        </w:rPr>
        <w:t>设备</w:t>
      </w:r>
      <w:r>
        <w:rPr>
          <w:rFonts w:hint="eastAsia" w:ascii="新宋体" w:eastAsia="新宋体" w:cs="宋体"/>
          <w:color w:val="0F0F0F"/>
          <w:kern w:val="0"/>
          <w:szCs w:val="21"/>
        </w:rPr>
        <w:t>且</w:t>
      </w:r>
      <w:r>
        <w:rPr>
          <w:rFonts w:ascii="新宋体" w:eastAsia="新宋体" w:cs="宋体"/>
          <w:color w:val="0F0F0F"/>
          <w:kern w:val="0"/>
          <w:szCs w:val="21"/>
        </w:rPr>
        <w:t>不允许</w:t>
      </w:r>
      <w:r>
        <w:rPr>
          <w:rFonts w:hint="eastAsia" w:ascii="新宋体" w:eastAsia="新宋体" w:cs="宋体"/>
          <w:color w:val="0F0F0F"/>
          <w:kern w:val="0"/>
          <w:szCs w:val="21"/>
        </w:rPr>
        <w:t>更</w:t>
      </w:r>
      <w:r>
        <w:rPr>
          <w:rFonts w:ascii="新宋体" w:eastAsia="新宋体" w:cs="宋体"/>
          <w:color w:val="0F0F0F"/>
          <w:kern w:val="0"/>
          <w:szCs w:val="21"/>
        </w:rPr>
        <w:t>换。</w:t>
      </w:r>
    </w:p>
    <w:p w14:paraId="7FEAFCB2">
      <w:pPr>
        <w:autoSpaceDE w:val="0"/>
        <w:autoSpaceDN w:val="0"/>
        <w:ind w:left="315" w:leftChars="150"/>
        <w:rPr>
          <w:rFonts w:ascii="新宋体" w:eastAsia="新宋体" w:cs="宋体"/>
          <w:color w:val="0F0F0F"/>
          <w:kern w:val="0"/>
          <w:szCs w:val="21"/>
        </w:rPr>
      </w:pPr>
      <w:r>
        <w:rPr>
          <w:rFonts w:ascii="新宋体" w:eastAsia="新宋体" w:cs="宋体"/>
          <w:color w:val="0F0F0F"/>
          <w:kern w:val="0"/>
          <w:szCs w:val="21"/>
        </w:rPr>
        <w:t>b．本</w:t>
      </w:r>
      <w:r>
        <w:rPr>
          <w:rFonts w:hint="eastAsia" w:ascii="新宋体" w:eastAsia="新宋体" w:cs="宋体"/>
          <w:color w:val="0F0F0F"/>
          <w:kern w:val="0"/>
          <w:szCs w:val="21"/>
        </w:rPr>
        <w:t>表</w:t>
      </w:r>
      <w:r>
        <w:rPr>
          <w:rFonts w:ascii="新宋体" w:eastAsia="新宋体" w:cs="宋体"/>
          <w:color w:val="0F0F0F"/>
          <w:kern w:val="0"/>
          <w:szCs w:val="21"/>
        </w:rPr>
        <w:t>不适用于已按资格顼审文件</w:t>
      </w:r>
      <w:r>
        <w:rPr>
          <w:rFonts w:hint="eastAsia" w:ascii="新宋体" w:eastAsia="新宋体" w:cs="宋体"/>
          <w:color w:val="0F0F0F"/>
          <w:kern w:val="0"/>
          <w:szCs w:val="21"/>
        </w:rPr>
        <w:t>或竞争性磋商文件</w:t>
      </w:r>
      <w:r>
        <w:rPr>
          <w:rFonts w:ascii="新宋体" w:eastAsia="新宋体" w:cs="宋体"/>
          <w:color w:val="0F0F0F"/>
          <w:kern w:val="0"/>
          <w:szCs w:val="21"/>
        </w:rPr>
        <w:t>要求</w:t>
      </w:r>
      <w:r>
        <w:rPr>
          <w:rFonts w:hint="eastAsia" w:ascii="新宋体" w:eastAsia="新宋体" w:cs="宋体"/>
          <w:color w:val="0F0F0F"/>
          <w:kern w:val="0"/>
          <w:szCs w:val="21"/>
        </w:rPr>
        <w:t>提</w:t>
      </w:r>
      <w:r>
        <w:rPr>
          <w:rFonts w:ascii="新宋体" w:eastAsia="新宋体" w:cs="宋体"/>
          <w:color w:val="0F0F0F"/>
          <w:kern w:val="0"/>
          <w:szCs w:val="21"/>
        </w:rPr>
        <w:t>供了主要机城设备和试验检测设备的技术特别复杂的特大桥粱和长大</w:t>
      </w:r>
      <w:r>
        <w:rPr>
          <w:rFonts w:hint="eastAsia" w:ascii="新宋体" w:eastAsia="新宋体" w:cs="宋体"/>
          <w:color w:val="0F0F0F"/>
          <w:kern w:val="0"/>
          <w:szCs w:val="21"/>
        </w:rPr>
        <w:t>隧道工程</w:t>
      </w:r>
      <w:r>
        <w:rPr>
          <w:rFonts w:ascii="新宋体" w:eastAsia="新宋体" w:cs="宋体"/>
          <w:color w:val="0F0F0F"/>
          <w:kern w:val="0"/>
          <w:szCs w:val="21"/>
        </w:rPr>
        <w:t>。</w:t>
      </w:r>
    </w:p>
    <w:p w14:paraId="3720A281">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附件六 项目经理委任书</w:t>
      </w:r>
    </w:p>
    <w:p w14:paraId="0EB2CF3F">
      <w:pPr>
        <w:jc w:val="center"/>
        <w:rPr>
          <w:rFonts w:ascii="新宋体" w:eastAsia="新宋体"/>
          <w:b/>
          <w:color w:val="0F0F0F"/>
          <w:sz w:val="32"/>
          <w:szCs w:val="32"/>
          <w:u w:val="single"/>
        </w:rPr>
      </w:pPr>
      <w:r>
        <w:rPr>
          <w:rFonts w:hint="eastAsia" w:ascii="新宋体" w:eastAsia="新宋体"/>
          <w:b/>
          <w:color w:val="0F0F0F"/>
          <w:sz w:val="32"/>
          <w:szCs w:val="32"/>
          <w:u w:val="single"/>
        </w:rPr>
        <w:t>（承包人全称)</w:t>
      </w:r>
    </w:p>
    <w:p w14:paraId="1DABD7B3">
      <w:pPr>
        <w:jc w:val="center"/>
        <w:rPr>
          <w:rFonts w:ascii="新宋体" w:eastAsia="新宋体"/>
          <w:b/>
          <w:color w:val="0F0F0F"/>
          <w:sz w:val="32"/>
          <w:szCs w:val="32"/>
        </w:rPr>
      </w:pPr>
      <w:r>
        <w:rPr>
          <w:rFonts w:hint="eastAsia" w:ascii="新宋体" w:eastAsia="新宋体"/>
          <w:b/>
          <w:color w:val="0F0F0F"/>
          <w:sz w:val="32"/>
          <w:szCs w:val="32"/>
          <w:u w:val="single"/>
        </w:rPr>
        <w:t>（合同工程名称）</w:t>
      </w:r>
      <w:r>
        <w:rPr>
          <w:rFonts w:hint="eastAsia" w:ascii="新宋体" w:eastAsia="新宋体"/>
          <w:b/>
          <w:color w:val="0F0F0F"/>
          <w:sz w:val="32"/>
          <w:szCs w:val="32"/>
        </w:rPr>
        <w:t>项目经理委任书</w:t>
      </w:r>
    </w:p>
    <w:p w14:paraId="68124031">
      <w:pPr>
        <w:spacing w:line="480" w:lineRule="exact"/>
        <w:rPr>
          <w:rFonts w:ascii="新宋体" w:hAnsi="宋体" w:eastAsia="新宋体"/>
          <w:color w:val="0F0F0F"/>
          <w:sz w:val="24"/>
        </w:rPr>
      </w:pPr>
    </w:p>
    <w:p w14:paraId="6A149A52">
      <w:pPr>
        <w:spacing w:line="480" w:lineRule="exact"/>
        <w:rPr>
          <w:rFonts w:ascii="新宋体" w:hAnsi="宋体" w:eastAsia="新宋体"/>
          <w:color w:val="0F0F0F"/>
          <w:sz w:val="24"/>
        </w:rPr>
      </w:pPr>
      <w:r>
        <w:rPr>
          <w:rFonts w:hint="eastAsia" w:ascii="新宋体" w:hAnsi="宋体" w:eastAsia="新宋体"/>
          <w:color w:val="0F0F0F"/>
          <w:sz w:val="24"/>
        </w:rPr>
        <w:t>致：（发包人全称</w:t>
      </w:r>
      <w:r>
        <w:rPr>
          <w:rFonts w:ascii="新宋体" w:hAnsi="宋体" w:eastAsia="新宋体"/>
          <w:color w:val="0F0F0F"/>
          <w:sz w:val="24"/>
        </w:rPr>
        <w:t>)</w:t>
      </w:r>
    </w:p>
    <w:p w14:paraId="04A8456C">
      <w:pPr>
        <w:spacing w:line="480" w:lineRule="exact"/>
        <w:ind w:firstLine="523" w:firstLineChars="218"/>
        <w:rPr>
          <w:rFonts w:ascii="新宋体" w:hAnsi="宋体" w:eastAsia="新宋体"/>
          <w:color w:val="0F0F0F"/>
          <w:sz w:val="24"/>
        </w:rPr>
      </w:pPr>
      <w:r>
        <w:rPr>
          <w:rFonts w:ascii="新宋体" w:hAnsi="宋体" w:eastAsia="新宋体"/>
          <w:color w:val="0F0F0F"/>
          <w:sz w:val="24"/>
          <w:u w:val="single"/>
        </w:rPr>
        <w:t>(</w:t>
      </w:r>
      <w:r>
        <w:rPr>
          <w:rFonts w:hint="eastAsia" w:ascii="新宋体" w:hAnsi="宋体" w:eastAsia="新宋体"/>
          <w:color w:val="0F0F0F"/>
          <w:sz w:val="24"/>
          <w:u w:val="single"/>
        </w:rPr>
        <w:t>承包人全称</w:t>
      </w:r>
      <w:r>
        <w:rPr>
          <w:rFonts w:ascii="新宋体" w:hAnsi="宋体" w:eastAsia="新宋体"/>
          <w:color w:val="0F0F0F"/>
          <w:sz w:val="24"/>
          <w:u w:val="single"/>
        </w:rPr>
        <w:t>)</w:t>
      </w:r>
      <w:r>
        <w:rPr>
          <w:rFonts w:ascii="新宋体" w:hAnsi="宋体" w:eastAsia="新宋体"/>
          <w:color w:val="0F0F0F"/>
          <w:sz w:val="24"/>
        </w:rPr>
        <w:t>法定代表人(</w:t>
      </w:r>
      <w:r>
        <w:rPr>
          <w:rFonts w:hint="eastAsia" w:ascii="新宋体" w:hAnsi="宋体" w:eastAsia="新宋体"/>
          <w:color w:val="0F0F0F"/>
          <w:sz w:val="24"/>
          <w:u w:val="single"/>
        </w:rPr>
        <w:t>职务、姓名</w:t>
      </w:r>
      <w:r>
        <w:rPr>
          <w:rFonts w:ascii="新宋体" w:hAnsi="宋体" w:eastAsia="新宋体"/>
          <w:color w:val="0F0F0F"/>
          <w:sz w:val="24"/>
        </w:rPr>
        <w:t>)代表本单位委任</w:t>
      </w:r>
      <w:r>
        <w:rPr>
          <w:rFonts w:hint="eastAsia" w:ascii="新宋体" w:hAnsi="宋体" w:eastAsia="新宋体"/>
          <w:color w:val="0F0F0F"/>
          <w:sz w:val="24"/>
        </w:rPr>
        <w:t>（职务、姓名）</w:t>
      </w:r>
      <w:r>
        <w:rPr>
          <w:rFonts w:ascii="新宋体" w:hAnsi="宋体" w:eastAsia="新宋体"/>
          <w:color w:val="0F0F0F"/>
          <w:sz w:val="24"/>
        </w:rPr>
        <w:t>为</w:t>
      </w:r>
      <w:r>
        <w:rPr>
          <w:rFonts w:ascii="新宋体" w:hAnsi="宋体" w:eastAsia="新宋体"/>
          <w:color w:val="0F0F0F"/>
          <w:sz w:val="24"/>
          <w:u w:val="single"/>
        </w:rPr>
        <w:t>(</w:t>
      </w:r>
      <w:r>
        <w:rPr>
          <w:rFonts w:hint="eastAsia" w:ascii="新宋体" w:hAnsi="宋体" w:eastAsia="新宋体"/>
          <w:color w:val="0F0F0F"/>
          <w:sz w:val="24"/>
          <w:u w:val="single"/>
        </w:rPr>
        <w:t>合同工程名称)</w:t>
      </w:r>
      <w:r>
        <w:rPr>
          <w:rFonts w:ascii="新宋体" w:hAnsi="宋体" w:eastAsia="新宋体"/>
          <w:color w:val="0F0F0F"/>
          <w:sz w:val="24"/>
        </w:rPr>
        <w:t>的项目经理。凡本合同执行中的有关技术、工程进度、现场管理、质</w:t>
      </w:r>
      <w:r>
        <w:rPr>
          <w:rFonts w:hint="eastAsia" w:ascii="新宋体" w:hAnsi="宋体" w:eastAsia="新宋体"/>
          <w:color w:val="0F0F0F"/>
          <w:sz w:val="24"/>
        </w:rPr>
        <w:t>量</w:t>
      </w:r>
      <w:r>
        <w:rPr>
          <w:rFonts w:ascii="新宋体" w:hAnsi="宋体" w:eastAsia="新宋体"/>
          <w:color w:val="0F0F0F"/>
          <w:sz w:val="24"/>
        </w:rPr>
        <w:t>检验、结</w:t>
      </w:r>
      <w:r>
        <w:rPr>
          <w:rFonts w:hint="eastAsia" w:ascii="新宋体" w:hAnsi="宋体" w:eastAsia="新宋体"/>
          <w:color w:val="0F0F0F"/>
          <w:sz w:val="24"/>
        </w:rPr>
        <w:t>算与支付等方面工</w:t>
      </w:r>
      <w:r>
        <w:rPr>
          <w:rFonts w:ascii="新宋体" w:hAnsi="宋体" w:eastAsia="新宋体"/>
          <w:color w:val="0F0F0F"/>
          <w:sz w:val="24"/>
        </w:rPr>
        <w:t>作，由</w:t>
      </w:r>
      <w:r>
        <w:rPr>
          <w:rFonts w:ascii="新宋体" w:hAnsi="宋体" w:eastAsia="新宋体"/>
          <w:color w:val="0F0F0F"/>
          <w:sz w:val="24"/>
          <w:u w:val="single"/>
        </w:rPr>
        <w:t>(</w:t>
      </w:r>
      <w:r>
        <w:rPr>
          <w:rFonts w:hint="eastAsia" w:ascii="新宋体" w:hAnsi="宋体" w:eastAsia="新宋体"/>
          <w:color w:val="0F0F0F"/>
          <w:sz w:val="24"/>
          <w:u w:val="single"/>
        </w:rPr>
        <w:t>姓名)</w:t>
      </w:r>
      <w:r>
        <w:rPr>
          <w:rFonts w:ascii="新宋体" w:hAnsi="宋体" w:eastAsia="新宋体"/>
          <w:color w:val="0F0F0F"/>
          <w:sz w:val="24"/>
        </w:rPr>
        <w:t>代表本单位全面负责。</w:t>
      </w:r>
    </w:p>
    <w:p w14:paraId="3CD3A082">
      <w:pPr>
        <w:spacing w:line="480" w:lineRule="exact"/>
        <w:ind w:firstLine="523" w:firstLineChars="218"/>
        <w:jc w:val="right"/>
        <w:rPr>
          <w:rFonts w:ascii="新宋体" w:hAnsi="宋体" w:eastAsia="新宋体"/>
          <w:color w:val="0F0F0F"/>
          <w:sz w:val="24"/>
        </w:rPr>
      </w:pPr>
    </w:p>
    <w:p w14:paraId="441E262E">
      <w:pPr>
        <w:spacing w:line="480" w:lineRule="exact"/>
        <w:ind w:firstLine="523" w:firstLineChars="218"/>
        <w:jc w:val="right"/>
        <w:rPr>
          <w:rFonts w:ascii="新宋体" w:hAnsi="宋体" w:eastAsia="新宋体"/>
          <w:color w:val="0F0F0F"/>
          <w:sz w:val="24"/>
        </w:rPr>
      </w:pPr>
      <w:r>
        <w:rPr>
          <w:rFonts w:ascii="新宋体" w:hAnsi="宋体" w:eastAsia="新宋体"/>
          <w:color w:val="0F0F0F"/>
          <w:sz w:val="24"/>
        </w:rPr>
        <w:t xml:space="preserve">  承包入：</w:t>
      </w:r>
      <w:r>
        <w:rPr>
          <w:rFonts w:hint="eastAsia" w:ascii="新宋体" w:hAnsi="宋体" w:eastAsia="新宋体"/>
          <w:color w:val="0F0F0F"/>
          <w:sz w:val="24"/>
          <w:u w:val="single"/>
          <w:lang w:val="en-US" w:eastAsia="zh-CN"/>
        </w:rPr>
        <w:t xml:space="preserve">         </w:t>
      </w:r>
      <w:r>
        <w:rPr>
          <w:rFonts w:ascii="新宋体" w:hAnsi="宋体" w:eastAsia="新宋体"/>
          <w:color w:val="0F0F0F"/>
          <w:sz w:val="24"/>
        </w:rPr>
        <w:t xml:space="preserve"> (</w:t>
      </w:r>
      <w:r>
        <w:rPr>
          <w:rFonts w:hint="eastAsia" w:ascii="新宋体" w:hAnsi="宋体" w:eastAsia="新宋体"/>
          <w:color w:val="0F0F0F"/>
          <w:sz w:val="24"/>
        </w:rPr>
        <w:t>盖</w:t>
      </w:r>
      <w:r>
        <w:rPr>
          <w:rFonts w:ascii="新宋体" w:hAnsi="宋体" w:eastAsia="新宋体"/>
          <w:color w:val="0F0F0F"/>
          <w:sz w:val="24"/>
        </w:rPr>
        <w:t>单位章)</w:t>
      </w:r>
    </w:p>
    <w:p w14:paraId="2679E979">
      <w:pPr>
        <w:wordWrap w:val="0"/>
        <w:spacing w:line="480" w:lineRule="exact"/>
        <w:ind w:firstLine="523" w:firstLineChars="218"/>
        <w:jc w:val="right"/>
        <w:rPr>
          <w:rFonts w:ascii="新宋体" w:hAnsi="宋体" w:eastAsia="新宋体"/>
          <w:color w:val="0F0F0F"/>
          <w:sz w:val="24"/>
        </w:rPr>
      </w:pPr>
      <w:r>
        <w:rPr>
          <w:rFonts w:ascii="新宋体" w:hAnsi="宋体" w:eastAsia="新宋体"/>
          <w:color w:val="0F0F0F"/>
          <w:sz w:val="24"/>
        </w:rPr>
        <w:t xml:space="preserve"> 法定代表人：</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rPr>
        <w:t>（职务）</w:t>
      </w:r>
    </w:p>
    <w:p w14:paraId="5DB44280">
      <w:pPr>
        <w:wordWrap w:val="0"/>
        <w:spacing w:line="480" w:lineRule="exact"/>
        <w:ind w:firstLine="523" w:firstLineChars="218"/>
        <w:jc w:val="center"/>
        <w:rPr>
          <w:rFonts w:ascii="新宋体" w:hAnsi="宋体" w:eastAsia="新宋体"/>
          <w:color w:val="0F0F0F"/>
          <w:sz w:val="24"/>
          <w:u w:val="single"/>
        </w:rPr>
      </w:pPr>
      <w:r>
        <w:rPr>
          <w:rFonts w:hint="eastAsia" w:ascii="新宋体" w:hAnsi="宋体" w:eastAsia="新宋体"/>
          <w:color w:val="0F0F0F"/>
          <w:sz w:val="24"/>
          <w:lang w:val="en-US" w:eastAsia="zh-CN"/>
        </w:rPr>
        <w:t xml:space="preserve">                                                                  </w:t>
      </w:r>
      <w:r>
        <w:rPr>
          <w:rFonts w:hint="eastAsia" w:ascii="新宋体" w:hAnsi="宋体" w:eastAsia="新宋体"/>
          <w:color w:val="0F0F0F"/>
          <w:sz w:val="24"/>
        </w:rPr>
        <w:t>（姓名）</w:t>
      </w:r>
    </w:p>
    <w:p w14:paraId="36A60D0C">
      <w:pPr>
        <w:wordWrap w:val="0"/>
        <w:spacing w:line="480" w:lineRule="exact"/>
        <w:ind w:firstLine="523" w:firstLineChars="218"/>
        <w:jc w:val="right"/>
        <w:rPr>
          <w:rFonts w:ascii="新宋体" w:hAnsi="宋体" w:eastAsia="新宋体"/>
          <w:color w:val="0F0F0F"/>
          <w:sz w:val="24"/>
          <w:u w:val="single"/>
        </w:rPr>
      </w:pPr>
      <w:r>
        <w:rPr>
          <w:rFonts w:hint="eastAsia" w:ascii="新宋体" w:hAnsi="宋体" w:eastAsia="新宋体"/>
          <w:color w:val="0F0F0F"/>
          <w:sz w:val="24"/>
        </w:rPr>
        <w:t>（签字）</w:t>
      </w:r>
    </w:p>
    <w:p w14:paraId="0ACDF977">
      <w:pPr>
        <w:spacing w:line="480" w:lineRule="exact"/>
        <w:ind w:firstLine="523" w:firstLineChars="218"/>
        <w:jc w:val="right"/>
        <w:rPr>
          <w:rFonts w:ascii="新宋体" w:hAnsi="宋体" w:eastAsia="新宋体"/>
          <w:color w:val="0F0F0F"/>
          <w:sz w:val="24"/>
        </w:rPr>
      </w:pPr>
      <w:r>
        <w:rPr>
          <w:rFonts w:ascii="新宋体" w:hAnsi="宋体" w:eastAsia="新宋体"/>
          <w:color w:val="0F0F0F"/>
          <w:sz w:val="24"/>
        </w:rPr>
        <w:t>年</w:t>
      </w:r>
      <w:r>
        <w:rPr>
          <w:rFonts w:hint="eastAsia" w:ascii="新宋体" w:hAnsi="宋体" w:eastAsia="新宋体"/>
          <w:color w:val="0F0F0F"/>
          <w:sz w:val="24"/>
          <w:lang w:val="en-US" w:eastAsia="zh-CN"/>
        </w:rPr>
        <w:t xml:space="preserve">   </w:t>
      </w:r>
      <w:r>
        <w:rPr>
          <w:rFonts w:ascii="新宋体" w:hAnsi="宋体" w:eastAsia="新宋体"/>
          <w:color w:val="0F0F0F"/>
          <w:sz w:val="24"/>
        </w:rPr>
        <w:t>月</w:t>
      </w:r>
      <w:r>
        <w:rPr>
          <w:rFonts w:hint="eastAsia" w:ascii="新宋体" w:hAnsi="宋体" w:eastAsia="新宋体"/>
          <w:color w:val="0F0F0F"/>
          <w:sz w:val="24"/>
          <w:lang w:val="en-US" w:eastAsia="zh-CN"/>
        </w:rPr>
        <w:t xml:space="preserve">   </w:t>
      </w:r>
      <w:r>
        <w:rPr>
          <w:rFonts w:ascii="新宋体" w:hAnsi="宋体" w:eastAsia="新宋体"/>
          <w:color w:val="0F0F0F"/>
          <w:sz w:val="24"/>
        </w:rPr>
        <w:t>日</w:t>
      </w:r>
    </w:p>
    <w:p w14:paraId="01FA0EBB">
      <w:pPr>
        <w:spacing w:line="480" w:lineRule="exact"/>
        <w:ind w:firstLine="523" w:firstLineChars="218"/>
        <w:rPr>
          <w:rFonts w:ascii="新宋体" w:hAnsi="宋体" w:eastAsia="新宋体"/>
          <w:color w:val="0F0F0F"/>
          <w:sz w:val="26"/>
          <w:szCs w:val="28"/>
        </w:rPr>
      </w:pPr>
      <w:r>
        <w:rPr>
          <w:rFonts w:hint="eastAsia" w:ascii="新宋体" w:hAnsi="宋体" w:eastAsia="新宋体"/>
          <w:color w:val="0F0F0F"/>
          <w:sz w:val="24"/>
        </w:rPr>
        <w:t>抄送：</w:t>
      </w:r>
      <w:r>
        <w:rPr>
          <w:rFonts w:hint="eastAsia" w:ascii="新宋体" w:hAnsi="宋体" w:eastAsia="新宋体"/>
          <w:color w:val="0F0F0F"/>
          <w:sz w:val="24"/>
          <w:u w:val="single"/>
        </w:rPr>
        <w:t>（监理人）</w:t>
      </w:r>
    </w:p>
    <w:p w14:paraId="34E59133">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附件七 履约担保格式</w:t>
      </w:r>
    </w:p>
    <w:p w14:paraId="147324ED">
      <w:pPr>
        <w:jc w:val="center"/>
        <w:rPr>
          <w:rFonts w:ascii="新宋体" w:eastAsia="新宋体"/>
          <w:b/>
          <w:color w:val="0F0F0F"/>
          <w:sz w:val="32"/>
          <w:szCs w:val="32"/>
        </w:rPr>
      </w:pPr>
      <w:r>
        <w:rPr>
          <w:rFonts w:hint="eastAsia" w:ascii="新宋体" w:eastAsia="新宋体"/>
          <w:b/>
          <w:color w:val="0F0F0F"/>
          <w:sz w:val="32"/>
          <w:szCs w:val="32"/>
        </w:rPr>
        <w:t>履 约 担 保</w:t>
      </w:r>
    </w:p>
    <w:p w14:paraId="196CDA01">
      <w:pPr>
        <w:spacing w:line="480" w:lineRule="exact"/>
        <w:rPr>
          <w:rFonts w:ascii="新宋体" w:hAnsi="宋体" w:eastAsia="新宋体"/>
          <w:b/>
          <w:color w:val="0F0F0F"/>
          <w:sz w:val="25"/>
          <w:szCs w:val="32"/>
        </w:rPr>
      </w:pPr>
    </w:p>
    <w:p w14:paraId="5D5638C2">
      <w:pPr>
        <w:spacing w:line="480" w:lineRule="exact"/>
        <w:rPr>
          <w:rFonts w:ascii="新宋体" w:hAnsi="宋体" w:eastAsia="新宋体"/>
          <w:color w:val="0F0F0F"/>
          <w:sz w:val="24"/>
        </w:rPr>
      </w:pPr>
      <w:r>
        <w:rPr>
          <w:rFonts w:ascii="新宋体" w:hAnsi="宋体" w:eastAsia="新宋体"/>
          <w:color w:val="0F0F0F"/>
          <w:sz w:val="24"/>
        </w:rPr>
        <w:t>(发包人名称)：</w:t>
      </w:r>
    </w:p>
    <w:p w14:paraId="738CCCB2">
      <w:pPr>
        <w:spacing w:line="480" w:lineRule="exact"/>
        <w:ind w:firstLine="523" w:firstLineChars="218"/>
        <w:rPr>
          <w:rFonts w:ascii="新宋体" w:hAnsi="宋体" w:eastAsia="新宋体"/>
          <w:color w:val="0F0F0F"/>
          <w:sz w:val="24"/>
        </w:rPr>
      </w:pPr>
    </w:p>
    <w:p w14:paraId="39A58643">
      <w:pPr>
        <w:spacing w:line="480" w:lineRule="exact"/>
        <w:ind w:firstLine="523" w:firstLineChars="218"/>
        <w:rPr>
          <w:rFonts w:ascii="新宋体" w:hAnsi="宋体" w:eastAsia="新宋体"/>
          <w:color w:val="0F0F0F"/>
          <w:sz w:val="24"/>
        </w:rPr>
      </w:pPr>
      <w:r>
        <w:rPr>
          <w:rFonts w:ascii="新宋体" w:hAnsi="宋体" w:eastAsia="新宋体"/>
          <w:color w:val="0F0F0F"/>
          <w:sz w:val="24"/>
        </w:rPr>
        <w:t>鉴予 (发包人名称，以下</w:t>
      </w:r>
      <w:r>
        <w:rPr>
          <w:rFonts w:hint="eastAsia" w:ascii="新宋体" w:hAnsi="宋体" w:eastAsia="新宋体"/>
          <w:color w:val="0F0F0F"/>
          <w:sz w:val="24"/>
        </w:rPr>
        <w:t>简</w:t>
      </w:r>
      <w:r>
        <w:rPr>
          <w:rFonts w:ascii="新宋体" w:hAnsi="宋体" w:eastAsia="新宋体"/>
          <w:color w:val="0F0F0F"/>
          <w:sz w:val="24"/>
        </w:rPr>
        <w:t>称“发包人”)接受 (承包人</w:t>
      </w:r>
      <w:r>
        <w:rPr>
          <w:rFonts w:hint="eastAsia" w:ascii="新宋体" w:hAnsi="宋体" w:eastAsia="新宋体"/>
          <w:color w:val="0F0F0F"/>
          <w:sz w:val="24"/>
        </w:rPr>
        <w:t>名称</w:t>
      </w:r>
      <w:r>
        <w:rPr>
          <w:rFonts w:ascii="新宋体" w:hAnsi="宋体" w:eastAsia="新宋体"/>
          <w:color w:val="0F0F0F"/>
          <w:sz w:val="24"/>
        </w:rPr>
        <w:t>)(以下称“承包人”)子年月日参加 (</w:t>
      </w:r>
      <w:r>
        <w:rPr>
          <w:rFonts w:hint="eastAsia" w:ascii="新宋体" w:hAnsi="宋体" w:eastAsia="新宋体"/>
          <w:color w:val="0F0F0F"/>
          <w:sz w:val="24"/>
        </w:rPr>
        <w:t>项</w:t>
      </w:r>
      <w:r>
        <w:rPr>
          <w:rFonts w:ascii="新宋体" w:hAnsi="宋体" w:eastAsia="新宋体"/>
          <w:color w:val="0F0F0F"/>
          <w:sz w:val="24"/>
        </w:rPr>
        <w:t>目名称)</w:t>
      </w:r>
      <w:r>
        <w:rPr>
          <w:rFonts w:hint="eastAsia" w:ascii="新宋体" w:hAnsi="宋体" w:eastAsia="新宋体"/>
          <w:color w:val="0F0F0F"/>
          <w:sz w:val="24"/>
        </w:rPr>
        <w:t>标段施工的投标。我方愿意无条件地、不可撤销地就承包入履行与你方订立的合同，向你方提供担保。</w:t>
      </w:r>
    </w:p>
    <w:p w14:paraId="58EF3392">
      <w:pPr>
        <w:spacing w:line="480" w:lineRule="exact"/>
        <w:ind w:firstLine="523" w:firstLineChars="218"/>
        <w:rPr>
          <w:rFonts w:ascii="新宋体" w:hAnsi="宋体" w:eastAsia="新宋体"/>
          <w:color w:val="0F0F0F"/>
          <w:sz w:val="24"/>
        </w:rPr>
      </w:pPr>
      <w:r>
        <w:rPr>
          <w:rFonts w:hint="eastAsia" w:ascii="新宋体" w:hAnsi="宋体" w:eastAsia="新宋体"/>
          <w:color w:val="0F0F0F"/>
          <w:sz w:val="24"/>
        </w:rPr>
        <w:t>1．但</w:t>
      </w:r>
      <w:r>
        <w:rPr>
          <w:rFonts w:ascii="新宋体" w:hAnsi="宋体" w:eastAsia="新宋体"/>
          <w:color w:val="0F0F0F"/>
          <w:sz w:val="24"/>
        </w:rPr>
        <w:t>保金额人</w:t>
      </w:r>
      <w:r>
        <w:rPr>
          <w:rFonts w:hint="eastAsia" w:ascii="新宋体" w:hAnsi="宋体" w:eastAsia="新宋体"/>
          <w:color w:val="0F0F0F"/>
          <w:sz w:val="24"/>
        </w:rPr>
        <w:t>民</w:t>
      </w:r>
      <w:r>
        <w:rPr>
          <w:rFonts w:ascii="新宋体" w:hAnsi="宋体" w:eastAsia="新宋体"/>
          <w:color w:val="0F0F0F"/>
          <w:sz w:val="24"/>
        </w:rPr>
        <w:t>币(大写)元(￥)。</w:t>
      </w:r>
    </w:p>
    <w:p w14:paraId="05E05F18">
      <w:pPr>
        <w:spacing w:line="480" w:lineRule="exact"/>
        <w:ind w:firstLine="523" w:firstLineChars="218"/>
        <w:rPr>
          <w:rFonts w:ascii="新宋体" w:hAnsi="宋体" w:eastAsia="新宋体"/>
          <w:color w:val="0F0F0F"/>
          <w:sz w:val="24"/>
        </w:rPr>
      </w:pPr>
      <w:r>
        <w:rPr>
          <w:rFonts w:ascii="新宋体" w:hAnsi="宋体" w:eastAsia="新宋体"/>
          <w:color w:val="0F0F0F"/>
          <w:sz w:val="24"/>
        </w:rPr>
        <w:t>2</w:t>
      </w:r>
      <w:r>
        <w:rPr>
          <w:rFonts w:hint="eastAsia" w:ascii="新宋体" w:hAnsi="宋体" w:eastAsia="新宋体"/>
          <w:color w:val="0F0F0F"/>
          <w:sz w:val="24"/>
        </w:rPr>
        <w:t>．但</w:t>
      </w:r>
      <w:r>
        <w:rPr>
          <w:rFonts w:ascii="新宋体" w:hAnsi="宋体" w:eastAsia="新宋体"/>
          <w:color w:val="0F0F0F"/>
          <w:sz w:val="24"/>
        </w:rPr>
        <w:t>保有效期自发包人与承包人签订的合</w:t>
      </w:r>
      <w:r>
        <w:rPr>
          <w:rFonts w:hint="eastAsia" w:ascii="新宋体" w:hAnsi="宋体" w:eastAsia="新宋体"/>
          <w:color w:val="0F0F0F"/>
          <w:sz w:val="24"/>
        </w:rPr>
        <w:t>同</w:t>
      </w:r>
      <w:r>
        <w:rPr>
          <w:rFonts w:ascii="新宋体" w:hAnsi="宋体" w:eastAsia="新宋体"/>
          <w:color w:val="0F0F0F"/>
          <w:sz w:val="24"/>
        </w:rPr>
        <w:t>生效之日起至发包人签发交工验收证</w:t>
      </w:r>
      <w:r>
        <w:rPr>
          <w:rFonts w:hint="eastAsia" w:ascii="新宋体" w:hAnsi="宋体" w:eastAsia="新宋体"/>
          <w:color w:val="0F0F0F"/>
          <w:sz w:val="24"/>
        </w:rPr>
        <w:t>书之日止。</w:t>
      </w:r>
    </w:p>
    <w:p w14:paraId="1C164FFA">
      <w:pPr>
        <w:spacing w:line="480" w:lineRule="exact"/>
        <w:ind w:firstLine="523" w:firstLineChars="218"/>
        <w:rPr>
          <w:rFonts w:ascii="新宋体" w:hAnsi="宋体" w:eastAsia="新宋体"/>
          <w:color w:val="0F0F0F"/>
          <w:sz w:val="24"/>
        </w:rPr>
      </w:pPr>
      <w:r>
        <w:rPr>
          <w:rFonts w:ascii="新宋体" w:hAnsi="宋体" w:eastAsia="新宋体"/>
          <w:color w:val="0F0F0F"/>
          <w:sz w:val="24"/>
        </w:rPr>
        <w:t>3．在本担保有效期内．因承包人违反合</w:t>
      </w:r>
      <w:r>
        <w:rPr>
          <w:rFonts w:hint="eastAsia" w:ascii="新宋体" w:hAnsi="宋体" w:eastAsia="新宋体"/>
          <w:color w:val="0F0F0F"/>
          <w:sz w:val="24"/>
        </w:rPr>
        <w:t>同约定的义务给你方造成经济损失时。我方在收到你方以书面形式提出的在担保金额内的赔偿要求后，在</w:t>
      </w:r>
      <w:r>
        <w:rPr>
          <w:rFonts w:ascii="新宋体" w:hAnsi="宋体" w:eastAsia="新宋体"/>
          <w:color w:val="0F0F0F"/>
          <w:sz w:val="24"/>
        </w:rPr>
        <w:t>7天内</w:t>
      </w:r>
      <w:r>
        <w:rPr>
          <w:rFonts w:hint="eastAsia" w:ascii="新宋体" w:hAnsi="宋体" w:eastAsia="新宋体"/>
          <w:color w:val="0F0F0F"/>
          <w:sz w:val="24"/>
        </w:rPr>
        <w:t>无</w:t>
      </w:r>
      <w:r>
        <w:rPr>
          <w:rFonts w:ascii="新宋体" w:hAnsi="宋体" w:eastAsia="新宋体"/>
          <w:color w:val="0F0F0F"/>
          <w:sz w:val="24"/>
        </w:rPr>
        <w:t>条件支付，无须</w:t>
      </w:r>
      <w:r>
        <w:rPr>
          <w:rFonts w:hint="eastAsia" w:ascii="新宋体" w:hAnsi="宋体" w:eastAsia="新宋体"/>
          <w:color w:val="0F0F0F"/>
          <w:sz w:val="24"/>
        </w:rPr>
        <w:t>你方出具证明或陈述理由。</w:t>
      </w:r>
    </w:p>
    <w:p w14:paraId="74BA95CB">
      <w:pPr>
        <w:spacing w:line="480" w:lineRule="exact"/>
        <w:ind w:firstLine="523" w:firstLineChars="218"/>
        <w:rPr>
          <w:rFonts w:ascii="新宋体" w:hAnsi="宋体" w:eastAsia="新宋体"/>
          <w:color w:val="0F0F0F"/>
          <w:sz w:val="24"/>
        </w:rPr>
      </w:pPr>
      <w:r>
        <w:rPr>
          <w:rFonts w:ascii="新宋体" w:hAnsi="宋体" w:eastAsia="新宋体"/>
          <w:color w:val="0F0F0F"/>
          <w:sz w:val="24"/>
        </w:rPr>
        <w:t>4．发包人和承包人按合</w:t>
      </w:r>
      <w:r>
        <w:rPr>
          <w:rFonts w:hint="eastAsia" w:ascii="新宋体" w:hAnsi="宋体" w:eastAsia="新宋体"/>
          <w:color w:val="0F0F0F"/>
          <w:sz w:val="24"/>
        </w:rPr>
        <w:t>同</w:t>
      </w:r>
      <w:r>
        <w:rPr>
          <w:rFonts w:ascii="新宋体" w:hAnsi="宋体" w:eastAsia="新宋体"/>
          <w:color w:val="0F0F0F"/>
          <w:sz w:val="24"/>
        </w:rPr>
        <w:t>条款第15条变更合</w:t>
      </w:r>
      <w:r>
        <w:rPr>
          <w:rFonts w:hint="eastAsia" w:ascii="新宋体" w:hAnsi="宋体" w:eastAsia="新宋体"/>
          <w:color w:val="0F0F0F"/>
          <w:sz w:val="24"/>
        </w:rPr>
        <w:t>同</w:t>
      </w:r>
      <w:r>
        <w:rPr>
          <w:rFonts w:ascii="新宋体" w:hAnsi="宋体" w:eastAsia="新宋体"/>
          <w:color w:val="0F0F0F"/>
          <w:sz w:val="24"/>
        </w:rPr>
        <w:t>时，我方承担本</w:t>
      </w:r>
      <w:r>
        <w:rPr>
          <w:rFonts w:hint="eastAsia" w:ascii="新宋体" w:hAnsi="宋体" w:eastAsia="新宋体"/>
          <w:color w:val="0F0F0F"/>
          <w:sz w:val="24"/>
        </w:rPr>
        <w:t>担保</w:t>
      </w:r>
      <w:r>
        <w:rPr>
          <w:rFonts w:ascii="新宋体" w:hAnsi="宋体" w:eastAsia="新宋体"/>
          <w:color w:val="0F0F0F"/>
          <w:sz w:val="24"/>
        </w:rPr>
        <w:t>规定的义务</w:t>
      </w:r>
      <w:r>
        <w:rPr>
          <w:rFonts w:hint="eastAsia" w:ascii="新宋体" w:hAnsi="宋体" w:eastAsia="新宋体"/>
          <w:color w:val="0F0F0F"/>
          <w:sz w:val="24"/>
        </w:rPr>
        <w:t>不变。</w:t>
      </w:r>
    </w:p>
    <w:p w14:paraId="1F64B46A">
      <w:pPr>
        <w:spacing w:line="480" w:lineRule="exact"/>
        <w:jc w:val="right"/>
        <w:rPr>
          <w:rFonts w:ascii="新宋体" w:hAnsi="宋体" w:eastAsia="新宋体"/>
          <w:color w:val="0F0F0F"/>
          <w:sz w:val="24"/>
        </w:rPr>
      </w:pPr>
    </w:p>
    <w:p w14:paraId="1DDB4E6A">
      <w:pPr>
        <w:spacing w:line="480" w:lineRule="exact"/>
        <w:jc w:val="right"/>
        <w:rPr>
          <w:rFonts w:ascii="新宋体" w:hAnsi="宋体" w:eastAsia="新宋体"/>
          <w:color w:val="0F0F0F"/>
          <w:sz w:val="24"/>
        </w:rPr>
      </w:pPr>
      <w:r>
        <w:rPr>
          <w:rFonts w:ascii="新宋体" w:hAnsi="宋体" w:eastAsia="新宋体"/>
          <w:color w:val="0F0F0F"/>
          <w:sz w:val="24"/>
        </w:rPr>
        <w:t>担保人：</w:t>
      </w:r>
      <w:r>
        <w:rPr>
          <w:rFonts w:hint="eastAsia" w:ascii="新宋体" w:hAnsi="宋体" w:eastAsia="新宋体"/>
          <w:color w:val="0F0F0F"/>
          <w:sz w:val="24"/>
          <w:u w:val="single"/>
          <w:lang w:val="en-US" w:eastAsia="zh-CN"/>
        </w:rPr>
        <w:t xml:space="preserve">                   </w:t>
      </w:r>
      <w:r>
        <w:rPr>
          <w:rFonts w:ascii="新宋体" w:hAnsi="宋体" w:eastAsia="新宋体"/>
          <w:color w:val="0F0F0F"/>
          <w:sz w:val="24"/>
        </w:rPr>
        <w:t xml:space="preserve"> (盖单位章)</w:t>
      </w:r>
    </w:p>
    <w:p w14:paraId="61A35DF0">
      <w:pPr>
        <w:spacing w:line="480" w:lineRule="exact"/>
        <w:jc w:val="right"/>
        <w:rPr>
          <w:rFonts w:ascii="新宋体" w:hAnsi="宋体" w:eastAsia="新宋体"/>
          <w:color w:val="0F0F0F"/>
          <w:sz w:val="24"/>
        </w:rPr>
      </w:pPr>
      <w:r>
        <w:rPr>
          <w:rFonts w:ascii="新宋体" w:hAnsi="宋体" w:eastAsia="新宋体"/>
          <w:color w:val="0F0F0F"/>
          <w:sz w:val="24"/>
        </w:rPr>
        <w:t xml:space="preserve">    法定代表人或其委托代理人：</w:t>
      </w:r>
      <w:r>
        <w:rPr>
          <w:rFonts w:hint="eastAsia" w:ascii="新宋体" w:hAnsi="宋体" w:eastAsia="新宋体"/>
          <w:color w:val="0F0F0F"/>
          <w:sz w:val="24"/>
          <w:u w:val="single"/>
          <w:lang w:val="en-US" w:eastAsia="zh-CN"/>
        </w:rPr>
        <w:t xml:space="preserve">          </w:t>
      </w:r>
      <w:r>
        <w:rPr>
          <w:rFonts w:ascii="新宋体" w:hAnsi="宋体" w:eastAsia="新宋体"/>
          <w:color w:val="0F0F0F"/>
          <w:sz w:val="24"/>
          <w:u w:val="single"/>
        </w:rPr>
        <w:t xml:space="preserve"> </w:t>
      </w:r>
      <w:r>
        <w:rPr>
          <w:rFonts w:ascii="新宋体" w:hAnsi="宋体" w:eastAsia="新宋体"/>
          <w:color w:val="0F0F0F"/>
          <w:sz w:val="24"/>
        </w:rPr>
        <w:t>(签字)</w:t>
      </w:r>
    </w:p>
    <w:p w14:paraId="76300DE2">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地  址：</w:t>
      </w:r>
      <w:r>
        <w:rPr>
          <w:rFonts w:hint="eastAsia" w:ascii="新宋体" w:hAnsi="宋体" w:eastAsia="新宋体"/>
          <w:color w:val="0F0F0F"/>
          <w:sz w:val="24"/>
          <w:u w:val="single"/>
          <w:lang w:val="en-US" w:eastAsia="zh-CN"/>
        </w:rPr>
        <w:t xml:space="preserve">                              </w:t>
      </w:r>
    </w:p>
    <w:p w14:paraId="3DC65E49">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w:t>
      </w:r>
      <w:r>
        <w:rPr>
          <w:rFonts w:hint="eastAsia" w:ascii="新宋体" w:hAnsi="宋体" w:eastAsia="新宋体"/>
          <w:color w:val="0F0F0F"/>
          <w:sz w:val="24"/>
          <w:lang w:val="en-US" w:eastAsia="zh-CN"/>
        </w:rPr>
        <w:t xml:space="preserve"> </w:t>
      </w:r>
      <w:r>
        <w:rPr>
          <w:rFonts w:ascii="新宋体" w:hAnsi="宋体" w:eastAsia="新宋体"/>
          <w:color w:val="0F0F0F"/>
          <w:sz w:val="24"/>
        </w:rPr>
        <w:t xml:space="preserve"> 邮政编码：</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u w:val="single"/>
          <w:lang w:val="en-US" w:eastAsia="zh-CN"/>
        </w:rPr>
        <w:t xml:space="preserve">                           </w:t>
      </w:r>
    </w:p>
    <w:p w14:paraId="4478C3BB">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电  话：</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u w:val="single"/>
          <w:lang w:val="en-US" w:eastAsia="zh-CN"/>
        </w:rPr>
        <w:t xml:space="preserve">                             </w:t>
      </w:r>
    </w:p>
    <w:p w14:paraId="26E87FE2">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传  真：</w:t>
      </w:r>
      <w:r>
        <w:rPr>
          <w:rFonts w:hint="eastAsia" w:ascii="新宋体" w:hAnsi="宋体" w:eastAsia="新宋体"/>
          <w:color w:val="0F0F0F"/>
          <w:sz w:val="24"/>
          <w:u w:val="single"/>
          <w:lang w:val="en-US" w:eastAsia="zh-CN"/>
        </w:rPr>
        <w:t xml:space="preserve">                              </w:t>
      </w:r>
    </w:p>
    <w:p w14:paraId="70FA846A">
      <w:pPr>
        <w:wordWrap w:val="0"/>
        <w:spacing w:line="480" w:lineRule="exact"/>
        <w:jc w:val="right"/>
        <w:rPr>
          <w:rFonts w:hint="eastAsia" w:ascii="新宋体" w:hAnsi="宋体" w:eastAsia="新宋体"/>
          <w:color w:val="0F0F0F"/>
          <w:sz w:val="24"/>
          <w:lang w:val="en-US" w:eastAsia="zh-CN"/>
        </w:rPr>
      </w:pPr>
      <w:r>
        <w:rPr>
          <w:rFonts w:ascii="新宋体" w:hAnsi="宋体" w:eastAsia="新宋体"/>
          <w:color w:val="0F0F0F"/>
          <w:sz w:val="24"/>
        </w:rPr>
        <w:t>年</w:t>
      </w:r>
      <w:r>
        <w:rPr>
          <w:rFonts w:hint="eastAsia" w:ascii="新宋体" w:hAnsi="宋体" w:eastAsia="新宋体"/>
          <w:color w:val="0F0F0F"/>
          <w:sz w:val="24"/>
          <w:lang w:val="en-US" w:eastAsia="zh-CN"/>
        </w:rPr>
        <w:t xml:space="preserve"> </w:t>
      </w:r>
      <w:r>
        <w:rPr>
          <w:rFonts w:ascii="新宋体" w:hAnsi="宋体" w:eastAsia="新宋体"/>
          <w:color w:val="0F0F0F"/>
          <w:sz w:val="24"/>
        </w:rPr>
        <w:t>月</w:t>
      </w:r>
      <w:r>
        <w:rPr>
          <w:rFonts w:hint="eastAsia" w:ascii="新宋体" w:hAnsi="宋体" w:eastAsia="新宋体"/>
          <w:color w:val="0F0F0F"/>
          <w:sz w:val="24"/>
          <w:lang w:val="en-US" w:eastAsia="zh-CN"/>
        </w:rPr>
        <w:t xml:space="preserve"> </w:t>
      </w:r>
      <w:r>
        <w:rPr>
          <w:rFonts w:ascii="新宋体" w:hAnsi="宋体" w:eastAsia="新宋体"/>
          <w:color w:val="0F0F0F"/>
          <w:sz w:val="24"/>
        </w:rPr>
        <w:t>日</w:t>
      </w:r>
      <w:r>
        <w:rPr>
          <w:rFonts w:hint="eastAsia" w:ascii="新宋体" w:hAnsi="宋体" w:eastAsia="新宋体"/>
          <w:color w:val="0F0F0F"/>
          <w:sz w:val="24"/>
          <w:lang w:val="en-US" w:eastAsia="zh-CN"/>
        </w:rPr>
        <w:t xml:space="preserve"> </w:t>
      </w:r>
    </w:p>
    <w:p w14:paraId="1BDC7B33">
      <w:pPr>
        <w:jc w:val="right"/>
        <w:rPr>
          <w:rFonts w:ascii="新宋体" w:hAnsi="宋体" w:eastAsia="新宋体"/>
          <w:b/>
          <w:color w:val="0F0F0F"/>
          <w:sz w:val="25"/>
          <w:szCs w:val="32"/>
        </w:rPr>
      </w:pPr>
    </w:p>
    <w:p w14:paraId="669A5718">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附件八 预付款担保格式</w:t>
      </w:r>
    </w:p>
    <w:p w14:paraId="745CC983">
      <w:pPr>
        <w:jc w:val="center"/>
        <w:rPr>
          <w:rFonts w:ascii="新宋体" w:eastAsia="新宋体"/>
          <w:b/>
          <w:color w:val="0F0F0F"/>
          <w:sz w:val="32"/>
          <w:szCs w:val="32"/>
        </w:rPr>
      </w:pPr>
      <w:r>
        <w:rPr>
          <w:rFonts w:hint="eastAsia" w:ascii="新宋体" w:eastAsia="新宋体"/>
          <w:b/>
          <w:color w:val="0F0F0F"/>
          <w:sz w:val="32"/>
          <w:szCs w:val="32"/>
        </w:rPr>
        <w:t>预付款担保</w:t>
      </w:r>
    </w:p>
    <w:p w14:paraId="4B7A14A0">
      <w:pPr>
        <w:spacing w:line="480" w:lineRule="exact"/>
        <w:rPr>
          <w:rFonts w:ascii="新宋体" w:hAnsi="宋体" w:eastAsia="新宋体"/>
          <w:color w:val="0F0F0F"/>
          <w:sz w:val="24"/>
        </w:rPr>
      </w:pPr>
      <w:r>
        <w:rPr>
          <w:rFonts w:hint="eastAsia" w:ascii="新宋体" w:hAnsi="宋体" w:eastAsia="新宋体"/>
          <w:color w:val="0F0F0F"/>
          <w:sz w:val="24"/>
        </w:rPr>
        <w:t>（发包人名称）</w:t>
      </w:r>
    </w:p>
    <w:p w14:paraId="195E5252">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根据（承包人名称）（以下简称“承包人”）与（发包人名称）（以下简称“发包人”）</w:t>
      </w:r>
      <w:r>
        <w:rPr>
          <w:rFonts w:ascii="新宋体" w:hAnsi="宋体" w:eastAsia="新宋体"/>
          <w:color w:val="0F0F0F"/>
          <w:sz w:val="24"/>
        </w:rPr>
        <w:t>于年月日签订的 (项</w:t>
      </w:r>
      <w:r>
        <w:rPr>
          <w:rFonts w:hint="eastAsia" w:ascii="新宋体" w:hAnsi="宋体" w:eastAsia="新宋体"/>
          <w:color w:val="0F0F0F"/>
          <w:sz w:val="24"/>
        </w:rPr>
        <w:t>目</w:t>
      </w:r>
      <w:r>
        <w:rPr>
          <w:rFonts w:ascii="新宋体" w:hAnsi="宋体" w:eastAsia="新宋体"/>
          <w:color w:val="0F0F0F"/>
          <w:sz w:val="24"/>
        </w:rPr>
        <w:t>名称)标段施</w:t>
      </w:r>
      <w:r>
        <w:rPr>
          <w:rFonts w:hint="eastAsia" w:ascii="新宋体" w:hAnsi="宋体" w:eastAsia="新宋体"/>
          <w:color w:val="0F0F0F"/>
          <w:sz w:val="24"/>
        </w:rPr>
        <w:t>工承包合同，承包人按约定的金额向</w:t>
      </w:r>
      <w:r>
        <w:rPr>
          <w:rFonts w:ascii="新宋体" w:hAnsi="宋体" w:eastAsia="新宋体"/>
          <w:color w:val="0F0F0F"/>
          <w:sz w:val="24"/>
        </w:rPr>
        <w:t>发包人提交一份预付款担保，即有权得到发包人支</w:t>
      </w:r>
      <w:r>
        <w:rPr>
          <w:rFonts w:hint="eastAsia" w:ascii="新宋体" w:hAnsi="宋体" w:eastAsia="新宋体"/>
          <w:color w:val="0F0F0F"/>
          <w:sz w:val="24"/>
        </w:rPr>
        <w:t>付相等金额的预付款。我方愿意就你方提供给承包人的预付款提供担保。</w:t>
      </w:r>
    </w:p>
    <w:p w14:paraId="3B306ABA">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1．担保金额人民币（大写）元（￥）。</w:t>
      </w:r>
    </w:p>
    <w:p w14:paraId="33BF8E74">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2．担保有效期自预付款支付给承包人起生效，至发包人签发的进度付款证书说明已完全扣清止。</w:t>
      </w:r>
    </w:p>
    <w:p w14:paraId="531E9CDB">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3．在本保函有效期内，因承包人违反合同约定的义务而要求收回预付款时，我方在受到你方的书面通知后，在7天内无条件支付，无须你方出具证明或陈述理由。但本保函的担保金额，在任何时候不应超过预付款金额减去发包人按合同约定在向承包人签发的进度付款证书中扣除的金额。</w:t>
      </w:r>
    </w:p>
    <w:p w14:paraId="3DCE022E">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4．发包人和承包人按合同条款第15条变更合同时，我方承担保函规定的义务不变。</w:t>
      </w:r>
    </w:p>
    <w:p w14:paraId="6DF90D29">
      <w:pPr>
        <w:spacing w:line="480" w:lineRule="exact"/>
        <w:ind w:firstLine="448" w:firstLineChars="187"/>
        <w:jc w:val="right"/>
        <w:rPr>
          <w:rFonts w:ascii="新宋体" w:hAnsi="宋体" w:eastAsia="新宋体"/>
          <w:color w:val="0F0F0F"/>
          <w:sz w:val="24"/>
        </w:rPr>
      </w:pPr>
    </w:p>
    <w:p w14:paraId="3CDF414A">
      <w:pPr>
        <w:wordWrap w:val="0"/>
        <w:spacing w:line="480" w:lineRule="exact"/>
        <w:ind w:firstLine="448" w:firstLineChars="187"/>
        <w:jc w:val="right"/>
        <w:rPr>
          <w:rFonts w:ascii="新宋体" w:hAnsi="宋体" w:eastAsia="新宋体"/>
          <w:color w:val="0F0F0F"/>
          <w:sz w:val="24"/>
        </w:rPr>
      </w:pPr>
      <w:r>
        <w:rPr>
          <w:rFonts w:hint="eastAsia" w:ascii="新宋体" w:hAnsi="宋体" w:eastAsia="新宋体"/>
          <w:color w:val="0F0F0F"/>
          <w:sz w:val="24"/>
        </w:rPr>
        <w:t>担保人：</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rPr>
        <w:t>（盖单位章）</w:t>
      </w:r>
    </w:p>
    <w:p w14:paraId="79425417">
      <w:pPr>
        <w:wordWrap w:val="0"/>
        <w:spacing w:line="480" w:lineRule="exact"/>
        <w:ind w:firstLine="448" w:firstLineChars="187"/>
        <w:jc w:val="right"/>
        <w:rPr>
          <w:rFonts w:ascii="新宋体" w:hAnsi="宋体" w:eastAsia="新宋体"/>
          <w:color w:val="0F0F0F"/>
          <w:sz w:val="24"/>
        </w:rPr>
      </w:pPr>
      <w:r>
        <w:rPr>
          <w:rFonts w:hint="eastAsia" w:ascii="新宋体" w:hAnsi="宋体" w:eastAsia="新宋体"/>
          <w:color w:val="0F0F0F"/>
          <w:sz w:val="24"/>
        </w:rPr>
        <w:t>法定代表人或其委托代理人：</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rPr>
        <w:t>（签字）</w:t>
      </w:r>
    </w:p>
    <w:p w14:paraId="6A01158A">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地址：</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3CDDE0C3">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邮政编码：</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2A21B594">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电    话：</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414710E1">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传    真：</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44721561">
      <w:pPr>
        <w:wordWrap w:val="0"/>
        <w:spacing w:line="480" w:lineRule="exact"/>
        <w:ind w:firstLine="448" w:firstLineChars="187"/>
        <w:jc w:val="right"/>
        <w:rPr>
          <w:rFonts w:ascii="新宋体" w:hAnsi="宋体" w:eastAsia="新宋体"/>
          <w:color w:val="0F0F0F"/>
          <w:sz w:val="28"/>
          <w:szCs w:val="28"/>
          <w:u w:val="single"/>
        </w:rPr>
      </w:pPr>
      <w:r>
        <w:rPr>
          <w:rFonts w:hint="eastAsia" w:ascii="新宋体" w:hAnsi="宋体" w:eastAsia="新宋体"/>
          <w:color w:val="0F0F0F"/>
          <w:sz w:val="24"/>
        </w:rPr>
        <w:t>年</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rPr>
        <w:t>月</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rPr>
        <w:t>日</w:t>
      </w:r>
    </w:p>
    <w:p w14:paraId="53CA5638">
      <w:pPr>
        <w:spacing w:line="480" w:lineRule="auto"/>
        <w:rPr>
          <w:rFonts w:ascii="新宋体" w:eastAsia="新宋体"/>
          <w:color w:val="0F0F0F"/>
          <w:sz w:val="24"/>
        </w:rPr>
      </w:pPr>
      <w:r>
        <w:rPr>
          <w:rFonts w:ascii="新宋体" w:eastAsia="新宋体"/>
          <w:color w:val="0F0F0F"/>
          <w:sz w:val="24"/>
        </w:rPr>
        <w:br w:type="page"/>
      </w:r>
      <w:r>
        <w:rPr>
          <w:rFonts w:hint="eastAsia" w:ascii="新宋体" w:eastAsia="新宋体"/>
          <w:color w:val="0F0F0F"/>
          <w:sz w:val="24"/>
        </w:rPr>
        <w:t>附件九 工程资金监管协议格式</w:t>
      </w:r>
    </w:p>
    <w:p w14:paraId="16C66547">
      <w:pPr>
        <w:spacing w:line="480" w:lineRule="auto"/>
        <w:ind w:firstLine="472" w:firstLineChars="225"/>
        <w:rPr>
          <w:rFonts w:ascii="新宋体" w:eastAsia="新宋体"/>
          <w:color w:val="0F0F0F"/>
          <w:szCs w:val="21"/>
        </w:rPr>
      </w:pPr>
      <w:r>
        <w:rPr>
          <w:rFonts w:hint="eastAsia" w:ascii="新宋体" w:eastAsia="新宋体"/>
          <w:color w:val="0F0F0F"/>
          <w:szCs w:val="21"/>
        </w:rPr>
        <w:t>（发包人与承包人签订合同协议书时应与发包人指定的银行签署工程资金监管协议，工程资金监管协议内容在保证本项目资金有效监管的前提下由三方共同商定）</w:t>
      </w:r>
    </w:p>
    <w:p w14:paraId="6DE84069">
      <w:pPr>
        <w:spacing w:line="480" w:lineRule="auto"/>
        <w:jc w:val="center"/>
        <w:rPr>
          <w:rFonts w:ascii="新宋体" w:eastAsia="新宋体"/>
          <w:b/>
          <w:color w:val="0F0F0F"/>
          <w:sz w:val="32"/>
          <w:szCs w:val="32"/>
        </w:rPr>
      </w:pPr>
      <w:r>
        <w:rPr>
          <w:rFonts w:hint="eastAsia" w:ascii="新宋体" w:eastAsia="新宋体"/>
          <w:b/>
          <w:color w:val="0F0F0F"/>
          <w:sz w:val="32"/>
          <w:szCs w:val="32"/>
        </w:rPr>
        <w:t>工程资金监管协议</w:t>
      </w:r>
    </w:p>
    <w:p w14:paraId="364D62CD">
      <w:pPr>
        <w:spacing w:line="480" w:lineRule="auto"/>
        <w:rPr>
          <w:rFonts w:ascii="新宋体" w:hAnsi="宋体" w:eastAsia="新宋体"/>
          <w:color w:val="0F0F0F"/>
          <w:szCs w:val="21"/>
        </w:rPr>
      </w:pPr>
    </w:p>
    <w:p w14:paraId="4AB0CCBC">
      <w:pPr>
        <w:spacing w:line="480" w:lineRule="auto"/>
        <w:rPr>
          <w:rFonts w:ascii="新宋体" w:hAnsi="宋体" w:eastAsia="新宋体"/>
          <w:color w:val="0F0F0F"/>
          <w:szCs w:val="21"/>
        </w:rPr>
      </w:pPr>
      <w:r>
        <w:rPr>
          <w:rFonts w:hint="eastAsia" w:ascii="新宋体" w:hAnsi="宋体" w:eastAsia="新宋体"/>
          <w:color w:val="0F0F0F"/>
          <w:szCs w:val="21"/>
        </w:rPr>
        <w:t>发包人：（以下简称“甲方”）</w:t>
      </w:r>
    </w:p>
    <w:p w14:paraId="12691D28">
      <w:pPr>
        <w:spacing w:line="480" w:lineRule="auto"/>
        <w:rPr>
          <w:rFonts w:ascii="新宋体" w:hAnsi="宋体" w:eastAsia="新宋体"/>
          <w:color w:val="0F0F0F"/>
          <w:szCs w:val="21"/>
        </w:rPr>
      </w:pPr>
      <w:r>
        <w:rPr>
          <w:rFonts w:hint="eastAsia" w:ascii="新宋体" w:hAnsi="宋体" w:eastAsia="新宋体"/>
          <w:color w:val="0F0F0F"/>
          <w:szCs w:val="21"/>
        </w:rPr>
        <w:t>承包人：（以下简称“乙方”）</w:t>
      </w:r>
    </w:p>
    <w:p w14:paraId="04A86AE3">
      <w:pPr>
        <w:spacing w:line="480" w:lineRule="auto"/>
        <w:rPr>
          <w:rFonts w:ascii="新宋体" w:hAnsi="宋体" w:eastAsia="新宋体"/>
          <w:color w:val="0F0F0F"/>
          <w:szCs w:val="21"/>
        </w:rPr>
      </w:pPr>
      <w:r>
        <w:rPr>
          <w:rFonts w:hint="eastAsia" w:ascii="新宋体" w:hAnsi="宋体" w:eastAsia="新宋体"/>
          <w:color w:val="0F0F0F"/>
          <w:szCs w:val="21"/>
        </w:rPr>
        <w:t>经办银行：（以下简称“丙方”）</w:t>
      </w:r>
    </w:p>
    <w:p w14:paraId="1EEBB897">
      <w:pPr>
        <w:spacing w:line="480" w:lineRule="auto"/>
        <w:ind w:firstLine="472" w:firstLineChars="225"/>
        <w:rPr>
          <w:rFonts w:ascii="新宋体" w:hAnsi="宋体" w:eastAsia="新宋体"/>
          <w:color w:val="0F0F0F"/>
          <w:szCs w:val="21"/>
        </w:rPr>
      </w:pPr>
    </w:p>
    <w:p w14:paraId="12B988D4">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为了促进（项目名称）的顺利实施，管好用好建设资金，确保工程资金专款专用，同时为承包人提供便捷有效的银行业务服务，根据（项目名称）合同条款规定，经甲、乙、丙三方协商，达成协议如下：</w:t>
      </w:r>
    </w:p>
    <w:p w14:paraId="2D9710AC">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1.资金管理内容</w:t>
      </w:r>
    </w:p>
    <w:p w14:paraId="4E76A7E2">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（1）乙方为完成（项目名称）工程成立的项目经理部在丙方开设基本结算户；</w:t>
      </w:r>
    </w:p>
    <w:p w14:paraId="3136B104">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（2）甲方应按合同规定将工程款（质量保证金除外）汇入乙方在丙方开设的帐户；</w:t>
      </w:r>
    </w:p>
    <w:p w14:paraId="64C992BC">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（3）乙方应将流动资金及甲方所拨付资金专项用于（项目名称）；</w:t>
      </w:r>
    </w:p>
    <w:p w14:paraId="072DD80C">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（4）丙方应为乙方提供便捷有效的银行业务服务，并接受甲方委托对乙方在丙方开设的基本结算户资金使用情况进行监督。</w:t>
      </w:r>
    </w:p>
    <w:p w14:paraId="7922F6E2">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2.甲方的权责</w:t>
      </w:r>
    </w:p>
    <w:p w14:paraId="69619F5A">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w:t>
      </w:r>
      <w:r>
        <w:rPr>
          <w:rFonts w:hint="eastAsia" w:ascii="新宋体" w:hAnsi="宋体" w:eastAsia="新宋体"/>
          <w:color w:val="0F0F0F"/>
          <w:szCs w:val="21"/>
        </w:rPr>
        <w:t>1</w:t>
      </w:r>
      <w:r>
        <w:rPr>
          <w:rFonts w:ascii="新宋体" w:hAnsi="宋体" w:eastAsia="新宋体"/>
          <w:color w:val="0F0F0F"/>
          <w:szCs w:val="21"/>
        </w:rPr>
        <w:t>)</w:t>
      </w:r>
      <w:r>
        <w:rPr>
          <w:rFonts w:hint="eastAsia" w:ascii="新宋体" w:hAnsi="宋体" w:eastAsia="新宋体"/>
          <w:color w:val="0F0F0F"/>
          <w:szCs w:val="21"/>
        </w:rPr>
        <w:t>按照（项目名称）合同有关条款规定的时间和方式，向</w:t>
      </w:r>
      <w:r>
        <w:rPr>
          <w:rFonts w:ascii="新宋体" w:hAnsi="宋体" w:eastAsia="新宋体"/>
          <w:color w:val="0F0F0F"/>
          <w:szCs w:val="21"/>
        </w:rPr>
        <w:t>乙方支付</w:t>
      </w:r>
      <w:r>
        <w:rPr>
          <w:rFonts w:hint="eastAsia" w:ascii="新宋体" w:hAnsi="宋体" w:eastAsia="新宋体"/>
          <w:color w:val="0F0F0F"/>
          <w:szCs w:val="21"/>
        </w:rPr>
        <w:t>工程款；</w:t>
      </w:r>
    </w:p>
    <w:p w14:paraId="6831651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(2)在发现乙方将本项目资</w:t>
      </w:r>
      <w:r>
        <w:rPr>
          <w:rFonts w:hint="eastAsia" w:ascii="新宋体" w:hAnsi="宋体" w:eastAsia="新宋体"/>
          <w:color w:val="0F0F0F"/>
          <w:szCs w:val="21"/>
        </w:rPr>
        <w:t>金</w:t>
      </w:r>
      <w:r>
        <w:rPr>
          <w:rFonts w:ascii="新宋体" w:hAnsi="宋体" w:eastAsia="新宋体"/>
          <w:color w:val="0F0F0F"/>
          <w:szCs w:val="21"/>
        </w:rPr>
        <w:t>挪用、转移时，甲方有权中止工程支付，</w:t>
      </w:r>
      <w:r>
        <w:rPr>
          <w:rFonts w:hint="eastAsia" w:ascii="新宋体" w:hAnsi="宋体" w:eastAsia="新宋体"/>
          <w:color w:val="0F0F0F"/>
          <w:szCs w:val="21"/>
        </w:rPr>
        <w:t>直</w:t>
      </w:r>
      <w:r>
        <w:rPr>
          <w:rFonts w:ascii="新宋体" w:hAnsi="宋体" w:eastAsia="新宋体"/>
          <w:color w:val="0F0F0F"/>
          <w:szCs w:val="21"/>
        </w:rPr>
        <w:t>至乙方改</w:t>
      </w:r>
      <w:r>
        <w:rPr>
          <w:rFonts w:hint="eastAsia" w:ascii="新宋体" w:hAnsi="宋体" w:eastAsia="新宋体"/>
          <w:color w:val="0F0F0F"/>
          <w:szCs w:val="21"/>
        </w:rPr>
        <w:t>正为止</w:t>
      </w:r>
      <w:r>
        <w:rPr>
          <w:rFonts w:ascii="新宋体" w:hAnsi="宋体" w:eastAsia="新宋体"/>
          <w:color w:val="0F0F0F"/>
          <w:szCs w:val="21"/>
        </w:rPr>
        <w:t>；</w:t>
      </w:r>
    </w:p>
    <w:p w14:paraId="2587766C">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(3)不定期审查丙方对乙方的资金使用监督情况，如</w:t>
      </w:r>
      <w:r>
        <w:rPr>
          <w:rFonts w:hint="eastAsia" w:ascii="新宋体" w:hAnsi="宋体" w:eastAsia="新宋体"/>
          <w:color w:val="0F0F0F"/>
          <w:szCs w:val="21"/>
        </w:rPr>
        <w:t>丙</w:t>
      </w:r>
      <w:r>
        <w:rPr>
          <w:rFonts w:ascii="新宋体" w:hAnsi="宋体" w:eastAsia="新宋体"/>
          <w:color w:val="0F0F0F"/>
          <w:szCs w:val="21"/>
        </w:rPr>
        <w:t>方不能履行其责任，甲方有权随时终止本协议；</w:t>
      </w:r>
    </w:p>
    <w:p w14:paraId="11D1B34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(4)在乙、丙双方发垒争议时，甲方应负责协调、解决。</w:t>
      </w:r>
    </w:p>
    <w:p w14:paraId="0088EBD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3．乙方的权</w:t>
      </w:r>
      <w:r>
        <w:rPr>
          <w:rFonts w:hint="eastAsia" w:ascii="新宋体" w:hAnsi="宋体" w:eastAsia="新宋体"/>
          <w:color w:val="0F0F0F"/>
          <w:szCs w:val="21"/>
        </w:rPr>
        <w:t>责</w:t>
      </w:r>
    </w:p>
    <w:p w14:paraId="5B024546">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(1)项目经理部成立以后，乙方应尽快在丙方开设基本结算户；</w:t>
      </w:r>
    </w:p>
    <w:p w14:paraId="3F6FB50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(2)确保本项目资金专款</w:t>
      </w:r>
      <w:r>
        <w:rPr>
          <w:rFonts w:hint="eastAsia" w:ascii="新宋体" w:hAnsi="宋体" w:eastAsia="新宋体"/>
          <w:color w:val="0F0F0F"/>
          <w:szCs w:val="21"/>
        </w:rPr>
        <w:t>专用，不发生挪用、转移资金的现象；保证不通过权益转让、抵押、担保承担债务等任何其他方式使用基本结算户的资金；</w:t>
      </w:r>
    </w:p>
    <w:p w14:paraId="1046EA4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(3)办理材料、设备等采购</w:t>
      </w:r>
      <w:r>
        <w:rPr>
          <w:rFonts w:hint="eastAsia" w:ascii="新宋体" w:hAnsi="宋体" w:eastAsia="新宋体"/>
          <w:color w:val="0F0F0F"/>
          <w:szCs w:val="21"/>
        </w:rPr>
        <w:t>业</w:t>
      </w:r>
      <w:r>
        <w:rPr>
          <w:rFonts w:ascii="新宋体" w:hAnsi="宋体" w:eastAsia="新宋体"/>
          <w:color w:val="0F0F0F"/>
          <w:szCs w:val="21"/>
        </w:rPr>
        <w:t>务金额在万元以上的，应出示购货合同、协议和发</w:t>
      </w:r>
      <w:r>
        <w:rPr>
          <w:rFonts w:hint="eastAsia" w:ascii="新宋体" w:hAnsi="宋体" w:eastAsia="新宋体"/>
          <w:color w:val="0F0F0F"/>
          <w:szCs w:val="21"/>
        </w:rPr>
        <w:t>票</w:t>
      </w:r>
      <w:r>
        <w:rPr>
          <w:rFonts w:ascii="新宋体" w:hAnsi="宋体" w:eastAsia="新宋体"/>
          <w:color w:val="0F0F0F"/>
          <w:szCs w:val="21"/>
        </w:rPr>
        <w:t>；在办理总额超过万元以上的采购业务时，应将合同、协议和发票复印件送丙方备案；</w:t>
      </w:r>
      <w:r>
        <w:rPr>
          <w:rFonts w:hint="eastAsia" w:ascii="新宋体" w:hAnsi="宋体" w:eastAsia="新宋体"/>
          <w:color w:val="0F0F0F"/>
          <w:szCs w:val="21"/>
        </w:rPr>
        <w:t>获取</w:t>
      </w:r>
      <w:r>
        <w:rPr>
          <w:rFonts w:ascii="新宋体" w:hAnsi="宋体" w:eastAsia="新宋体"/>
          <w:color w:val="0F0F0F"/>
          <w:szCs w:val="21"/>
        </w:rPr>
        <w:t>应急材料、设备时可先办理支付手续，但事后必须</w:t>
      </w:r>
      <w:r>
        <w:rPr>
          <w:rFonts w:hint="eastAsia" w:ascii="新宋体" w:hAnsi="宋体" w:eastAsia="新宋体"/>
          <w:color w:val="0F0F0F"/>
          <w:szCs w:val="21"/>
        </w:rPr>
        <w:t>补</w:t>
      </w:r>
      <w:r>
        <w:rPr>
          <w:rFonts w:ascii="新宋体" w:hAnsi="宋体" w:eastAsia="新宋体"/>
          <w:color w:val="0F0F0F"/>
          <w:szCs w:val="21"/>
        </w:rPr>
        <w:t>备有关资料；</w:t>
      </w:r>
    </w:p>
    <w:p w14:paraId="3C64C366">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(4)用银行转账支票办理</w:t>
      </w:r>
      <w:r>
        <w:rPr>
          <w:rFonts w:hint="eastAsia" w:ascii="新宋体" w:hAnsi="宋体" w:eastAsia="新宋体"/>
          <w:color w:val="0F0F0F"/>
          <w:szCs w:val="21"/>
        </w:rPr>
        <w:t>支</w:t>
      </w:r>
      <w:r>
        <w:rPr>
          <w:rFonts w:ascii="新宋体" w:hAnsi="宋体" w:eastAsia="新宋体"/>
          <w:color w:val="0F0F0F"/>
          <w:szCs w:val="21"/>
        </w:rPr>
        <w:t>付款项时，必须将转账支票送交丙方，由丙方负责办理</w:t>
      </w:r>
      <w:r>
        <w:rPr>
          <w:rFonts w:hint="eastAsia" w:ascii="新宋体" w:hAnsi="宋体" w:eastAsia="新宋体"/>
          <w:color w:val="0F0F0F"/>
          <w:szCs w:val="21"/>
        </w:rPr>
        <w:t>支票转付手续；</w:t>
      </w:r>
    </w:p>
    <w:p w14:paraId="3045204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(5)向分包单位支付</w:t>
      </w:r>
      <w:r>
        <w:rPr>
          <w:rFonts w:hint="eastAsia" w:ascii="新宋体" w:hAnsi="宋体" w:eastAsia="新宋体"/>
          <w:color w:val="0F0F0F"/>
          <w:szCs w:val="21"/>
        </w:rPr>
        <w:t>工</w:t>
      </w:r>
      <w:r>
        <w:rPr>
          <w:rFonts w:ascii="新宋体" w:hAnsi="宋体" w:eastAsia="新宋体"/>
          <w:color w:val="0F0F0F"/>
          <w:szCs w:val="21"/>
        </w:rPr>
        <w:t>程进度</w:t>
      </w:r>
      <w:r>
        <w:rPr>
          <w:rFonts w:hint="eastAsia" w:ascii="新宋体" w:hAnsi="宋体" w:eastAsia="新宋体"/>
          <w:color w:val="0F0F0F"/>
          <w:szCs w:val="21"/>
        </w:rPr>
        <w:t>款</w:t>
      </w:r>
      <w:r>
        <w:rPr>
          <w:rFonts w:ascii="新宋体" w:hAnsi="宋体" w:eastAsia="新宋体"/>
          <w:color w:val="0F0F0F"/>
          <w:szCs w:val="21"/>
        </w:rPr>
        <w:t>时，</w:t>
      </w:r>
      <w:r>
        <w:rPr>
          <w:rFonts w:hint="eastAsia" w:ascii="新宋体" w:hAnsi="宋体" w:eastAsia="新宋体"/>
          <w:color w:val="0F0F0F"/>
          <w:szCs w:val="21"/>
        </w:rPr>
        <w:t>应</w:t>
      </w:r>
      <w:r>
        <w:rPr>
          <w:rFonts w:ascii="新宋体" w:hAnsi="宋体" w:eastAsia="新宋体"/>
          <w:color w:val="0F0F0F"/>
          <w:szCs w:val="21"/>
        </w:rPr>
        <w:t>附甲方批准分包的文件；</w:t>
      </w:r>
    </w:p>
    <w:p w14:paraId="33E53DA4">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(6)向上级单位缴纳管理费、</w:t>
      </w:r>
      <w:r>
        <w:rPr>
          <w:rFonts w:hint="eastAsia" w:ascii="新宋体" w:hAnsi="宋体" w:eastAsia="新宋体"/>
          <w:color w:val="0F0F0F"/>
          <w:szCs w:val="21"/>
        </w:rPr>
        <w:t>机</w:t>
      </w:r>
      <w:r>
        <w:rPr>
          <w:rFonts w:ascii="新宋体" w:hAnsi="宋体" w:eastAsia="新宋体"/>
          <w:color w:val="0F0F0F"/>
          <w:szCs w:val="21"/>
        </w:rPr>
        <w:t>械设备及</w:t>
      </w:r>
      <w:r>
        <w:rPr>
          <w:rFonts w:hint="eastAsia" w:ascii="新宋体" w:hAnsi="宋体" w:eastAsia="新宋体"/>
          <w:color w:val="0F0F0F"/>
          <w:szCs w:val="21"/>
        </w:rPr>
        <w:t>周</w:t>
      </w:r>
      <w:r>
        <w:rPr>
          <w:rFonts w:ascii="新宋体" w:hAnsi="宋体" w:eastAsia="新宋体"/>
          <w:color w:val="0F0F0F"/>
          <w:szCs w:val="21"/>
        </w:rPr>
        <w:t>转材料租赁摊销费等款项时，应附上级</w:t>
      </w:r>
      <w:r>
        <w:rPr>
          <w:rFonts w:hint="eastAsia" w:ascii="新宋体" w:hAnsi="宋体" w:eastAsia="新宋体"/>
          <w:color w:val="0F0F0F"/>
          <w:szCs w:val="21"/>
        </w:rPr>
        <w:t>单位出具的转账通知等有关资料，以确保资金专款专用。</w:t>
      </w:r>
    </w:p>
    <w:p w14:paraId="50F33CD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w:t>
      </w:r>
      <w:r>
        <w:rPr>
          <w:rFonts w:hint="eastAsia" w:ascii="新宋体" w:hAnsi="宋体" w:eastAsia="新宋体"/>
          <w:color w:val="0F0F0F"/>
          <w:szCs w:val="21"/>
        </w:rPr>
        <w:t>．</w:t>
      </w:r>
      <w:r>
        <w:rPr>
          <w:rFonts w:ascii="新宋体" w:hAnsi="宋体" w:eastAsia="新宋体"/>
          <w:color w:val="0F0F0F"/>
          <w:szCs w:val="21"/>
        </w:rPr>
        <w:t>丙方的权责</w:t>
      </w:r>
    </w:p>
    <w:p w14:paraId="13013C57">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(1)成立(项目</w:t>
      </w:r>
      <w:r>
        <w:rPr>
          <w:rFonts w:hint="eastAsia" w:ascii="新宋体" w:hAnsi="宋体" w:eastAsia="新宋体"/>
          <w:color w:val="0F0F0F"/>
          <w:szCs w:val="21"/>
        </w:rPr>
        <w:t>名</w:t>
      </w:r>
      <w:r>
        <w:rPr>
          <w:rFonts w:ascii="新宋体" w:hAnsi="宋体" w:eastAsia="新宋体"/>
          <w:color w:val="0F0F0F"/>
          <w:szCs w:val="21"/>
        </w:rPr>
        <w:t>称)</w:t>
      </w:r>
      <w:r>
        <w:rPr>
          <w:rFonts w:hint="eastAsia" w:ascii="新宋体" w:hAnsi="宋体" w:eastAsia="新宋体"/>
          <w:color w:val="0F0F0F"/>
          <w:szCs w:val="21"/>
        </w:rPr>
        <w:t>工</w:t>
      </w:r>
      <w:r>
        <w:rPr>
          <w:rFonts w:ascii="新宋体" w:hAnsi="宋体" w:eastAsia="新宋体"/>
          <w:color w:val="0F0F0F"/>
          <w:szCs w:val="21"/>
        </w:rPr>
        <w:t>程资金管理服务小组，</w:t>
      </w:r>
      <w:r>
        <w:rPr>
          <w:rFonts w:hint="eastAsia" w:ascii="新宋体" w:hAnsi="宋体" w:eastAsia="新宋体"/>
          <w:color w:val="0F0F0F"/>
          <w:szCs w:val="21"/>
        </w:rPr>
        <w:t>明</w:t>
      </w:r>
      <w:r>
        <w:rPr>
          <w:rFonts w:ascii="新宋体" w:hAnsi="宋体" w:eastAsia="新宋体"/>
          <w:color w:val="0F0F0F"/>
          <w:szCs w:val="21"/>
        </w:rPr>
        <w:t>确业务流程，提高</w:t>
      </w:r>
      <w:r>
        <w:rPr>
          <w:rFonts w:hint="eastAsia" w:ascii="新宋体" w:hAnsi="宋体" w:eastAsia="新宋体"/>
          <w:color w:val="0F0F0F"/>
          <w:szCs w:val="21"/>
        </w:rPr>
        <w:t>工</w:t>
      </w:r>
      <w:r>
        <w:rPr>
          <w:rFonts w:ascii="新宋体" w:hAnsi="宋体" w:eastAsia="新宋体"/>
          <w:color w:val="0F0F0F"/>
          <w:szCs w:val="21"/>
        </w:rPr>
        <w:t>作</w:t>
      </w:r>
      <w:r>
        <w:rPr>
          <w:rFonts w:hint="eastAsia" w:ascii="新宋体" w:hAnsi="宋体" w:eastAsia="新宋体"/>
          <w:color w:val="0F0F0F"/>
          <w:szCs w:val="21"/>
        </w:rPr>
        <w:t>效率，杜绝“压票”现象；</w:t>
      </w:r>
    </w:p>
    <w:p w14:paraId="0B2BE7A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(2)搬据乙方提供的购货合同、协议和发票，检查其所购材料、设备是否用于(项目</w:t>
      </w:r>
      <w:r>
        <w:rPr>
          <w:rFonts w:hint="eastAsia" w:ascii="新宋体" w:hAnsi="宋体" w:eastAsia="新宋体"/>
          <w:color w:val="0F0F0F"/>
          <w:szCs w:val="21"/>
        </w:rPr>
        <w:t>名称</w:t>
      </w:r>
      <w:r>
        <w:rPr>
          <w:rFonts w:ascii="新宋体" w:hAnsi="宋体" w:eastAsia="新宋体"/>
          <w:color w:val="0F0F0F"/>
          <w:szCs w:val="21"/>
        </w:rPr>
        <w:t>)工程建设，对本标段以外的</w:t>
      </w:r>
      <w:r>
        <w:rPr>
          <w:rFonts w:hint="eastAsia" w:ascii="新宋体" w:hAnsi="宋体" w:eastAsia="新宋体"/>
          <w:color w:val="0F0F0F"/>
          <w:szCs w:val="21"/>
        </w:rPr>
        <w:t>购</w:t>
      </w:r>
      <w:r>
        <w:rPr>
          <w:rFonts w:ascii="新宋体" w:hAnsi="宋体" w:eastAsia="新宋体"/>
          <w:color w:val="0F0F0F"/>
          <w:szCs w:val="21"/>
        </w:rPr>
        <w:t>货款项，有权拒绝办理，并及时报告甲方；</w:t>
      </w:r>
    </w:p>
    <w:p w14:paraId="13B2235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(3)根据乙方与分包单</w:t>
      </w:r>
      <w:r>
        <w:rPr>
          <w:rFonts w:hint="eastAsia" w:ascii="新宋体" w:hAnsi="宋体" w:eastAsia="新宋体"/>
          <w:color w:val="0F0F0F"/>
          <w:szCs w:val="21"/>
        </w:rPr>
        <w:t>位</w:t>
      </w:r>
      <w:r>
        <w:rPr>
          <w:rFonts w:ascii="新宋体" w:hAnsi="宋体" w:eastAsia="新宋体"/>
          <w:color w:val="0F0F0F"/>
          <w:szCs w:val="21"/>
        </w:rPr>
        <w:t>签订的合</w:t>
      </w:r>
      <w:r>
        <w:rPr>
          <w:rFonts w:hint="eastAsia" w:ascii="新宋体" w:hAnsi="宋体" w:eastAsia="新宋体"/>
          <w:color w:val="0F0F0F"/>
          <w:szCs w:val="21"/>
        </w:rPr>
        <w:t>同</w:t>
      </w:r>
      <w:r>
        <w:rPr>
          <w:rFonts w:ascii="新宋体" w:hAnsi="宋体" w:eastAsia="新宋体"/>
          <w:color w:val="0F0F0F"/>
          <w:szCs w:val="21"/>
        </w:rPr>
        <w:t>及支付文件，检查其支付款项是否符合有关</w:t>
      </w:r>
      <w:r>
        <w:rPr>
          <w:rFonts w:hint="eastAsia" w:ascii="新宋体" w:hAnsi="宋体" w:eastAsia="新宋体"/>
          <w:color w:val="0F0F0F"/>
          <w:szCs w:val="21"/>
        </w:rPr>
        <w:t>条件，向分包单位以外单位的支付有权拒绝办理，并及时报告甲方；</w:t>
      </w:r>
    </w:p>
    <w:p w14:paraId="63875B2F">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(4)根据乙方提供的上级单位出具的转账通知等有关资料，办理管理</w:t>
      </w:r>
      <w:r>
        <w:rPr>
          <w:rFonts w:hint="eastAsia" w:ascii="新宋体" w:hAnsi="宋体" w:eastAsia="新宋体"/>
          <w:color w:val="0F0F0F"/>
          <w:szCs w:val="21"/>
        </w:rPr>
        <w:t>费</w:t>
      </w:r>
      <w:r>
        <w:rPr>
          <w:rFonts w:ascii="新宋体" w:hAnsi="宋体" w:eastAsia="新宋体"/>
          <w:color w:val="0F0F0F"/>
          <w:szCs w:val="21"/>
        </w:rPr>
        <w:t>、机械设备</w:t>
      </w:r>
      <w:r>
        <w:rPr>
          <w:rFonts w:hint="eastAsia" w:ascii="新宋体" w:hAnsi="宋体" w:eastAsia="新宋体"/>
          <w:color w:val="0F0F0F"/>
          <w:szCs w:val="21"/>
        </w:rPr>
        <w:t>及周转材料租赁摊销费等款项的支付；对超出转账通知等有关资料以外的支付，有权拒绝办理，并及时报告甲方；</w:t>
      </w:r>
    </w:p>
    <w:p w14:paraId="2E5E992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(5)定期将乙方前一个周期的支付情况，</w:t>
      </w:r>
      <w:r>
        <w:rPr>
          <w:rFonts w:hint="eastAsia" w:ascii="新宋体" w:hAnsi="宋体" w:eastAsia="新宋体"/>
          <w:color w:val="0F0F0F"/>
          <w:szCs w:val="21"/>
        </w:rPr>
        <w:t>整</w:t>
      </w:r>
      <w:r>
        <w:rPr>
          <w:rFonts w:ascii="新宋体" w:hAnsi="宋体" w:eastAsia="新宋体"/>
          <w:color w:val="0F0F0F"/>
          <w:szCs w:val="21"/>
        </w:rPr>
        <w:t>理后书面报送甲方；乙方复印</w:t>
      </w:r>
      <w:r>
        <w:rPr>
          <w:rFonts w:hint="eastAsia" w:ascii="新宋体" w:hAnsi="宋体" w:eastAsia="新宋体"/>
          <w:color w:val="0F0F0F"/>
          <w:szCs w:val="21"/>
        </w:rPr>
        <w:t>备</w:t>
      </w:r>
      <w:r>
        <w:rPr>
          <w:rFonts w:ascii="新宋体" w:hAnsi="宋体" w:eastAsia="新宋体"/>
          <w:color w:val="0F0F0F"/>
          <w:szCs w:val="21"/>
        </w:rPr>
        <w:t>案的材</w:t>
      </w:r>
      <w:r>
        <w:rPr>
          <w:rFonts w:hint="eastAsia" w:ascii="新宋体" w:hAnsi="宋体" w:eastAsia="新宋体"/>
          <w:color w:val="0F0F0F"/>
          <w:szCs w:val="21"/>
        </w:rPr>
        <w:t>料一并送甲方。</w:t>
      </w:r>
    </w:p>
    <w:p w14:paraId="690BCA87">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5．甲、乙、丙三方都应履行保密责任，不得将其他两方的业务情况透露给三方以外</w:t>
      </w:r>
      <w:r>
        <w:rPr>
          <w:rFonts w:hint="eastAsia" w:ascii="新宋体" w:hAnsi="宋体" w:eastAsia="新宋体"/>
          <w:color w:val="0F0F0F"/>
          <w:szCs w:val="21"/>
        </w:rPr>
        <w:t>的其他单位或个人。</w:t>
      </w:r>
    </w:p>
    <w:p w14:paraId="57334438">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6．本协议有效期自乙方在丙方开户起，至工程交工验收甲方向乙方颁发交工验收</w:t>
      </w:r>
      <w:r>
        <w:rPr>
          <w:rFonts w:hint="eastAsia" w:ascii="新宋体" w:hAnsi="宋体" w:eastAsia="新宋体"/>
          <w:color w:val="0F0F0F"/>
          <w:szCs w:val="21"/>
        </w:rPr>
        <w:t>证书后结束。</w:t>
      </w:r>
    </w:p>
    <w:p w14:paraId="1FC927DC">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7．本协议未尽事宜，</w:t>
      </w:r>
      <w:r>
        <w:rPr>
          <w:rFonts w:hint="eastAsia" w:ascii="新宋体" w:hAnsi="宋体" w:eastAsia="新宋体"/>
          <w:color w:val="0F0F0F"/>
          <w:szCs w:val="21"/>
        </w:rPr>
        <w:t>由</w:t>
      </w:r>
      <w:r>
        <w:rPr>
          <w:rFonts w:ascii="新宋体" w:hAnsi="宋体" w:eastAsia="新宋体"/>
          <w:color w:val="0F0F0F"/>
          <w:szCs w:val="21"/>
        </w:rPr>
        <w:t>甲方牵头，兰方协商解决。</w:t>
      </w:r>
    </w:p>
    <w:p w14:paraId="5DB6874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8．本协议正本</w:t>
      </w:r>
      <w:r>
        <w:rPr>
          <w:rFonts w:hint="eastAsia" w:ascii="新宋体" w:hAnsi="宋体" w:eastAsia="新宋体"/>
          <w:color w:val="0F0F0F"/>
          <w:szCs w:val="21"/>
        </w:rPr>
        <w:t>三</w:t>
      </w:r>
      <w:r>
        <w:rPr>
          <w:rFonts w:ascii="新宋体" w:hAnsi="宋体" w:eastAsia="新宋体"/>
          <w:color w:val="0F0F0F"/>
          <w:szCs w:val="21"/>
        </w:rPr>
        <w:t>份、副本份。合同</w:t>
      </w:r>
      <w:r>
        <w:rPr>
          <w:rFonts w:hint="eastAsia" w:ascii="新宋体" w:hAnsi="宋体" w:eastAsia="新宋体"/>
          <w:color w:val="0F0F0F"/>
          <w:szCs w:val="21"/>
        </w:rPr>
        <w:t>三</w:t>
      </w:r>
      <w:r>
        <w:rPr>
          <w:rFonts w:ascii="新宋体" w:hAnsi="宋体" w:eastAsia="新宋体"/>
          <w:color w:val="0F0F0F"/>
          <w:szCs w:val="21"/>
        </w:rPr>
        <w:t>方各执正本一份、副本份，当正</w:t>
      </w:r>
      <w:r>
        <w:rPr>
          <w:rFonts w:hint="eastAsia" w:ascii="新宋体" w:hAnsi="宋体" w:eastAsia="新宋体"/>
          <w:color w:val="0F0F0F"/>
          <w:szCs w:val="21"/>
        </w:rPr>
        <w:t>本与副本内容不一致时，以正本为准。</w:t>
      </w:r>
    </w:p>
    <w:p w14:paraId="28F8229D">
      <w:pPr>
        <w:spacing w:line="480" w:lineRule="auto"/>
        <w:ind w:firstLine="472" w:firstLineChars="225"/>
        <w:rPr>
          <w:rFonts w:ascii="新宋体" w:hAnsi="宋体" w:eastAsia="新宋体"/>
          <w:color w:val="0F0F0F"/>
          <w:szCs w:val="21"/>
        </w:rPr>
      </w:pPr>
    </w:p>
    <w:p w14:paraId="0039BAAC">
      <w:pPr>
        <w:spacing w:line="480" w:lineRule="auto"/>
        <w:ind w:firstLine="472" w:firstLineChars="225"/>
        <w:rPr>
          <w:rFonts w:ascii="新宋体" w:hAnsi="宋体" w:eastAsia="新宋体"/>
          <w:color w:val="0F0F0F"/>
          <w:szCs w:val="21"/>
        </w:rPr>
      </w:pPr>
    </w:p>
    <w:p w14:paraId="34BC3E6B">
      <w:pPr>
        <w:spacing w:line="480" w:lineRule="auto"/>
        <w:ind w:firstLine="472" w:firstLineChars="225"/>
        <w:rPr>
          <w:rFonts w:ascii="新宋体" w:hAnsi="宋体" w:eastAsia="新宋体"/>
          <w:color w:val="0F0F0F"/>
          <w:szCs w:val="21"/>
        </w:rPr>
      </w:pPr>
    </w:p>
    <w:p w14:paraId="5633CFA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发包人： (</w:t>
      </w:r>
      <w:r>
        <w:rPr>
          <w:rFonts w:hint="eastAsia" w:ascii="新宋体" w:hAnsi="宋体" w:eastAsia="新宋体"/>
          <w:color w:val="0F0F0F"/>
          <w:szCs w:val="21"/>
        </w:rPr>
        <w:t>盖</w:t>
      </w:r>
      <w:r>
        <w:rPr>
          <w:rFonts w:ascii="新宋体" w:hAnsi="宋体" w:eastAsia="新宋体"/>
          <w:color w:val="0F0F0F"/>
          <w:szCs w:val="21"/>
        </w:rPr>
        <w:t>单位章)</w:t>
      </w:r>
    </w:p>
    <w:p w14:paraId="19EB6AE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法定代表人或其委托代理人：(签字)</w:t>
      </w:r>
    </w:p>
    <w:p w14:paraId="1B99958D">
      <w:pPr>
        <w:spacing w:line="480" w:lineRule="auto"/>
        <w:ind w:firstLine="2782" w:firstLineChars="1325"/>
        <w:rPr>
          <w:rFonts w:ascii="新宋体" w:hAnsi="宋体" w:eastAsia="新宋体"/>
          <w:color w:val="0F0F0F"/>
          <w:szCs w:val="21"/>
        </w:rPr>
      </w:pPr>
      <w:r>
        <w:rPr>
          <w:rFonts w:ascii="新宋体" w:hAnsi="宋体" w:eastAsia="新宋体"/>
          <w:color w:val="0F0F0F"/>
          <w:szCs w:val="21"/>
        </w:rPr>
        <w:t>年</w:t>
      </w:r>
      <w:r>
        <w:rPr>
          <w:rFonts w:hint="eastAsia" w:ascii="新宋体" w:hAnsi="宋体" w:eastAsia="新宋体"/>
          <w:color w:val="0F0F0F"/>
          <w:szCs w:val="21"/>
          <w:lang w:val="en-US" w:eastAsia="zh-CN"/>
        </w:rPr>
        <w:t xml:space="preserve"> </w:t>
      </w:r>
      <w:r>
        <w:rPr>
          <w:rFonts w:ascii="新宋体" w:hAnsi="宋体" w:eastAsia="新宋体"/>
          <w:color w:val="0F0F0F"/>
          <w:szCs w:val="21"/>
        </w:rPr>
        <w:t>月</w:t>
      </w:r>
      <w:r>
        <w:rPr>
          <w:rFonts w:hint="eastAsia" w:ascii="新宋体" w:hAnsi="宋体" w:eastAsia="新宋体"/>
          <w:color w:val="0F0F0F"/>
          <w:szCs w:val="21"/>
          <w:lang w:val="en-US" w:eastAsia="zh-CN"/>
        </w:rPr>
        <w:t xml:space="preserve"> </w:t>
      </w:r>
      <w:r>
        <w:rPr>
          <w:rFonts w:hint="eastAsia" w:ascii="新宋体" w:hAnsi="宋体" w:eastAsia="新宋体"/>
          <w:color w:val="0F0F0F"/>
          <w:szCs w:val="21"/>
        </w:rPr>
        <w:t>日</w:t>
      </w:r>
    </w:p>
    <w:p w14:paraId="268B6402">
      <w:pPr>
        <w:spacing w:line="480" w:lineRule="auto"/>
        <w:ind w:firstLine="472" w:firstLineChars="225"/>
        <w:rPr>
          <w:rFonts w:ascii="新宋体" w:hAnsi="宋体" w:eastAsia="新宋体"/>
          <w:color w:val="0F0F0F"/>
          <w:szCs w:val="21"/>
        </w:rPr>
      </w:pPr>
    </w:p>
    <w:p w14:paraId="3A0B088B">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承包人： (</w:t>
      </w:r>
      <w:r>
        <w:rPr>
          <w:rFonts w:hint="eastAsia" w:ascii="新宋体" w:hAnsi="宋体" w:eastAsia="新宋体"/>
          <w:color w:val="0F0F0F"/>
          <w:szCs w:val="21"/>
        </w:rPr>
        <w:t>盖</w:t>
      </w:r>
      <w:r>
        <w:rPr>
          <w:rFonts w:ascii="新宋体" w:hAnsi="宋体" w:eastAsia="新宋体"/>
          <w:color w:val="0F0F0F"/>
          <w:szCs w:val="21"/>
        </w:rPr>
        <w:t>单位章)</w:t>
      </w:r>
    </w:p>
    <w:p w14:paraId="59A4BCFA">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法定代表人或其委托代理人：(签字)</w:t>
      </w:r>
    </w:p>
    <w:p w14:paraId="123193B0">
      <w:pPr>
        <w:spacing w:line="480" w:lineRule="auto"/>
        <w:ind w:firstLine="2782" w:firstLineChars="1325"/>
        <w:rPr>
          <w:rFonts w:ascii="新宋体" w:hAnsi="宋体" w:eastAsia="新宋体"/>
          <w:color w:val="0F0F0F"/>
          <w:szCs w:val="21"/>
        </w:rPr>
      </w:pPr>
      <w:r>
        <w:rPr>
          <w:rFonts w:ascii="新宋体" w:hAnsi="宋体" w:eastAsia="新宋体"/>
          <w:color w:val="0F0F0F"/>
          <w:szCs w:val="21"/>
        </w:rPr>
        <w:t>年</w:t>
      </w:r>
      <w:r>
        <w:rPr>
          <w:rFonts w:hint="eastAsia" w:ascii="新宋体" w:hAnsi="宋体" w:eastAsia="新宋体"/>
          <w:color w:val="0F0F0F"/>
          <w:szCs w:val="21"/>
          <w:lang w:val="en-US" w:eastAsia="zh-CN"/>
        </w:rPr>
        <w:t xml:space="preserve"> </w:t>
      </w:r>
      <w:r>
        <w:rPr>
          <w:rFonts w:ascii="新宋体" w:hAnsi="宋体" w:eastAsia="新宋体"/>
          <w:color w:val="0F0F0F"/>
          <w:szCs w:val="21"/>
        </w:rPr>
        <w:t>月</w:t>
      </w:r>
      <w:r>
        <w:rPr>
          <w:rFonts w:hint="eastAsia" w:ascii="新宋体" w:hAnsi="宋体" w:eastAsia="新宋体"/>
          <w:color w:val="0F0F0F"/>
          <w:szCs w:val="21"/>
          <w:lang w:val="en-US" w:eastAsia="zh-CN"/>
        </w:rPr>
        <w:t xml:space="preserve"> </w:t>
      </w:r>
      <w:r>
        <w:rPr>
          <w:rFonts w:ascii="新宋体" w:hAnsi="宋体" w:eastAsia="新宋体"/>
          <w:color w:val="0F0F0F"/>
          <w:szCs w:val="21"/>
        </w:rPr>
        <w:t>日</w:t>
      </w:r>
    </w:p>
    <w:p w14:paraId="06083AF5">
      <w:pPr>
        <w:spacing w:line="480" w:lineRule="auto"/>
        <w:ind w:firstLine="472" w:firstLineChars="225"/>
        <w:rPr>
          <w:rFonts w:ascii="新宋体" w:hAnsi="宋体" w:eastAsia="新宋体"/>
          <w:color w:val="0F0F0F"/>
          <w:szCs w:val="21"/>
        </w:rPr>
      </w:pPr>
    </w:p>
    <w:p w14:paraId="20DC97C1">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经办银行：</w:t>
      </w:r>
      <w:r>
        <w:rPr>
          <w:rFonts w:ascii="新宋体" w:hAnsi="宋体" w:eastAsia="新宋体"/>
          <w:color w:val="0F0F0F"/>
          <w:szCs w:val="21"/>
        </w:rPr>
        <w:t xml:space="preserve"> (</w:t>
      </w:r>
      <w:r>
        <w:rPr>
          <w:rFonts w:hint="eastAsia" w:ascii="新宋体" w:hAnsi="宋体" w:eastAsia="新宋体"/>
          <w:color w:val="0F0F0F"/>
          <w:szCs w:val="21"/>
        </w:rPr>
        <w:t>盖</w:t>
      </w:r>
      <w:r>
        <w:rPr>
          <w:rFonts w:ascii="新宋体" w:hAnsi="宋体" w:eastAsia="新宋体"/>
          <w:color w:val="0F0F0F"/>
          <w:szCs w:val="21"/>
        </w:rPr>
        <w:t>单位章)</w:t>
      </w:r>
    </w:p>
    <w:p w14:paraId="18B52097">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法定代表人或其委托代理人：(签字)</w:t>
      </w:r>
    </w:p>
    <w:p w14:paraId="18BC4F6A">
      <w:pPr>
        <w:spacing w:line="480" w:lineRule="auto"/>
        <w:ind w:firstLine="2677" w:firstLineChars="1275"/>
        <w:rPr>
          <w:rFonts w:ascii="新宋体" w:hAnsi="宋体" w:eastAsia="新宋体"/>
          <w:color w:val="0F0F0F"/>
          <w:szCs w:val="21"/>
        </w:rPr>
      </w:pPr>
      <w:r>
        <w:rPr>
          <w:rFonts w:ascii="新宋体" w:hAnsi="宋体" w:eastAsia="新宋体"/>
          <w:color w:val="0F0F0F"/>
          <w:szCs w:val="21"/>
        </w:rPr>
        <w:t>年 月 日</w:t>
      </w:r>
    </w:p>
    <w:p w14:paraId="648D4BE0">
      <w:pPr>
        <w:pStyle w:val="5"/>
        <w:ind w:left="0" w:firstLine="0"/>
        <w:jc w:val="both"/>
      </w:pPr>
    </w:p>
    <w:p w14:paraId="3E253DD1">
      <w:pPr>
        <w:pStyle w:val="3"/>
        <w:pageBreakBefore/>
        <w:jc w:val="center"/>
        <w:rPr>
          <w:color w:val="000000" w:themeColor="text1"/>
          <w:sz w:val="36"/>
          <w:szCs w:val="36"/>
          <w14:textFill>
            <w14:solidFill>
              <w14:schemeClr w14:val="tx1"/>
            </w14:solidFill>
          </w14:textFill>
        </w:rPr>
      </w:pPr>
      <w:bookmarkStart w:id="769" w:name="_Toc9453"/>
      <w:r>
        <w:rPr>
          <w:rFonts w:hint="eastAsia"/>
          <w:color w:val="000000" w:themeColor="text1"/>
          <w:sz w:val="36"/>
          <w:szCs w:val="36"/>
          <w14:textFill>
            <w14:solidFill>
              <w14:schemeClr w14:val="tx1"/>
            </w14:solidFill>
          </w14:textFill>
        </w:rPr>
        <w:t>第五章  工程量清单</w:t>
      </w:r>
      <w:bookmarkEnd w:id="150"/>
      <w:bookmarkEnd w:id="769"/>
    </w:p>
    <w:p w14:paraId="4D170BCF">
      <w:pPr>
        <w:spacing w:before="70" w:line="220" w:lineRule="auto"/>
        <w:ind w:left="3510"/>
        <w:rPr>
          <w:rFonts w:ascii="宋体" w:hAnsi="宋体" w:eastAsia="宋体" w:cs="宋体"/>
          <w:sz w:val="35"/>
          <w:szCs w:val="35"/>
        </w:rPr>
      </w:pPr>
      <w:r>
        <w:rPr>
          <w:rFonts w:ascii="宋体" w:hAnsi="宋体" w:eastAsia="宋体" w:cs="宋体"/>
          <w:b/>
          <w:bCs/>
          <w:sz w:val="35"/>
          <w:szCs w:val="35"/>
        </w:rPr>
        <w:t>工程量清单汇总表</w:t>
      </w:r>
    </w:p>
    <w:p w14:paraId="41E81D5C">
      <w:pPr>
        <w:pStyle w:val="34"/>
        <w:spacing w:line="315" w:lineRule="auto"/>
      </w:pPr>
    </w:p>
    <w:p w14:paraId="04D3A751">
      <w:pPr>
        <w:spacing w:before="62" w:line="231" w:lineRule="auto"/>
        <w:jc w:val="right"/>
        <w:rPr>
          <w:rFonts w:ascii="宋体" w:hAnsi="宋体" w:eastAsia="宋体" w:cs="宋体"/>
          <w:sz w:val="19"/>
          <w:szCs w:val="19"/>
        </w:rPr>
      </w:pPr>
      <w:r>
        <w:rPr>
          <w:rFonts w:ascii="宋体" w:hAnsi="宋体" w:eastAsia="宋体" w:cs="宋体"/>
          <w:spacing w:val="7"/>
          <w:sz w:val="19"/>
          <w:szCs w:val="19"/>
        </w:rPr>
        <w:t>合同段：双河口村农业基础设施建设工程</w:t>
      </w:r>
      <w:r>
        <w:rPr>
          <w:rFonts w:ascii="宋体" w:hAnsi="宋体" w:eastAsia="宋体" w:cs="宋体"/>
          <w:spacing w:val="1"/>
          <w:sz w:val="19"/>
          <w:szCs w:val="19"/>
        </w:rPr>
        <w:t xml:space="preserve">                                   </w:t>
      </w:r>
      <w:r>
        <w:rPr>
          <w:rFonts w:ascii="宋体" w:hAnsi="宋体" w:eastAsia="宋体" w:cs="宋体"/>
          <w:sz w:val="19"/>
          <w:szCs w:val="19"/>
        </w:rPr>
        <w:t xml:space="preserve">                       </w:t>
      </w:r>
      <w:r>
        <w:rPr>
          <w:rFonts w:ascii="宋体" w:hAnsi="宋体" w:eastAsia="宋体" w:cs="宋体"/>
          <w:spacing w:val="7"/>
          <w:position w:val="-1"/>
          <w:sz w:val="19"/>
          <w:szCs w:val="19"/>
        </w:rPr>
        <w:t>标表1</w:t>
      </w:r>
    </w:p>
    <w:p w14:paraId="222D93FF">
      <w:pPr>
        <w:spacing w:line="160" w:lineRule="exact"/>
      </w:pPr>
    </w:p>
    <w:tbl>
      <w:tblPr>
        <w:tblStyle w:val="1912"/>
        <w:tblW w:w="965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84"/>
        <w:gridCol w:w="2197"/>
        <w:gridCol w:w="4635"/>
        <w:gridCol w:w="1943"/>
      </w:tblGrid>
      <w:tr w14:paraId="222C61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4" w:hRule="atLeast"/>
        </w:trPr>
        <w:tc>
          <w:tcPr>
            <w:tcW w:w="884" w:type="dxa"/>
            <w:vAlign w:val="top"/>
          </w:tcPr>
          <w:p w14:paraId="14863BE5">
            <w:pPr>
              <w:pStyle w:val="361"/>
              <w:spacing w:before="264" w:line="221" w:lineRule="auto"/>
              <w:ind w:left="235"/>
            </w:pPr>
            <w:r>
              <w:rPr>
                <w:spacing w:val="-2"/>
              </w:rPr>
              <w:t>序号</w:t>
            </w:r>
          </w:p>
        </w:tc>
        <w:tc>
          <w:tcPr>
            <w:tcW w:w="2197" w:type="dxa"/>
            <w:vAlign w:val="top"/>
          </w:tcPr>
          <w:p w14:paraId="0F351F44">
            <w:pPr>
              <w:pStyle w:val="361"/>
              <w:spacing w:before="261" w:line="219" w:lineRule="auto"/>
              <w:ind w:left="891"/>
            </w:pPr>
            <w:r>
              <w:rPr>
                <w:spacing w:val="3"/>
              </w:rPr>
              <w:t>章次</w:t>
            </w:r>
          </w:p>
        </w:tc>
        <w:tc>
          <w:tcPr>
            <w:tcW w:w="4635" w:type="dxa"/>
            <w:vAlign w:val="top"/>
          </w:tcPr>
          <w:p w14:paraId="174C456F">
            <w:pPr>
              <w:pStyle w:val="361"/>
              <w:spacing w:before="261" w:line="219" w:lineRule="auto"/>
              <w:ind w:left="1914"/>
            </w:pPr>
            <w:r>
              <w:rPr>
                <w:spacing w:val="-2"/>
              </w:rPr>
              <w:t>科目名称</w:t>
            </w:r>
          </w:p>
        </w:tc>
        <w:tc>
          <w:tcPr>
            <w:tcW w:w="1943" w:type="dxa"/>
            <w:vAlign w:val="top"/>
          </w:tcPr>
          <w:p w14:paraId="72DBD5F1">
            <w:pPr>
              <w:pStyle w:val="361"/>
              <w:spacing w:before="263" w:line="219" w:lineRule="auto"/>
              <w:ind w:left="499"/>
            </w:pPr>
            <w:r>
              <w:rPr>
                <w:spacing w:val="8"/>
              </w:rPr>
              <w:t>金额(元)</w:t>
            </w:r>
          </w:p>
        </w:tc>
      </w:tr>
      <w:tr w14:paraId="503A77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trPr>
        <w:tc>
          <w:tcPr>
            <w:tcW w:w="884" w:type="dxa"/>
            <w:vAlign w:val="top"/>
          </w:tcPr>
          <w:p w14:paraId="5C63B5F0">
            <w:pPr>
              <w:pStyle w:val="361"/>
              <w:spacing w:before="279" w:line="241" w:lineRule="auto"/>
              <w:ind w:left="385"/>
            </w:pPr>
            <w:r>
              <w:t>1</w:t>
            </w:r>
          </w:p>
        </w:tc>
        <w:tc>
          <w:tcPr>
            <w:tcW w:w="2197" w:type="dxa"/>
            <w:vAlign w:val="top"/>
          </w:tcPr>
          <w:p w14:paraId="48BE6C12">
            <w:pPr>
              <w:pStyle w:val="361"/>
              <w:spacing w:before="278"/>
              <w:ind w:left="940"/>
            </w:pPr>
            <w:r>
              <w:rPr>
                <w:spacing w:val="-6"/>
              </w:rPr>
              <w:t>100</w:t>
            </w:r>
          </w:p>
        </w:tc>
        <w:tc>
          <w:tcPr>
            <w:tcW w:w="4635" w:type="dxa"/>
            <w:vAlign w:val="top"/>
          </w:tcPr>
          <w:p w14:paraId="4E85DE7A">
            <w:pPr>
              <w:pStyle w:val="361"/>
              <w:spacing w:before="259" w:line="220" w:lineRule="auto"/>
              <w:ind w:left="2054"/>
            </w:pPr>
            <w:r>
              <w:rPr>
                <w:spacing w:val="-7"/>
              </w:rPr>
              <w:t>总</w:t>
            </w:r>
            <w:r>
              <w:rPr>
                <w:spacing w:val="63"/>
              </w:rPr>
              <w:t xml:space="preserve"> </w:t>
            </w:r>
            <w:r>
              <w:rPr>
                <w:spacing w:val="-7"/>
              </w:rPr>
              <w:t>则</w:t>
            </w:r>
          </w:p>
        </w:tc>
        <w:tc>
          <w:tcPr>
            <w:tcW w:w="1943" w:type="dxa"/>
            <w:vAlign w:val="top"/>
          </w:tcPr>
          <w:p w14:paraId="78FEA573">
            <w:pPr>
              <w:rPr>
                <w:rFonts w:ascii="Arial"/>
                <w:sz w:val="21"/>
              </w:rPr>
            </w:pPr>
          </w:p>
        </w:tc>
      </w:tr>
      <w:tr w14:paraId="20DAB0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9" w:hRule="atLeast"/>
        </w:trPr>
        <w:tc>
          <w:tcPr>
            <w:tcW w:w="884" w:type="dxa"/>
            <w:vAlign w:val="top"/>
          </w:tcPr>
          <w:p w14:paraId="38889AFB">
            <w:pPr>
              <w:pStyle w:val="361"/>
              <w:spacing w:before="269" w:line="241" w:lineRule="auto"/>
              <w:ind w:left="385"/>
            </w:pPr>
            <w:r>
              <w:t>2</w:t>
            </w:r>
          </w:p>
        </w:tc>
        <w:tc>
          <w:tcPr>
            <w:tcW w:w="2197" w:type="dxa"/>
            <w:vAlign w:val="top"/>
          </w:tcPr>
          <w:p w14:paraId="7B946929">
            <w:pPr>
              <w:pStyle w:val="361"/>
              <w:spacing w:before="268"/>
              <w:ind w:left="940"/>
            </w:pPr>
            <w:r>
              <w:rPr>
                <w:spacing w:val="-3"/>
              </w:rPr>
              <w:t>200</w:t>
            </w:r>
          </w:p>
        </w:tc>
        <w:tc>
          <w:tcPr>
            <w:tcW w:w="4635" w:type="dxa"/>
            <w:vAlign w:val="top"/>
          </w:tcPr>
          <w:p w14:paraId="7F8CA54A">
            <w:pPr>
              <w:pStyle w:val="361"/>
              <w:spacing w:before="249" w:line="219" w:lineRule="auto"/>
              <w:ind w:left="2054"/>
            </w:pPr>
            <w:r>
              <w:rPr>
                <w:spacing w:val="-5"/>
              </w:rPr>
              <w:t>路</w:t>
            </w:r>
            <w:r>
              <w:rPr>
                <w:spacing w:val="45"/>
              </w:rPr>
              <w:t xml:space="preserve"> </w:t>
            </w:r>
            <w:r>
              <w:rPr>
                <w:spacing w:val="-5"/>
              </w:rPr>
              <w:t>基</w:t>
            </w:r>
          </w:p>
        </w:tc>
        <w:tc>
          <w:tcPr>
            <w:tcW w:w="1943" w:type="dxa"/>
            <w:vAlign w:val="top"/>
          </w:tcPr>
          <w:p w14:paraId="04F72F2F">
            <w:pPr>
              <w:rPr>
                <w:rFonts w:ascii="Arial"/>
                <w:sz w:val="21"/>
              </w:rPr>
            </w:pPr>
          </w:p>
        </w:tc>
      </w:tr>
      <w:tr w14:paraId="34D31F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884" w:type="dxa"/>
            <w:vAlign w:val="top"/>
          </w:tcPr>
          <w:p w14:paraId="778DDA65">
            <w:pPr>
              <w:pStyle w:val="361"/>
              <w:spacing w:before="279"/>
              <w:ind w:left="385"/>
            </w:pPr>
            <w:r>
              <w:t>3</w:t>
            </w:r>
          </w:p>
        </w:tc>
        <w:tc>
          <w:tcPr>
            <w:tcW w:w="2197" w:type="dxa"/>
            <w:vAlign w:val="top"/>
          </w:tcPr>
          <w:p w14:paraId="467D650E">
            <w:pPr>
              <w:pStyle w:val="361"/>
              <w:spacing w:before="279"/>
              <w:ind w:left="940"/>
            </w:pPr>
            <w:r>
              <w:rPr>
                <w:spacing w:val="-3"/>
              </w:rPr>
              <w:t>300</w:t>
            </w:r>
          </w:p>
        </w:tc>
        <w:tc>
          <w:tcPr>
            <w:tcW w:w="4635" w:type="dxa"/>
            <w:vAlign w:val="top"/>
          </w:tcPr>
          <w:p w14:paraId="7FD9E14D">
            <w:pPr>
              <w:pStyle w:val="361"/>
              <w:spacing w:before="260" w:line="219" w:lineRule="auto"/>
              <w:ind w:left="2054"/>
            </w:pPr>
            <w:r>
              <w:rPr>
                <w:spacing w:val="-5"/>
              </w:rPr>
              <w:t>路</w:t>
            </w:r>
            <w:r>
              <w:rPr>
                <w:spacing w:val="46"/>
              </w:rPr>
              <w:t xml:space="preserve"> </w:t>
            </w:r>
            <w:r>
              <w:rPr>
                <w:spacing w:val="-5"/>
              </w:rPr>
              <w:t>面</w:t>
            </w:r>
          </w:p>
        </w:tc>
        <w:tc>
          <w:tcPr>
            <w:tcW w:w="1943" w:type="dxa"/>
            <w:vAlign w:val="top"/>
          </w:tcPr>
          <w:p w14:paraId="32DE4FE7">
            <w:pPr>
              <w:rPr>
                <w:rFonts w:ascii="Arial"/>
                <w:sz w:val="21"/>
              </w:rPr>
            </w:pPr>
          </w:p>
        </w:tc>
      </w:tr>
      <w:tr w14:paraId="15A63B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884" w:type="dxa"/>
            <w:vAlign w:val="top"/>
          </w:tcPr>
          <w:p w14:paraId="041F9C2A">
            <w:pPr>
              <w:pStyle w:val="361"/>
              <w:spacing w:before="281" w:line="241" w:lineRule="auto"/>
              <w:ind w:left="385"/>
            </w:pPr>
            <w:r>
              <w:t>4</w:t>
            </w:r>
          </w:p>
        </w:tc>
        <w:tc>
          <w:tcPr>
            <w:tcW w:w="2197" w:type="dxa"/>
            <w:vAlign w:val="top"/>
          </w:tcPr>
          <w:p w14:paraId="2E5FFE22">
            <w:pPr>
              <w:pStyle w:val="361"/>
              <w:spacing w:before="280"/>
              <w:ind w:left="940"/>
            </w:pPr>
            <w:r>
              <w:rPr>
                <w:spacing w:val="-2"/>
              </w:rPr>
              <w:t>400</w:t>
            </w:r>
          </w:p>
        </w:tc>
        <w:tc>
          <w:tcPr>
            <w:tcW w:w="4635" w:type="dxa"/>
            <w:vAlign w:val="top"/>
          </w:tcPr>
          <w:p w14:paraId="49AA9C3E">
            <w:pPr>
              <w:pStyle w:val="361"/>
              <w:spacing w:before="261" w:line="219" w:lineRule="auto"/>
              <w:ind w:left="1814"/>
            </w:pPr>
            <w:r>
              <w:rPr>
                <w:spacing w:val="2"/>
              </w:rPr>
              <w:t>桥梁、涵洞</w:t>
            </w:r>
          </w:p>
        </w:tc>
        <w:tc>
          <w:tcPr>
            <w:tcW w:w="1943" w:type="dxa"/>
            <w:vAlign w:val="top"/>
          </w:tcPr>
          <w:p w14:paraId="195EAC9A">
            <w:pPr>
              <w:rPr>
                <w:rFonts w:ascii="Arial"/>
                <w:sz w:val="21"/>
              </w:rPr>
            </w:pPr>
          </w:p>
        </w:tc>
      </w:tr>
      <w:tr w14:paraId="243D5E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trPr>
        <w:tc>
          <w:tcPr>
            <w:tcW w:w="884" w:type="dxa"/>
            <w:vAlign w:val="top"/>
          </w:tcPr>
          <w:p w14:paraId="402A436A">
            <w:pPr>
              <w:pStyle w:val="361"/>
              <w:spacing w:before="281"/>
              <w:ind w:left="385"/>
            </w:pPr>
            <w:r>
              <w:t>5</w:t>
            </w:r>
          </w:p>
        </w:tc>
        <w:tc>
          <w:tcPr>
            <w:tcW w:w="2197" w:type="dxa"/>
            <w:vAlign w:val="top"/>
          </w:tcPr>
          <w:p w14:paraId="555D2379">
            <w:pPr>
              <w:pStyle w:val="361"/>
              <w:spacing w:before="281"/>
              <w:ind w:left="940"/>
            </w:pPr>
            <w:r>
              <w:rPr>
                <w:spacing w:val="-3"/>
              </w:rPr>
              <w:t>500</w:t>
            </w:r>
          </w:p>
        </w:tc>
        <w:tc>
          <w:tcPr>
            <w:tcW w:w="4635" w:type="dxa"/>
            <w:vAlign w:val="top"/>
          </w:tcPr>
          <w:p w14:paraId="2B84A330">
            <w:pPr>
              <w:pStyle w:val="361"/>
              <w:spacing w:before="264" w:line="221" w:lineRule="auto"/>
              <w:ind w:left="2054"/>
            </w:pPr>
            <w:r>
              <w:rPr>
                <w:spacing w:val="-9"/>
              </w:rPr>
              <w:t>隧</w:t>
            </w:r>
            <w:r>
              <w:rPr>
                <w:spacing w:val="54"/>
              </w:rPr>
              <w:t xml:space="preserve"> </w:t>
            </w:r>
            <w:r>
              <w:rPr>
                <w:spacing w:val="-9"/>
              </w:rPr>
              <w:t>道</w:t>
            </w:r>
          </w:p>
        </w:tc>
        <w:tc>
          <w:tcPr>
            <w:tcW w:w="1943" w:type="dxa"/>
            <w:vAlign w:val="top"/>
          </w:tcPr>
          <w:p w14:paraId="6A03C4F0">
            <w:pPr>
              <w:rPr>
                <w:rFonts w:ascii="Arial"/>
                <w:sz w:val="21"/>
              </w:rPr>
            </w:pPr>
          </w:p>
        </w:tc>
      </w:tr>
      <w:tr w14:paraId="76AA77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884" w:type="dxa"/>
            <w:vAlign w:val="top"/>
          </w:tcPr>
          <w:p w14:paraId="7D133F82">
            <w:pPr>
              <w:pStyle w:val="361"/>
              <w:spacing w:before="281"/>
              <w:ind w:left="385"/>
            </w:pPr>
            <w:r>
              <w:t>6</w:t>
            </w:r>
          </w:p>
        </w:tc>
        <w:tc>
          <w:tcPr>
            <w:tcW w:w="2197" w:type="dxa"/>
            <w:vAlign w:val="top"/>
          </w:tcPr>
          <w:p w14:paraId="6926FAAF">
            <w:pPr>
              <w:pStyle w:val="361"/>
              <w:spacing w:before="281"/>
              <w:ind w:left="940"/>
            </w:pPr>
            <w:r>
              <w:rPr>
                <w:spacing w:val="-3"/>
              </w:rPr>
              <w:t>600</w:t>
            </w:r>
          </w:p>
        </w:tc>
        <w:tc>
          <w:tcPr>
            <w:tcW w:w="4635" w:type="dxa"/>
            <w:vAlign w:val="top"/>
          </w:tcPr>
          <w:p w14:paraId="3920B634">
            <w:pPr>
              <w:pStyle w:val="361"/>
              <w:spacing w:before="262" w:line="219" w:lineRule="auto"/>
              <w:ind w:left="1414"/>
            </w:pPr>
            <w:r>
              <w:rPr>
                <w:spacing w:val="1"/>
              </w:rPr>
              <w:t>安全设施及预埋管线</w:t>
            </w:r>
          </w:p>
        </w:tc>
        <w:tc>
          <w:tcPr>
            <w:tcW w:w="1943" w:type="dxa"/>
            <w:vAlign w:val="top"/>
          </w:tcPr>
          <w:p w14:paraId="6ED90716">
            <w:pPr>
              <w:rPr>
                <w:rFonts w:ascii="Arial"/>
                <w:sz w:val="21"/>
              </w:rPr>
            </w:pPr>
          </w:p>
        </w:tc>
      </w:tr>
      <w:tr w14:paraId="5B22C7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884" w:type="dxa"/>
            <w:vAlign w:val="top"/>
          </w:tcPr>
          <w:p w14:paraId="5E4CFBB0">
            <w:pPr>
              <w:pStyle w:val="361"/>
              <w:spacing w:before="282"/>
              <w:ind w:left="385"/>
            </w:pPr>
            <w:r>
              <w:t>7</w:t>
            </w:r>
          </w:p>
        </w:tc>
        <w:tc>
          <w:tcPr>
            <w:tcW w:w="2197" w:type="dxa"/>
            <w:vAlign w:val="top"/>
          </w:tcPr>
          <w:p w14:paraId="1177D858">
            <w:pPr>
              <w:pStyle w:val="361"/>
              <w:spacing w:before="282"/>
              <w:ind w:left="940"/>
            </w:pPr>
            <w:r>
              <w:rPr>
                <w:spacing w:val="-3"/>
              </w:rPr>
              <w:t>700</w:t>
            </w:r>
          </w:p>
        </w:tc>
        <w:tc>
          <w:tcPr>
            <w:tcW w:w="4635" w:type="dxa"/>
            <w:vAlign w:val="top"/>
          </w:tcPr>
          <w:p w14:paraId="7B8A4839">
            <w:pPr>
              <w:pStyle w:val="361"/>
              <w:spacing w:before="263" w:line="220" w:lineRule="auto"/>
              <w:ind w:left="1414"/>
            </w:pPr>
            <w:r>
              <w:rPr>
                <w:spacing w:val="-1"/>
              </w:rPr>
              <w:t>绿化及环境保护设施</w:t>
            </w:r>
          </w:p>
        </w:tc>
        <w:tc>
          <w:tcPr>
            <w:tcW w:w="1943" w:type="dxa"/>
            <w:vAlign w:val="top"/>
          </w:tcPr>
          <w:p w14:paraId="4685B2CB">
            <w:pPr>
              <w:rPr>
                <w:rFonts w:ascii="Arial"/>
                <w:sz w:val="21"/>
              </w:rPr>
            </w:pPr>
          </w:p>
        </w:tc>
      </w:tr>
      <w:tr w14:paraId="0642FC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884" w:type="dxa"/>
            <w:vAlign w:val="top"/>
          </w:tcPr>
          <w:p w14:paraId="5D967836">
            <w:pPr>
              <w:pStyle w:val="361"/>
              <w:spacing w:before="283"/>
              <w:ind w:left="385"/>
            </w:pPr>
            <w:r>
              <w:t>8</w:t>
            </w:r>
          </w:p>
        </w:tc>
        <w:tc>
          <w:tcPr>
            <w:tcW w:w="2197" w:type="dxa"/>
            <w:vAlign w:val="top"/>
          </w:tcPr>
          <w:p w14:paraId="54A135F5">
            <w:pPr>
              <w:pStyle w:val="361"/>
              <w:spacing w:before="283"/>
              <w:ind w:left="940"/>
            </w:pPr>
            <w:r>
              <w:rPr>
                <w:spacing w:val="-2"/>
              </w:rPr>
              <w:t>800</w:t>
            </w:r>
          </w:p>
        </w:tc>
        <w:tc>
          <w:tcPr>
            <w:tcW w:w="4635" w:type="dxa"/>
            <w:vAlign w:val="top"/>
          </w:tcPr>
          <w:p w14:paraId="06CEDBE9">
            <w:pPr>
              <w:pStyle w:val="361"/>
              <w:spacing w:before="263" w:line="219" w:lineRule="auto"/>
              <w:ind w:left="2054"/>
            </w:pPr>
            <w:r>
              <w:rPr>
                <w:spacing w:val="-4"/>
              </w:rPr>
              <w:t>机</w:t>
            </w:r>
            <w:r>
              <w:rPr>
                <w:spacing w:val="70"/>
              </w:rPr>
              <w:t xml:space="preserve"> </w:t>
            </w:r>
            <w:r>
              <w:rPr>
                <w:spacing w:val="-4"/>
              </w:rPr>
              <w:t>电</w:t>
            </w:r>
          </w:p>
        </w:tc>
        <w:tc>
          <w:tcPr>
            <w:tcW w:w="1943" w:type="dxa"/>
            <w:vAlign w:val="top"/>
          </w:tcPr>
          <w:p w14:paraId="38FC541A">
            <w:pPr>
              <w:rPr>
                <w:rFonts w:ascii="Arial"/>
                <w:sz w:val="21"/>
              </w:rPr>
            </w:pPr>
          </w:p>
        </w:tc>
      </w:tr>
      <w:tr w14:paraId="02A126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884" w:type="dxa"/>
            <w:vAlign w:val="top"/>
          </w:tcPr>
          <w:p w14:paraId="6E08BC33">
            <w:pPr>
              <w:pStyle w:val="361"/>
              <w:spacing w:before="284"/>
              <w:ind w:left="385"/>
            </w:pPr>
            <w:r>
              <w:t>9</w:t>
            </w:r>
          </w:p>
        </w:tc>
        <w:tc>
          <w:tcPr>
            <w:tcW w:w="2197" w:type="dxa"/>
            <w:vAlign w:val="top"/>
          </w:tcPr>
          <w:p w14:paraId="311B1D85">
            <w:pPr>
              <w:pStyle w:val="361"/>
              <w:spacing w:before="284"/>
              <w:ind w:left="940"/>
            </w:pPr>
            <w:r>
              <w:rPr>
                <w:spacing w:val="-2"/>
              </w:rPr>
              <w:t>900</w:t>
            </w:r>
          </w:p>
        </w:tc>
        <w:tc>
          <w:tcPr>
            <w:tcW w:w="4635" w:type="dxa"/>
            <w:vAlign w:val="top"/>
          </w:tcPr>
          <w:p w14:paraId="22E86BAE">
            <w:pPr>
              <w:pStyle w:val="361"/>
              <w:spacing w:before="265" w:line="220" w:lineRule="auto"/>
              <w:ind w:left="2054"/>
            </w:pPr>
            <w:r>
              <w:rPr>
                <w:spacing w:val="-5"/>
              </w:rPr>
              <w:t>房</w:t>
            </w:r>
            <w:r>
              <w:rPr>
                <w:spacing w:val="47"/>
              </w:rPr>
              <w:t xml:space="preserve"> </w:t>
            </w:r>
            <w:r>
              <w:rPr>
                <w:spacing w:val="-5"/>
              </w:rPr>
              <w:t>建</w:t>
            </w:r>
          </w:p>
        </w:tc>
        <w:tc>
          <w:tcPr>
            <w:tcW w:w="1943" w:type="dxa"/>
            <w:vAlign w:val="top"/>
          </w:tcPr>
          <w:p w14:paraId="666E7232">
            <w:pPr>
              <w:rPr>
                <w:rFonts w:ascii="Arial"/>
                <w:sz w:val="21"/>
              </w:rPr>
            </w:pPr>
          </w:p>
        </w:tc>
      </w:tr>
      <w:tr w14:paraId="461131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0" w:hRule="atLeast"/>
        </w:trPr>
        <w:tc>
          <w:tcPr>
            <w:tcW w:w="884" w:type="dxa"/>
            <w:vAlign w:val="top"/>
          </w:tcPr>
          <w:p w14:paraId="52F7F17F">
            <w:pPr>
              <w:pStyle w:val="361"/>
              <w:spacing w:before="275"/>
              <w:ind w:left="335"/>
            </w:pPr>
            <w:r>
              <w:rPr>
                <w:spacing w:val="-6"/>
              </w:rPr>
              <w:t>10</w:t>
            </w:r>
          </w:p>
        </w:tc>
        <w:tc>
          <w:tcPr>
            <w:tcW w:w="6832" w:type="dxa"/>
            <w:gridSpan w:val="2"/>
            <w:vAlign w:val="top"/>
          </w:tcPr>
          <w:p w14:paraId="6B54B71A">
            <w:pPr>
              <w:pStyle w:val="361"/>
              <w:spacing w:before="255" w:line="219" w:lineRule="auto"/>
              <w:ind w:left="11"/>
            </w:pPr>
            <w:r>
              <w:rPr>
                <w:spacing w:val="-1"/>
              </w:rPr>
              <w:t>第100章至第900章合计</w:t>
            </w:r>
          </w:p>
        </w:tc>
        <w:tc>
          <w:tcPr>
            <w:tcW w:w="1943" w:type="dxa"/>
            <w:vAlign w:val="top"/>
          </w:tcPr>
          <w:p w14:paraId="0F0093D6">
            <w:pPr>
              <w:rPr>
                <w:rFonts w:ascii="Arial"/>
                <w:sz w:val="21"/>
              </w:rPr>
            </w:pPr>
          </w:p>
        </w:tc>
      </w:tr>
      <w:tr w14:paraId="4D843F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884" w:type="dxa"/>
            <w:vAlign w:val="top"/>
          </w:tcPr>
          <w:p w14:paraId="5627BD0D">
            <w:pPr>
              <w:pStyle w:val="361"/>
              <w:spacing w:before="286" w:line="241" w:lineRule="auto"/>
              <w:ind w:left="335"/>
            </w:pPr>
            <w:r>
              <w:rPr>
                <w:spacing w:val="-6"/>
              </w:rPr>
              <w:t>11</w:t>
            </w:r>
          </w:p>
        </w:tc>
        <w:tc>
          <w:tcPr>
            <w:tcW w:w="6832" w:type="dxa"/>
            <w:gridSpan w:val="2"/>
            <w:vAlign w:val="top"/>
          </w:tcPr>
          <w:p w14:paraId="48391203">
            <w:pPr>
              <w:pStyle w:val="361"/>
              <w:spacing w:before="264" w:line="218" w:lineRule="auto"/>
              <w:ind w:left="11"/>
            </w:pPr>
            <w:r>
              <w:t>已包含在清单合计中的材料、工程设备、专业工程暂估价合计</w:t>
            </w:r>
          </w:p>
        </w:tc>
        <w:tc>
          <w:tcPr>
            <w:tcW w:w="1943" w:type="dxa"/>
            <w:vAlign w:val="top"/>
          </w:tcPr>
          <w:p w14:paraId="3045A603">
            <w:pPr>
              <w:rPr>
                <w:rFonts w:ascii="Arial"/>
                <w:sz w:val="21"/>
              </w:rPr>
            </w:pPr>
          </w:p>
        </w:tc>
      </w:tr>
      <w:tr w14:paraId="19BD9C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trPr>
        <w:tc>
          <w:tcPr>
            <w:tcW w:w="884" w:type="dxa"/>
            <w:vAlign w:val="top"/>
          </w:tcPr>
          <w:p w14:paraId="46CC1A5F">
            <w:pPr>
              <w:pStyle w:val="361"/>
              <w:spacing w:before="287" w:line="241" w:lineRule="auto"/>
              <w:ind w:left="335"/>
            </w:pPr>
            <w:r>
              <w:rPr>
                <w:spacing w:val="-6"/>
              </w:rPr>
              <w:t>12</w:t>
            </w:r>
          </w:p>
        </w:tc>
        <w:tc>
          <w:tcPr>
            <w:tcW w:w="6832" w:type="dxa"/>
            <w:gridSpan w:val="2"/>
            <w:vAlign w:val="top"/>
          </w:tcPr>
          <w:p w14:paraId="7703CA6D">
            <w:pPr>
              <w:pStyle w:val="361"/>
              <w:spacing w:before="265" w:line="218" w:lineRule="auto"/>
              <w:ind w:left="11"/>
            </w:pPr>
            <w:r>
              <w:rPr>
                <w:spacing w:val="-1"/>
              </w:rPr>
              <w:t>清单合计减去材料、工程设备、专业工程暂估价合计</w:t>
            </w:r>
          </w:p>
        </w:tc>
        <w:tc>
          <w:tcPr>
            <w:tcW w:w="1943" w:type="dxa"/>
            <w:vAlign w:val="top"/>
          </w:tcPr>
          <w:p w14:paraId="2286ABF7">
            <w:pPr>
              <w:rPr>
                <w:rFonts w:ascii="Arial"/>
                <w:sz w:val="21"/>
              </w:rPr>
            </w:pPr>
          </w:p>
        </w:tc>
      </w:tr>
      <w:tr w14:paraId="682D09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trPr>
        <w:tc>
          <w:tcPr>
            <w:tcW w:w="884" w:type="dxa"/>
            <w:vAlign w:val="top"/>
          </w:tcPr>
          <w:p w14:paraId="492C3F22">
            <w:pPr>
              <w:pStyle w:val="361"/>
              <w:spacing w:before="286"/>
              <w:ind w:left="335"/>
            </w:pPr>
            <w:r>
              <w:rPr>
                <w:spacing w:val="-6"/>
              </w:rPr>
              <w:t>13</w:t>
            </w:r>
          </w:p>
        </w:tc>
        <w:tc>
          <w:tcPr>
            <w:tcW w:w="6832" w:type="dxa"/>
            <w:gridSpan w:val="2"/>
            <w:vAlign w:val="top"/>
          </w:tcPr>
          <w:p w14:paraId="1E9F5939">
            <w:pPr>
              <w:pStyle w:val="361"/>
              <w:spacing w:before="268" w:line="221" w:lineRule="auto"/>
              <w:ind w:left="11"/>
            </w:pPr>
            <w:r>
              <w:rPr>
                <w:spacing w:val="-2"/>
              </w:rPr>
              <w:t>计日工合计</w:t>
            </w:r>
          </w:p>
        </w:tc>
        <w:tc>
          <w:tcPr>
            <w:tcW w:w="1943" w:type="dxa"/>
            <w:vAlign w:val="top"/>
          </w:tcPr>
          <w:p w14:paraId="5156EF24">
            <w:pPr>
              <w:rPr>
                <w:rFonts w:ascii="Arial"/>
                <w:sz w:val="21"/>
              </w:rPr>
            </w:pPr>
          </w:p>
        </w:tc>
      </w:tr>
      <w:tr w14:paraId="1D5045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884" w:type="dxa"/>
            <w:vAlign w:val="top"/>
          </w:tcPr>
          <w:p w14:paraId="08D126BD">
            <w:pPr>
              <w:pStyle w:val="361"/>
              <w:spacing w:before="287" w:line="241" w:lineRule="auto"/>
              <w:ind w:left="335"/>
            </w:pPr>
            <w:r>
              <w:rPr>
                <w:spacing w:val="-6"/>
              </w:rPr>
              <w:t>14</w:t>
            </w:r>
          </w:p>
        </w:tc>
        <w:tc>
          <w:tcPr>
            <w:tcW w:w="6832" w:type="dxa"/>
            <w:gridSpan w:val="2"/>
            <w:vAlign w:val="top"/>
          </w:tcPr>
          <w:p w14:paraId="6A9EF4AA">
            <w:pPr>
              <w:pStyle w:val="361"/>
              <w:spacing w:before="267" w:line="219" w:lineRule="auto"/>
              <w:ind w:left="11"/>
            </w:pPr>
            <w:r>
              <w:rPr>
                <w:spacing w:val="3"/>
              </w:rPr>
              <w:t>暂列金额(不含计日工总额)</w:t>
            </w:r>
          </w:p>
        </w:tc>
        <w:tc>
          <w:tcPr>
            <w:tcW w:w="1943" w:type="dxa"/>
            <w:vAlign w:val="top"/>
          </w:tcPr>
          <w:p w14:paraId="1B7B1459">
            <w:pPr>
              <w:rPr>
                <w:rFonts w:ascii="Arial"/>
                <w:sz w:val="21"/>
              </w:rPr>
            </w:pPr>
          </w:p>
        </w:tc>
      </w:tr>
      <w:tr w14:paraId="4BBD2C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5" w:hRule="atLeast"/>
        </w:trPr>
        <w:tc>
          <w:tcPr>
            <w:tcW w:w="884" w:type="dxa"/>
            <w:vAlign w:val="top"/>
          </w:tcPr>
          <w:p w14:paraId="51CDD41A">
            <w:pPr>
              <w:pStyle w:val="361"/>
              <w:spacing w:before="277"/>
              <w:ind w:left="335"/>
            </w:pPr>
            <w:r>
              <w:rPr>
                <w:spacing w:val="-6"/>
              </w:rPr>
              <w:t>15</w:t>
            </w:r>
          </w:p>
        </w:tc>
        <w:tc>
          <w:tcPr>
            <w:tcW w:w="6832" w:type="dxa"/>
            <w:gridSpan w:val="2"/>
            <w:vAlign w:val="top"/>
          </w:tcPr>
          <w:p w14:paraId="7C053A82">
            <w:pPr>
              <w:pStyle w:val="361"/>
              <w:spacing w:before="256" w:line="218" w:lineRule="auto"/>
              <w:ind w:left="11"/>
            </w:pPr>
            <w:r>
              <w:rPr>
                <w:spacing w:val="-2"/>
              </w:rPr>
              <w:t>投标报价</w:t>
            </w:r>
          </w:p>
        </w:tc>
        <w:tc>
          <w:tcPr>
            <w:tcW w:w="1943" w:type="dxa"/>
            <w:vAlign w:val="top"/>
          </w:tcPr>
          <w:p w14:paraId="1B43A235">
            <w:pPr>
              <w:rPr>
                <w:rFonts w:ascii="Arial"/>
                <w:sz w:val="21"/>
              </w:rPr>
            </w:pPr>
          </w:p>
        </w:tc>
      </w:tr>
    </w:tbl>
    <w:p w14:paraId="324BB38E">
      <w:pPr>
        <w:pStyle w:val="34"/>
      </w:pPr>
    </w:p>
    <w:p w14:paraId="3C04BB88">
      <w:pPr>
        <w:sectPr>
          <w:pgSz w:w="11860" w:h="16800"/>
          <w:pgMar w:top="1340" w:right="1230" w:bottom="400" w:left="914" w:header="0" w:footer="0" w:gutter="0"/>
          <w:cols w:space="720" w:num="1"/>
        </w:sectPr>
      </w:pPr>
    </w:p>
    <w:p w14:paraId="7D0DE2F6">
      <w:pPr>
        <w:spacing w:before="70" w:line="220" w:lineRule="auto"/>
        <w:ind w:left="3369"/>
        <w:rPr>
          <w:rFonts w:ascii="宋体" w:hAnsi="宋体" w:eastAsia="宋体" w:cs="宋体"/>
          <w:sz w:val="35"/>
          <w:szCs w:val="35"/>
        </w:rPr>
      </w:pPr>
      <w:r>
        <w:rPr>
          <w:rFonts w:ascii="宋体" w:hAnsi="宋体" w:eastAsia="宋体" w:cs="宋体"/>
          <w:b/>
          <w:bCs/>
          <w:spacing w:val="-16"/>
          <w:sz w:val="35"/>
          <w:szCs w:val="35"/>
        </w:rPr>
        <w:t>工</w:t>
      </w:r>
      <w:r>
        <w:rPr>
          <w:rFonts w:ascii="宋体" w:hAnsi="宋体" w:eastAsia="宋体" w:cs="宋体"/>
          <w:spacing w:val="24"/>
          <w:sz w:val="35"/>
          <w:szCs w:val="35"/>
        </w:rPr>
        <w:t xml:space="preserve"> </w:t>
      </w:r>
      <w:r>
        <w:rPr>
          <w:rFonts w:ascii="宋体" w:hAnsi="宋体" w:eastAsia="宋体" w:cs="宋体"/>
          <w:b/>
          <w:bCs/>
          <w:spacing w:val="-16"/>
          <w:sz w:val="35"/>
          <w:szCs w:val="35"/>
        </w:rPr>
        <w:t>程</w:t>
      </w:r>
      <w:r>
        <w:rPr>
          <w:rFonts w:ascii="宋体" w:hAnsi="宋体" w:eastAsia="宋体" w:cs="宋体"/>
          <w:spacing w:val="25"/>
          <w:sz w:val="35"/>
          <w:szCs w:val="35"/>
        </w:rPr>
        <w:t xml:space="preserve"> </w:t>
      </w:r>
      <w:r>
        <w:rPr>
          <w:rFonts w:ascii="宋体" w:hAnsi="宋体" w:eastAsia="宋体" w:cs="宋体"/>
          <w:b/>
          <w:bCs/>
          <w:spacing w:val="-16"/>
          <w:sz w:val="35"/>
          <w:szCs w:val="35"/>
        </w:rPr>
        <w:t>量</w:t>
      </w:r>
      <w:r>
        <w:rPr>
          <w:rFonts w:ascii="宋体" w:hAnsi="宋体" w:eastAsia="宋体" w:cs="宋体"/>
          <w:spacing w:val="25"/>
          <w:sz w:val="35"/>
          <w:szCs w:val="35"/>
        </w:rPr>
        <w:t xml:space="preserve"> </w:t>
      </w:r>
      <w:r>
        <w:rPr>
          <w:rFonts w:ascii="宋体" w:hAnsi="宋体" w:eastAsia="宋体" w:cs="宋体"/>
          <w:b/>
          <w:bCs/>
          <w:spacing w:val="-16"/>
          <w:sz w:val="35"/>
          <w:szCs w:val="35"/>
        </w:rPr>
        <w:t>清</w:t>
      </w:r>
      <w:r>
        <w:rPr>
          <w:rFonts w:ascii="宋体" w:hAnsi="宋体" w:eastAsia="宋体" w:cs="宋体"/>
          <w:spacing w:val="28"/>
          <w:sz w:val="35"/>
          <w:szCs w:val="35"/>
        </w:rPr>
        <w:t xml:space="preserve"> </w:t>
      </w:r>
      <w:r>
        <w:rPr>
          <w:rFonts w:ascii="宋体" w:hAnsi="宋体" w:eastAsia="宋体" w:cs="宋体"/>
          <w:b/>
          <w:bCs/>
          <w:spacing w:val="-16"/>
          <w:sz w:val="35"/>
          <w:szCs w:val="35"/>
        </w:rPr>
        <w:t>单</w:t>
      </w:r>
      <w:r>
        <w:rPr>
          <w:rFonts w:ascii="宋体" w:hAnsi="宋体" w:eastAsia="宋体" w:cs="宋体"/>
          <w:spacing w:val="24"/>
          <w:sz w:val="35"/>
          <w:szCs w:val="35"/>
        </w:rPr>
        <w:t xml:space="preserve"> </w:t>
      </w:r>
      <w:r>
        <w:rPr>
          <w:rFonts w:ascii="宋体" w:hAnsi="宋体" w:eastAsia="宋体" w:cs="宋体"/>
          <w:b/>
          <w:bCs/>
          <w:spacing w:val="-16"/>
          <w:sz w:val="35"/>
          <w:szCs w:val="35"/>
        </w:rPr>
        <w:t>表</w:t>
      </w:r>
    </w:p>
    <w:p w14:paraId="2F8F5799">
      <w:pPr>
        <w:spacing w:before="299" w:line="220" w:lineRule="auto"/>
        <w:jc w:val="right"/>
        <w:rPr>
          <w:rFonts w:ascii="宋体" w:hAnsi="宋体" w:eastAsia="宋体" w:cs="宋体"/>
          <w:sz w:val="20"/>
          <w:szCs w:val="20"/>
        </w:rPr>
      </w:pPr>
      <w:r>
        <w:rPr>
          <w:rFonts w:ascii="宋体" w:hAnsi="宋体" w:eastAsia="宋体" w:cs="宋体"/>
          <w:sz w:val="20"/>
          <w:szCs w:val="20"/>
        </w:rPr>
        <w:t>合同段：双河口村农业基础设施建设工程                                                      标表2</w:t>
      </w:r>
    </w:p>
    <w:p w14:paraId="52A271C0">
      <w:pPr>
        <w:spacing w:line="139" w:lineRule="exact"/>
      </w:pPr>
    </w:p>
    <w:tbl>
      <w:tblPr>
        <w:tblStyle w:val="1912"/>
        <w:tblW w:w="958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94"/>
        <w:gridCol w:w="4315"/>
        <w:gridCol w:w="869"/>
        <w:gridCol w:w="1208"/>
        <w:gridCol w:w="1039"/>
        <w:gridCol w:w="1064"/>
      </w:tblGrid>
      <w:tr w14:paraId="33F505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4" w:hRule="atLeast"/>
        </w:trPr>
        <w:tc>
          <w:tcPr>
            <w:tcW w:w="9589" w:type="dxa"/>
            <w:gridSpan w:val="6"/>
            <w:vAlign w:val="top"/>
          </w:tcPr>
          <w:p w14:paraId="4002B0FA">
            <w:pPr>
              <w:pStyle w:val="361"/>
              <w:spacing w:before="201" w:line="219" w:lineRule="auto"/>
              <w:ind w:left="3944"/>
            </w:pPr>
            <w:r>
              <w:rPr>
                <w:spacing w:val="18"/>
              </w:rPr>
              <w:t>清单</w:t>
            </w:r>
            <w:r>
              <w:rPr>
                <w:spacing w:val="76"/>
              </w:rPr>
              <w:t xml:space="preserve"> </w:t>
            </w:r>
            <w:r>
              <w:rPr>
                <w:spacing w:val="18"/>
              </w:rPr>
              <w:t>第100章</w:t>
            </w:r>
            <w:r>
              <w:rPr>
                <w:spacing w:val="79"/>
              </w:rPr>
              <w:t xml:space="preserve"> </w:t>
            </w:r>
            <w:r>
              <w:rPr>
                <w:spacing w:val="18"/>
              </w:rPr>
              <w:t>总则</w:t>
            </w:r>
          </w:p>
        </w:tc>
      </w:tr>
      <w:tr w14:paraId="689D7C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79CE78DB">
            <w:pPr>
              <w:pStyle w:val="361"/>
              <w:spacing w:before="209" w:line="220" w:lineRule="auto"/>
              <w:ind w:left="234"/>
            </w:pPr>
            <w:r>
              <w:rPr>
                <w:spacing w:val="4"/>
              </w:rPr>
              <w:t>子目号</w:t>
            </w:r>
          </w:p>
        </w:tc>
        <w:tc>
          <w:tcPr>
            <w:tcW w:w="4315" w:type="dxa"/>
            <w:vAlign w:val="top"/>
          </w:tcPr>
          <w:p w14:paraId="0BA2566A">
            <w:pPr>
              <w:pStyle w:val="361"/>
              <w:spacing w:before="209" w:line="220" w:lineRule="auto"/>
              <w:ind w:left="1780"/>
            </w:pPr>
            <w:r>
              <w:rPr>
                <w:spacing w:val="-2"/>
              </w:rPr>
              <w:t>子目名称</w:t>
            </w:r>
          </w:p>
        </w:tc>
        <w:tc>
          <w:tcPr>
            <w:tcW w:w="869" w:type="dxa"/>
            <w:vAlign w:val="top"/>
          </w:tcPr>
          <w:p w14:paraId="30C2E8B5">
            <w:pPr>
              <w:pStyle w:val="361"/>
              <w:spacing w:before="209" w:line="220" w:lineRule="auto"/>
              <w:ind w:left="226"/>
            </w:pPr>
            <w:r>
              <w:rPr>
                <w:spacing w:val="-3"/>
              </w:rPr>
              <w:t>单位</w:t>
            </w:r>
          </w:p>
        </w:tc>
        <w:tc>
          <w:tcPr>
            <w:tcW w:w="1208" w:type="dxa"/>
            <w:vAlign w:val="top"/>
          </w:tcPr>
          <w:p w14:paraId="2DB9E45D">
            <w:pPr>
              <w:pStyle w:val="361"/>
              <w:spacing w:before="209" w:line="219" w:lineRule="auto"/>
              <w:ind w:left="416"/>
            </w:pPr>
            <w:r>
              <w:rPr>
                <w:spacing w:val="-3"/>
              </w:rPr>
              <w:t>数量</w:t>
            </w:r>
          </w:p>
        </w:tc>
        <w:tc>
          <w:tcPr>
            <w:tcW w:w="1039" w:type="dxa"/>
            <w:vAlign w:val="top"/>
          </w:tcPr>
          <w:p w14:paraId="42A78EB7">
            <w:pPr>
              <w:pStyle w:val="361"/>
              <w:spacing w:before="207" w:line="218" w:lineRule="auto"/>
              <w:ind w:left="348"/>
            </w:pPr>
            <w:r>
              <w:rPr>
                <w:spacing w:val="-3"/>
              </w:rPr>
              <w:t>单价</w:t>
            </w:r>
          </w:p>
        </w:tc>
        <w:tc>
          <w:tcPr>
            <w:tcW w:w="1064" w:type="dxa"/>
            <w:vAlign w:val="top"/>
          </w:tcPr>
          <w:p w14:paraId="4059128E">
            <w:pPr>
              <w:pStyle w:val="361"/>
              <w:spacing w:before="207" w:line="218" w:lineRule="auto"/>
              <w:ind w:left="379"/>
            </w:pPr>
            <w:r>
              <w:rPr>
                <w:spacing w:val="-3"/>
              </w:rPr>
              <w:t>合价</w:t>
            </w:r>
          </w:p>
        </w:tc>
      </w:tr>
      <w:tr w14:paraId="3D3399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7E73F404">
            <w:pPr>
              <w:pStyle w:val="361"/>
              <w:spacing w:before="218"/>
              <w:ind w:left="384"/>
            </w:pPr>
            <w:r>
              <w:rPr>
                <w:spacing w:val="-6"/>
              </w:rPr>
              <w:t>101</w:t>
            </w:r>
          </w:p>
        </w:tc>
        <w:tc>
          <w:tcPr>
            <w:tcW w:w="4315" w:type="dxa"/>
            <w:vAlign w:val="top"/>
          </w:tcPr>
          <w:p w14:paraId="0F94392A">
            <w:pPr>
              <w:pStyle w:val="361"/>
              <w:spacing w:before="199" w:line="220" w:lineRule="auto"/>
              <w:ind w:left="1"/>
            </w:pPr>
            <w:r>
              <w:rPr>
                <w:spacing w:val="8"/>
              </w:rPr>
              <w:t>通则</w:t>
            </w:r>
          </w:p>
        </w:tc>
        <w:tc>
          <w:tcPr>
            <w:tcW w:w="869" w:type="dxa"/>
            <w:vAlign w:val="top"/>
          </w:tcPr>
          <w:p w14:paraId="65AAF402">
            <w:pPr>
              <w:rPr>
                <w:rFonts w:ascii="Arial"/>
                <w:sz w:val="21"/>
              </w:rPr>
            </w:pPr>
          </w:p>
        </w:tc>
        <w:tc>
          <w:tcPr>
            <w:tcW w:w="1208" w:type="dxa"/>
            <w:vAlign w:val="top"/>
          </w:tcPr>
          <w:p w14:paraId="41E5F5DF">
            <w:pPr>
              <w:rPr>
                <w:rFonts w:ascii="Arial"/>
                <w:sz w:val="21"/>
              </w:rPr>
            </w:pPr>
          </w:p>
        </w:tc>
        <w:tc>
          <w:tcPr>
            <w:tcW w:w="1039" w:type="dxa"/>
            <w:vAlign w:val="top"/>
          </w:tcPr>
          <w:p w14:paraId="66FDE24F">
            <w:pPr>
              <w:rPr>
                <w:rFonts w:ascii="Arial"/>
                <w:sz w:val="21"/>
              </w:rPr>
            </w:pPr>
          </w:p>
        </w:tc>
        <w:tc>
          <w:tcPr>
            <w:tcW w:w="1064" w:type="dxa"/>
            <w:vAlign w:val="top"/>
          </w:tcPr>
          <w:p w14:paraId="37C1A0F2">
            <w:pPr>
              <w:rPr>
                <w:rFonts w:ascii="Arial"/>
                <w:sz w:val="21"/>
              </w:rPr>
            </w:pPr>
          </w:p>
        </w:tc>
      </w:tr>
      <w:tr w14:paraId="2EB59C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0D83ADAA">
            <w:pPr>
              <w:pStyle w:val="361"/>
              <w:spacing w:before="229"/>
              <w:ind w:left="284"/>
            </w:pPr>
            <w:r>
              <w:rPr>
                <w:spacing w:val="-5"/>
              </w:rPr>
              <w:t>101-1</w:t>
            </w:r>
          </w:p>
        </w:tc>
        <w:tc>
          <w:tcPr>
            <w:tcW w:w="4315" w:type="dxa"/>
            <w:vAlign w:val="top"/>
          </w:tcPr>
          <w:p w14:paraId="690FCAE4">
            <w:pPr>
              <w:pStyle w:val="361"/>
              <w:spacing w:before="210" w:line="220" w:lineRule="auto"/>
              <w:ind w:left="1"/>
            </w:pPr>
            <w:r>
              <w:rPr>
                <w:spacing w:val="4"/>
              </w:rPr>
              <w:t>保险费</w:t>
            </w:r>
          </w:p>
        </w:tc>
        <w:tc>
          <w:tcPr>
            <w:tcW w:w="869" w:type="dxa"/>
            <w:vAlign w:val="top"/>
          </w:tcPr>
          <w:p w14:paraId="661DD3B8">
            <w:pPr>
              <w:rPr>
                <w:rFonts w:ascii="Arial"/>
                <w:sz w:val="21"/>
              </w:rPr>
            </w:pPr>
          </w:p>
        </w:tc>
        <w:tc>
          <w:tcPr>
            <w:tcW w:w="1208" w:type="dxa"/>
            <w:vAlign w:val="top"/>
          </w:tcPr>
          <w:p w14:paraId="37ABB529">
            <w:pPr>
              <w:rPr>
                <w:rFonts w:ascii="Arial"/>
                <w:sz w:val="21"/>
              </w:rPr>
            </w:pPr>
          </w:p>
        </w:tc>
        <w:tc>
          <w:tcPr>
            <w:tcW w:w="1039" w:type="dxa"/>
            <w:vAlign w:val="top"/>
          </w:tcPr>
          <w:p w14:paraId="1BEC69BD">
            <w:pPr>
              <w:rPr>
                <w:rFonts w:ascii="Arial"/>
                <w:sz w:val="21"/>
              </w:rPr>
            </w:pPr>
          </w:p>
        </w:tc>
        <w:tc>
          <w:tcPr>
            <w:tcW w:w="1064" w:type="dxa"/>
            <w:vAlign w:val="top"/>
          </w:tcPr>
          <w:p w14:paraId="4AD94F05">
            <w:pPr>
              <w:rPr>
                <w:rFonts w:ascii="Arial"/>
                <w:sz w:val="21"/>
              </w:rPr>
            </w:pPr>
          </w:p>
        </w:tc>
      </w:tr>
      <w:tr w14:paraId="48F1EF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480C4C14">
            <w:pPr>
              <w:pStyle w:val="361"/>
              <w:spacing w:before="301"/>
              <w:ind w:left="435"/>
            </w:pPr>
            <w:r>
              <w:rPr>
                <w:spacing w:val="-4"/>
              </w:rPr>
              <w:t>-a</w:t>
            </w:r>
          </w:p>
        </w:tc>
        <w:tc>
          <w:tcPr>
            <w:tcW w:w="4315" w:type="dxa"/>
            <w:vAlign w:val="top"/>
          </w:tcPr>
          <w:p w14:paraId="6AAF4697">
            <w:pPr>
              <w:pStyle w:val="361"/>
              <w:spacing w:before="210" w:line="219" w:lineRule="auto"/>
              <w:ind w:left="1"/>
            </w:pPr>
            <w:r>
              <w:rPr>
                <w:spacing w:val="-1"/>
              </w:rPr>
              <w:t>按合同条款规定，提供建筑工程一切险</w:t>
            </w:r>
          </w:p>
        </w:tc>
        <w:tc>
          <w:tcPr>
            <w:tcW w:w="869" w:type="dxa"/>
            <w:vAlign w:val="top"/>
          </w:tcPr>
          <w:p w14:paraId="65E0875F">
            <w:pPr>
              <w:pStyle w:val="361"/>
              <w:spacing w:before="211" w:line="219" w:lineRule="auto"/>
              <w:ind w:left="226"/>
            </w:pPr>
            <w:r>
              <w:rPr>
                <w:spacing w:val="3"/>
              </w:rPr>
              <w:t>总额</w:t>
            </w:r>
          </w:p>
        </w:tc>
        <w:tc>
          <w:tcPr>
            <w:tcW w:w="1208" w:type="dxa"/>
            <w:vAlign w:val="top"/>
          </w:tcPr>
          <w:p w14:paraId="0DBD5567">
            <w:pPr>
              <w:rPr>
                <w:rFonts w:ascii="Arial"/>
                <w:sz w:val="21"/>
              </w:rPr>
            </w:pPr>
          </w:p>
        </w:tc>
        <w:tc>
          <w:tcPr>
            <w:tcW w:w="1039" w:type="dxa"/>
            <w:vAlign w:val="top"/>
          </w:tcPr>
          <w:p w14:paraId="38042000">
            <w:pPr>
              <w:rPr>
                <w:rFonts w:ascii="Arial"/>
                <w:sz w:val="21"/>
              </w:rPr>
            </w:pPr>
          </w:p>
        </w:tc>
        <w:tc>
          <w:tcPr>
            <w:tcW w:w="1064" w:type="dxa"/>
            <w:vAlign w:val="top"/>
          </w:tcPr>
          <w:p w14:paraId="2F508CD0">
            <w:pPr>
              <w:rPr>
                <w:rFonts w:ascii="Arial"/>
                <w:sz w:val="21"/>
              </w:rPr>
            </w:pPr>
          </w:p>
        </w:tc>
      </w:tr>
      <w:tr w14:paraId="017B68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13A1507B">
            <w:pPr>
              <w:pStyle w:val="361"/>
              <w:spacing w:before="221"/>
              <w:ind w:left="435"/>
            </w:pPr>
            <w:r>
              <w:rPr>
                <w:spacing w:val="-4"/>
              </w:rPr>
              <w:t>-b</w:t>
            </w:r>
          </w:p>
        </w:tc>
        <w:tc>
          <w:tcPr>
            <w:tcW w:w="4315" w:type="dxa"/>
            <w:vAlign w:val="top"/>
          </w:tcPr>
          <w:p w14:paraId="6A90FC02">
            <w:pPr>
              <w:pStyle w:val="361"/>
              <w:spacing w:before="200" w:line="219" w:lineRule="auto"/>
              <w:ind w:left="1"/>
            </w:pPr>
            <w:r>
              <w:rPr>
                <w:spacing w:val="-1"/>
              </w:rPr>
              <w:t>按合同条款规定，提供第三者责任险</w:t>
            </w:r>
          </w:p>
        </w:tc>
        <w:tc>
          <w:tcPr>
            <w:tcW w:w="869" w:type="dxa"/>
            <w:vAlign w:val="top"/>
          </w:tcPr>
          <w:p w14:paraId="388AA3B1">
            <w:pPr>
              <w:pStyle w:val="361"/>
              <w:spacing w:before="201" w:line="219" w:lineRule="auto"/>
              <w:ind w:left="226"/>
            </w:pPr>
            <w:r>
              <w:rPr>
                <w:spacing w:val="3"/>
              </w:rPr>
              <w:t>总额</w:t>
            </w:r>
          </w:p>
        </w:tc>
        <w:tc>
          <w:tcPr>
            <w:tcW w:w="1208" w:type="dxa"/>
            <w:vAlign w:val="top"/>
          </w:tcPr>
          <w:p w14:paraId="41D6CA27">
            <w:pPr>
              <w:rPr>
                <w:rFonts w:ascii="Arial"/>
                <w:sz w:val="21"/>
              </w:rPr>
            </w:pPr>
          </w:p>
        </w:tc>
        <w:tc>
          <w:tcPr>
            <w:tcW w:w="1039" w:type="dxa"/>
            <w:vAlign w:val="top"/>
          </w:tcPr>
          <w:p w14:paraId="7BB1480A">
            <w:pPr>
              <w:rPr>
                <w:rFonts w:ascii="Arial"/>
                <w:sz w:val="21"/>
              </w:rPr>
            </w:pPr>
          </w:p>
        </w:tc>
        <w:tc>
          <w:tcPr>
            <w:tcW w:w="1064" w:type="dxa"/>
            <w:vAlign w:val="top"/>
          </w:tcPr>
          <w:p w14:paraId="5E658F25">
            <w:pPr>
              <w:rPr>
                <w:rFonts w:ascii="Arial"/>
                <w:sz w:val="21"/>
              </w:rPr>
            </w:pPr>
          </w:p>
        </w:tc>
      </w:tr>
      <w:tr w14:paraId="731DB4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3D41382A">
            <w:pPr>
              <w:pStyle w:val="361"/>
              <w:spacing w:before="221"/>
              <w:ind w:left="384"/>
            </w:pPr>
            <w:r>
              <w:rPr>
                <w:spacing w:val="-6"/>
              </w:rPr>
              <w:t>102</w:t>
            </w:r>
          </w:p>
        </w:tc>
        <w:tc>
          <w:tcPr>
            <w:tcW w:w="4315" w:type="dxa"/>
            <w:vAlign w:val="top"/>
          </w:tcPr>
          <w:p w14:paraId="28EA8872">
            <w:pPr>
              <w:pStyle w:val="361"/>
              <w:spacing w:before="202" w:line="219" w:lineRule="auto"/>
              <w:ind w:left="1"/>
            </w:pPr>
            <w:r>
              <w:rPr>
                <w:spacing w:val="-2"/>
              </w:rPr>
              <w:t>工程管理</w:t>
            </w:r>
          </w:p>
        </w:tc>
        <w:tc>
          <w:tcPr>
            <w:tcW w:w="869" w:type="dxa"/>
            <w:vAlign w:val="top"/>
          </w:tcPr>
          <w:p w14:paraId="78A7CCAA">
            <w:pPr>
              <w:rPr>
                <w:rFonts w:ascii="Arial"/>
                <w:sz w:val="21"/>
              </w:rPr>
            </w:pPr>
          </w:p>
        </w:tc>
        <w:tc>
          <w:tcPr>
            <w:tcW w:w="1208" w:type="dxa"/>
            <w:vAlign w:val="top"/>
          </w:tcPr>
          <w:p w14:paraId="28722938">
            <w:pPr>
              <w:rPr>
                <w:rFonts w:ascii="Arial"/>
                <w:sz w:val="21"/>
              </w:rPr>
            </w:pPr>
          </w:p>
        </w:tc>
        <w:tc>
          <w:tcPr>
            <w:tcW w:w="1039" w:type="dxa"/>
            <w:vAlign w:val="top"/>
          </w:tcPr>
          <w:p w14:paraId="369B2D99">
            <w:pPr>
              <w:rPr>
                <w:rFonts w:ascii="Arial"/>
                <w:sz w:val="21"/>
              </w:rPr>
            </w:pPr>
          </w:p>
        </w:tc>
        <w:tc>
          <w:tcPr>
            <w:tcW w:w="1064" w:type="dxa"/>
            <w:vAlign w:val="top"/>
          </w:tcPr>
          <w:p w14:paraId="293387BC">
            <w:pPr>
              <w:rPr>
                <w:rFonts w:ascii="Arial"/>
                <w:sz w:val="21"/>
              </w:rPr>
            </w:pPr>
          </w:p>
        </w:tc>
      </w:tr>
      <w:tr w14:paraId="79CF1D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1094" w:type="dxa"/>
            <w:vAlign w:val="top"/>
          </w:tcPr>
          <w:p w14:paraId="6577465E">
            <w:pPr>
              <w:pStyle w:val="361"/>
              <w:spacing w:before="221"/>
              <w:ind w:left="284"/>
            </w:pPr>
            <w:r>
              <w:rPr>
                <w:spacing w:val="-5"/>
              </w:rPr>
              <w:t>102-1</w:t>
            </w:r>
          </w:p>
        </w:tc>
        <w:tc>
          <w:tcPr>
            <w:tcW w:w="4315" w:type="dxa"/>
            <w:vAlign w:val="top"/>
          </w:tcPr>
          <w:p w14:paraId="4191FADF">
            <w:pPr>
              <w:pStyle w:val="361"/>
              <w:spacing w:before="202" w:line="219" w:lineRule="auto"/>
              <w:ind w:left="1"/>
            </w:pPr>
            <w:r>
              <w:rPr>
                <w:spacing w:val="-2"/>
              </w:rPr>
              <w:t>竣工文件</w:t>
            </w:r>
          </w:p>
        </w:tc>
        <w:tc>
          <w:tcPr>
            <w:tcW w:w="869" w:type="dxa"/>
            <w:vAlign w:val="top"/>
          </w:tcPr>
          <w:p w14:paraId="61804554">
            <w:pPr>
              <w:pStyle w:val="361"/>
              <w:spacing w:before="202" w:line="219" w:lineRule="auto"/>
              <w:ind w:left="226"/>
            </w:pPr>
            <w:r>
              <w:rPr>
                <w:spacing w:val="3"/>
              </w:rPr>
              <w:t>总额</w:t>
            </w:r>
          </w:p>
        </w:tc>
        <w:tc>
          <w:tcPr>
            <w:tcW w:w="1208" w:type="dxa"/>
            <w:vAlign w:val="top"/>
          </w:tcPr>
          <w:p w14:paraId="78001E44">
            <w:pPr>
              <w:rPr>
                <w:rFonts w:ascii="Arial"/>
                <w:sz w:val="21"/>
              </w:rPr>
            </w:pPr>
          </w:p>
        </w:tc>
        <w:tc>
          <w:tcPr>
            <w:tcW w:w="1039" w:type="dxa"/>
            <w:vAlign w:val="top"/>
          </w:tcPr>
          <w:p w14:paraId="3655BB96">
            <w:pPr>
              <w:rPr>
                <w:rFonts w:ascii="Arial"/>
                <w:sz w:val="21"/>
              </w:rPr>
            </w:pPr>
          </w:p>
        </w:tc>
        <w:tc>
          <w:tcPr>
            <w:tcW w:w="1064" w:type="dxa"/>
            <w:vAlign w:val="top"/>
          </w:tcPr>
          <w:p w14:paraId="6482838B">
            <w:pPr>
              <w:rPr>
                <w:rFonts w:ascii="Arial"/>
                <w:sz w:val="21"/>
              </w:rPr>
            </w:pPr>
          </w:p>
        </w:tc>
      </w:tr>
      <w:tr w14:paraId="60DB51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7B3B9060">
            <w:pPr>
              <w:pStyle w:val="361"/>
              <w:spacing w:before="232"/>
              <w:ind w:left="284"/>
            </w:pPr>
            <w:r>
              <w:rPr>
                <w:spacing w:val="-5"/>
              </w:rPr>
              <w:t>102-3</w:t>
            </w:r>
          </w:p>
        </w:tc>
        <w:tc>
          <w:tcPr>
            <w:tcW w:w="4315" w:type="dxa"/>
            <w:vAlign w:val="top"/>
          </w:tcPr>
          <w:p w14:paraId="587EAC12">
            <w:pPr>
              <w:pStyle w:val="361"/>
              <w:spacing w:before="213" w:line="219" w:lineRule="auto"/>
              <w:ind w:left="1"/>
            </w:pPr>
            <w:r>
              <w:rPr>
                <w:spacing w:val="2"/>
              </w:rPr>
              <w:t>安全生产费</w:t>
            </w:r>
          </w:p>
        </w:tc>
        <w:tc>
          <w:tcPr>
            <w:tcW w:w="869" w:type="dxa"/>
            <w:vAlign w:val="top"/>
          </w:tcPr>
          <w:p w14:paraId="0B9076C9">
            <w:pPr>
              <w:pStyle w:val="361"/>
              <w:spacing w:before="213" w:line="219" w:lineRule="auto"/>
              <w:ind w:left="226"/>
            </w:pPr>
            <w:r>
              <w:rPr>
                <w:spacing w:val="3"/>
              </w:rPr>
              <w:t>总额</w:t>
            </w:r>
          </w:p>
        </w:tc>
        <w:tc>
          <w:tcPr>
            <w:tcW w:w="1208" w:type="dxa"/>
            <w:vAlign w:val="top"/>
          </w:tcPr>
          <w:p w14:paraId="4E6905FF">
            <w:pPr>
              <w:rPr>
                <w:rFonts w:ascii="Arial"/>
                <w:sz w:val="21"/>
              </w:rPr>
            </w:pPr>
          </w:p>
        </w:tc>
        <w:tc>
          <w:tcPr>
            <w:tcW w:w="1039" w:type="dxa"/>
            <w:vAlign w:val="top"/>
          </w:tcPr>
          <w:p w14:paraId="620E14D9">
            <w:pPr>
              <w:rPr>
                <w:rFonts w:ascii="Arial"/>
                <w:sz w:val="21"/>
              </w:rPr>
            </w:pPr>
          </w:p>
        </w:tc>
        <w:tc>
          <w:tcPr>
            <w:tcW w:w="1064" w:type="dxa"/>
            <w:vAlign w:val="top"/>
          </w:tcPr>
          <w:p w14:paraId="1A478E0C">
            <w:pPr>
              <w:rPr>
                <w:rFonts w:ascii="Arial"/>
                <w:sz w:val="21"/>
              </w:rPr>
            </w:pPr>
          </w:p>
        </w:tc>
      </w:tr>
      <w:tr w14:paraId="732FAD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63EF0125">
            <w:pPr>
              <w:pStyle w:val="361"/>
              <w:spacing w:before="232"/>
              <w:ind w:left="384"/>
            </w:pPr>
            <w:r>
              <w:rPr>
                <w:spacing w:val="-6"/>
              </w:rPr>
              <w:t>104</w:t>
            </w:r>
          </w:p>
        </w:tc>
        <w:tc>
          <w:tcPr>
            <w:tcW w:w="4315" w:type="dxa"/>
            <w:vAlign w:val="top"/>
          </w:tcPr>
          <w:p w14:paraId="16FBB20A">
            <w:pPr>
              <w:pStyle w:val="361"/>
              <w:spacing w:before="213" w:line="219" w:lineRule="auto"/>
              <w:ind w:left="1"/>
            </w:pPr>
            <w:r>
              <w:rPr>
                <w:spacing w:val="-1"/>
              </w:rPr>
              <w:t>承包人驻地建设</w:t>
            </w:r>
          </w:p>
        </w:tc>
        <w:tc>
          <w:tcPr>
            <w:tcW w:w="869" w:type="dxa"/>
            <w:vAlign w:val="top"/>
          </w:tcPr>
          <w:p w14:paraId="22B77A8E">
            <w:pPr>
              <w:rPr>
                <w:rFonts w:ascii="Arial"/>
                <w:sz w:val="21"/>
              </w:rPr>
            </w:pPr>
          </w:p>
        </w:tc>
        <w:tc>
          <w:tcPr>
            <w:tcW w:w="1208" w:type="dxa"/>
            <w:vAlign w:val="top"/>
          </w:tcPr>
          <w:p w14:paraId="2EDB0ECE">
            <w:pPr>
              <w:rPr>
                <w:rFonts w:ascii="Arial"/>
                <w:sz w:val="21"/>
              </w:rPr>
            </w:pPr>
          </w:p>
        </w:tc>
        <w:tc>
          <w:tcPr>
            <w:tcW w:w="1039" w:type="dxa"/>
            <w:vAlign w:val="top"/>
          </w:tcPr>
          <w:p w14:paraId="2893CB0D">
            <w:pPr>
              <w:rPr>
                <w:rFonts w:ascii="Arial"/>
                <w:sz w:val="21"/>
              </w:rPr>
            </w:pPr>
          </w:p>
        </w:tc>
        <w:tc>
          <w:tcPr>
            <w:tcW w:w="1064" w:type="dxa"/>
            <w:vAlign w:val="top"/>
          </w:tcPr>
          <w:p w14:paraId="59098DF2">
            <w:pPr>
              <w:rPr>
                <w:rFonts w:ascii="Arial"/>
                <w:sz w:val="21"/>
              </w:rPr>
            </w:pPr>
          </w:p>
        </w:tc>
      </w:tr>
      <w:tr w14:paraId="1A7973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61CA282E">
            <w:pPr>
              <w:pStyle w:val="361"/>
              <w:spacing w:before="233"/>
              <w:ind w:left="284"/>
            </w:pPr>
            <w:r>
              <w:rPr>
                <w:spacing w:val="-5"/>
              </w:rPr>
              <w:t>104-1</w:t>
            </w:r>
          </w:p>
        </w:tc>
        <w:tc>
          <w:tcPr>
            <w:tcW w:w="4315" w:type="dxa"/>
            <w:vAlign w:val="top"/>
          </w:tcPr>
          <w:p w14:paraId="0B9AC1B6">
            <w:pPr>
              <w:pStyle w:val="361"/>
              <w:spacing w:before="214" w:line="219" w:lineRule="auto"/>
              <w:ind w:left="1"/>
            </w:pPr>
            <w:r>
              <w:rPr>
                <w:spacing w:val="-1"/>
              </w:rPr>
              <w:t>承包人驻地建设</w:t>
            </w:r>
          </w:p>
        </w:tc>
        <w:tc>
          <w:tcPr>
            <w:tcW w:w="869" w:type="dxa"/>
            <w:vAlign w:val="top"/>
          </w:tcPr>
          <w:p w14:paraId="4B5C5B1C">
            <w:pPr>
              <w:pStyle w:val="361"/>
              <w:spacing w:before="214" w:line="219" w:lineRule="auto"/>
              <w:ind w:left="226"/>
            </w:pPr>
            <w:r>
              <w:rPr>
                <w:spacing w:val="3"/>
              </w:rPr>
              <w:t>总额</w:t>
            </w:r>
          </w:p>
        </w:tc>
        <w:tc>
          <w:tcPr>
            <w:tcW w:w="1208" w:type="dxa"/>
            <w:vAlign w:val="top"/>
          </w:tcPr>
          <w:p w14:paraId="29400E3D">
            <w:pPr>
              <w:rPr>
                <w:rFonts w:ascii="Arial"/>
                <w:sz w:val="21"/>
              </w:rPr>
            </w:pPr>
          </w:p>
        </w:tc>
        <w:tc>
          <w:tcPr>
            <w:tcW w:w="1039" w:type="dxa"/>
            <w:vAlign w:val="top"/>
          </w:tcPr>
          <w:p w14:paraId="5AB130FE">
            <w:pPr>
              <w:rPr>
                <w:rFonts w:ascii="Arial"/>
                <w:sz w:val="21"/>
              </w:rPr>
            </w:pPr>
          </w:p>
        </w:tc>
        <w:tc>
          <w:tcPr>
            <w:tcW w:w="1064" w:type="dxa"/>
            <w:vAlign w:val="top"/>
          </w:tcPr>
          <w:p w14:paraId="5119059B">
            <w:pPr>
              <w:rPr>
                <w:rFonts w:ascii="Arial"/>
                <w:sz w:val="21"/>
              </w:rPr>
            </w:pPr>
          </w:p>
        </w:tc>
      </w:tr>
      <w:tr w14:paraId="3B8138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1F06B408">
            <w:pPr>
              <w:rPr>
                <w:rFonts w:ascii="Arial"/>
                <w:sz w:val="21"/>
              </w:rPr>
            </w:pPr>
          </w:p>
        </w:tc>
        <w:tc>
          <w:tcPr>
            <w:tcW w:w="4315" w:type="dxa"/>
            <w:vAlign w:val="top"/>
          </w:tcPr>
          <w:p w14:paraId="181CB527">
            <w:pPr>
              <w:rPr>
                <w:rFonts w:ascii="Arial"/>
                <w:sz w:val="21"/>
              </w:rPr>
            </w:pPr>
          </w:p>
        </w:tc>
        <w:tc>
          <w:tcPr>
            <w:tcW w:w="869" w:type="dxa"/>
            <w:vAlign w:val="top"/>
          </w:tcPr>
          <w:p w14:paraId="00440872">
            <w:pPr>
              <w:rPr>
                <w:rFonts w:ascii="Arial"/>
                <w:sz w:val="21"/>
              </w:rPr>
            </w:pPr>
          </w:p>
        </w:tc>
        <w:tc>
          <w:tcPr>
            <w:tcW w:w="1208" w:type="dxa"/>
            <w:vAlign w:val="top"/>
          </w:tcPr>
          <w:p w14:paraId="4777A1BA">
            <w:pPr>
              <w:rPr>
                <w:rFonts w:ascii="Arial"/>
                <w:sz w:val="21"/>
              </w:rPr>
            </w:pPr>
          </w:p>
        </w:tc>
        <w:tc>
          <w:tcPr>
            <w:tcW w:w="1039" w:type="dxa"/>
            <w:vAlign w:val="top"/>
          </w:tcPr>
          <w:p w14:paraId="0248F461">
            <w:pPr>
              <w:rPr>
                <w:rFonts w:ascii="Arial"/>
                <w:sz w:val="21"/>
              </w:rPr>
            </w:pPr>
          </w:p>
        </w:tc>
        <w:tc>
          <w:tcPr>
            <w:tcW w:w="1064" w:type="dxa"/>
            <w:vAlign w:val="top"/>
          </w:tcPr>
          <w:p w14:paraId="72B1B6D6">
            <w:pPr>
              <w:rPr>
                <w:rFonts w:ascii="Arial"/>
                <w:sz w:val="21"/>
              </w:rPr>
            </w:pPr>
          </w:p>
        </w:tc>
      </w:tr>
      <w:tr w14:paraId="664C78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13F9C957">
            <w:pPr>
              <w:rPr>
                <w:rFonts w:ascii="Arial"/>
                <w:sz w:val="21"/>
              </w:rPr>
            </w:pPr>
          </w:p>
        </w:tc>
        <w:tc>
          <w:tcPr>
            <w:tcW w:w="4315" w:type="dxa"/>
            <w:vAlign w:val="top"/>
          </w:tcPr>
          <w:p w14:paraId="7736AA2B">
            <w:pPr>
              <w:rPr>
                <w:rFonts w:ascii="Arial"/>
                <w:sz w:val="21"/>
              </w:rPr>
            </w:pPr>
          </w:p>
        </w:tc>
        <w:tc>
          <w:tcPr>
            <w:tcW w:w="869" w:type="dxa"/>
            <w:vAlign w:val="top"/>
          </w:tcPr>
          <w:p w14:paraId="0729E26C">
            <w:pPr>
              <w:rPr>
                <w:rFonts w:ascii="Arial"/>
                <w:sz w:val="21"/>
              </w:rPr>
            </w:pPr>
          </w:p>
        </w:tc>
        <w:tc>
          <w:tcPr>
            <w:tcW w:w="1208" w:type="dxa"/>
            <w:vAlign w:val="top"/>
          </w:tcPr>
          <w:p w14:paraId="485C9339">
            <w:pPr>
              <w:rPr>
                <w:rFonts w:ascii="Arial"/>
                <w:sz w:val="21"/>
              </w:rPr>
            </w:pPr>
          </w:p>
        </w:tc>
        <w:tc>
          <w:tcPr>
            <w:tcW w:w="1039" w:type="dxa"/>
            <w:vAlign w:val="top"/>
          </w:tcPr>
          <w:p w14:paraId="305D7B6B">
            <w:pPr>
              <w:rPr>
                <w:rFonts w:ascii="Arial"/>
                <w:sz w:val="21"/>
              </w:rPr>
            </w:pPr>
          </w:p>
        </w:tc>
        <w:tc>
          <w:tcPr>
            <w:tcW w:w="1064" w:type="dxa"/>
            <w:vAlign w:val="top"/>
          </w:tcPr>
          <w:p w14:paraId="1D2F273D">
            <w:pPr>
              <w:rPr>
                <w:rFonts w:ascii="Arial"/>
                <w:sz w:val="21"/>
              </w:rPr>
            </w:pPr>
          </w:p>
        </w:tc>
      </w:tr>
      <w:tr w14:paraId="3DA53C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trPr>
        <w:tc>
          <w:tcPr>
            <w:tcW w:w="1094" w:type="dxa"/>
            <w:vAlign w:val="top"/>
          </w:tcPr>
          <w:p w14:paraId="44832277">
            <w:pPr>
              <w:rPr>
                <w:rFonts w:ascii="Arial"/>
                <w:sz w:val="21"/>
              </w:rPr>
            </w:pPr>
          </w:p>
        </w:tc>
        <w:tc>
          <w:tcPr>
            <w:tcW w:w="4315" w:type="dxa"/>
            <w:vAlign w:val="top"/>
          </w:tcPr>
          <w:p w14:paraId="1A7DCA25">
            <w:pPr>
              <w:rPr>
                <w:rFonts w:ascii="Arial"/>
                <w:sz w:val="21"/>
              </w:rPr>
            </w:pPr>
          </w:p>
        </w:tc>
        <w:tc>
          <w:tcPr>
            <w:tcW w:w="869" w:type="dxa"/>
            <w:vAlign w:val="top"/>
          </w:tcPr>
          <w:p w14:paraId="4416A4B5">
            <w:pPr>
              <w:rPr>
                <w:rFonts w:ascii="Arial"/>
                <w:sz w:val="21"/>
              </w:rPr>
            </w:pPr>
          </w:p>
        </w:tc>
        <w:tc>
          <w:tcPr>
            <w:tcW w:w="1208" w:type="dxa"/>
            <w:vAlign w:val="top"/>
          </w:tcPr>
          <w:p w14:paraId="2FF6C239">
            <w:pPr>
              <w:rPr>
                <w:rFonts w:ascii="Arial"/>
                <w:sz w:val="21"/>
              </w:rPr>
            </w:pPr>
          </w:p>
        </w:tc>
        <w:tc>
          <w:tcPr>
            <w:tcW w:w="1039" w:type="dxa"/>
            <w:vAlign w:val="top"/>
          </w:tcPr>
          <w:p w14:paraId="7DC9ED51">
            <w:pPr>
              <w:rPr>
                <w:rFonts w:ascii="Arial"/>
                <w:sz w:val="21"/>
              </w:rPr>
            </w:pPr>
          </w:p>
        </w:tc>
        <w:tc>
          <w:tcPr>
            <w:tcW w:w="1064" w:type="dxa"/>
            <w:vAlign w:val="top"/>
          </w:tcPr>
          <w:p w14:paraId="1D881C14">
            <w:pPr>
              <w:rPr>
                <w:rFonts w:ascii="Arial"/>
                <w:sz w:val="21"/>
              </w:rPr>
            </w:pPr>
          </w:p>
        </w:tc>
      </w:tr>
      <w:tr w14:paraId="58D15B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4917F91A">
            <w:pPr>
              <w:rPr>
                <w:rFonts w:ascii="Arial"/>
                <w:sz w:val="21"/>
              </w:rPr>
            </w:pPr>
          </w:p>
        </w:tc>
        <w:tc>
          <w:tcPr>
            <w:tcW w:w="4315" w:type="dxa"/>
            <w:vAlign w:val="top"/>
          </w:tcPr>
          <w:p w14:paraId="680C187B">
            <w:pPr>
              <w:rPr>
                <w:rFonts w:ascii="Arial"/>
                <w:sz w:val="21"/>
              </w:rPr>
            </w:pPr>
          </w:p>
        </w:tc>
        <w:tc>
          <w:tcPr>
            <w:tcW w:w="869" w:type="dxa"/>
            <w:vAlign w:val="top"/>
          </w:tcPr>
          <w:p w14:paraId="5B088BC0">
            <w:pPr>
              <w:rPr>
                <w:rFonts w:ascii="Arial"/>
                <w:sz w:val="21"/>
              </w:rPr>
            </w:pPr>
          </w:p>
        </w:tc>
        <w:tc>
          <w:tcPr>
            <w:tcW w:w="1208" w:type="dxa"/>
            <w:vAlign w:val="top"/>
          </w:tcPr>
          <w:p w14:paraId="3BC3E785">
            <w:pPr>
              <w:rPr>
                <w:rFonts w:ascii="Arial"/>
                <w:sz w:val="21"/>
              </w:rPr>
            </w:pPr>
          </w:p>
        </w:tc>
        <w:tc>
          <w:tcPr>
            <w:tcW w:w="1039" w:type="dxa"/>
            <w:vAlign w:val="top"/>
          </w:tcPr>
          <w:p w14:paraId="0C13BAB2">
            <w:pPr>
              <w:rPr>
                <w:rFonts w:ascii="Arial"/>
                <w:sz w:val="21"/>
              </w:rPr>
            </w:pPr>
          </w:p>
        </w:tc>
        <w:tc>
          <w:tcPr>
            <w:tcW w:w="1064" w:type="dxa"/>
            <w:vAlign w:val="top"/>
          </w:tcPr>
          <w:p w14:paraId="4E59D9C2">
            <w:pPr>
              <w:rPr>
                <w:rFonts w:ascii="Arial"/>
                <w:sz w:val="21"/>
              </w:rPr>
            </w:pPr>
          </w:p>
        </w:tc>
      </w:tr>
      <w:tr w14:paraId="2B2DDD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555A8F8A">
            <w:pPr>
              <w:rPr>
                <w:rFonts w:ascii="Arial"/>
                <w:sz w:val="21"/>
              </w:rPr>
            </w:pPr>
          </w:p>
        </w:tc>
        <w:tc>
          <w:tcPr>
            <w:tcW w:w="4315" w:type="dxa"/>
            <w:vAlign w:val="top"/>
          </w:tcPr>
          <w:p w14:paraId="22863B74">
            <w:pPr>
              <w:rPr>
                <w:rFonts w:ascii="Arial"/>
                <w:sz w:val="21"/>
              </w:rPr>
            </w:pPr>
          </w:p>
        </w:tc>
        <w:tc>
          <w:tcPr>
            <w:tcW w:w="869" w:type="dxa"/>
            <w:vAlign w:val="top"/>
          </w:tcPr>
          <w:p w14:paraId="1A3F63B0">
            <w:pPr>
              <w:rPr>
                <w:rFonts w:ascii="Arial"/>
                <w:sz w:val="21"/>
              </w:rPr>
            </w:pPr>
          </w:p>
        </w:tc>
        <w:tc>
          <w:tcPr>
            <w:tcW w:w="1208" w:type="dxa"/>
            <w:vAlign w:val="top"/>
          </w:tcPr>
          <w:p w14:paraId="6A0017F0">
            <w:pPr>
              <w:rPr>
                <w:rFonts w:ascii="Arial"/>
                <w:sz w:val="21"/>
              </w:rPr>
            </w:pPr>
          </w:p>
        </w:tc>
        <w:tc>
          <w:tcPr>
            <w:tcW w:w="1039" w:type="dxa"/>
            <w:vAlign w:val="top"/>
          </w:tcPr>
          <w:p w14:paraId="4D115046">
            <w:pPr>
              <w:rPr>
                <w:rFonts w:ascii="Arial"/>
                <w:sz w:val="21"/>
              </w:rPr>
            </w:pPr>
          </w:p>
        </w:tc>
        <w:tc>
          <w:tcPr>
            <w:tcW w:w="1064" w:type="dxa"/>
            <w:vAlign w:val="top"/>
          </w:tcPr>
          <w:p w14:paraId="147F90CF">
            <w:pPr>
              <w:rPr>
                <w:rFonts w:ascii="Arial"/>
                <w:sz w:val="21"/>
              </w:rPr>
            </w:pPr>
          </w:p>
        </w:tc>
      </w:tr>
      <w:tr w14:paraId="433675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5FD1C3D6">
            <w:pPr>
              <w:rPr>
                <w:rFonts w:ascii="Arial"/>
                <w:sz w:val="21"/>
              </w:rPr>
            </w:pPr>
          </w:p>
        </w:tc>
        <w:tc>
          <w:tcPr>
            <w:tcW w:w="4315" w:type="dxa"/>
            <w:vAlign w:val="top"/>
          </w:tcPr>
          <w:p w14:paraId="6B95D2F4">
            <w:pPr>
              <w:rPr>
                <w:rFonts w:ascii="Arial"/>
                <w:sz w:val="21"/>
              </w:rPr>
            </w:pPr>
          </w:p>
        </w:tc>
        <w:tc>
          <w:tcPr>
            <w:tcW w:w="869" w:type="dxa"/>
            <w:vAlign w:val="top"/>
          </w:tcPr>
          <w:p w14:paraId="53A6539A">
            <w:pPr>
              <w:rPr>
                <w:rFonts w:ascii="Arial"/>
                <w:sz w:val="21"/>
              </w:rPr>
            </w:pPr>
          </w:p>
        </w:tc>
        <w:tc>
          <w:tcPr>
            <w:tcW w:w="1208" w:type="dxa"/>
            <w:vAlign w:val="top"/>
          </w:tcPr>
          <w:p w14:paraId="3834BBA4">
            <w:pPr>
              <w:rPr>
                <w:rFonts w:ascii="Arial"/>
                <w:sz w:val="21"/>
              </w:rPr>
            </w:pPr>
          </w:p>
        </w:tc>
        <w:tc>
          <w:tcPr>
            <w:tcW w:w="1039" w:type="dxa"/>
            <w:vAlign w:val="top"/>
          </w:tcPr>
          <w:p w14:paraId="0B0FE1CB">
            <w:pPr>
              <w:rPr>
                <w:rFonts w:ascii="Arial"/>
                <w:sz w:val="21"/>
              </w:rPr>
            </w:pPr>
          </w:p>
        </w:tc>
        <w:tc>
          <w:tcPr>
            <w:tcW w:w="1064" w:type="dxa"/>
            <w:vAlign w:val="top"/>
          </w:tcPr>
          <w:p w14:paraId="7C698EB6">
            <w:pPr>
              <w:rPr>
                <w:rFonts w:ascii="Arial"/>
                <w:sz w:val="21"/>
              </w:rPr>
            </w:pPr>
          </w:p>
        </w:tc>
      </w:tr>
      <w:tr w14:paraId="1231BA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6C43310B">
            <w:pPr>
              <w:rPr>
                <w:rFonts w:ascii="Arial"/>
                <w:sz w:val="21"/>
              </w:rPr>
            </w:pPr>
          </w:p>
        </w:tc>
        <w:tc>
          <w:tcPr>
            <w:tcW w:w="4315" w:type="dxa"/>
            <w:vAlign w:val="top"/>
          </w:tcPr>
          <w:p w14:paraId="1572EAC8">
            <w:pPr>
              <w:rPr>
                <w:rFonts w:ascii="Arial"/>
                <w:sz w:val="21"/>
              </w:rPr>
            </w:pPr>
          </w:p>
        </w:tc>
        <w:tc>
          <w:tcPr>
            <w:tcW w:w="869" w:type="dxa"/>
            <w:vAlign w:val="top"/>
          </w:tcPr>
          <w:p w14:paraId="11986F6C">
            <w:pPr>
              <w:rPr>
                <w:rFonts w:ascii="Arial"/>
                <w:sz w:val="21"/>
              </w:rPr>
            </w:pPr>
          </w:p>
        </w:tc>
        <w:tc>
          <w:tcPr>
            <w:tcW w:w="1208" w:type="dxa"/>
            <w:vAlign w:val="top"/>
          </w:tcPr>
          <w:p w14:paraId="7CBEFDAD">
            <w:pPr>
              <w:rPr>
                <w:rFonts w:ascii="Arial"/>
                <w:sz w:val="21"/>
              </w:rPr>
            </w:pPr>
          </w:p>
        </w:tc>
        <w:tc>
          <w:tcPr>
            <w:tcW w:w="1039" w:type="dxa"/>
            <w:vAlign w:val="top"/>
          </w:tcPr>
          <w:p w14:paraId="3402D5CD">
            <w:pPr>
              <w:rPr>
                <w:rFonts w:ascii="Arial"/>
                <w:sz w:val="21"/>
              </w:rPr>
            </w:pPr>
          </w:p>
        </w:tc>
        <w:tc>
          <w:tcPr>
            <w:tcW w:w="1064" w:type="dxa"/>
            <w:vAlign w:val="top"/>
          </w:tcPr>
          <w:p w14:paraId="278309AA">
            <w:pPr>
              <w:rPr>
                <w:rFonts w:ascii="Arial"/>
                <w:sz w:val="21"/>
              </w:rPr>
            </w:pPr>
          </w:p>
        </w:tc>
      </w:tr>
      <w:tr w14:paraId="528588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094" w:type="dxa"/>
            <w:vAlign w:val="top"/>
          </w:tcPr>
          <w:p w14:paraId="547B1E3B">
            <w:pPr>
              <w:rPr>
                <w:rFonts w:ascii="Arial"/>
                <w:sz w:val="21"/>
              </w:rPr>
            </w:pPr>
          </w:p>
        </w:tc>
        <w:tc>
          <w:tcPr>
            <w:tcW w:w="4315" w:type="dxa"/>
            <w:vAlign w:val="top"/>
          </w:tcPr>
          <w:p w14:paraId="566582E8">
            <w:pPr>
              <w:rPr>
                <w:rFonts w:ascii="Arial"/>
                <w:sz w:val="21"/>
              </w:rPr>
            </w:pPr>
          </w:p>
        </w:tc>
        <w:tc>
          <w:tcPr>
            <w:tcW w:w="869" w:type="dxa"/>
            <w:vAlign w:val="top"/>
          </w:tcPr>
          <w:p w14:paraId="6A29645D">
            <w:pPr>
              <w:rPr>
                <w:rFonts w:ascii="Arial"/>
                <w:sz w:val="21"/>
              </w:rPr>
            </w:pPr>
          </w:p>
        </w:tc>
        <w:tc>
          <w:tcPr>
            <w:tcW w:w="1208" w:type="dxa"/>
            <w:vAlign w:val="top"/>
          </w:tcPr>
          <w:p w14:paraId="3CDF6111">
            <w:pPr>
              <w:rPr>
                <w:rFonts w:ascii="Arial"/>
                <w:sz w:val="21"/>
              </w:rPr>
            </w:pPr>
          </w:p>
        </w:tc>
        <w:tc>
          <w:tcPr>
            <w:tcW w:w="1039" w:type="dxa"/>
            <w:vAlign w:val="top"/>
          </w:tcPr>
          <w:p w14:paraId="5BF436AB">
            <w:pPr>
              <w:rPr>
                <w:rFonts w:ascii="Arial"/>
                <w:sz w:val="21"/>
              </w:rPr>
            </w:pPr>
          </w:p>
        </w:tc>
        <w:tc>
          <w:tcPr>
            <w:tcW w:w="1064" w:type="dxa"/>
            <w:vAlign w:val="top"/>
          </w:tcPr>
          <w:p w14:paraId="0E0D1922">
            <w:pPr>
              <w:rPr>
                <w:rFonts w:ascii="Arial"/>
                <w:sz w:val="21"/>
              </w:rPr>
            </w:pPr>
          </w:p>
        </w:tc>
      </w:tr>
      <w:tr w14:paraId="5CA55A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5" w:hRule="atLeast"/>
        </w:trPr>
        <w:tc>
          <w:tcPr>
            <w:tcW w:w="6278" w:type="dxa"/>
            <w:gridSpan w:val="3"/>
            <w:vAlign w:val="top"/>
          </w:tcPr>
          <w:p w14:paraId="18F63B13">
            <w:pPr>
              <w:pStyle w:val="361"/>
              <w:spacing w:before="237" w:line="228" w:lineRule="auto"/>
              <w:ind w:left="2274"/>
            </w:pPr>
            <w:r>
              <w:rPr>
                <w:spacing w:val="1"/>
              </w:rPr>
              <w:t>清单 第100章合计           人民币</w:t>
            </w:r>
          </w:p>
        </w:tc>
        <w:tc>
          <w:tcPr>
            <w:tcW w:w="3311" w:type="dxa"/>
            <w:gridSpan w:val="3"/>
            <w:vAlign w:val="top"/>
          </w:tcPr>
          <w:p w14:paraId="1E4A81C7">
            <w:pPr>
              <w:pStyle w:val="361"/>
              <w:spacing w:before="208" w:line="220" w:lineRule="auto"/>
              <w:ind w:left="2276"/>
            </w:pPr>
            <w:r>
              <w:t>元</w:t>
            </w:r>
          </w:p>
        </w:tc>
      </w:tr>
    </w:tbl>
    <w:p w14:paraId="4CA4EBFA">
      <w:pPr>
        <w:pStyle w:val="34"/>
      </w:pPr>
    </w:p>
    <w:p w14:paraId="5A60442F">
      <w:pPr>
        <w:sectPr>
          <w:pgSz w:w="11860" w:h="16800"/>
          <w:pgMar w:top="1320" w:right="1148" w:bottom="400" w:left="1095" w:header="0" w:footer="0" w:gutter="0"/>
          <w:cols w:space="720" w:num="1"/>
        </w:sectPr>
      </w:pPr>
    </w:p>
    <w:p w14:paraId="598AF9E1">
      <w:pPr>
        <w:spacing w:before="72" w:line="220" w:lineRule="auto"/>
        <w:ind w:left="3320"/>
        <w:rPr>
          <w:rFonts w:ascii="宋体" w:hAnsi="宋体" w:eastAsia="宋体" w:cs="宋体"/>
          <w:sz w:val="36"/>
          <w:szCs w:val="36"/>
        </w:rPr>
      </w:pPr>
      <w:r>
        <w:rPr>
          <w:rFonts w:ascii="宋体" w:hAnsi="宋体" w:eastAsia="宋体" w:cs="宋体"/>
          <w:b/>
          <w:bCs/>
          <w:spacing w:val="-13"/>
          <w:sz w:val="36"/>
          <w:szCs w:val="36"/>
        </w:rPr>
        <w:t>工</w:t>
      </w:r>
      <w:r>
        <w:rPr>
          <w:rFonts w:ascii="宋体" w:hAnsi="宋体" w:eastAsia="宋体" w:cs="宋体"/>
          <w:spacing w:val="-13"/>
          <w:sz w:val="36"/>
          <w:szCs w:val="36"/>
        </w:rPr>
        <w:t xml:space="preserve"> </w:t>
      </w:r>
      <w:r>
        <w:rPr>
          <w:rFonts w:ascii="宋体" w:hAnsi="宋体" w:eastAsia="宋体" w:cs="宋体"/>
          <w:b/>
          <w:bCs/>
          <w:spacing w:val="-13"/>
          <w:sz w:val="36"/>
          <w:szCs w:val="36"/>
        </w:rPr>
        <w:t>程</w:t>
      </w:r>
      <w:r>
        <w:rPr>
          <w:rFonts w:ascii="宋体" w:hAnsi="宋体" w:eastAsia="宋体" w:cs="宋体"/>
          <w:spacing w:val="11"/>
          <w:sz w:val="36"/>
          <w:szCs w:val="36"/>
        </w:rPr>
        <w:t xml:space="preserve"> </w:t>
      </w:r>
      <w:r>
        <w:rPr>
          <w:rFonts w:ascii="宋体" w:hAnsi="宋体" w:eastAsia="宋体" w:cs="宋体"/>
          <w:b/>
          <w:bCs/>
          <w:spacing w:val="-13"/>
          <w:sz w:val="36"/>
          <w:szCs w:val="36"/>
        </w:rPr>
        <w:t>量</w:t>
      </w:r>
      <w:r>
        <w:rPr>
          <w:rFonts w:ascii="宋体" w:hAnsi="宋体" w:eastAsia="宋体" w:cs="宋体"/>
          <w:spacing w:val="11"/>
          <w:sz w:val="36"/>
          <w:szCs w:val="36"/>
        </w:rPr>
        <w:t xml:space="preserve"> </w:t>
      </w:r>
      <w:r>
        <w:rPr>
          <w:rFonts w:ascii="宋体" w:hAnsi="宋体" w:eastAsia="宋体" w:cs="宋体"/>
          <w:b/>
          <w:bCs/>
          <w:spacing w:val="-13"/>
          <w:sz w:val="36"/>
          <w:szCs w:val="36"/>
        </w:rPr>
        <w:t>清</w:t>
      </w:r>
      <w:r>
        <w:rPr>
          <w:rFonts w:ascii="宋体" w:hAnsi="宋体" w:eastAsia="宋体" w:cs="宋体"/>
          <w:spacing w:val="14"/>
          <w:sz w:val="36"/>
          <w:szCs w:val="36"/>
        </w:rPr>
        <w:t xml:space="preserve"> </w:t>
      </w:r>
      <w:r>
        <w:rPr>
          <w:rFonts w:ascii="宋体" w:hAnsi="宋体" w:eastAsia="宋体" w:cs="宋体"/>
          <w:b/>
          <w:bCs/>
          <w:spacing w:val="-13"/>
          <w:sz w:val="36"/>
          <w:szCs w:val="36"/>
        </w:rPr>
        <w:t>单</w:t>
      </w:r>
      <w:r>
        <w:rPr>
          <w:rFonts w:ascii="宋体" w:hAnsi="宋体" w:eastAsia="宋体" w:cs="宋体"/>
          <w:spacing w:val="10"/>
          <w:sz w:val="36"/>
          <w:szCs w:val="36"/>
        </w:rPr>
        <w:t xml:space="preserve"> </w:t>
      </w:r>
      <w:r>
        <w:rPr>
          <w:rFonts w:ascii="宋体" w:hAnsi="宋体" w:eastAsia="宋体" w:cs="宋体"/>
          <w:b/>
          <w:bCs/>
          <w:spacing w:val="-13"/>
          <w:sz w:val="36"/>
          <w:szCs w:val="36"/>
        </w:rPr>
        <w:t>表</w:t>
      </w:r>
    </w:p>
    <w:p w14:paraId="319D701D">
      <w:pPr>
        <w:pStyle w:val="34"/>
        <w:spacing w:line="303" w:lineRule="auto"/>
      </w:pPr>
    </w:p>
    <w:p w14:paraId="7B38C50B">
      <w:pPr>
        <w:spacing w:before="62" w:line="231" w:lineRule="auto"/>
        <w:jc w:val="right"/>
        <w:rPr>
          <w:rFonts w:ascii="宋体" w:hAnsi="宋体" w:eastAsia="宋体" w:cs="宋体"/>
          <w:sz w:val="19"/>
          <w:szCs w:val="19"/>
        </w:rPr>
      </w:pPr>
      <w:r>
        <w:rPr>
          <w:rFonts w:ascii="宋体" w:hAnsi="宋体" w:eastAsia="宋体" w:cs="宋体"/>
          <w:spacing w:val="7"/>
          <w:sz w:val="19"/>
          <w:szCs w:val="19"/>
        </w:rPr>
        <w:t>合同段：双河口村农业基础设施建设工程</w:t>
      </w:r>
      <w:r>
        <w:rPr>
          <w:rFonts w:ascii="宋体" w:hAnsi="宋体" w:eastAsia="宋体" w:cs="宋体"/>
          <w:spacing w:val="2"/>
          <w:sz w:val="19"/>
          <w:szCs w:val="19"/>
        </w:rPr>
        <w:t xml:space="preserve">                                </w:t>
      </w:r>
      <w:r>
        <w:rPr>
          <w:rFonts w:ascii="宋体" w:hAnsi="宋体" w:eastAsia="宋体" w:cs="宋体"/>
          <w:spacing w:val="1"/>
          <w:sz w:val="19"/>
          <w:szCs w:val="19"/>
        </w:rPr>
        <w:t xml:space="preserve">                       </w:t>
      </w:r>
      <w:r>
        <w:rPr>
          <w:rFonts w:ascii="宋体" w:hAnsi="宋体" w:eastAsia="宋体" w:cs="宋体"/>
          <w:spacing w:val="7"/>
          <w:position w:val="-1"/>
          <w:sz w:val="19"/>
          <w:szCs w:val="19"/>
        </w:rPr>
        <w:t>标表2</w:t>
      </w:r>
    </w:p>
    <w:p w14:paraId="3FC30A35">
      <w:pPr>
        <w:spacing w:line="120" w:lineRule="exact"/>
      </w:pPr>
    </w:p>
    <w:tbl>
      <w:tblPr>
        <w:tblStyle w:val="1912"/>
        <w:tblW w:w="944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04"/>
        <w:gridCol w:w="3276"/>
        <w:gridCol w:w="1278"/>
        <w:gridCol w:w="1269"/>
        <w:gridCol w:w="1269"/>
        <w:gridCol w:w="1253"/>
      </w:tblGrid>
      <w:tr w14:paraId="1F3A7D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5" w:hRule="atLeast"/>
        </w:trPr>
        <w:tc>
          <w:tcPr>
            <w:tcW w:w="9449" w:type="dxa"/>
            <w:gridSpan w:val="6"/>
            <w:vAlign w:val="top"/>
          </w:tcPr>
          <w:p w14:paraId="0EFF3CF5">
            <w:pPr>
              <w:pStyle w:val="361"/>
              <w:spacing w:before="202" w:line="219" w:lineRule="auto"/>
              <w:ind w:left="3764"/>
              <w:rPr>
                <w:sz w:val="21"/>
                <w:szCs w:val="21"/>
              </w:rPr>
            </w:pPr>
            <w:r>
              <w:rPr>
                <w:spacing w:val="-2"/>
                <w:sz w:val="21"/>
                <w:szCs w:val="21"/>
              </w:rPr>
              <w:t>清单 第300章</w:t>
            </w:r>
            <w:r>
              <w:rPr>
                <w:spacing w:val="15"/>
                <w:sz w:val="21"/>
                <w:szCs w:val="21"/>
              </w:rPr>
              <w:t xml:space="preserve"> </w:t>
            </w:r>
            <w:r>
              <w:rPr>
                <w:spacing w:val="-2"/>
                <w:sz w:val="21"/>
                <w:szCs w:val="21"/>
              </w:rPr>
              <w:t>路面</w:t>
            </w:r>
          </w:p>
        </w:tc>
      </w:tr>
      <w:tr w14:paraId="2711C8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3FE33E35">
            <w:pPr>
              <w:pStyle w:val="361"/>
              <w:spacing w:before="199" w:line="220" w:lineRule="auto"/>
              <w:ind w:left="224"/>
              <w:rPr>
                <w:sz w:val="21"/>
                <w:szCs w:val="21"/>
              </w:rPr>
            </w:pPr>
            <w:r>
              <w:rPr>
                <w:spacing w:val="4"/>
                <w:sz w:val="21"/>
                <w:szCs w:val="21"/>
              </w:rPr>
              <w:t>子目号</w:t>
            </w:r>
          </w:p>
        </w:tc>
        <w:tc>
          <w:tcPr>
            <w:tcW w:w="3276" w:type="dxa"/>
            <w:vAlign w:val="top"/>
          </w:tcPr>
          <w:p w14:paraId="63710E7B">
            <w:pPr>
              <w:pStyle w:val="361"/>
              <w:spacing w:before="199" w:line="220" w:lineRule="auto"/>
              <w:ind w:left="1240"/>
              <w:rPr>
                <w:sz w:val="21"/>
                <w:szCs w:val="21"/>
              </w:rPr>
            </w:pPr>
            <w:r>
              <w:rPr>
                <w:spacing w:val="-2"/>
                <w:sz w:val="21"/>
                <w:szCs w:val="21"/>
              </w:rPr>
              <w:t>子目名称</w:t>
            </w:r>
          </w:p>
        </w:tc>
        <w:tc>
          <w:tcPr>
            <w:tcW w:w="1278" w:type="dxa"/>
            <w:vAlign w:val="top"/>
          </w:tcPr>
          <w:p w14:paraId="1AA9F3BB">
            <w:pPr>
              <w:pStyle w:val="361"/>
              <w:spacing w:before="199" w:line="220" w:lineRule="auto"/>
              <w:ind w:left="424"/>
              <w:rPr>
                <w:sz w:val="21"/>
                <w:szCs w:val="21"/>
              </w:rPr>
            </w:pPr>
            <w:r>
              <w:rPr>
                <w:spacing w:val="-3"/>
                <w:sz w:val="21"/>
                <w:szCs w:val="21"/>
              </w:rPr>
              <w:t>单位</w:t>
            </w:r>
          </w:p>
        </w:tc>
        <w:tc>
          <w:tcPr>
            <w:tcW w:w="1269" w:type="dxa"/>
            <w:vAlign w:val="top"/>
          </w:tcPr>
          <w:p w14:paraId="7731D32B">
            <w:pPr>
              <w:pStyle w:val="361"/>
              <w:spacing w:before="198" w:line="219" w:lineRule="auto"/>
              <w:ind w:left="416"/>
              <w:rPr>
                <w:sz w:val="21"/>
                <w:szCs w:val="21"/>
              </w:rPr>
            </w:pPr>
            <w:r>
              <w:rPr>
                <w:spacing w:val="-3"/>
                <w:sz w:val="21"/>
                <w:szCs w:val="21"/>
              </w:rPr>
              <w:t>数量</w:t>
            </w:r>
          </w:p>
        </w:tc>
        <w:tc>
          <w:tcPr>
            <w:tcW w:w="1269" w:type="dxa"/>
            <w:vAlign w:val="top"/>
          </w:tcPr>
          <w:p w14:paraId="427785F2">
            <w:pPr>
              <w:pStyle w:val="361"/>
              <w:spacing w:before="196" w:line="218" w:lineRule="auto"/>
              <w:ind w:left="457"/>
              <w:rPr>
                <w:sz w:val="21"/>
                <w:szCs w:val="21"/>
              </w:rPr>
            </w:pPr>
            <w:r>
              <w:rPr>
                <w:spacing w:val="-3"/>
                <w:sz w:val="21"/>
                <w:szCs w:val="21"/>
              </w:rPr>
              <w:t>单价</w:t>
            </w:r>
          </w:p>
        </w:tc>
        <w:tc>
          <w:tcPr>
            <w:tcW w:w="1253" w:type="dxa"/>
            <w:vAlign w:val="top"/>
          </w:tcPr>
          <w:p w14:paraId="70A0CC16">
            <w:pPr>
              <w:pStyle w:val="361"/>
              <w:spacing w:before="196" w:line="218" w:lineRule="auto"/>
              <w:ind w:left="469"/>
              <w:rPr>
                <w:sz w:val="21"/>
                <w:szCs w:val="21"/>
              </w:rPr>
            </w:pPr>
            <w:r>
              <w:rPr>
                <w:spacing w:val="-3"/>
                <w:sz w:val="21"/>
                <w:szCs w:val="21"/>
              </w:rPr>
              <w:t>合价</w:t>
            </w:r>
          </w:p>
        </w:tc>
      </w:tr>
      <w:tr w14:paraId="0ED0B3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4" w:type="dxa"/>
            <w:vAlign w:val="top"/>
          </w:tcPr>
          <w:p w14:paraId="083CFD2B">
            <w:pPr>
              <w:pStyle w:val="361"/>
              <w:spacing w:before="220"/>
              <w:ind w:left="384"/>
              <w:rPr>
                <w:sz w:val="21"/>
                <w:szCs w:val="21"/>
              </w:rPr>
            </w:pPr>
            <w:r>
              <w:rPr>
                <w:spacing w:val="-3"/>
                <w:sz w:val="21"/>
                <w:szCs w:val="21"/>
              </w:rPr>
              <w:t>306</w:t>
            </w:r>
          </w:p>
        </w:tc>
        <w:tc>
          <w:tcPr>
            <w:tcW w:w="3276" w:type="dxa"/>
            <w:vAlign w:val="top"/>
          </w:tcPr>
          <w:p w14:paraId="040B66D4">
            <w:pPr>
              <w:pStyle w:val="361"/>
              <w:spacing w:before="199" w:line="219" w:lineRule="auto"/>
              <w:ind w:left="10"/>
              <w:rPr>
                <w:sz w:val="21"/>
                <w:szCs w:val="21"/>
              </w:rPr>
            </w:pPr>
            <w:r>
              <w:rPr>
                <w:sz w:val="21"/>
                <w:szCs w:val="21"/>
              </w:rPr>
              <w:t>级配碎(砾)石底基层、基层</w:t>
            </w:r>
          </w:p>
        </w:tc>
        <w:tc>
          <w:tcPr>
            <w:tcW w:w="1278" w:type="dxa"/>
            <w:vAlign w:val="top"/>
          </w:tcPr>
          <w:p w14:paraId="22440BB5">
            <w:pPr>
              <w:rPr>
                <w:rFonts w:ascii="Arial"/>
                <w:sz w:val="21"/>
              </w:rPr>
            </w:pPr>
          </w:p>
        </w:tc>
        <w:tc>
          <w:tcPr>
            <w:tcW w:w="1269" w:type="dxa"/>
            <w:vAlign w:val="top"/>
          </w:tcPr>
          <w:p w14:paraId="02209A7E">
            <w:pPr>
              <w:rPr>
                <w:rFonts w:ascii="Arial"/>
                <w:sz w:val="21"/>
              </w:rPr>
            </w:pPr>
          </w:p>
        </w:tc>
        <w:tc>
          <w:tcPr>
            <w:tcW w:w="1269" w:type="dxa"/>
            <w:vAlign w:val="top"/>
          </w:tcPr>
          <w:p w14:paraId="2DBB7CB5">
            <w:pPr>
              <w:rPr>
                <w:rFonts w:ascii="Arial"/>
                <w:sz w:val="21"/>
              </w:rPr>
            </w:pPr>
          </w:p>
        </w:tc>
        <w:tc>
          <w:tcPr>
            <w:tcW w:w="1253" w:type="dxa"/>
            <w:vAlign w:val="top"/>
          </w:tcPr>
          <w:p w14:paraId="4E475EF2">
            <w:pPr>
              <w:rPr>
                <w:rFonts w:ascii="Arial"/>
                <w:sz w:val="21"/>
              </w:rPr>
            </w:pPr>
          </w:p>
        </w:tc>
      </w:tr>
      <w:tr w14:paraId="744396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104" w:type="dxa"/>
            <w:vAlign w:val="top"/>
          </w:tcPr>
          <w:p w14:paraId="4027A3AE">
            <w:pPr>
              <w:pStyle w:val="361"/>
              <w:spacing w:before="220"/>
              <w:ind w:left="275"/>
              <w:rPr>
                <w:sz w:val="21"/>
                <w:szCs w:val="21"/>
              </w:rPr>
            </w:pPr>
            <w:r>
              <w:rPr>
                <w:spacing w:val="-3"/>
                <w:sz w:val="21"/>
                <w:szCs w:val="21"/>
              </w:rPr>
              <w:t>306-3</w:t>
            </w:r>
          </w:p>
        </w:tc>
        <w:tc>
          <w:tcPr>
            <w:tcW w:w="3276" w:type="dxa"/>
            <w:vAlign w:val="top"/>
          </w:tcPr>
          <w:p w14:paraId="04D35290">
            <w:pPr>
              <w:pStyle w:val="361"/>
              <w:spacing w:before="199" w:line="219" w:lineRule="auto"/>
              <w:ind w:left="10"/>
              <w:rPr>
                <w:sz w:val="21"/>
                <w:szCs w:val="21"/>
              </w:rPr>
            </w:pPr>
            <w:r>
              <w:rPr>
                <w:spacing w:val="2"/>
                <w:sz w:val="21"/>
                <w:szCs w:val="21"/>
              </w:rPr>
              <w:t>风化砂基层</w:t>
            </w:r>
          </w:p>
        </w:tc>
        <w:tc>
          <w:tcPr>
            <w:tcW w:w="1278" w:type="dxa"/>
            <w:vAlign w:val="top"/>
          </w:tcPr>
          <w:p w14:paraId="665A5F41">
            <w:pPr>
              <w:rPr>
                <w:rFonts w:ascii="Arial"/>
                <w:sz w:val="21"/>
              </w:rPr>
            </w:pPr>
          </w:p>
        </w:tc>
        <w:tc>
          <w:tcPr>
            <w:tcW w:w="1269" w:type="dxa"/>
            <w:vAlign w:val="top"/>
          </w:tcPr>
          <w:p w14:paraId="6366C97F">
            <w:pPr>
              <w:rPr>
                <w:rFonts w:ascii="Arial"/>
                <w:sz w:val="21"/>
              </w:rPr>
            </w:pPr>
          </w:p>
        </w:tc>
        <w:tc>
          <w:tcPr>
            <w:tcW w:w="1269" w:type="dxa"/>
            <w:vAlign w:val="top"/>
          </w:tcPr>
          <w:p w14:paraId="38492DDE">
            <w:pPr>
              <w:rPr>
                <w:rFonts w:ascii="Arial"/>
                <w:sz w:val="21"/>
              </w:rPr>
            </w:pPr>
          </w:p>
        </w:tc>
        <w:tc>
          <w:tcPr>
            <w:tcW w:w="1253" w:type="dxa"/>
            <w:vAlign w:val="top"/>
          </w:tcPr>
          <w:p w14:paraId="207875ED">
            <w:pPr>
              <w:rPr>
                <w:rFonts w:ascii="Arial"/>
                <w:sz w:val="21"/>
              </w:rPr>
            </w:pPr>
          </w:p>
        </w:tc>
      </w:tr>
      <w:tr w14:paraId="1860CE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4" w:type="dxa"/>
            <w:vAlign w:val="top"/>
          </w:tcPr>
          <w:p w14:paraId="7A63083B">
            <w:pPr>
              <w:pStyle w:val="361"/>
              <w:spacing w:before="291"/>
              <w:ind w:left="435"/>
              <w:rPr>
                <w:sz w:val="21"/>
                <w:szCs w:val="21"/>
              </w:rPr>
            </w:pPr>
            <w:r>
              <w:rPr>
                <w:spacing w:val="-4"/>
                <w:sz w:val="21"/>
                <w:szCs w:val="21"/>
              </w:rPr>
              <w:t>-a</w:t>
            </w:r>
          </w:p>
        </w:tc>
        <w:tc>
          <w:tcPr>
            <w:tcW w:w="3276" w:type="dxa"/>
            <w:vAlign w:val="top"/>
          </w:tcPr>
          <w:p w14:paraId="00ED37D2">
            <w:pPr>
              <w:pStyle w:val="361"/>
              <w:spacing w:before="203" w:line="221" w:lineRule="auto"/>
              <w:ind w:left="10"/>
              <w:rPr>
                <w:sz w:val="21"/>
                <w:szCs w:val="21"/>
              </w:rPr>
            </w:pPr>
            <w:r>
              <w:rPr>
                <w:spacing w:val="-3"/>
                <w:sz w:val="21"/>
                <w:szCs w:val="21"/>
              </w:rPr>
              <w:t>厚20cm</w:t>
            </w:r>
          </w:p>
        </w:tc>
        <w:tc>
          <w:tcPr>
            <w:tcW w:w="1278" w:type="dxa"/>
            <w:vAlign w:val="top"/>
          </w:tcPr>
          <w:p w14:paraId="43249A89">
            <w:pPr>
              <w:pStyle w:val="361"/>
              <w:spacing w:before="221" w:line="241" w:lineRule="auto"/>
              <w:ind w:left="524"/>
              <w:rPr>
                <w:sz w:val="21"/>
                <w:szCs w:val="21"/>
              </w:rPr>
            </w:pPr>
            <w:r>
              <w:rPr>
                <w:spacing w:val="-1"/>
                <w:sz w:val="21"/>
                <w:szCs w:val="21"/>
              </w:rPr>
              <w:t>m2</w:t>
            </w:r>
          </w:p>
        </w:tc>
        <w:tc>
          <w:tcPr>
            <w:tcW w:w="1269" w:type="dxa"/>
            <w:vAlign w:val="top"/>
          </w:tcPr>
          <w:p w14:paraId="66D366D1">
            <w:pPr>
              <w:pStyle w:val="361"/>
              <w:spacing w:before="221"/>
              <w:ind w:left="416"/>
              <w:rPr>
                <w:sz w:val="21"/>
                <w:szCs w:val="21"/>
              </w:rPr>
            </w:pPr>
            <w:r>
              <w:rPr>
                <w:spacing w:val="-2"/>
                <w:sz w:val="21"/>
                <w:szCs w:val="21"/>
              </w:rPr>
              <w:t>4180</w:t>
            </w:r>
          </w:p>
        </w:tc>
        <w:tc>
          <w:tcPr>
            <w:tcW w:w="1269" w:type="dxa"/>
            <w:vAlign w:val="top"/>
          </w:tcPr>
          <w:p w14:paraId="3FB53502">
            <w:pPr>
              <w:rPr>
                <w:rFonts w:ascii="Arial"/>
                <w:sz w:val="21"/>
              </w:rPr>
            </w:pPr>
          </w:p>
        </w:tc>
        <w:tc>
          <w:tcPr>
            <w:tcW w:w="1253" w:type="dxa"/>
            <w:vAlign w:val="top"/>
          </w:tcPr>
          <w:p w14:paraId="677F74F8">
            <w:pPr>
              <w:rPr>
                <w:rFonts w:ascii="Arial"/>
                <w:sz w:val="21"/>
              </w:rPr>
            </w:pPr>
          </w:p>
        </w:tc>
      </w:tr>
      <w:tr w14:paraId="76E51F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4" w:type="dxa"/>
            <w:vAlign w:val="top"/>
          </w:tcPr>
          <w:p w14:paraId="43A63B56">
            <w:pPr>
              <w:pStyle w:val="361"/>
              <w:spacing w:before="221"/>
              <w:ind w:left="384"/>
              <w:rPr>
                <w:sz w:val="21"/>
                <w:szCs w:val="21"/>
              </w:rPr>
            </w:pPr>
            <w:r>
              <w:rPr>
                <w:spacing w:val="-3"/>
                <w:sz w:val="21"/>
                <w:szCs w:val="21"/>
              </w:rPr>
              <w:t>312</w:t>
            </w:r>
          </w:p>
        </w:tc>
        <w:tc>
          <w:tcPr>
            <w:tcW w:w="3276" w:type="dxa"/>
            <w:vAlign w:val="top"/>
          </w:tcPr>
          <w:p w14:paraId="4831A896">
            <w:pPr>
              <w:pStyle w:val="361"/>
              <w:spacing w:before="199" w:line="219" w:lineRule="auto"/>
              <w:ind w:left="10"/>
              <w:rPr>
                <w:sz w:val="21"/>
                <w:szCs w:val="21"/>
              </w:rPr>
            </w:pPr>
            <w:r>
              <w:rPr>
                <w:spacing w:val="1"/>
                <w:sz w:val="21"/>
                <w:szCs w:val="21"/>
              </w:rPr>
              <w:t>水泥混凝土面板</w:t>
            </w:r>
          </w:p>
        </w:tc>
        <w:tc>
          <w:tcPr>
            <w:tcW w:w="1278" w:type="dxa"/>
            <w:vAlign w:val="top"/>
          </w:tcPr>
          <w:p w14:paraId="1D9CD777">
            <w:pPr>
              <w:rPr>
                <w:rFonts w:ascii="Arial"/>
                <w:sz w:val="21"/>
              </w:rPr>
            </w:pPr>
          </w:p>
        </w:tc>
        <w:tc>
          <w:tcPr>
            <w:tcW w:w="1269" w:type="dxa"/>
            <w:vAlign w:val="top"/>
          </w:tcPr>
          <w:p w14:paraId="66081BAF">
            <w:pPr>
              <w:rPr>
                <w:rFonts w:ascii="Arial"/>
                <w:sz w:val="21"/>
              </w:rPr>
            </w:pPr>
          </w:p>
        </w:tc>
        <w:tc>
          <w:tcPr>
            <w:tcW w:w="1269" w:type="dxa"/>
            <w:vAlign w:val="top"/>
          </w:tcPr>
          <w:p w14:paraId="65CEB6D3">
            <w:pPr>
              <w:rPr>
                <w:rFonts w:ascii="Arial"/>
                <w:sz w:val="21"/>
              </w:rPr>
            </w:pPr>
          </w:p>
        </w:tc>
        <w:tc>
          <w:tcPr>
            <w:tcW w:w="1253" w:type="dxa"/>
            <w:vAlign w:val="top"/>
          </w:tcPr>
          <w:p w14:paraId="1F00A49F">
            <w:pPr>
              <w:rPr>
                <w:rFonts w:ascii="Arial"/>
                <w:sz w:val="21"/>
              </w:rPr>
            </w:pPr>
          </w:p>
        </w:tc>
      </w:tr>
      <w:tr w14:paraId="415111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104" w:type="dxa"/>
            <w:vAlign w:val="top"/>
          </w:tcPr>
          <w:p w14:paraId="1FBB1114">
            <w:pPr>
              <w:pStyle w:val="361"/>
              <w:spacing w:before="221"/>
              <w:ind w:left="275"/>
              <w:rPr>
                <w:sz w:val="21"/>
                <w:szCs w:val="21"/>
              </w:rPr>
            </w:pPr>
            <w:r>
              <w:rPr>
                <w:spacing w:val="-3"/>
                <w:sz w:val="21"/>
                <w:szCs w:val="21"/>
              </w:rPr>
              <w:t>312-1</w:t>
            </w:r>
          </w:p>
        </w:tc>
        <w:tc>
          <w:tcPr>
            <w:tcW w:w="3276" w:type="dxa"/>
            <w:vAlign w:val="top"/>
          </w:tcPr>
          <w:p w14:paraId="7D8ECC11">
            <w:pPr>
              <w:pStyle w:val="361"/>
              <w:spacing w:before="199" w:line="219" w:lineRule="auto"/>
              <w:ind w:left="10"/>
              <w:rPr>
                <w:sz w:val="21"/>
                <w:szCs w:val="21"/>
              </w:rPr>
            </w:pPr>
            <w:r>
              <w:rPr>
                <w:spacing w:val="1"/>
                <w:sz w:val="21"/>
                <w:szCs w:val="21"/>
              </w:rPr>
              <w:t>水泥混凝土面板</w:t>
            </w:r>
          </w:p>
        </w:tc>
        <w:tc>
          <w:tcPr>
            <w:tcW w:w="1278" w:type="dxa"/>
            <w:vAlign w:val="top"/>
          </w:tcPr>
          <w:p w14:paraId="32B051AA">
            <w:pPr>
              <w:rPr>
                <w:rFonts w:ascii="Arial"/>
                <w:sz w:val="21"/>
              </w:rPr>
            </w:pPr>
          </w:p>
        </w:tc>
        <w:tc>
          <w:tcPr>
            <w:tcW w:w="1269" w:type="dxa"/>
            <w:vAlign w:val="top"/>
          </w:tcPr>
          <w:p w14:paraId="6080C7AF">
            <w:pPr>
              <w:rPr>
                <w:rFonts w:ascii="Arial"/>
                <w:sz w:val="21"/>
              </w:rPr>
            </w:pPr>
          </w:p>
        </w:tc>
        <w:tc>
          <w:tcPr>
            <w:tcW w:w="1269" w:type="dxa"/>
            <w:vAlign w:val="top"/>
          </w:tcPr>
          <w:p w14:paraId="1EEAC62F">
            <w:pPr>
              <w:rPr>
                <w:rFonts w:ascii="Arial"/>
                <w:sz w:val="21"/>
              </w:rPr>
            </w:pPr>
          </w:p>
        </w:tc>
        <w:tc>
          <w:tcPr>
            <w:tcW w:w="1253" w:type="dxa"/>
            <w:vAlign w:val="top"/>
          </w:tcPr>
          <w:p w14:paraId="46212053">
            <w:pPr>
              <w:rPr>
                <w:rFonts w:ascii="Arial"/>
                <w:sz w:val="21"/>
              </w:rPr>
            </w:pPr>
          </w:p>
        </w:tc>
      </w:tr>
      <w:tr w14:paraId="4D3482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4" w:type="dxa"/>
            <w:vAlign w:val="top"/>
          </w:tcPr>
          <w:p w14:paraId="5018E404">
            <w:pPr>
              <w:pStyle w:val="361"/>
              <w:spacing w:before="301"/>
              <w:ind w:left="435"/>
              <w:rPr>
                <w:sz w:val="21"/>
                <w:szCs w:val="21"/>
              </w:rPr>
            </w:pPr>
            <w:r>
              <w:rPr>
                <w:spacing w:val="-4"/>
                <w:sz w:val="21"/>
                <w:szCs w:val="21"/>
              </w:rPr>
              <w:t>-a</w:t>
            </w:r>
          </w:p>
        </w:tc>
        <w:tc>
          <w:tcPr>
            <w:tcW w:w="3276" w:type="dxa"/>
            <w:vAlign w:val="top"/>
          </w:tcPr>
          <w:p w14:paraId="5777E165">
            <w:pPr>
              <w:pStyle w:val="361"/>
              <w:spacing w:before="203" w:line="221" w:lineRule="auto"/>
              <w:ind w:left="10"/>
              <w:rPr>
                <w:sz w:val="21"/>
                <w:szCs w:val="21"/>
              </w:rPr>
            </w:pPr>
            <w:r>
              <w:rPr>
                <w:spacing w:val="-3"/>
                <w:sz w:val="21"/>
                <w:szCs w:val="21"/>
              </w:rPr>
              <w:t>厚18cm</w:t>
            </w:r>
          </w:p>
        </w:tc>
        <w:tc>
          <w:tcPr>
            <w:tcW w:w="1278" w:type="dxa"/>
            <w:vAlign w:val="top"/>
          </w:tcPr>
          <w:p w14:paraId="55C797FB">
            <w:pPr>
              <w:pStyle w:val="361"/>
              <w:spacing w:before="221" w:line="241" w:lineRule="auto"/>
              <w:ind w:left="524"/>
              <w:rPr>
                <w:sz w:val="21"/>
                <w:szCs w:val="21"/>
              </w:rPr>
            </w:pPr>
            <w:r>
              <w:rPr>
                <w:spacing w:val="-1"/>
                <w:sz w:val="21"/>
                <w:szCs w:val="21"/>
              </w:rPr>
              <w:t>m2</w:t>
            </w:r>
          </w:p>
        </w:tc>
        <w:tc>
          <w:tcPr>
            <w:tcW w:w="1269" w:type="dxa"/>
            <w:vAlign w:val="top"/>
          </w:tcPr>
          <w:p w14:paraId="41D72FD7">
            <w:pPr>
              <w:pStyle w:val="361"/>
              <w:spacing w:before="221"/>
              <w:ind w:left="416"/>
              <w:rPr>
                <w:sz w:val="21"/>
                <w:szCs w:val="21"/>
              </w:rPr>
            </w:pPr>
            <w:r>
              <w:rPr>
                <w:spacing w:val="-3"/>
                <w:sz w:val="21"/>
                <w:szCs w:val="21"/>
              </w:rPr>
              <w:t>3500</w:t>
            </w:r>
          </w:p>
        </w:tc>
        <w:tc>
          <w:tcPr>
            <w:tcW w:w="1269" w:type="dxa"/>
            <w:vAlign w:val="top"/>
          </w:tcPr>
          <w:p w14:paraId="458340C2">
            <w:pPr>
              <w:rPr>
                <w:rFonts w:ascii="Arial"/>
                <w:sz w:val="21"/>
              </w:rPr>
            </w:pPr>
          </w:p>
        </w:tc>
        <w:tc>
          <w:tcPr>
            <w:tcW w:w="1253" w:type="dxa"/>
            <w:vAlign w:val="top"/>
          </w:tcPr>
          <w:p w14:paraId="11BF343E">
            <w:pPr>
              <w:rPr>
                <w:rFonts w:ascii="Arial"/>
                <w:sz w:val="21"/>
              </w:rPr>
            </w:pPr>
          </w:p>
        </w:tc>
      </w:tr>
      <w:tr w14:paraId="5CE896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104" w:type="dxa"/>
            <w:vAlign w:val="top"/>
          </w:tcPr>
          <w:p w14:paraId="0336093D">
            <w:pPr>
              <w:pStyle w:val="361"/>
              <w:spacing w:before="221"/>
              <w:ind w:left="384"/>
              <w:rPr>
                <w:sz w:val="21"/>
                <w:szCs w:val="21"/>
              </w:rPr>
            </w:pPr>
            <w:r>
              <w:rPr>
                <w:spacing w:val="-3"/>
                <w:sz w:val="21"/>
                <w:szCs w:val="21"/>
              </w:rPr>
              <w:t>313</w:t>
            </w:r>
          </w:p>
        </w:tc>
        <w:tc>
          <w:tcPr>
            <w:tcW w:w="3276" w:type="dxa"/>
            <w:vAlign w:val="top"/>
          </w:tcPr>
          <w:p w14:paraId="2A4408F2">
            <w:pPr>
              <w:pStyle w:val="361"/>
              <w:spacing w:before="100" w:line="219" w:lineRule="auto"/>
              <w:ind w:left="10" w:firstLine="10"/>
              <w:rPr>
                <w:sz w:val="21"/>
                <w:szCs w:val="21"/>
              </w:rPr>
            </w:pPr>
            <w:r>
              <w:rPr>
                <w:spacing w:val="-8"/>
                <w:sz w:val="21"/>
                <w:szCs w:val="21"/>
              </w:rPr>
              <w:t>路肩培土、中央分隔带回填土、土路</w:t>
            </w:r>
            <w:r>
              <w:rPr>
                <w:spacing w:val="11"/>
                <w:sz w:val="21"/>
                <w:szCs w:val="21"/>
              </w:rPr>
              <w:t xml:space="preserve"> </w:t>
            </w:r>
            <w:r>
              <w:rPr>
                <w:spacing w:val="-2"/>
                <w:sz w:val="21"/>
                <w:szCs w:val="21"/>
              </w:rPr>
              <w:t>肩加固及路缘石</w:t>
            </w:r>
          </w:p>
        </w:tc>
        <w:tc>
          <w:tcPr>
            <w:tcW w:w="1278" w:type="dxa"/>
            <w:vAlign w:val="top"/>
          </w:tcPr>
          <w:p w14:paraId="66343364">
            <w:pPr>
              <w:rPr>
                <w:rFonts w:ascii="Arial"/>
                <w:sz w:val="21"/>
              </w:rPr>
            </w:pPr>
          </w:p>
        </w:tc>
        <w:tc>
          <w:tcPr>
            <w:tcW w:w="1269" w:type="dxa"/>
            <w:vAlign w:val="top"/>
          </w:tcPr>
          <w:p w14:paraId="3BDC9EE9">
            <w:pPr>
              <w:rPr>
                <w:rFonts w:ascii="Arial"/>
                <w:sz w:val="21"/>
              </w:rPr>
            </w:pPr>
          </w:p>
        </w:tc>
        <w:tc>
          <w:tcPr>
            <w:tcW w:w="1269" w:type="dxa"/>
            <w:vAlign w:val="top"/>
          </w:tcPr>
          <w:p w14:paraId="24E81286">
            <w:pPr>
              <w:rPr>
                <w:rFonts w:ascii="Arial"/>
                <w:sz w:val="21"/>
              </w:rPr>
            </w:pPr>
          </w:p>
        </w:tc>
        <w:tc>
          <w:tcPr>
            <w:tcW w:w="1253" w:type="dxa"/>
            <w:vAlign w:val="top"/>
          </w:tcPr>
          <w:p w14:paraId="2C1C97FA">
            <w:pPr>
              <w:rPr>
                <w:rFonts w:ascii="Arial"/>
                <w:sz w:val="21"/>
              </w:rPr>
            </w:pPr>
          </w:p>
        </w:tc>
      </w:tr>
      <w:tr w14:paraId="375021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0189C3C5">
            <w:pPr>
              <w:pStyle w:val="361"/>
              <w:spacing w:before="222"/>
              <w:ind w:left="275"/>
              <w:rPr>
                <w:sz w:val="21"/>
                <w:szCs w:val="21"/>
              </w:rPr>
            </w:pPr>
            <w:r>
              <w:rPr>
                <w:spacing w:val="-3"/>
                <w:sz w:val="21"/>
                <w:szCs w:val="21"/>
              </w:rPr>
              <w:t>313-1</w:t>
            </w:r>
          </w:p>
        </w:tc>
        <w:tc>
          <w:tcPr>
            <w:tcW w:w="3276" w:type="dxa"/>
            <w:vAlign w:val="top"/>
          </w:tcPr>
          <w:p w14:paraId="4B3501F8">
            <w:pPr>
              <w:pStyle w:val="361"/>
              <w:spacing w:before="201" w:line="219" w:lineRule="auto"/>
              <w:ind w:left="10"/>
              <w:rPr>
                <w:sz w:val="21"/>
                <w:szCs w:val="21"/>
              </w:rPr>
            </w:pPr>
            <w:r>
              <w:rPr>
                <w:spacing w:val="-2"/>
                <w:sz w:val="21"/>
                <w:szCs w:val="21"/>
              </w:rPr>
              <w:t>路肩培土</w:t>
            </w:r>
          </w:p>
        </w:tc>
        <w:tc>
          <w:tcPr>
            <w:tcW w:w="1278" w:type="dxa"/>
            <w:vAlign w:val="top"/>
          </w:tcPr>
          <w:p w14:paraId="7BBABC8D">
            <w:pPr>
              <w:rPr>
                <w:rFonts w:ascii="Arial"/>
                <w:sz w:val="21"/>
              </w:rPr>
            </w:pPr>
          </w:p>
        </w:tc>
        <w:tc>
          <w:tcPr>
            <w:tcW w:w="1269" w:type="dxa"/>
            <w:vAlign w:val="top"/>
          </w:tcPr>
          <w:p w14:paraId="1ECDC651">
            <w:pPr>
              <w:rPr>
                <w:rFonts w:ascii="Arial"/>
                <w:sz w:val="21"/>
              </w:rPr>
            </w:pPr>
          </w:p>
        </w:tc>
        <w:tc>
          <w:tcPr>
            <w:tcW w:w="1269" w:type="dxa"/>
            <w:vAlign w:val="top"/>
          </w:tcPr>
          <w:p w14:paraId="0416AFB6">
            <w:pPr>
              <w:rPr>
                <w:rFonts w:ascii="Arial"/>
                <w:sz w:val="21"/>
              </w:rPr>
            </w:pPr>
          </w:p>
        </w:tc>
        <w:tc>
          <w:tcPr>
            <w:tcW w:w="1253" w:type="dxa"/>
            <w:vAlign w:val="top"/>
          </w:tcPr>
          <w:p w14:paraId="26BF3139">
            <w:pPr>
              <w:rPr>
                <w:rFonts w:ascii="Arial"/>
                <w:sz w:val="21"/>
              </w:rPr>
            </w:pPr>
          </w:p>
        </w:tc>
      </w:tr>
      <w:tr w14:paraId="185CF1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104" w:type="dxa"/>
            <w:vAlign w:val="top"/>
          </w:tcPr>
          <w:p w14:paraId="0F6867D4">
            <w:pPr>
              <w:pStyle w:val="361"/>
              <w:spacing w:before="223"/>
              <w:ind w:left="435"/>
              <w:rPr>
                <w:sz w:val="21"/>
                <w:szCs w:val="21"/>
              </w:rPr>
            </w:pPr>
            <w:r>
              <w:rPr>
                <w:spacing w:val="-4"/>
                <w:sz w:val="21"/>
                <w:szCs w:val="21"/>
              </w:rPr>
              <w:t>-a</w:t>
            </w:r>
          </w:p>
        </w:tc>
        <w:tc>
          <w:tcPr>
            <w:tcW w:w="3276" w:type="dxa"/>
            <w:vAlign w:val="top"/>
          </w:tcPr>
          <w:p w14:paraId="47DA0121">
            <w:pPr>
              <w:pStyle w:val="361"/>
              <w:spacing w:before="202" w:line="219" w:lineRule="auto"/>
              <w:ind w:left="10"/>
              <w:rPr>
                <w:sz w:val="21"/>
                <w:szCs w:val="21"/>
              </w:rPr>
            </w:pPr>
            <w:r>
              <w:rPr>
                <w:spacing w:val="-2"/>
                <w:sz w:val="21"/>
                <w:szCs w:val="21"/>
              </w:rPr>
              <w:t>路肩培土</w:t>
            </w:r>
          </w:p>
        </w:tc>
        <w:tc>
          <w:tcPr>
            <w:tcW w:w="1278" w:type="dxa"/>
            <w:vAlign w:val="top"/>
          </w:tcPr>
          <w:p w14:paraId="0C16B5AB">
            <w:pPr>
              <w:pStyle w:val="361"/>
              <w:spacing w:before="223"/>
              <w:ind w:left="524"/>
              <w:rPr>
                <w:sz w:val="21"/>
                <w:szCs w:val="21"/>
              </w:rPr>
            </w:pPr>
            <w:r>
              <w:rPr>
                <w:spacing w:val="-1"/>
                <w:sz w:val="21"/>
                <w:szCs w:val="21"/>
              </w:rPr>
              <w:t>m3</w:t>
            </w:r>
          </w:p>
        </w:tc>
        <w:tc>
          <w:tcPr>
            <w:tcW w:w="1269" w:type="dxa"/>
            <w:vAlign w:val="top"/>
          </w:tcPr>
          <w:p w14:paraId="1A810925">
            <w:pPr>
              <w:pStyle w:val="361"/>
              <w:spacing w:before="223"/>
              <w:ind w:left="526"/>
              <w:rPr>
                <w:sz w:val="21"/>
                <w:szCs w:val="21"/>
              </w:rPr>
            </w:pPr>
            <w:r>
              <w:rPr>
                <w:spacing w:val="-3"/>
                <w:sz w:val="21"/>
                <w:szCs w:val="21"/>
              </w:rPr>
              <w:t>90</w:t>
            </w:r>
          </w:p>
        </w:tc>
        <w:tc>
          <w:tcPr>
            <w:tcW w:w="1269" w:type="dxa"/>
            <w:vAlign w:val="top"/>
          </w:tcPr>
          <w:p w14:paraId="090777DB">
            <w:pPr>
              <w:rPr>
                <w:rFonts w:ascii="Arial"/>
                <w:sz w:val="21"/>
              </w:rPr>
            </w:pPr>
          </w:p>
        </w:tc>
        <w:tc>
          <w:tcPr>
            <w:tcW w:w="1253" w:type="dxa"/>
            <w:vAlign w:val="top"/>
          </w:tcPr>
          <w:p w14:paraId="0C8D330B">
            <w:pPr>
              <w:rPr>
                <w:rFonts w:ascii="Arial"/>
                <w:sz w:val="21"/>
              </w:rPr>
            </w:pPr>
          </w:p>
        </w:tc>
      </w:tr>
      <w:tr w14:paraId="03DAF1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0B5351E0">
            <w:pPr>
              <w:rPr>
                <w:rFonts w:ascii="Arial"/>
                <w:sz w:val="21"/>
              </w:rPr>
            </w:pPr>
          </w:p>
        </w:tc>
        <w:tc>
          <w:tcPr>
            <w:tcW w:w="3276" w:type="dxa"/>
            <w:vAlign w:val="top"/>
          </w:tcPr>
          <w:p w14:paraId="72297AA7">
            <w:pPr>
              <w:rPr>
                <w:rFonts w:ascii="Arial"/>
                <w:sz w:val="21"/>
              </w:rPr>
            </w:pPr>
          </w:p>
        </w:tc>
        <w:tc>
          <w:tcPr>
            <w:tcW w:w="1278" w:type="dxa"/>
            <w:vAlign w:val="top"/>
          </w:tcPr>
          <w:p w14:paraId="7EB0D063">
            <w:pPr>
              <w:rPr>
                <w:rFonts w:ascii="Arial"/>
                <w:sz w:val="21"/>
              </w:rPr>
            </w:pPr>
          </w:p>
        </w:tc>
        <w:tc>
          <w:tcPr>
            <w:tcW w:w="1269" w:type="dxa"/>
            <w:vAlign w:val="top"/>
          </w:tcPr>
          <w:p w14:paraId="3C3DDD55">
            <w:pPr>
              <w:rPr>
                <w:rFonts w:ascii="Arial"/>
                <w:sz w:val="21"/>
              </w:rPr>
            </w:pPr>
          </w:p>
        </w:tc>
        <w:tc>
          <w:tcPr>
            <w:tcW w:w="1269" w:type="dxa"/>
            <w:vAlign w:val="top"/>
          </w:tcPr>
          <w:p w14:paraId="7300638C">
            <w:pPr>
              <w:rPr>
                <w:rFonts w:ascii="Arial"/>
                <w:sz w:val="21"/>
              </w:rPr>
            </w:pPr>
          </w:p>
        </w:tc>
        <w:tc>
          <w:tcPr>
            <w:tcW w:w="1253" w:type="dxa"/>
            <w:vAlign w:val="top"/>
          </w:tcPr>
          <w:p w14:paraId="4FAEF0CC">
            <w:pPr>
              <w:rPr>
                <w:rFonts w:ascii="Arial"/>
                <w:sz w:val="21"/>
              </w:rPr>
            </w:pPr>
          </w:p>
        </w:tc>
      </w:tr>
      <w:tr w14:paraId="26640B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6613E37A">
            <w:pPr>
              <w:rPr>
                <w:rFonts w:ascii="Arial"/>
                <w:sz w:val="21"/>
              </w:rPr>
            </w:pPr>
          </w:p>
        </w:tc>
        <w:tc>
          <w:tcPr>
            <w:tcW w:w="3276" w:type="dxa"/>
            <w:vAlign w:val="top"/>
          </w:tcPr>
          <w:p w14:paraId="600DD2FE">
            <w:pPr>
              <w:rPr>
                <w:rFonts w:ascii="Arial"/>
                <w:sz w:val="21"/>
              </w:rPr>
            </w:pPr>
          </w:p>
        </w:tc>
        <w:tc>
          <w:tcPr>
            <w:tcW w:w="1278" w:type="dxa"/>
            <w:vAlign w:val="top"/>
          </w:tcPr>
          <w:p w14:paraId="5ED6CBCE">
            <w:pPr>
              <w:rPr>
                <w:rFonts w:ascii="Arial"/>
                <w:sz w:val="21"/>
              </w:rPr>
            </w:pPr>
          </w:p>
        </w:tc>
        <w:tc>
          <w:tcPr>
            <w:tcW w:w="1269" w:type="dxa"/>
            <w:vAlign w:val="top"/>
          </w:tcPr>
          <w:p w14:paraId="384D0EEC">
            <w:pPr>
              <w:rPr>
                <w:rFonts w:ascii="Arial"/>
                <w:sz w:val="21"/>
              </w:rPr>
            </w:pPr>
          </w:p>
        </w:tc>
        <w:tc>
          <w:tcPr>
            <w:tcW w:w="1269" w:type="dxa"/>
            <w:vAlign w:val="top"/>
          </w:tcPr>
          <w:p w14:paraId="5EB4E6EE">
            <w:pPr>
              <w:rPr>
                <w:rFonts w:ascii="Arial"/>
                <w:sz w:val="21"/>
              </w:rPr>
            </w:pPr>
          </w:p>
        </w:tc>
        <w:tc>
          <w:tcPr>
            <w:tcW w:w="1253" w:type="dxa"/>
            <w:vAlign w:val="top"/>
          </w:tcPr>
          <w:p w14:paraId="76BCFE62">
            <w:pPr>
              <w:rPr>
                <w:rFonts w:ascii="Arial"/>
                <w:sz w:val="21"/>
              </w:rPr>
            </w:pPr>
          </w:p>
        </w:tc>
      </w:tr>
      <w:tr w14:paraId="4C07F8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2A99B367">
            <w:pPr>
              <w:rPr>
                <w:rFonts w:ascii="Arial"/>
                <w:sz w:val="21"/>
              </w:rPr>
            </w:pPr>
          </w:p>
        </w:tc>
        <w:tc>
          <w:tcPr>
            <w:tcW w:w="3276" w:type="dxa"/>
            <w:vAlign w:val="top"/>
          </w:tcPr>
          <w:p w14:paraId="304416DD">
            <w:pPr>
              <w:rPr>
                <w:rFonts w:ascii="Arial"/>
                <w:sz w:val="21"/>
              </w:rPr>
            </w:pPr>
          </w:p>
        </w:tc>
        <w:tc>
          <w:tcPr>
            <w:tcW w:w="1278" w:type="dxa"/>
            <w:vAlign w:val="top"/>
          </w:tcPr>
          <w:p w14:paraId="06FE9019">
            <w:pPr>
              <w:rPr>
                <w:rFonts w:ascii="Arial"/>
                <w:sz w:val="21"/>
              </w:rPr>
            </w:pPr>
          </w:p>
        </w:tc>
        <w:tc>
          <w:tcPr>
            <w:tcW w:w="1269" w:type="dxa"/>
            <w:vAlign w:val="top"/>
          </w:tcPr>
          <w:p w14:paraId="3EB1DAA3">
            <w:pPr>
              <w:rPr>
                <w:rFonts w:ascii="Arial"/>
                <w:sz w:val="21"/>
              </w:rPr>
            </w:pPr>
          </w:p>
        </w:tc>
        <w:tc>
          <w:tcPr>
            <w:tcW w:w="1269" w:type="dxa"/>
            <w:vAlign w:val="top"/>
          </w:tcPr>
          <w:p w14:paraId="1F3F4588">
            <w:pPr>
              <w:rPr>
                <w:rFonts w:ascii="Arial"/>
                <w:sz w:val="21"/>
              </w:rPr>
            </w:pPr>
          </w:p>
        </w:tc>
        <w:tc>
          <w:tcPr>
            <w:tcW w:w="1253" w:type="dxa"/>
            <w:vAlign w:val="top"/>
          </w:tcPr>
          <w:p w14:paraId="7FA6733E">
            <w:pPr>
              <w:rPr>
                <w:rFonts w:ascii="Arial"/>
                <w:sz w:val="21"/>
              </w:rPr>
            </w:pPr>
          </w:p>
        </w:tc>
      </w:tr>
      <w:tr w14:paraId="485E46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104" w:type="dxa"/>
            <w:vAlign w:val="top"/>
          </w:tcPr>
          <w:p w14:paraId="6963992E">
            <w:pPr>
              <w:rPr>
                <w:rFonts w:ascii="Arial"/>
                <w:sz w:val="21"/>
              </w:rPr>
            </w:pPr>
          </w:p>
        </w:tc>
        <w:tc>
          <w:tcPr>
            <w:tcW w:w="3276" w:type="dxa"/>
            <w:vAlign w:val="top"/>
          </w:tcPr>
          <w:p w14:paraId="3D2B5DAA">
            <w:pPr>
              <w:rPr>
                <w:rFonts w:ascii="Arial"/>
                <w:sz w:val="21"/>
              </w:rPr>
            </w:pPr>
          </w:p>
        </w:tc>
        <w:tc>
          <w:tcPr>
            <w:tcW w:w="1278" w:type="dxa"/>
            <w:vAlign w:val="top"/>
          </w:tcPr>
          <w:p w14:paraId="36999737">
            <w:pPr>
              <w:rPr>
                <w:rFonts w:ascii="Arial"/>
                <w:sz w:val="21"/>
              </w:rPr>
            </w:pPr>
          </w:p>
        </w:tc>
        <w:tc>
          <w:tcPr>
            <w:tcW w:w="1269" w:type="dxa"/>
            <w:vAlign w:val="top"/>
          </w:tcPr>
          <w:p w14:paraId="06C8A915">
            <w:pPr>
              <w:rPr>
                <w:rFonts w:ascii="Arial"/>
                <w:sz w:val="21"/>
              </w:rPr>
            </w:pPr>
          </w:p>
        </w:tc>
        <w:tc>
          <w:tcPr>
            <w:tcW w:w="1269" w:type="dxa"/>
            <w:vAlign w:val="top"/>
          </w:tcPr>
          <w:p w14:paraId="28278E7D">
            <w:pPr>
              <w:rPr>
                <w:rFonts w:ascii="Arial"/>
                <w:sz w:val="21"/>
              </w:rPr>
            </w:pPr>
          </w:p>
        </w:tc>
        <w:tc>
          <w:tcPr>
            <w:tcW w:w="1253" w:type="dxa"/>
            <w:vAlign w:val="top"/>
          </w:tcPr>
          <w:p w14:paraId="541DA557">
            <w:pPr>
              <w:rPr>
                <w:rFonts w:ascii="Arial"/>
                <w:sz w:val="21"/>
              </w:rPr>
            </w:pPr>
          </w:p>
        </w:tc>
      </w:tr>
      <w:tr w14:paraId="611BA7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7532B74A">
            <w:pPr>
              <w:rPr>
                <w:rFonts w:ascii="Arial"/>
                <w:sz w:val="21"/>
              </w:rPr>
            </w:pPr>
          </w:p>
        </w:tc>
        <w:tc>
          <w:tcPr>
            <w:tcW w:w="3276" w:type="dxa"/>
            <w:vAlign w:val="top"/>
          </w:tcPr>
          <w:p w14:paraId="0DB4264C">
            <w:pPr>
              <w:rPr>
                <w:rFonts w:ascii="Arial"/>
                <w:sz w:val="21"/>
              </w:rPr>
            </w:pPr>
          </w:p>
        </w:tc>
        <w:tc>
          <w:tcPr>
            <w:tcW w:w="1278" w:type="dxa"/>
            <w:vAlign w:val="top"/>
          </w:tcPr>
          <w:p w14:paraId="3203678C">
            <w:pPr>
              <w:rPr>
                <w:rFonts w:ascii="Arial"/>
                <w:sz w:val="21"/>
              </w:rPr>
            </w:pPr>
          </w:p>
        </w:tc>
        <w:tc>
          <w:tcPr>
            <w:tcW w:w="1269" w:type="dxa"/>
            <w:vAlign w:val="top"/>
          </w:tcPr>
          <w:p w14:paraId="1F9EC852">
            <w:pPr>
              <w:rPr>
                <w:rFonts w:ascii="Arial"/>
                <w:sz w:val="21"/>
              </w:rPr>
            </w:pPr>
          </w:p>
        </w:tc>
        <w:tc>
          <w:tcPr>
            <w:tcW w:w="1269" w:type="dxa"/>
            <w:vAlign w:val="top"/>
          </w:tcPr>
          <w:p w14:paraId="1EC8622C">
            <w:pPr>
              <w:rPr>
                <w:rFonts w:ascii="Arial"/>
                <w:sz w:val="21"/>
              </w:rPr>
            </w:pPr>
          </w:p>
        </w:tc>
        <w:tc>
          <w:tcPr>
            <w:tcW w:w="1253" w:type="dxa"/>
            <w:vAlign w:val="top"/>
          </w:tcPr>
          <w:p w14:paraId="1F5FD6BB">
            <w:pPr>
              <w:rPr>
                <w:rFonts w:ascii="Arial"/>
                <w:sz w:val="21"/>
              </w:rPr>
            </w:pPr>
          </w:p>
        </w:tc>
      </w:tr>
      <w:tr w14:paraId="7FA9CB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4" w:type="dxa"/>
            <w:vAlign w:val="top"/>
          </w:tcPr>
          <w:p w14:paraId="10522D63">
            <w:pPr>
              <w:rPr>
                <w:rFonts w:ascii="Arial"/>
                <w:sz w:val="21"/>
              </w:rPr>
            </w:pPr>
          </w:p>
        </w:tc>
        <w:tc>
          <w:tcPr>
            <w:tcW w:w="3276" w:type="dxa"/>
            <w:vAlign w:val="top"/>
          </w:tcPr>
          <w:p w14:paraId="5D36C25E">
            <w:pPr>
              <w:rPr>
                <w:rFonts w:ascii="Arial"/>
                <w:sz w:val="21"/>
              </w:rPr>
            </w:pPr>
          </w:p>
        </w:tc>
        <w:tc>
          <w:tcPr>
            <w:tcW w:w="1278" w:type="dxa"/>
            <w:vAlign w:val="top"/>
          </w:tcPr>
          <w:p w14:paraId="2D6E5E37">
            <w:pPr>
              <w:rPr>
                <w:rFonts w:ascii="Arial"/>
                <w:sz w:val="21"/>
              </w:rPr>
            </w:pPr>
          </w:p>
        </w:tc>
        <w:tc>
          <w:tcPr>
            <w:tcW w:w="1269" w:type="dxa"/>
            <w:vAlign w:val="top"/>
          </w:tcPr>
          <w:p w14:paraId="64B5C0D1">
            <w:pPr>
              <w:rPr>
                <w:rFonts w:ascii="Arial"/>
                <w:sz w:val="21"/>
              </w:rPr>
            </w:pPr>
          </w:p>
        </w:tc>
        <w:tc>
          <w:tcPr>
            <w:tcW w:w="1269" w:type="dxa"/>
            <w:vAlign w:val="top"/>
          </w:tcPr>
          <w:p w14:paraId="6B62989A">
            <w:pPr>
              <w:rPr>
                <w:rFonts w:ascii="Arial"/>
                <w:sz w:val="21"/>
              </w:rPr>
            </w:pPr>
          </w:p>
        </w:tc>
        <w:tc>
          <w:tcPr>
            <w:tcW w:w="1253" w:type="dxa"/>
            <w:vAlign w:val="top"/>
          </w:tcPr>
          <w:p w14:paraId="6F5C0160">
            <w:pPr>
              <w:rPr>
                <w:rFonts w:ascii="Arial"/>
                <w:sz w:val="21"/>
              </w:rPr>
            </w:pPr>
          </w:p>
        </w:tc>
      </w:tr>
      <w:tr w14:paraId="520934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104" w:type="dxa"/>
            <w:vAlign w:val="top"/>
          </w:tcPr>
          <w:p w14:paraId="7CD8FAA2">
            <w:pPr>
              <w:rPr>
                <w:rFonts w:ascii="Arial"/>
                <w:sz w:val="21"/>
              </w:rPr>
            </w:pPr>
          </w:p>
        </w:tc>
        <w:tc>
          <w:tcPr>
            <w:tcW w:w="3276" w:type="dxa"/>
            <w:vAlign w:val="top"/>
          </w:tcPr>
          <w:p w14:paraId="4CCF702D">
            <w:pPr>
              <w:rPr>
                <w:rFonts w:ascii="Arial"/>
                <w:sz w:val="21"/>
              </w:rPr>
            </w:pPr>
          </w:p>
        </w:tc>
        <w:tc>
          <w:tcPr>
            <w:tcW w:w="1278" w:type="dxa"/>
            <w:vAlign w:val="top"/>
          </w:tcPr>
          <w:p w14:paraId="23CC7DBD">
            <w:pPr>
              <w:rPr>
                <w:rFonts w:ascii="Arial"/>
                <w:sz w:val="21"/>
              </w:rPr>
            </w:pPr>
          </w:p>
        </w:tc>
        <w:tc>
          <w:tcPr>
            <w:tcW w:w="1269" w:type="dxa"/>
            <w:vAlign w:val="top"/>
          </w:tcPr>
          <w:p w14:paraId="3D235047">
            <w:pPr>
              <w:rPr>
                <w:rFonts w:ascii="Arial"/>
                <w:sz w:val="21"/>
              </w:rPr>
            </w:pPr>
          </w:p>
        </w:tc>
        <w:tc>
          <w:tcPr>
            <w:tcW w:w="1269" w:type="dxa"/>
            <w:vAlign w:val="top"/>
          </w:tcPr>
          <w:p w14:paraId="4E2CDF02">
            <w:pPr>
              <w:rPr>
                <w:rFonts w:ascii="Arial"/>
                <w:sz w:val="21"/>
              </w:rPr>
            </w:pPr>
          </w:p>
        </w:tc>
        <w:tc>
          <w:tcPr>
            <w:tcW w:w="1253" w:type="dxa"/>
            <w:vAlign w:val="top"/>
          </w:tcPr>
          <w:p w14:paraId="75701139">
            <w:pPr>
              <w:rPr>
                <w:rFonts w:ascii="Arial"/>
                <w:sz w:val="21"/>
              </w:rPr>
            </w:pPr>
          </w:p>
        </w:tc>
      </w:tr>
      <w:tr w14:paraId="15C3E8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4" w:type="dxa"/>
            <w:vAlign w:val="top"/>
          </w:tcPr>
          <w:p w14:paraId="5E458F10">
            <w:pPr>
              <w:rPr>
                <w:rFonts w:ascii="Arial"/>
                <w:sz w:val="21"/>
              </w:rPr>
            </w:pPr>
          </w:p>
        </w:tc>
        <w:tc>
          <w:tcPr>
            <w:tcW w:w="3276" w:type="dxa"/>
            <w:vAlign w:val="top"/>
          </w:tcPr>
          <w:p w14:paraId="682A06B7">
            <w:pPr>
              <w:rPr>
                <w:rFonts w:ascii="Arial"/>
                <w:sz w:val="21"/>
              </w:rPr>
            </w:pPr>
          </w:p>
        </w:tc>
        <w:tc>
          <w:tcPr>
            <w:tcW w:w="1278" w:type="dxa"/>
            <w:vAlign w:val="top"/>
          </w:tcPr>
          <w:p w14:paraId="6B375A49">
            <w:pPr>
              <w:rPr>
                <w:rFonts w:ascii="Arial"/>
                <w:sz w:val="21"/>
              </w:rPr>
            </w:pPr>
          </w:p>
        </w:tc>
        <w:tc>
          <w:tcPr>
            <w:tcW w:w="1269" w:type="dxa"/>
            <w:vAlign w:val="top"/>
          </w:tcPr>
          <w:p w14:paraId="4E13FBD3">
            <w:pPr>
              <w:rPr>
                <w:rFonts w:ascii="Arial"/>
                <w:sz w:val="21"/>
              </w:rPr>
            </w:pPr>
          </w:p>
        </w:tc>
        <w:tc>
          <w:tcPr>
            <w:tcW w:w="1269" w:type="dxa"/>
            <w:vAlign w:val="top"/>
          </w:tcPr>
          <w:p w14:paraId="3D3CC1C6">
            <w:pPr>
              <w:rPr>
                <w:rFonts w:ascii="Arial"/>
                <w:sz w:val="21"/>
              </w:rPr>
            </w:pPr>
          </w:p>
        </w:tc>
        <w:tc>
          <w:tcPr>
            <w:tcW w:w="1253" w:type="dxa"/>
            <w:vAlign w:val="top"/>
          </w:tcPr>
          <w:p w14:paraId="354EA367">
            <w:pPr>
              <w:rPr>
                <w:rFonts w:ascii="Arial"/>
                <w:sz w:val="21"/>
              </w:rPr>
            </w:pPr>
          </w:p>
        </w:tc>
      </w:tr>
      <w:tr w14:paraId="6F241F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4" w:type="dxa"/>
            <w:vAlign w:val="top"/>
          </w:tcPr>
          <w:p w14:paraId="0FA79F82">
            <w:pPr>
              <w:rPr>
                <w:rFonts w:ascii="Arial"/>
                <w:sz w:val="21"/>
              </w:rPr>
            </w:pPr>
          </w:p>
        </w:tc>
        <w:tc>
          <w:tcPr>
            <w:tcW w:w="3276" w:type="dxa"/>
            <w:vAlign w:val="top"/>
          </w:tcPr>
          <w:p w14:paraId="2A6D6581">
            <w:pPr>
              <w:rPr>
                <w:rFonts w:ascii="Arial"/>
                <w:sz w:val="21"/>
              </w:rPr>
            </w:pPr>
          </w:p>
        </w:tc>
        <w:tc>
          <w:tcPr>
            <w:tcW w:w="1278" w:type="dxa"/>
            <w:vAlign w:val="top"/>
          </w:tcPr>
          <w:p w14:paraId="4457EFE2">
            <w:pPr>
              <w:rPr>
                <w:rFonts w:ascii="Arial"/>
                <w:sz w:val="21"/>
              </w:rPr>
            </w:pPr>
          </w:p>
        </w:tc>
        <w:tc>
          <w:tcPr>
            <w:tcW w:w="1269" w:type="dxa"/>
            <w:vAlign w:val="top"/>
          </w:tcPr>
          <w:p w14:paraId="3010DEEF">
            <w:pPr>
              <w:rPr>
                <w:rFonts w:ascii="Arial"/>
                <w:sz w:val="21"/>
              </w:rPr>
            </w:pPr>
          </w:p>
        </w:tc>
        <w:tc>
          <w:tcPr>
            <w:tcW w:w="1269" w:type="dxa"/>
            <w:vAlign w:val="top"/>
          </w:tcPr>
          <w:p w14:paraId="0FC7C55D">
            <w:pPr>
              <w:rPr>
                <w:rFonts w:ascii="Arial"/>
                <w:sz w:val="21"/>
              </w:rPr>
            </w:pPr>
          </w:p>
        </w:tc>
        <w:tc>
          <w:tcPr>
            <w:tcW w:w="1253" w:type="dxa"/>
            <w:vAlign w:val="top"/>
          </w:tcPr>
          <w:p w14:paraId="30D43D5B">
            <w:pPr>
              <w:rPr>
                <w:rFonts w:ascii="Arial"/>
                <w:sz w:val="21"/>
              </w:rPr>
            </w:pPr>
          </w:p>
        </w:tc>
      </w:tr>
      <w:tr w14:paraId="20004A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5" w:hRule="atLeast"/>
        </w:trPr>
        <w:tc>
          <w:tcPr>
            <w:tcW w:w="5658" w:type="dxa"/>
            <w:gridSpan w:val="3"/>
            <w:vAlign w:val="top"/>
          </w:tcPr>
          <w:p w14:paraId="5602F79F">
            <w:pPr>
              <w:pStyle w:val="361"/>
              <w:spacing w:before="197" w:line="219" w:lineRule="auto"/>
              <w:ind w:left="1584"/>
              <w:rPr>
                <w:sz w:val="21"/>
                <w:szCs w:val="21"/>
              </w:rPr>
            </w:pPr>
            <w:r>
              <w:rPr>
                <w:spacing w:val="-1"/>
                <w:sz w:val="21"/>
                <w:szCs w:val="21"/>
              </w:rPr>
              <w:t>清单 第300章</w:t>
            </w:r>
            <w:r>
              <w:rPr>
                <w:spacing w:val="18"/>
                <w:sz w:val="21"/>
                <w:szCs w:val="21"/>
              </w:rPr>
              <w:t xml:space="preserve"> </w:t>
            </w:r>
            <w:r>
              <w:rPr>
                <w:spacing w:val="-1"/>
                <w:sz w:val="21"/>
                <w:szCs w:val="21"/>
              </w:rPr>
              <w:t>合计</w:t>
            </w:r>
            <w:r>
              <w:rPr>
                <w:spacing w:val="8"/>
                <w:sz w:val="21"/>
                <w:szCs w:val="21"/>
              </w:rPr>
              <w:t xml:space="preserve">  </w:t>
            </w:r>
            <w:r>
              <w:rPr>
                <w:spacing w:val="-1"/>
                <w:sz w:val="21"/>
                <w:szCs w:val="21"/>
              </w:rPr>
              <w:t>人民币</w:t>
            </w:r>
          </w:p>
        </w:tc>
        <w:tc>
          <w:tcPr>
            <w:tcW w:w="3791" w:type="dxa"/>
            <w:gridSpan w:val="3"/>
            <w:vAlign w:val="top"/>
          </w:tcPr>
          <w:p w14:paraId="585091CF">
            <w:pPr>
              <w:pStyle w:val="361"/>
              <w:spacing w:before="199" w:line="220" w:lineRule="auto"/>
              <w:ind w:left="2567"/>
              <w:rPr>
                <w:sz w:val="21"/>
                <w:szCs w:val="21"/>
              </w:rPr>
            </w:pPr>
            <w:r>
              <w:rPr>
                <w:sz w:val="21"/>
                <w:szCs w:val="21"/>
              </w:rPr>
              <w:t>元</w:t>
            </w:r>
          </w:p>
        </w:tc>
      </w:tr>
    </w:tbl>
    <w:p w14:paraId="7877112D">
      <w:pPr>
        <w:pStyle w:val="34"/>
      </w:pPr>
    </w:p>
    <w:p w14:paraId="426B409F">
      <w:pPr>
        <w:sectPr>
          <w:pgSz w:w="11860" w:h="16800"/>
          <w:pgMar w:top="1018" w:right="1553" w:bottom="400" w:left="805" w:header="0" w:footer="0" w:gutter="0"/>
          <w:cols w:space="720" w:num="1"/>
        </w:sectPr>
      </w:pPr>
    </w:p>
    <w:p w14:paraId="5A4CE662">
      <w:pPr>
        <w:spacing w:before="72" w:line="220" w:lineRule="auto"/>
        <w:ind w:left="3320"/>
        <w:rPr>
          <w:rFonts w:ascii="宋体" w:hAnsi="宋体" w:eastAsia="宋体" w:cs="宋体"/>
          <w:sz w:val="36"/>
          <w:szCs w:val="36"/>
        </w:rPr>
      </w:pPr>
      <w:r>
        <w:rPr>
          <w:rFonts w:ascii="宋体" w:hAnsi="宋体" w:eastAsia="宋体" w:cs="宋体"/>
          <w:b/>
          <w:bCs/>
          <w:spacing w:val="-13"/>
          <w:sz w:val="36"/>
          <w:szCs w:val="36"/>
        </w:rPr>
        <w:t>工</w:t>
      </w:r>
      <w:r>
        <w:rPr>
          <w:rFonts w:ascii="宋体" w:hAnsi="宋体" w:eastAsia="宋体" w:cs="宋体"/>
          <w:spacing w:val="-13"/>
          <w:sz w:val="36"/>
          <w:szCs w:val="36"/>
        </w:rPr>
        <w:t xml:space="preserve"> </w:t>
      </w:r>
      <w:r>
        <w:rPr>
          <w:rFonts w:ascii="宋体" w:hAnsi="宋体" w:eastAsia="宋体" w:cs="宋体"/>
          <w:b/>
          <w:bCs/>
          <w:spacing w:val="-13"/>
          <w:sz w:val="36"/>
          <w:szCs w:val="36"/>
        </w:rPr>
        <w:t>程</w:t>
      </w:r>
      <w:r>
        <w:rPr>
          <w:rFonts w:ascii="宋体" w:hAnsi="宋体" w:eastAsia="宋体" w:cs="宋体"/>
          <w:spacing w:val="16"/>
          <w:sz w:val="36"/>
          <w:szCs w:val="36"/>
        </w:rPr>
        <w:t xml:space="preserve"> </w:t>
      </w:r>
      <w:r>
        <w:rPr>
          <w:rFonts w:ascii="宋体" w:hAnsi="宋体" w:eastAsia="宋体" w:cs="宋体"/>
          <w:b/>
          <w:bCs/>
          <w:spacing w:val="-13"/>
          <w:sz w:val="36"/>
          <w:szCs w:val="36"/>
        </w:rPr>
        <w:t>量</w:t>
      </w:r>
      <w:r>
        <w:rPr>
          <w:rFonts w:ascii="宋体" w:hAnsi="宋体" w:eastAsia="宋体" w:cs="宋体"/>
          <w:spacing w:val="13"/>
          <w:sz w:val="36"/>
          <w:szCs w:val="36"/>
        </w:rPr>
        <w:t xml:space="preserve"> </w:t>
      </w:r>
      <w:r>
        <w:rPr>
          <w:rFonts w:ascii="宋体" w:hAnsi="宋体" w:eastAsia="宋体" w:cs="宋体"/>
          <w:b/>
          <w:bCs/>
          <w:spacing w:val="-13"/>
          <w:sz w:val="36"/>
          <w:szCs w:val="36"/>
        </w:rPr>
        <w:t>清</w:t>
      </w:r>
      <w:r>
        <w:rPr>
          <w:rFonts w:ascii="宋体" w:hAnsi="宋体" w:eastAsia="宋体" w:cs="宋体"/>
          <w:spacing w:val="15"/>
          <w:sz w:val="36"/>
          <w:szCs w:val="36"/>
        </w:rPr>
        <w:t xml:space="preserve"> </w:t>
      </w:r>
      <w:r>
        <w:rPr>
          <w:rFonts w:ascii="宋体" w:hAnsi="宋体" w:eastAsia="宋体" w:cs="宋体"/>
          <w:b/>
          <w:bCs/>
          <w:spacing w:val="-13"/>
          <w:sz w:val="36"/>
          <w:szCs w:val="36"/>
        </w:rPr>
        <w:t>单</w:t>
      </w:r>
      <w:r>
        <w:rPr>
          <w:rFonts w:ascii="宋体" w:hAnsi="宋体" w:eastAsia="宋体" w:cs="宋体"/>
          <w:spacing w:val="12"/>
          <w:sz w:val="36"/>
          <w:szCs w:val="36"/>
        </w:rPr>
        <w:t xml:space="preserve"> </w:t>
      </w:r>
      <w:r>
        <w:rPr>
          <w:rFonts w:ascii="宋体" w:hAnsi="宋体" w:eastAsia="宋体" w:cs="宋体"/>
          <w:b/>
          <w:bCs/>
          <w:spacing w:val="-13"/>
          <w:sz w:val="36"/>
          <w:szCs w:val="36"/>
        </w:rPr>
        <w:t>表</w:t>
      </w:r>
    </w:p>
    <w:p w14:paraId="3424A102">
      <w:pPr>
        <w:pStyle w:val="34"/>
        <w:spacing w:line="303" w:lineRule="auto"/>
      </w:pPr>
    </w:p>
    <w:p w14:paraId="078EDD52">
      <w:pPr>
        <w:spacing w:before="62" w:line="231" w:lineRule="auto"/>
        <w:jc w:val="left"/>
        <w:rPr>
          <w:rFonts w:ascii="宋体" w:hAnsi="宋体" w:eastAsia="宋体" w:cs="宋体"/>
          <w:sz w:val="19"/>
          <w:szCs w:val="19"/>
        </w:rPr>
      </w:pPr>
      <w:r>
        <w:rPr>
          <w:rFonts w:ascii="宋体" w:hAnsi="宋体" w:eastAsia="宋体" w:cs="宋体"/>
          <w:spacing w:val="6"/>
          <w:sz w:val="19"/>
          <w:szCs w:val="19"/>
        </w:rPr>
        <w:t xml:space="preserve">合同段：双河口村农业基础设施建设工程                                                 </w:t>
      </w:r>
      <w:r>
        <w:rPr>
          <w:rFonts w:ascii="宋体" w:hAnsi="宋体" w:eastAsia="宋体" w:cs="宋体"/>
          <w:spacing w:val="6"/>
          <w:position w:val="-2"/>
          <w:sz w:val="19"/>
          <w:szCs w:val="19"/>
        </w:rPr>
        <w:t>标表2</w:t>
      </w:r>
    </w:p>
    <w:p w14:paraId="0B932F7D">
      <w:pPr>
        <w:spacing w:line="110" w:lineRule="exact"/>
      </w:pPr>
    </w:p>
    <w:tbl>
      <w:tblPr>
        <w:tblStyle w:val="1912"/>
        <w:tblW w:w="945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94"/>
        <w:gridCol w:w="3286"/>
        <w:gridCol w:w="1268"/>
        <w:gridCol w:w="1269"/>
        <w:gridCol w:w="1269"/>
        <w:gridCol w:w="1264"/>
      </w:tblGrid>
      <w:tr w14:paraId="20C010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9450" w:type="dxa"/>
            <w:gridSpan w:val="6"/>
            <w:vAlign w:val="top"/>
          </w:tcPr>
          <w:p w14:paraId="25F911DD">
            <w:pPr>
              <w:pStyle w:val="361"/>
              <w:spacing w:before="212" w:line="219" w:lineRule="auto"/>
              <w:ind w:left="3525"/>
              <w:rPr>
                <w:sz w:val="21"/>
                <w:szCs w:val="21"/>
              </w:rPr>
            </w:pPr>
            <w:r>
              <w:rPr>
                <w:spacing w:val="-1"/>
                <w:sz w:val="21"/>
                <w:szCs w:val="21"/>
              </w:rPr>
              <w:t>清单 第400章 桥梁、涵洞</w:t>
            </w:r>
          </w:p>
        </w:tc>
      </w:tr>
      <w:tr w14:paraId="3D3F04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1094" w:type="dxa"/>
            <w:vAlign w:val="top"/>
          </w:tcPr>
          <w:p w14:paraId="381753DD">
            <w:pPr>
              <w:pStyle w:val="361"/>
              <w:spacing w:before="190" w:line="220" w:lineRule="auto"/>
              <w:ind w:left="225"/>
              <w:rPr>
                <w:sz w:val="21"/>
                <w:szCs w:val="21"/>
              </w:rPr>
            </w:pPr>
            <w:r>
              <w:rPr>
                <w:spacing w:val="4"/>
                <w:sz w:val="21"/>
                <w:szCs w:val="21"/>
              </w:rPr>
              <w:t>子目号</w:t>
            </w:r>
          </w:p>
        </w:tc>
        <w:tc>
          <w:tcPr>
            <w:tcW w:w="3286" w:type="dxa"/>
            <w:vAlign w:val="top"/>
          </w:tcPr>
          <w:p w14:paraId="7F1F7362">
            <w:pPr>
              <w:pStyle w:val="361"/>
              <w:spacing w:before="190" w:line="220" w:lineRule="auto"/>
              <w:ind w:left="1240"/>
              <w:rPr>
                <w:sz w:val="21"/>
                <w:szCs w:val="21"/>
              </w:rPr>
            </w:pPr>
            <w:r>
              <w:rPr>
                <w:spacing w:val="-2"/>
                <w:sz w:val="21"/>
                <w:szCs w:val="21"/>
              </w:rPr>
              <w:t>子目名称</w:t>
            </w:r>
          </w:p>
        </w:tc>
        <w:tc>
          <w:tcPr>
            <w:tcW w:w="1268" w:type="dxa"/>
            <w:vAlign w:val="top"/>
          </w:tcPr>
          <w:p w14:paraId="5370F0B9">
            <w:pPr>
              <w:pStyle w:val="361"/>
              <w:spacing w:before="190" w:line="220" w:lineRule="auto"/>
              <w:ind w:left="414"/>
              <w:rPr>
                <w:sz w:val="21"/>
                <w:szCs w:val="21"/>
              </w:rPr>
            </w:pPr>
            <w:r>
              <w:rPr>
                <w:spacing w:val="-3"/>
                <w:sz w:val="21"/>
                <w:szCs w:val="21"/>
              </w:rPr>
              <w:t>单位</w:t>
            </w:r>
          </w:p>
        </w:tc>
        <w:tc>
          <w:tcPr>
            <w:tcW w:w="1269" w:type="dxa"/>
            <w:vAlign w:val="top"/>
          </w:tcPr>
          <w:p w14:paraId="0D3B708E">
            <w:pPr>
              <w:pStyle w:val="361"/>
              <w:spacing w:before="189" w:line="219" w:lineRule="auto"/>
              <w:ind w:left="417"/>
              <w:rPr>
                <w:sz w:val="21"/>
                <w:szCs w:val="21"/>
              </w:rPr>
            </w:pPr>
            <w:r>
              <w:rPr>
                <w:spacing w:val="-3"/>
                <w:sz w:val="21"/>
                <w:szCs w:val="21"/>
              </w:rPr>
              <w:t>数量</w:t>
            </w:r>
          </w:p>
        </w:tc>
        <w:tc>
          <w:tcPr>
            <w:tcW w:w="1269" w:type="dxa"/>
            <w:vAlign w:val="top"/>
          </w:tcPr>
          <w:p w14:paraId="4A217C19">
            <w:pPr>
              <w:pStyle w:val="361"/>
              <w:spacing w:before="187" w:line="218" w:lineRule="auto"/>
              <w:ind w:left="458"/>
              <w:rPr>
                <w:sz w:val="21"/>
                <w:szCs w:val="21"/>
              </w:rPr>
            </w:pPr>
            <w:r>
              <w:rPr>
                <w:spacing w:val="-3"/>
                <w:sz w:val="21"/>
                <w:szCs w:val="21"/>
              </w:rPr>
              <w:t>单价</w:t>
            </w:r>
          </w:p>
        </w:tc>
        <w:tc>
          <w:tcPr>
            <w:tcW w:w="1264" w:type="dxa"/>
            <w:vAlign w:val="top"/>
          </w:tcPr>
          <w:p w14:paraId="13E94893">
            <w:pPr>
              <w:pStyle w:val="361"/>
              <w:spacing w:before="187" w:line="218" w:lineRule="auto"/>
              <w:ind w:left="469"/>
              <w:rPr>
                <w:sz w:val="21"/>
                <w:szCs w:val="21"/>
              </w:rPr>
            </w:pPr>
            <w:r>
              <w:rPr>
                <w:spacing w:val="-3"/>
                <w:sz w:val="21"/>
                <w:szCs w:val="21"/>
              </w:rPr>
              <w:t>合价</w:t>
            </w:r>
          </w:p>
        </w:tc>
      </w:tr>
      <w:tr w14:paraId="15B0E4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3E2E89C2">
            <w:pPr>
              <w:pStyle w:val="361"/>
              <w:spacing w:before="221"/>
              <w:ind w:left="374"/>
              <w:rPr>
                <w:sz w:val="21"/>
                <w:szCs w:val="21"/>
              </w:rPr>
            </w:pPr>
            <w:r>
              <w:rPr>
                <w:spacing w:val="-2"/>
                <w:sz w:val="21"/>
                <w:szCs w:val="21"/>
              </w:rPr>
              <w:t>419</w:t>
            </w:r>
          </w:p>
        </w:tc>
        <w:tc>
          <w:tcPr>
            <w:tcW w:w="3286" w:type="dxa"/>
            <w:vAlign w:val="top"/>
          </w:tcPr>
          <w:p w14:paraId="4961EC83">
            <w:pPr>
              <w:pStyle w:val="361"/>
              <w:spacing w:before="200" w:line="219" w:lineRule="auto"/>
              <w:ind w:left="1"/>
              <w:rPr>
                <w:sz w:val="21"/>
                <w:szCs w:val="21"/>
              </w:rPr>
            </w:pPr>
            <w:r>
              <w:rPr>
                <w:spacing w:val="1"/>
                <w:sz w:val="21"/>
                <w:szCs w:val="21"/>
              </w:rPr>
              <w:t>圆管涵及倒虹吸管涵</w:t>
            </w:r>
          </w:p>
        </w:tc>
        <w:tc>
          <w:tcPr>
            <w:tcW w:w="1268" w:type="dxa"/>
            <w:vAlign w:val="top"/>
          </w:tcPr>
          <w:p w14:paraId="66575AD1">
            <w:pPr>
              <w:rPr>
                <w:rFonts w:ascii="Arial"/>
                <w:sz w:val="21"/>
              </w:rPr>
            </w:pPr>
          </w:p>
        </w:tc>
        <w:tc>
          <w:tcPr>
            <w:tcW w:w="1269" w:type="dxa"/>
            <w:vAlign w:val="top"/>
          </w:tcPr>
          <w:p w14:paraId="59861A9B">
            <w:pPr>
              <w:rPr>
                <w:rFonts w:ascii="Arial"/>
                <w:sz w:val="21"/>
              </w:rPr>
            </w:pPr>
          </w:p>
        </w:tc>
        <w:tc>
          <w:tcPr>
            <w:tcW w:w="1269" w:type="dxa"/>
            <w:vAlign w:val="top"/>
          </w:tcPr>
          <w:p w14:paraId="769B1259">
            <w:pPr>
              <w:rPr>
                <w:rFonts w:ascii="Arial"/>
                <w:sz w:val="21"/>
              </w:rPr>
            </w:pPr>
          </w:p>
        </w:tc>
        <w:tc>
          <w:tcPr>
            <w:tcW w:w="1264" w:type="dxa"/>
            <w:vAlign w:val="top"/>
          </w:tcPr>
          <w:p w14:paraId="1AA19A9D">
            <w:pPr>
              <w:rPr>
                <w:rFonts w:ascii="Arial"/>
                <w:sz w:val="21"/>
              </w:rPr>
            </w:pPr>
          </w:p>
        </w:tc>
      </w:tr>
      <w:tr w14:paraId="4FF905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9" w:hRule="atLeast"/>
        </w:trPr>
        <w:tc>
          <w:tcPr>
            <w:tcW w:w="1094" w:type="dxa"/>
            <w:vAlign w:val="top"/>
          </w:tcPr>
          <w:p w14:paraId="6B13F018">
            <w:pPr>
              <w:pStyle w:val="361"/>
              <w:spacing w:before="232"/>
              <w:ind w:left="275"/>
              <w:rPr>
                <w:sz w:val="21"/>
                <w:szCs w:val="21"/>
              </w:rPr>
            </w:pPr>
            <w:r>
              <w:rPr>
                <w:spacing w:val="-2"/>
                <w:sz w:val="21"/>
                <w:szCs w:val="21"/>
              </w:rPr>
              <w:t>419-1</w:t>
            </w:r>
          </w:p>
        </w:tc>
        <w:tc>
          <w:tcPr>
            <w:tcW w:w="3286" w:type="dxa"/>
            <w:vAlign w:val="top"/>
          </w:tcPr>
          <w:p w14:paraId="3EFC2479">
            <w:pPr>
              <w:pStyle w:val="361"/>
              <w:spacing w:before="211" w:line="219" w:lineRule="auto"/>
              <w:ind w:left="1"/>
              <w:rPr>
                <w:sz w:val="21"/>
                <w:szCs w:val="21"/>
              </w:rPr>
            </w:pPr>
            <w:r>
              <w:rPr>
                <w:spacing w:val="1"/>
                <w:sz w:val="21"/>
                <w:szCs w:val="21"/>
              </w:rPr>
              <w:t>单孔钢筋混凝土圆管涵</w:t>
            </w:r>
          </w:p>
        </w:tc>
        <w:tc>
          <w:tcPr>
            <w:tcW w:w="1268" w:type="dxa"/>
            <w:vAlign w:val="top"/>
          </w:tcPr>
          <w:p w14:paraId="5D320A25">
            <w:pPr>
              <w:rPr>
                <w:rFonts w:ascii="Arial"/>
                <w:sz w:val="21"/>
              </w:rPr>
            </w:pPr>
          </w:p>
        </w:tc>
        <w:tc>
          <w:tcPr>
            <w:tcW w:w="1269" w:type="dxa"/>
            <w:vAlign w:val="top"/>
          </w:tcPr>
          <w:p w14:paraId="10245085">
            <w:pPr>
              <w:rPr>
                <w:rFonts w:ascii="Arial"/>
                <w:sz w:val="21"/>
              </w:rPr>
            </w:pPr>
          </w:p>
        </w:tc>
        <w:tc>
          <w:tcPr>
            <w:tcW w:w="1269" w:type="dxa"/>
            <w:vAlign w:val="top"/>
          </w:tcPr>
          <w:p w14:paraId="35938A57">
            <w:pPr>
              <w:rPr>
                <w:rFonts w:ascii="Arial"/>
                <w:sz w:val="21"/>
              </w:rPr>
            </w:pPr>
          </w:p>
        </w:tc>
        <w:tc>
          <w:tcPr>
            <w:tcW w:w="1264" w:type="dxa"/>
            <w:vAlign w:val="top"/>
          </w:tcPr>
          <w:p w14:paraId="067A7260">
            <w:pPr>
              <w:rPr>
                <w:rFonts w:ascii="Arial"/>
                <w:sz w:val="21"/>
              </w:rPr>
            </w:pPr>
          </w:p>
        </w:tc>
      </w:tr>
      <w:tr w14:paraId="29EEEE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trPr>
        <w:tc>
          <w:tcPr>
            <w:tcW w:w="1094" w:type="dxa"/>
            <w:vAlign w:val="top"/>
          </w:tcPr>
          <w:p w14:paraId="3FF1E235">
            <w:pPr>
              <w:pStyle w:val="361"/>
              <w:spacing w:before="283"/>
              <w:ind w:left="435"/>
              <w:rPr>
                <w:sz w:val="21"/>
                <w:szCs w:val="21"/>
              </w:rPr>
            </w:pPr>
            <w:r>
              <w:rPr>
                <w:spacing w:val="-4"/>
                <w:sz w:val="21"/>
                <w:szCs w:val="21"/>
              </w:rPr>
              <w:t>-a</w:t>
            </w:r>
          </w:p>
        </w:tc>
        <w:tc>
          <w:tcPr>
            <w:tcW w:w="3286" w:type="dxa"/>
            <w:vAlign w:val="top"/>
          </w:tcPr>
          <w:p w14:paraId="5043C136">
            <w:pPr>
              <w:pStyle w:val="361"/>
              <w:spacing w:before="251" w:line="219" w:lineRule="auto"/>
              <w:ind w:left="1"/>
              <w:rPr>
                <w:sz w:val="21"/>
                <w:szCs w:val="21"/>
              </w:rPr>
            </w:pPr>
            <w:r>
              <w:rPr>
                <w:spacing w:val="3"/>
                <w:sz w:val="21"/>
                <w:szCs w:val="21"/>
              </w:rPr>
              <w:t>600</w:t>
            </w:r>
            <w:r>
              <w:rPr>
                <w:sz w:val="21"/>
                <w:szCs w:val="21"/>
              </w:rPr>
              <w:t>mm</w:t>
            </w:r>
            <w:r>
              <w:rPr>
                <w:spacing w:val="3"/>
                <w:sz w:val="21"/>
                <w:szCs w:val="21"/>
              </w:rPr>
              <w:t>简易涵</w:t>
            </w:r>
          </w:p>
        </w:tc>
        <w:tc>
          <w:tcPr>
            <w:tcW w:w="1268" w:type="dxa"/>
            <w:vAlign w:val="top"/>
          </w:tcPr>
          <w:p w14:paraId="3B12D161">
            <w:pPr>
              <w:spacing w:line="242" w:lineRule="auto"/>
              <w:rPr>
                <w:rFonts w:ascii="Arial"/>
                <w:sz w:val="21"/>
              </w:rPr>
            </w:pPr>
          </w:p>
          <w:p w14:paraId="50C12905">
            <w:pPr>
              <w:pStyle w:val="361"/>
              <w:spacing w:before="52" w:line="241" w:lineRule="auto"/>
              <w:ind w:left="585"/>
              <w:rPr>
                <w:sz w:val="16"/>
                <w:szCs w:val="16"/>
              </w:rPr>
            </w:pPr>
            <w:r>
              <w:rPr>
                <w:sz w:val="16"/>
                <w:szCs w:val="16"/>
              </w:rPr>
              <w:t>m</w:t>
            </w:r>
          </w:p>
        </w:tc>
        <w:tc>
          <w:tcPr>
            <w:tcW w:w="1269" w:type="dxa"/>
            <w:vAlign w:val="top"/>
          </w:tcPr>
          <w:p w14:paraId="2D9E3BAA">
            <w:pPr>
              <w:pStyle w:val="361"/>
              <w:spacing w:before="213"/>
              <w:ind w:left="527"/>
              <w:rPr>
                <w:sz w:val="21"/>
                <w:szCs w:val="21"/>
              </w:rPr>
            </w:pPr>
            <w:r>
              <w:rPr>
                <w:spacing w:val="-6"/>
                <w:sz w:val="21"/>
                <w:szCs w:val="21"/>
              </w:rPr>
              <w:t>18</w:t>
            </w:r>
          </w:p>
        </w:tc>
        <w:tc>
          <w:tcPr>
            <w:tcW w:w="1269" w:type="dxa"/>
            <w:vAlign w:val="top"/>
          </w:tcPr>
          <w:p w14:paraId="44817C3B">
            <w:pPr>
              <w:rPr>
                <w:rFonts w:ascii="Arial"/>
                <w:sz w:val="21"/>
              </w:rPr>
            </w:pPr>
          </w:p>
        </w:tc>
        <w:tc>
          <w:tcPr>
            <w:tcW w:w="1264" w:type="dxa"/>
            <w:vAlign w:val="top"/>
          </w:tcPr>
          <w:p w14:paraId="0C7B3108">
            <w:pPr>
              <w:rPr>
                <w:rFonts w:ascii="Arial"/>
                <w:sz w:val="21"/>
              </w:rPr>
            </w:pPr>
          </w:p>
        </w:tc>
      </w:tr>
      <w:tr w14:paraId="2A8BBD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15DF83DC">
            <w:pPr>
              <w:pStyle w:val="361"/>
              <w:spacing w:before="223"/>
              <w:ind w:left="435"/>
              <w:rPr>
                <w:sz w:val="21"/>
                <w:szCs w:val="21"/>
              </w:rPr>
            </w:pPr>
            <w:r>
              <w:rPr>
                <w:spacing w:val="-4"/>
                <w:sz w:val="21"/>
                <w:szCs w:val="21"/>
              </w:rPr>
              <w:t>-b</w:t>
            </w:r>
          </w:p>
        </w:tc>
        <w:tc>
          <w:tcPr>
            <w:tcW w:w="3286" w:type="dxa"/>
            <w:vAlign w:val="top"/>
          </w:tcPr>
          <w:p w14:paraId="1B28F638">
            <w:pPr>
              <w:pStyle w:val="361"/>
              <w:spacing w:before="201" w:line="219" w:lineRule="auto"/>
              <w:ind w:left="1"/>
              <w:rPr>
                <w:sz w:val="21"/>
                <w:szCs w:val="21"/>
              </w:rPr>
            </w:pPr>
            <w:r>
              <w:rPr>
                <w:spacing w:val="1"/>
                <w:sz w:val="21"/>
                <w:szCs w:val="21"/>
              </w:rPr>
              <w:t>1000</w:t>
            </w:r>
            <w:r>
              <w:rPr>
                <w:sz w:val="21"/>
                <w:szCs w:val="21"/>
              </w:rPr>
              <w:t>mm</w:t>
            </w:r>
            <w:r>
              <w:rPr>
                <w:spacing w:val="1"/>
                <w:sz w:val="21"/>
                <w:szCs w:val="21"/>
              </w:rPr>
              <w:t>简易涵</w:t>
            </w:r>
          </w:p>
        </w:tc>
        <w:tc>
          <w:tcPr>
            <w:tcW w:w="1268" w:type="dxa"/>
            <w:vAlign w:val="top"/>
          </w:tcPr>
          <w:p w14:paraId="26E8C986">
            <w:pPr>
              <w:spacing w:line="252" w:lineRule="auto"/>
              <w:rPr>
                <w:rFonts w:ascii="Arial"/>
                <w:sz w:val="21"/>
              </w:rPr>
            </w:pPr>
          </w:p>
          <w:p w14:paraId="26DEF2E1">
            <w:pPr>
              <w:pStyle w:val="361"/>
              <w:spacing w:before="52" w:line="241" w:lineRule="auto"/>
              <w:ind w:left="585"/>
              <w:rPr>
                <w:sz w:val="16"/>
                <w:szCs w:val="16"/>
              </w:rPr>
            </w:pPr>
            <w:r>
              <w:rPr>
                <w:sz w:val="16"/>
                <w:szCs w:val="16"/>
              </w:rPr>
              <w:t>m</w:t>
            </w:r>
          </w:p>
        </w:tc>
        <w:tc>
          <w:tcPr>
            <w:tcW w:w="1269" w:type="dxa"/>
            <w:vAlign w:val="top"/>
          </w:tcPr>
          <w:p w14:paraId="310D13D4">
            <w:pPr>
              <w:pStyle w:val="361"/>
              <w:spacing w:before="223"/>
              <w:ind w:left="577"/>
              <w:rPr>
                <w:sz w:val="21"/>
                <w:szCs w:val="21"/>
              </w:rPr>
            </w:pPr>
            <w:r>
              <w:rPr>
                <w:sz w:val="21"/>
                <w:szCs w:val="21"/>
              </w:rPr>
              <w:t>6</w:t>
            </w:r>
          </w:p>
        </w:tc>
        <w:tc>
          <w:tcPr>
            <w:tcW w:w="1269" w:type="dxa"/>
            <w:vAlign w:val="top"/>
          </w:tcPr>
          <w:p w14:paraId="72C4792F">
            <w:pPr>
              <w:rPr>
                <w:rFonts w:ascii="Arial"/>
                <w:sz w:val="21"/>
              </w:rPr>
            </w:pPr>
          </w:p>
        </w:tc>
        <w:tc>
          <w:tcPr>
            <w:tcW w:w="1264" w:type="dxa"/>
            <w:vAlign w:val="top"/>
          </w:tcPr>
          <w:p w14:paraId="40B9FCB3">
            <w:pPr>
              <w:rPr>
                <w:rFonts w:ascii="Arial"/>
                <w:sz w:val="21"/>
              </w:rPr>
            </w:pPr>
          </w:p>
        </w:tc>
      </w:tr>
      <w:tr w14:paraId="74FA32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2555E96C">
            <w:pPr>
              <w:rPr>
                <w:rFonts w:ascii="Arial"/>
                <w:sz w:val="21"/>
              </w:rPr>
            </w:pPr>
          </w:p>
        </w:tc>
        <w:tc>
          <w:tcPr>
            <w:tcW w:w="3286" w:type="dxa"/>
            <w:vAlign w:val="top"/>
          </w:tcPr>
          <w:p w14:paraId="31144986">
            <w:pPr>
              <w:rPr>
                <w:rFonts w:ascii="Arial"/>
                <w:sz w:val="21"/>
              </w:rPr>
            </w:pPr>
          </w:p>
        </w:tc>
        <w:tc>
          <w:tcPr>
            <w:tcW w:w="1268" w:type="dxa"/>
            <w:vAlign w:val="top"/>
          </w:tcPr>
          <w:p w14:paraId="1C5B775A">
            <w:pPr>
              <w:rPr>
                <w:rFonts w:ascii="Arial"/>
                <w:sz w:val="21"/>
              </w:rPr>
            </w:pPr>
          </w:p>
        </w:tc>
        <w:tc>
          <w:tcPr>
            <w:tcW w:w="1269" w:type="dxa"/>
            <w:vAlign w:val="top"/>
          </w:tcPr>
          <w:p w14:paraId="16B4325F">
            <w:pPr>
              <w:rPr>
                <w:rFonts w:ascii="Arial"/>
                <w:sz w:val="21"/>
              </w:rPr>
            </w:pPr>
          </w:p>
        </w:tc>
        <w:tc>
          <w:tcPr>
            <w:tcW w:w="1269" w:type="dxa"/>
            <w:vAlign w:val="top"/>
          </w:tcPr>
          <w:p w14:paraId="6816C3F1">
            <w:pPr>
              <w:rPr>
                <w:rFonts w:ascii="Arial"/>
                <w:sz w:val="21"/>
              </w:rPr>
            </w:pPr>
          </w:p>
        </w:tc>
        <w:tc>
          <w:tcPr>
            <w:tcW w:w="1264" w:type="dxa"/>
            <w:vAlign w:val="top"/>
          </w:tcPr>
          <w:p w14:paraId="03FF77AC">
            <w:pPr>
              <w:rPr>
                <w:rFonts w:ascii="Arial"/>
                <w:sz w:val="21"/>
              </w:rPr>
            </w:pPr>
          </w:p>
        </w:tc>
      </w:tr>
      <w:tr w14:paraId="0734B7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771DCFCA">
            <w:pPr>
              <w:rPr>
                <w:rFonts w:ascii="Arial"/>
                <w:sz w:val="21"/>
              </w:rPr>
            </w:pPr>
          </w:p>
        </w:tc>
        <w:tc>
          <w:tcPr>
            <w:tcW w:w="3286" w:type="dxa"/>
            <w:vAlign w:val="top"/>
          </w:tcPr>
          <w:p w14:paraId="049185C0">
            <w:pPr>
              <w:rPr>
                <w:rFonts w:ascii="Arial"/>
                <w:sz w:val="21"/>
              </w:rPr>
            </w:pPr>
          </w:p>
        </w:tc>
        <w:tc>
          <w:tcPr>
            <w:tcW w:w="1268" w:type="dxa"/>
            <w:vAlign w:val="top"/>
          </w:tcPr>
          <w:p w14:paraId="33D6FC91">
            <w:pPr>
              <w:rPr>
                <w:rFonts w:ascii="Arial"/>
                <w:sz w:val="21"/>
              </w:rPr>
            </w:pPr>
          </w:p>
        </w:tc>
        <w:tc>
          <w:tcPr>
            <w:tcW w:w="1269" w:type="dxa"/>
            <w:vAlign w:val="top"/>
          </w:tcPr>
          <w:p w14:paraId="4AB6C4D8">
            <w:pPr>
              <w:rPr>
                <w:rFonts w:ascii="Arial"/>
                <w:sz w:val="21"/>
              </w:rPr>
            </w:pPr>
          </w:p>
        </w:tc>
        <w:tc>
          <w:tcPr>
            <w:tcW w:w="1269" w:type="dxa"/>
            <w:vAlign w:val="top"/>
          </w:tcPr>
          <w:p w14:paraId="430C46DA">
            <w:pPr>
              <w:rPr>
                <w:rFonts w:ascii="Arial"/>
                <w:sz w:val="21"/>
              </w:rPr>
            </w:pPr>
          </w:p>
        </w:tc>
        <w:tc>
          <w:tcPr>
            <w:tcW w:w="1264" w:type="dxa"/>
            <w:vAlign w:val="top"/>
          </w:tcPr>
          <w:p w14:paraId="7F47E785">
            <w:pPr>
              <w:rPr>
                <w:rFonts w:ascii="Arial"/>
                <w:sz w:val="21"/>
              </w:rPr>
            </w:pPr>
          </w:p>
        </w:tc>
      </w:tr>
      <w:tr w14:paraId="6608C1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6FFA055D">
            <w:pPr>
              <w:rPr>
                <w:rFonts w:ascii="Arial"/>
                <w:sz w:val="21"/>
              </w:rPr>
            </w:pPr>
          </w:p>
        </w:tc>
        <w:tc>
          <w:tcPr>
            <w:tcW w:w="3286" w:type="dxa"/>
            <w:vAlign w:val="top"/>
          </w:tcPr>
          <w:p w14:paraId="7EF58893">
            <w:pPr>
              <w:rPr>
                <w:rFonts w:ascii="Arial"/>
                <w:sz w:val="21"/>
              </w:rPr>
            </w:pPr>
          </w:p>
        </w:tc>
        <w:tc>
          <w:tcPr>
            <w:tcW w:w="1268" w:type="dxa"/>
            <w:vAlign w:val="top"/>
          </w:tcPr>
          <w:p w14:paraId="1AB52860">
            <w:pPr>
              <w:rPr>
                <w:rFonts w:ascii="Arial"/>
                <w:sz w:val="21"/>
              </w:rPr>
            </w:pPr>
          </w:p>
        </w:tc>
        <w:tc>
          <w:tcPr>
            <w:tcW w:w="1269" w:type="dxa"/>
            <w:vAlign w:val="top"/>
          </w:tcPr>
          <w:p w14:paraId="7E924AAB">
            <w:pPr>
              <w:rPr>
                <w:rFonts w:ascii="Arial"/>
                <w:sz w:val="21"/>
              </w:rPr>
            </w:pPr>
          </w:p>
        </w:tc>
        <w:tc>
          <w:tcPr>
            <w:tcW w:w="1269" w:type="dxa"/>
            <w:vAlign w:val="top"/>
          </w:tcPr>
          <w:p w14:paraId="70BEAF8D">
            <w:pPr>
              <w:rPr>
                <w:rFonts w:ascii="Arial"/>
                <w:sz w:val="21"/>
              </w:rPr>
            </w:pPr>
          </w:p>
        </w:tc>
        <w:tc>
          <w:tcPr>
            <w:tcW w:w="1264" w:type="dxa"/>
            <w:vAlign w:val="top"/>
          </w:tcPr>
          <w:p w14:paraId="780B1D5B">
            <w:pPr>
              <w:rPr>
                <w:rFonts w:ascii="Arial"/>
                <w:sz w:val="21"/>
              </w:rPr>
            </w:pPr>
          </w:p>
        </w:tc>
      </w:tr>
      <w:tr w14:paraId="2B2472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6ADE5B1B">
            <w:pPr>
              <w:rPr>
                <w:rFonts w:ascii="Arial"/>
                <w:sz w:val="21"/>
              </w:rPr>
            </w:pPr>
          </w:p>
        </w:tc>
        <w:tc>
          <w:tcPr>
            <w:tcW w:w="3286" w:type="dxa"/>
            <w:vAlign w:val="top"/>
          </w:tcPr>
          <w:p w14:paraId="54633E63">
            <w:pPr>
              <w:rPr>
                <w:rFonts w:ascii="Arial"/>
                <w:sz w:val="21"/>
              </w:rPr>
            </w:pPr>
          </w:p>
        </w:tc>
        <w:tc>
          <w:tcPr>
            <w:tcW w:w="1268" w:type="dxa"/>
            <w:vAlign w:val="top"/>
          </w:tcPr>
          <w:p w14:paraId="075BDD95">
            <w:pPr>
              <w:rPr>
                <w:rFonts w:ascii="Arial"/>
                <w:sz w:val="21"/>
              </w:rPr>
            </w:pPr>
          </w:p>
        </w:tc>
        <w:tc>
          <w:tcPr>
            <w:tcW w:w="1269" w:type="dxa"/>
            <w:vAlign w:val="top"/>
          </w:tcPr>
          <w:p w14:paraId="190D38D7">
            <w:pPr>
              <w:rPr>
                <w:rFonts w:ascii="Arial"/>
                <w:sz w:val="21"/>
              </w:rPr>
            </w:pPr>
          </w:p>
        </w:tc>
        <w:tc>
          <w:tcPr>
            <w:tcW w:w="1269" w:type="dxa"/>
            <w:vAlign w:val="top"/>
          </w:tcPr>
          <w:p w14:paraId="22158166">
            <w:pPr>
              <w:rPr>
                <w:rFonts w:ascii="Arial"/>
                <w:sz w:val="21"/>
              </w:rPr>
            </w:pPr>
          </w:p>
        </w:tc>
        <w:tc>
          <w:tcPr>
            <w:tcW w:w="1264" w:type="dxa"/>
            <w:vAlign w:val="top"/>
          </w:tcPr>
          <w:p w14:paraId="679B79EA">
            <w:pPr>
              <w:rPr>
                <w:rFonts w:ascii="Arial"/>
                <w:sz w:val="21"/>
              </w:rPr>
            </w:pPr>
          </w:p>
        </w:tc>
      </w:tr>
      <w:tr w14:paraId="2467FE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1F8567E9">
            <w:pPr>
              <w:rPr>
                <w:rFonts w:ascii="Arial"/>
                <w:sz w:val="21"/>
              </w:rPr>
            </w:pPr>
          </w:p>
        </w:tc>
        <w:tc>
          <w:tcPr>
            <w:tcW w:w="3286" w:type="dxa"/>
            <w:vAlign w:val="top"/>
          </w:tcPr>
          <w:p w14:paraId="7981E4D7">
            <w:pPr>
              <w:rPr>
                <w:rFonts w:ascii="Arial"/>
                <w:sz w:val="21"/>
              </w:rPr>
            </w:pPr>
          </w:p>
        </w:tc>
        <w:tc>
          <w:tcPr>
            <w:tcW w:w="1268" w:type="dxa"/>
            <w:vAlign w:val="top"/>
          </w:tcPr>
          <w:p w14:paraId="31964F17">
            <w:pPr>
              <w:rPr>
                <w:rFonts w:ascii="Arial"/>
                <w:sz w:val="21"/>
              </w:rPr>
            </w:pPr>
          </w:p>
        </w:tc>
        <w:tc>
          <w:tcPr>
            <w:tcW w:w="1269" w:type="dxa"/>
            <w:vAlign w:val="top"/>
          </w:tcPr>
          <w:p w14:paraId="21AE6109">
            <w:pPr>
              <w:rPr>
                <w:rFonts w:ascii="Arial"/>
                <w:sz w:val="21"/>
              </w:rPr>
            </w:pPr>
          </w:p>
        </w:tc>
        <w:tc>
          <w:tcPr>
            <w:tcW w:w="1269" w:type="dxa"/>
            <w:vAlign w:val="top"/>
          </w:tcPr>
          <w:p w14:paraId="6BCE0982">
            <w:pPr>
              <w:rPr>
                <w:rFonts w:ascii="Arial"/>
                <w:sz w:val="21"/>
              </w:rPr>
            </w:pPr>
          </w:p>
        </w:tc>
        <w:tc>
          <w:tcPr>
            <w:tcW w:w="1264" w:type="dxa"/>
            <w:vAlign w:val="top"/>
          </w:tcPr>
          <w:p w14:paraId="1691B111">
            <w:pPr>
              <w:rPr>
                <w:rFonts w:ascii="Arial"/>
                <w:sz w:val="21"/>
              </w:rPr>
            </w:pPr>
          </w:p>
        </w:tc>
      </w:tr>
      <w:tr w14:paraId="3BBF3E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7946A04C">
            <w:pPr>
              <w:rPr>
                <w:rFonts w:ascii="Arial"/>
                <w:sz w:val="21"/>
              </w:rPr>
            </w:pPr>
          </w:p>
        </w:tc>
        <w:tc>
          <w:tcPr>
            <w:tcW w:w="3286" w:type="dxa"/>
            <w:vAlign w:val="top"/>
          </w:tcPr>
          <w:p w14:paraId="537416F3">
            <w:pPr>
              <w:rPr>
                <w:rFonts w:ascii="Arial"/>
                <w:sz w:val="21"/>
              </w:rPr>
            </w:pPr>
          </w:p>
        </w:tc>
        <w:tc>
          <w:tcPr>
            <w:tcW w:w="1268" w:type="dxa"/>
            <w:vAlign w:val="top"/>
          </w:tcPr>
          <w:p w14:paraId="3160E88C">
            <w:pPr>
              <w:rPr>
                <w:rFonts w:ascii="Arial"/>
                <w:sz w:val="21"/>
              </w:rPr>
            </w:pPr>
          </w:p>
        </w:tc>
        <w:tc>
          <w:tcPr>
            <w:tcW w:w="1269" w:type="dxa"/>
            <w:vAlign w:val="top"/>
          </w:tcPr>
          <w:p w14:paraId="5F25DE39">
            <w:pPr>
              <w:rPr>
                <w:rFonts w:ascii="Arial"/>
                <w:sz w:val="21"/>
              </w:rPr>
            </w:pPr>
          </w:p>
        </w:tc>
        <w:tc>
          <w:tcPr>
            <w:tcW w:w="1269" w:type="dxa"/>
            <w:vAlign w:val="top"/>
          </w:tcPr>
          <w:p w14:paraId="76262953">
            <w:pPr>
              <w:rPr>
                <w:rFonts w:ascii="Arial"/>
                <w:sz w:val="21"/>
              </w:rPr>
            </w:pPr>
          </w:p>
        </w:tc>
        <w:tc>
          <w:tcPr>
            <w:tcW w:w="1264" w:type="dxa"/>
            <w:vAlign w:val="top"/>
          </w:tcPr>
          <w:p w14:paraId="4F2FB8EF">
            <w:pPr>
              <w:rPr>
                <w:rFonts w:ascii="Arial"/>
                <w:sz w:val="21"/>
              </w:rPr>
            </w:pPr>
          </w:p>
        </w:tc>
      </w:tr>
      <w:tr w14:paraId="3F32C6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14A10DB7">
            <w:pPr>
              <w:rPr>
                <w:rFonts w:ascii="Arial"/>
                <w:sz w:val="21"/>
              </w:rPr>
            </w:pPr>
          </w:p>
        </w:tc>
        <w:tc>
          <w:tcPr>
            <w:tcW w:w="3286" w:type="dxa"/>
            <w:vAlign w:val="top"/>
          </w:tcPr>
          <w:p w14:paraId="5EBED8EB">
            <w:pPr>
              <w:rPr>
                <w:rFonts w:ascii="Arial"/>
                <w:sz w:val="21"/>
              </w:rPr>
            </w:pPr>
          </w:p>
        </w:tc>
        <w:tc>
          <w:tcPr>
            <w:tcW w:w="1268" w:type="dxa"/>
            <w:vAlign w:val="top"/>
          </w:tcPr>
          <w:p w14:paraId="63B5F1D6">
            <w:pPr>
              <w:rPr>
                <w:rFonts w:ascii="Arial"/>
                <w:sz w:val="21"/>
              </w:rPr>
            </w:pPr>
          </w:p>
        </w:tc>
        <w:tc>
          <w:tcPr>
            <w:tcW w:w="1269" w:type="dxa"/>
            <w:vAlign w:val="top"/>
          </w:tcPr>
          <w:p w14:paraId="27F2DB19">
            <w:pPr>
              <w:rPr>
                <w:rFonts w:ascii="Arial"/>
                <w:sz w:val="21"/>
              </w:rPr>
            </w:pPr>
          </w:p>
        </w:tc>
        <w:tc>
          <w:tcPr>
            <w:tcW w:w="1269" w:type="dxa"/>
            <w:vAlign w:val="top"/>
          </w:tcPr>
          <w:p w14:paraId="06E89F41">
            <w:pPr>
              <w:rPr>
                <w:rFonts w:ascii="Arial"/>
                <w:sz w:val="21"/>
              </w:rPr>
            </w:pPr>
          </w:p>
        </w:tc>
        <w:tc>
          <w:tcPr>
            <w:tcW w:w="1264" w:type="dxa"/>
            <w:vAlign w:val="top"/>
          </w:tcPr>
          <w:p w14:paraId="5D1D3AC4">
            <w:pPr>
              <w:rPr>
                <w:rFonts w:ascii="Arial"/>
                <w:sz w:val="21"/>
              </w:rPr>
            </w:pPr>
          </w:p>
        </w:tc>
      </w:tr>
      <w:tr w14:paraId="0F52FF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7F291B33">
            <w:pPr>
              <w:rPr>
                <w:rFonts w:ascii="Arial"/>
                <w:sz w:val="21"/>
              </w:rPr>
            </w:pPr>
          </w:p>
        </w:tc>
        <w:tc>
          <w:tcPr>
            <w:tcW w:w="3286" w:type="dxa"/>
            <w:vAlign w:val="top"/>
          </w:tcPr>
          <w:p w14:paraId="482E8AD9">
            <w:pPr>
              <w:rPr>
                <w:rFonts w:ascii="Arial"/>
                <w:sz w:val="21"/>
              </w:rPr>
            </w:pPr>
          </w:p>
        </w:tc>
        <w:tc>
          <w:tcPr>
            <w:tcW w:w="1268" w:type="dxa"/>
            <w:vAlign w:val="top"/>
          </w:tcPr>
          <w:p w14:paraId="50C6E4DD">
            <w:pPr>
              <w:rPr>
                <w:rFonts w:ascii="Arial"/>
                <w:sz w:val="21"/>
              </w:rPr>
            </w:pPr>
          </w:p>
        </w:tc>
        <w:tc>
          <w:tcPr>
            <w:tcW w:w="1269" w:type="dxa"/>
            <w:vAlign w:val="top"/>
          </w:tcPr>
          <w:p w14:paraId="2E075A46">
            <w:pPr>
              <w:rPr>
                <w:rFonts w:ascii="Arial"/>
                <w:sz w:val="21"/>
              </w:rPr>
            </w:pPr>
          </w:p>
        </w:tc>
        <w:tc>
          <w:tcPr>
            <w:tcW w:w="1269" w:type="dxa"/>
            <w:vAlign w:val="top"/>
          </w:tcPr>
          <w:p w14:paraId="47AFD61E">
            <w:pPr>
              <w:rPr>
                <w:rFonts w:ascii="Arial"/>
                <w:sz w:val="21"/>
              </w:rPr>
            </w:pPr>
          </w:p>
        </w:tc>
        <w:tc>
          <w:tcPr>
            <w:tcW w:w="1264" w:type="dxa"/>
            <w:vAlign w:val="top"/>
          </w:tcPr>
          <w:p w14:paraId="38F66A3E">
            <w:pPr>
              <w:rPr>
                <w:rFonts w:ascii="Arial"/>
                <w:sz w:val="21"/>
              </w:rPr>
            </w:pPr>
          </w:p>
        </w:tc>
      </w:tr>
      <w:tr w14:paraId="0A6EE5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71A48262">
            <w:pPr>
              <w:rPr>
                <w:rFonts w:ascii="Arial"/>
                <w:sz w:val="21"/>
              </w:rPr>
            </w:pPr>
          </w:p>
        </w:tc>
        <w:tc>
          <w:tcPr>
            <w:tcW w:w="3286" w:type="dxa"/>
            <w:vAlign w:val="top"/>
          </w:tcPr>
          <w:p w14:paraId="45FEFB78">
            <w:pPr>
              <w:rPr>
                <w:rFonts w:ascii="Arial"/>
                <w:sz w:val="21"/>
              </w:rPr>
            </w:pPr>
          </w:p>
        </w:tc>
        <w:tc>
          <w:tcPr>
            <w:tcW w:w="1268" w:type="dxa"/>
            <w:vAlign w:val="top"/>
          </w:tcPr>
          <w:p w14:paraId="0CDD050B">
            <w:pPr>
              <w:rPr>
                <w:rFonts w:ascii="Arial"/>
                <w:sz w:val="21"/>
              </w:rPr>
            </w:pPr>
          </w:p>
        </w:tc>
        <w:tc>
          <w:tcPr>
            <w:tcW w:w="1269" w:type="dxa"/>
            <w:vAlign w:val="top"/>
          </w:tcPr>
          <w:p w14:paraId="2AC9A7F1">
            <w:pPr>
              <w:rPr>
                <w:rFonts w:ascii="Arial"/>
                <w:sz w:val="21"/>
              </w:rPr>
            </w:pPr>
          </w:p>
        </w:tc>
        <w:tc>
          <w:tcPr>
            <w:tcW w:w="1269" w:type="dxa"/>
            <w:vAlign w:val="top"/>
          </w:tcPr>
          <w:p w14:paraId="2A75F86A">
            <w:pPr>
              <w:rPr>
                <w:rFonts w:ascii="Arial"/>
                <w:sz w:val="21"/>
              </w:rPr>
            </w:pPr>
          </w:p>
        </w:tc>
        <w:tc>
          <w:tcPr>
            <w:tcW w:w="1264" w:type="dxa"/>
            <w:vAlign w:val="top"/>
          </w:tcPr>
          <w:p w14:paraId="7996AB6B">
            <w:pPr>
              <w:rPr>
                <w:rFonts w:ascii="Arial"/>
                <w:sz w:val="21"/>
              </w:rPr>
            </w:pPr>
          </w:p>
        </w:tc>
      </w:tr>
      <w:tr w14:paraId="1E52E5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338F4592">
            <w:pPr>
              <w:rPr>
                <w:rFonts w:ascii="Arial"/>
                <w:sz w:val="21"/>
              </w:rPr>
            </w:pPr>
          </w:p>
        </w:tc>
        <w:tc>
          <w:tcPr>
            <w:tcW w:w="3286" w:type="dxa"/>
            <w:vAlign w:val="top"/>
          </w:tcPr>
          <w:p w14:paraId="4566F9E5">
            <w:pPr>
              <w:rPr>
                <w:rFonts w:ascii="Arial"/>
                <w:sz w:val="21"/>
              </w:rPr>
            </w:pPr>
          </w:p>
        </w:tc>
        <w:tc>
          <w:tcPr>
            <w:tcW w:w="1268" w:type="dxa"/>
            <w:vAlign w:val="top"/>
          </w:tcPr>
          <w:p w14:paraId="4EBB644C">
            <w:pPr>
              <w:rPr>
                <w:rFonts w:ascii="Arial"/>
                <w:sz w:val="21"/>
              </w:rPr>
            </w:pPr>
          </w:p>
        </w:tc>
        <w:tc>
          <w:tcPr>
            <w:tcW w:w="1269" w:type="dxa"/>
            <w:vAlign w:val="top"/>
          </w:tcPr>
          <w:p w14:paraId="56962A16">
            <w:pPr>
              <w:rPr>
                <w:rFonts w:ascii="Arial"/>
                <w:sz w:val="21"/>
              </w:rPr>
            </w:pPr>
          </w:p>
        </w:tc>
        <w:tc>
          <w:tcPr>
            <w:tcW w:w="1269" w:type="dxa"/>
            <w:vAlign w:val="top"/>
          </w:tcPr>
          <w:p w14:paraId="555C9B3B">
            <w:pPr>
              <w:rPr>
                <w:rFonts w:ascii="Arial"/>
                <w:sz w:val="21"/>
              </w:rPr>
            </w:pPr>
          </w:p>
        </w:tc>
        <w:tc>
          <w:tcPr>
            <w:tcW w:w="1264" w:type="dxa"/>
            <w:vAlign w:val="top"/>
          </w:tcPr>
          <w:p w14:paraId="2DC954E1">
            <w:pPr>
              <w:rPr>
                <w:rFonts w:ascii="Arial"/>
                <w:sz w:val="21"/>
              </w:rPr>
            </w:pPr>
          </w:p>
        </w:tc>
      </w:tr>
      <w:tr w14:paraId="09E3FC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35589A5B">
            <w:pPr>
              <w:rPr>
                <w:rFonts w:ascii="Arial"/>
                <w:sz w:val="21"/>
              </w:rPr>
            </w:pPr>
          </w:p>
        </w:tc>
        <w:tc>
          <w:tcPr>
            <w:tcW w:w="3286" w:type="dxa"/>
            <w:vAlign w:val="top"/>
          </w:tcPr>
          <w:p w14:paraId="0DFB7443">
            <w:pPr>
              <w:rPr>
                <w:rFonts w:ascii="Arial"/>
                <w:sz w:val="21"/>
              </w:rPr>
            </w:pPr>
          </w:p>
        </w:tc>
        <w:tc>
          <w:tcPr>
            <w:tcW w:w="1268" w:type="dxa"/>
            <w:vAlign w:val="top"/>
          </w:tcPr>
          <w:p w14:paraId="280DE267">
            <w:pPr>
              <w:rPr>
                <w:rFonts w:ascii="Arial"/>
                <w:sz w:val="21"/>
              </w:rPr>
            </w:pPr>
          </w:p>
        </w:tc>
        <w:tc>
          <w:tcPr>
            <w:tcW w:w="1269" w:type="dxa"/>
            <w:vAlign w:val="top"/>
          </w:tcPr>
          <w:p w14:paraId="11B5D87E">
            <w:pPr>
              <w:rPr>
                <w:rFonts w:ascii="Arial"/>
                <w:sz w:val="21"/>
              </w:rPr>
            </w:pPr>
          </w:p>
        </w:tc>
        <w:tc>
          <w:tcPr>
            <w:tcW w:w="1269" w:type="dxa"/>
            <w:vAlign w:val="top"/>
          </w:tcPr>
          <w:p w14:paraId="3E73D8D4">
            <w:pPr>
              <w:rPr>
                <w:rFonts w:ascii="Arial"/>
                <w:sz w:val="21"/>
              </w:rPr>
            </w:pPr>
          </w:p>
        </w:tc>
        <w:tc>
          <w:tcPr>
            <w:tcW w:w="1264" w:type="dxa"/>
            <w:vAlign w:val="top"/>
          </w:tcPr>
          <w:p w14:paraId="658F0C76">
            <w:pPr>
              <w:rPr>
                <w:rFonts w:ascii="Arial"/>
                <w:sz w:val="21"/>
              </w:rPr>
            </w:pPr>
          </w:p>
        </w:tc>
      </w:tr>
      <w:tr w14:paraId="7963DF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56F97A04">
            <w:pPr>
              <w:rPr>
                <w:rFonts w:ascii="Arial"/>
                <w:sz w:val="21"/>
              </w:rPr>
            </w:pPr>
          </w:p>
        </w:tc>
        <w:tc>
          <w:tcPr>
            <w:tcW w:w="3286" w:type="dxa"/>
            <w:vAlign w:val="top"/>
          </w:tcPr>
          <w:p w14:paraId="0E3F41BB">
            <w:pPr>
              <w:rPr>
                <w:rFonts w:ascii="Arial"/>
                <w:sz w:val="21"/>
              </w:rPr>
            </w:pPr>
          </w:p>
        </w:tc>
        <w:tc>
          <w:tcPr>
            <w:tcW w:w="1268" w:type="dxa"/>
            <w:vAlign w:val="top"/>
          </w:tcPr>
          <w:p w14:paraId="15D9F17E">
            <w:pPr>
              <w:rPr>
                <w:rFonts w:ascii="Arial"/>
                <w:sz w:val="21"/>
              </w:rPr>
            </w:pPr>
          </w:p>
        </w:tc>
        <w:tc>
          <w:tcPr>
            <w:tcW w:w="1269" w:type="dxa"/>
            <w:vAlign w:val="top"/>
          </w:tcPr>
          <w:p w14:paraId="585AB9A3">
            <w:pPr>
              <w:rPr>
                <w:rFonts w:ascii="Arial"/>
                <w:sz w:val="21"/>
              </w:rPr>
            </w:pPr>
          </w:p>
        </w:tc>
        <w:tc>
          <w:tcPr>
            <w:tcW w:w="1269" w:type="dxa"/>
            <w:vAlign w:val="top"/>
          </w:tcPr>
          <w:p w14:paraId="032EEE2B">
            <w:pPr>
              <w:rPr>
                <w:rFonts w:ascii="Arial"/>
                <w:sz w:val="21"/>
              </w:rPr>
            </w:pPr>
          </w:p>
        </w:tc>
        <w:tc>
          <w:tcPr>
            <w:tcW w:w="1264" w:type="dxa"/>
            <w:vAlign w:val="top"/>
          </w:tcPr>
          <w:p w14:paraId="328DB68E">
            <w:pPr>
              <w:rPr>
                <w:rFonts w:ascii="Arial"/>
                <w:sz w:val="21"/>
              </w:rPr>
            </w:pPr>
          </w:p>
        </w:tc>
      </w:tr>
      <w:tr w14:paraId="4F2AC1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07920353">
            <w:pPr>
              <w:rPr>
                <w:rFonts w:ascii="Arial"/>
                <w:sz w:val="21"/>
              </w:rPr>
            </w:pPr>
          </w:p>
        </w:tc>
        <w:tc>
          <w:tcPr>
            <w:tcW w:w="3286" w:type="dxa"/>
            <w:vAlign w:val="top"/>
          </w:tcPr>
          <w:p w14:paraId="4DE5F6CD">
            <w:pPr>
              <w:rPr>
                <w:rFonts w:ascii="Arial"/>
                <w:sz w:val="21"/>
              </w:rPr>
            </w:pPr>
          </w:p>
        </w:tc>
        <w:tc>
          <w:tcPr>
            <w:tcW w:w="1268" w:type="dxa"/>
            <w:vAlign w:val="top"/>
          </w:tcPr>
          <w:p w14:paraId="6E68E299">
            <w:pPr>
              <w:rPr>
                <w:rFonts w:ascii="Arial"/>
                <w:sz w:val="21"/>
              </w:rPr>
            </w:pPr>
          </w:p>
        </w:tc>
        <w:tc>
          <w:tcPr>
            <w:tcW w:w="1269" w:type="dxa"/>
            <w:vAlign w:val="top"/>
          </w:tcPr>
          <w:p w14:paraId="7D67E855">
            <w:pPr>
              <w:rPr>
                <w:rFonts w:ascii="Arial"/>
                <w:sz w:val="21"/>
              </w:rPr>
            </w:pPr>
          </w:p>
        </w:tc>
        <w:tc>
          <w:tcPr>
            <w:tcW w:w="1269" w:type="dxa"/>
            <w:vAlign w:val="top"/>
          </w:tcPr>
          <w:p w14:paraId="7D14E9E5">
            <w:pPr>
              <w:rPr>
                <w:rFonts w:ascii="Arial"/>
                <w:sz w:val="21"/>
              </w:rPr>
            </w:pPr>
          </w:p>
        </w:tc>
        <w:tc>
          <w:tcPr>
            <w:tcW w:w="1264" w:type="dxa"/>
            <w:vAlign w:val="top"/>
          </w:tcPr>
          <w:p w14:paraId="7A72BBEF">
            <w:pPr>
              <w:rPr>
                <w:rFonts w:ascii="Arial"/>
                <w:sz w:val="21"/>
              </w:rPr>
            </w:pPr>
          </w:p>
        </w:tc>
      </w:tr>
      <w:tr w14:paraId="2588FE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6EBED27F">
            <w:pPr>
              <w:rPr>
                <w:rFonts w:ascii="Arial"/>
                <w:sz w:val="21"/>
              </w:rPr>
            </w:pPr>
          </w:p>
        </w:tc>
        <w:tc>
          <w:tcPr>
            <w:tcW w:w="3286" w:type="dxa"/>
            <w:vAlign w:val="top"/>
          </w:tcPr>
          <w:p w14:paraId="6E797FF7">
            <w:pPr>
              <w:rPr>
                <w:rFonts w:ascii="Arial"/>
                <w:sz w:val="21"/>
              </w:rPr>
            </w:pPr>
          </w:p>
        </w:tc>
        <w:tc>
          <w:tcPr>
            <w:tcW w:w="1268" w:type="dxa"/>
            <w:vAlign w:val="top"/>
          </w:tcPr>
          <w:p w14:paraId="431D2EC8">
            <w:pPr>
              <w:rPr>
                <w:rFonts w:ascii="Arial"/>
                <w:sz w:val="21"/>
              </w:rPr>
            </w:pPr>
          </w:p>
        </w:tc>
        <w:tc>
          <w:tcPr>
            <w:tcW w:w="1269" w:type="dxa"/>
            <w:vAlign w:val="top"/>
          </w:tcPr>
          <w:p w14:paraId="67516501">
            <w:pPr>
              <w:rPr>
                <w:rFonts w:ascii="Arial"/>
                <w:sz w:val="21"/>
              </w:rPr>
            </w:pPr>
          </w:p>
        </w:tc>
        <w:tc>
          <w:tcPr>
            <w:tcW w:w="1269" w:type="dxa"/>
            <w:vAlign w:val="top"/>
          </w:tcPr>
          <w:p w14:paraId="1EA23988">
            <w:pPr>
              <w:rPr>
                <w:rFonts w:ascii="Arial"/>
                <w:sz w:val="21"/>
              </w:rPr>
            </w:pPr>
          </w:p>
        </w:tc>
        <w:tc>
          <w:tcPr>
            <w:tcW w:w="1264" w:type="dxa"/>
            <w:vAlign w:val="top"/>
          </w:tcPr>
          <w:p w14:paraId="7D379267">
            <w:pPr>
              <w:rPr>
                <w:rFonts w:ascii="Arial"/>
                <w:sz w:val="21"/>
              </w:rPr>
            </w:pPr>
          </w:p>
        </w:tc>
      </w:tr>
      <w:tr w14:paraId="3366AA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5" w:hRule="atLeast"/>
        </w:trPr>
        <w:tc>
          <w:tcPr>
            <w:tcW w:w="5648" w:type="dxa"/>
            <w:gridSpan w:val="3"/>
            <w:vAlign w:val="top"/>
          </w:tcPr>
          <w:p w14:paraId="38E0BF27">
            <w:pPr>
              <w:pStyle w:val="361"/>
              <w:spacing w:before="197" w:line="219" w:lineRule="auto"/>
              <w:ind w:left="1595"/>
              <w:rPr>
                <w:sz w:val="21"/>
                <w:szCs w:val="21"/>
              </w:rPr>
            </w:pPr>
            <w:r>
              <w:rPr>
                <w:spacing w:val="-1"/>
                <w:sz w:val="21"/>
                <w:szCs w:val="21"/>
              </w:rPr>
              <w:t>清单 第400章</w:t>
            </w:r>
            <w:r>
              <w:rPr>
                <w:spacing w:val="18"/>
                <w:sz w:val="21"/>
                <w:szCs w:val="21"/>
              </w:rPr>
              <w:t xml:space="preserve"> </w:t>
            </w:r>
            <w:r>
              <w:rPr>
                <w:spacing w:val="-1"/>
                <w:sz w:val="21"/>
                <w:szCs w:val="21"/>
              </w:rPr>
              <w:t>合计</w:t>
            </w:r>
            <w:r>
              <w:rPr>
                <w:spacing w:val="8"/>
                <w:sz w:val="21"/>
                <w:szCs w:val="21"/>
              </w:rPr>
              <w:t xml:space="preserve">  </w:t>
            </w:r>
            <w:r>
              <w:rPr>
                <w:spacing w:val="-1"/>
                <w:sz w:val="21"/>
                <w:szCs w:val="21"/>
              </w:rPr>
              <w:t>人民币</w:t>
            </w:r>
          </w:p>
        </w:tc>
        <w:tc>
          <w:tcPr>
            <w:tcW w:w="3802" w:type="dxa"/>
            <w:gridSpan w:val="3"/>
            <w:vAlign w:val="top"/>
          </w:tcPr>
          <w:p w14:paraId="09AB0EE4">
            <w:pPr>
              <w:pStyle w:val="361"/>
              <w:spacing w:before="217" w:line="220" w:lineRule="auto"/>
              <w:ind w:left="2587"/>
              <w:rPr>
                <w:sz w:val="16"/>
                <w:szCs w:val="16"/>
              </w:rPr>
            </w:pPr>
            <w:r>
              <w:rPr>
                <w:sz w:val="16"/>
                <w:szCs w:val="16"/>
              </w:rPr>
              <w:t>元</w:t>
            </w:r>
          </w:p>
        </w:tc>
      </w:tr>
    </w:tbl>
    <w:p w14:paraId="6E1DAFDD">
      <w:pPr>
        <w:spacing w:line="360" w:lineRule="auto"/>
        <w:rPr>
          <w:rFonts w:ascii="宋体" w:hAnsi="宋体"/>
          <w:color w:val="000000" w:themeColor="text1"/>
          <w:sz w:val="24"/>
          <w14:textFill>
            <w14:solidFill>
              <w14:schemeClr w14:val="tx1"/>
            </w14:solidFill>
          </w14:textFill>
        </w:rPr>
        <w:sectPr>
          <w:headerReference r:id="rId6" w:type="default"/>
          <w:footerReference r:id="rId7" w:type="default"/>
          <w:footerReference r:id="rId8" w:type="even"/>
          <w:pgSz w:w="11906" w:h="16838"/>
          <w:pgMar w:top="1134" w:right="1134" w:bottom="1191" w:left="1417" w:header="0" w:footer="567" w:gutter="0"/>
          <w:cols w:space="720" w:num="1"/>
          <w:docGrid w:linePitch="312" w:charSpace="0"/>
        </w:sectPr>
      </w:pPr>
    </w:p>
    <w:p w14:paraId="77B70159">
      <w:pPr>
        <w:pStyle w:val="3"/>
        <w:pageBreakBefore/>
        <w:jc w:val="center"/>
        <w:rPr>
          <w:color w:val="000000" w:themeColor="text1"/>
          <w:sz w:val="36"/>
          <w:szCs w:val="36"/>
          <w14:textFill>
            <w14:solidFill>
              <w14:schemeClr w14:val="tx1"/>
            </w14:solidFill>
          </w14:textFill>
        </w:rPr>
      </w:pPr>
      <w:bookmarkStart w:id="770" w:name="_Toc54258236"/>
      <w:bookmarkStart w:id="771" w:name="_Toc31068"/>
      <w:r>
        <w:rPr>
          <w:rFonts w:hint="eastAsia"/>
          <w:color w:val="000000" w:themeColor="text1"/>
          <w:sz w:val="36"/>
          <w:szCs w:val="36"/>
          <w14:textFill>
            <w14:solidFill>
              <w14:schemeClr w14:val="tx1"/>
            </w14:solidFill>
          </w14:textFill>
        </w:rPr>
        <w:t>第六章 图  纸</w:t>
      </w:r>
      <w:bookmarkEnd w:id="770"/>
      <w:bookmarkEnd w:id="771"/>
    </w:p>
    <w:p w14:paraId="0F539B08">
      <w:pPr>
        <w:spacing w:line="360" w:lineRule="auto"/>
        <w:ind w:firstLine="482" w:firstLineChars="200"/>
        <w:jc w:val="center"/>
        <w:rPr>
          <w:b/>
          <w:color w:val="000000" w:themeColor="text1"/>
          <w:sz w:val="24"/>
          <w14:textFill>
            <w14:solidFill>
              <w14:schemeClr w14:val="tx1"/>
            </w14:solidFill>
          </w14:textFill>
        </w:rPr>
      </w:pPr>
      <w:r>
        <w:rPr>
          <w:rFonts w:hint="eastAsia"/>
          <w:b/>
          <w:color w:val="000000" w:themeColor="text1"/>
          <w:sz w:val="24"/>
          <w14:textFill>
            <w14:solidFill>
              <w14:schemeClr w14:val="tx1"/>
            </w14:solidFill>
          </w14:textFill>
        </w:rPr>
        <w:t>(另附)</w:t>
      </w:r>
    </w:p>
    <w:p w14:paraId="5B61B317"/>
    <w:p w14:paraId="3E2833B0">
      <w:pPr>
        <w:pStyle w:val="3"/>
        <w:pageBreakBefore/>
        <w:jc w:val="center"/>
        <w:rPr>
          <w:color w:val="000000" w:themeColor="text1"/>
          <w:sz w:val="36"/>
          <w:szCs w:val="36"/>
          <w14:textFill>
            <w14:solidFill>
              <w14:schemeClr w14:val="tx1"/>
            </w14:solidFill>
          </w14:textFill>
        </w:rPr>
      </w:pPr>
      <w:bookmarkStart w:id="772" w:name="_Toc11261"/>
      <w:bookmarkStart w:id="773" w:name="_Toc54258237"/>
      <w:r>
        <w:rPr>
          <w:rFonts w:hint="eastAsia"/>
          <w:color w:val="000000" w:themeColor="text1"/>
          <w:sz w:val="36"/>
          <w:szCs w:val="36"/>
          <w14:textFill>
            <w14:solidFill>
              <w14:schemeClr w14:val="tx1"/>
            </w14:solidFill>
          </w14:textFill>
        </w:rPr>
        <w:t>第七章  技术标准和要求</w:t>
      </w:r>
      <w:bookmarkEnd w:id="772"/>
      <w:bookmarkEnd w:id="773"/>
    </w:p>
    <w:p w14:paraId="6D471B1A">
      <w:pPr>
        <w:rPr>
          <w:color w:val="000000" w:themeColor="text1"/>
          <w14:textFill>
            <w14:solidFill>
              <w14:schemeClr w14:val="tx1"/>
            </w14:solidFill>
          </w14:textFill>
        </w:rPr>
      </w:pPr>
    </w:p>
    <w:p w14:paraId="7AEA386F">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1. 工程质量要求：</w:t>
      </w:r>
      <w:r>
        <w:rPr>
          <w:rFonts w:hint="eastAsia"/>
          <w:color w:val="000000" w:themeColor="text1"/>
          <w:lang w:val="zh-CN"/>
          <w14:textFill>
            <w14:solidFill>
              <w14:schemeClr w14:val="tx1"/>
            </w14:solidFill>
          </w14:textFill>
        </w:rPr>
        <w:t>工程质量必须达到国家及吉林省地方规定的工程质量验收合格标准</w:t>
      </w:r>
      <w:r>
        <w:rPr>
          <w:rFonts w:hint="eastAsia"/>
          <w:color w:val="000000" w:themeColor="text1"/>
          <w14:textFill>
            <w14:solidFill>
              <w14:schemeClr w14:val="tx1"/>
            </w14:solidFill>
          </w14:textFill>
        </w:rPr>
        <w:t>。</w:t>
      </w:r>
    </w:p>
    <w:p w14:paraId="5A04C9FE">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2. 工程材料要求：所有材料均须符合国家现行的质量评定标准及技术验收规范要求，质量等级为合格。</w:t>
      </w:r>
    </w:p>
    <w:p w14:paraId="648F75BC">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3. 其他标准及要求详见工程量清单及图纸。</w:t>
      </w:r>
    </w:p>
    <w:p w14:paraId="0F5DDF8B">
      <w:pPr>
        <w:rPr>
          <w:color w:val="000000" w:themeColor="text1"/>
          <w14:textFill>
            <w14:solidFill>
              <w14:schemeClr w14:val="tx1"/>
            </w14:solidFill>
          </w14:textFill>
        </w:rPr>
      </w:pPr>
    </w:p>
    <w:p w14:paraId="67844CBA">
      <w:pPr>
        <w:pStyle w:val="3"/>
        <w:pageBreakBefore/>
        <w:jc w:val="center"/>
        <w:rPr>
          <w:color w:val="000000" w:themeColor="text1"/>
          <w:sz w:val="36"/>
          <w:szCs w:val="36"/>
          <w14:textFill>
            <w14:solidFill>
              <w14:schemeClr w14:val="tx1"/>
            </w14:solidFill>
          </w14:textFill>
        </w:rPr>
      </w:pPr>
      <w:bookmarkStart w:id="774" w:name="_Toc54258238"/>
      <w:bookmarkStart w:id="775" w:name="_Toc26814"/>
      <w:r>
        <w:rPr>
          <w:rFonts w:hint="eastAsia"/>
          <w:color w:val="000000" w:themeColor="text1"/>
          <w:sz w:val="36"/>
          <w:szCs w:val="36"/>
          <w14:textFill>
            <w14:solidFill>
              <w14:schemeClr w14:val="tx1"/>
            </w14:solidFill>
          </w14:textFill>
        </w:rPr>
        <w:t>第八章  响应文件格式</w:t>
      </w:r>
      <w:bookmarkEnd w:id="774"/>
      <w:bookmarkEnd w:id="775"/>
    </w:p>
    <w:p w14:paraId="22A7BC22">
      <w:pPr>
        <w:spacing w:line="440" w:lineRule="exact"/>
        <w:rPr>
          <w:rFonts w:ascii="宋体" w:hAnsi="宋体"/>
          <w:color w:val="000000" w:themeColor="text1"/>
          <w:szCs w:val="21"/>
          <w14:textFill>
            <w14:solidFill>
              <w14:schemeClr w14:val="tx1"/>
            </w14:solidFill>
          </w14:textFill>
        </w:rPr>
      </w:pPr>
      <w:r>
        <w:rPr>
          <w:rFonts w:ascii="宋体" w:hAnsi="宋体"/>
          <w:color w:val="000000" w:themeColor="text1"/>
          <w:sz w:val="24"/>
          <w14:textFill>
            <w14:solidFill>
              <w14:schemeClr w14:val="tx1"/>
            </w14:solidFill>
          </w14:textFill>
        </w:rPr>
        <w:br w:type="page"/>
      </w:r>
    </w:p>
    <w:p w14:paraId="00AFF561">
      <w:pPr>
        <w:pageBreakBefore/>
        <w:spacing w:line="440" w:lineRule="exact"/>
        <w:rPr>
          <w:rFonts w:ascii="宋体" w:hAnsi="宋体"/>
          <w:color w:val="000000" w:themeColor="text1"/>
          <w:sz w:val="20"/>
          <w:szCs w:val="20"/>
          <w14:textFill>
            <w14:solidFill>
              <w14:schemeClr w14:val="tx1"/>
            </w14:solidFill>
          </w14:textFill>
        </w:rPr>
      </w:pPr>
    </w:p>
    <w:p w14:paraId="1A7C1398">
      <w:pPr>
        <w:spacing w:line="440" w:lineRule="exact"/>
        <w:rPr>
          <w:rFonts w:ascii="宋体" w:hAnsi="宋体"/>
          <w:color w:val="000000" w:themeColor="text1"/>
          <w:sz w:val="20"/>
          <w:szCs w:val="20"/>
          <w14:textFill>
            <w14:solidFill>
              <w14:schemeClr w14:val="tx1"/>
            </w14:solidFill>
          </w14:textFill>
        </w:rPr>
      </w:pPr>
    </w:p>
    <w:p w14:paraId="034A89D0">
      <w:pPr>
        <w:spacing w:line="440" w:lineRule="exact"/>
        <w:rPr>
          <w:rFonts w:ascii="宋体" w:hAnsi="宋体"/>
          <w:color w:val="000000" w:themeColor="text1"/>
          <w:sz w:val="20"/>
          <w:szCs w:val="20"/>
          <w14:textFill>
            <w14:solidFill>
              <w14:schemeClr w14:val="tx1"/>
            </w14:solidFill>
          </w14:textFill>
        </w:rPr>
      </w:pPr>
    </w:p>
    <w:p w14:paraId="3A9DE388">
      <w:pPr>
        <w:jc w:val="center"/>
        <w:rPr>
          <w:rFonts w:ascii="宋体" w:hAnsi="宋体"/>
          <w:color w:val="000000" w:themeColor="text1"/>
          <w:sz w:val="28"/>
          <w:szCs w:val="28"/>
          <w14:textFill>
            <w14:solidFill>
              <w14:schemeClr w14:val="tx1"/>
            </w14:solidFill>
          </w14:textFill>
        </w:rPr>
      </w:pPr>
      <w:bookmarkStart w:id="776" w:name="_Toc13219"/>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（项目名称）</w:t>
      </w:r>
      <w:bookmarkEnd w:id="776"/>
    </w:p>
    <w:p w14:paraId="7EF5C206">
      <w:pPr>
        <w:jc w:val="center"/>
        <w:rPr>
          <w:rFonts w:ascii="宋体" w:hAnsi="宋体"/>
          <w:color w:val="000000" w:themeColor="text1"/>
          <w:sz w:val="28"/>
          <w:szCs w:val="28"/>
          <w14:textFill>
            <w14:solidFill>
              <w14:schemeClr w14:val="tx1"/>
            </w14:solidFill>
          </w14:textFill>
        </w:rPr>
      </w:pPr>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（项目</w:t>
      </w:r>
      <w:r>
        <w:rPr>
          <w:rFonts w:hint="eastAsia" w:ascii="宋体" w:hAnsi="宋体"/>
          <w:color w:val="000000" w:themeColor="text1"/>
          <w:sz w:val="28"/>
          <w:szCs w:val="28"/>
          <w14:textFill>
            <w14:solidFill>
              <w14:schemeClr w14:val="tx1"/>
            </w14:solidFill>
          </w14:textFill>
        </w:rPr>
        <w:t>编号</w:t>
      </w:r>
      <w:r>
        <w:rPr>
          <w:rFonts w:ascii="宋体" w:hAnsi="宋体"/>
          <w:color w:val="000000" w:themeColor="text1"/>
          <w:sz w:val="28"/>
          <w:szCs w:val="28"/>
          <w14:textFill>
            <w14:solidFill>
              <w14:schemeClr w14:val="tx1"/>
            </w14:solidFill>
          </w14:textFill>
        </w:rPr>
        <w:t>）</w:t>
      </w:r>
    </w:p>
    <w:p w14:paraId="25466941">
      <w:pPr>
        <w:pStyle w:val="87"/>
      </w:pPr>
    </w:p>
    <w:p w14:paraId="4E250808">
      <w:pPr>
        <w:jc w:val="center"/>
        <w:rPr>
          <w:rFonts w:ascii="宋体" w:hAnsi="宋体"/>
          <w:color w:val="000000" w:themeColor="text1"/>
          <w:sz w:val="28"/>
          <w:szCs w:val="28"/>
          <w:highlight w:val="green"/>
          <w14:textFill>
            <w14:solidFill>
              <w14:schemeClr w14:val="tx1"/>
            </w14:solidFill>
          </w14:textFill>
        </w:rPr>
      </w:pPr>
    </w:p>
    <w:p w14:paraId="56645BE9">
      <w:pPr>
        <w:jc w:val="center"/>
        <w:rPr>
          <w:rFonts w:ascii="宋体" w:hAnsi="宋体"/>
          <w:color w:val="000000" w:themeColor="text1"/>
          <w:sz w:val="28"/>
          <w:szCs w:val="28"/>
          <w14:textFill>
            <w14:solidFill>
              <w14:schemeClr w14:val="tx1"/>
            </w14:solidFill>
          </w14:textFill>
        </w:rPr>
      </w:pPr>
    </w:p>
    <w:p w14:paraId="0D9DE9C4">
      <w:pPr>
        <w:jc w:val="center"/>
        <w:rPr>
          <w:rFonts w:ascii="宋体" w:hAnsi="宋体"/>
          <w:color w:val="000000" w:themeColor="text1"/>
          <w:sz w:val="20"/>
          <w:szCs w:val="20"/>
          <w14:textFill>
            <w14:solidFill>
              <w14:schemeClr w14:val="tx1"/>
            </w14:solidFill>
          </w14:textFill>
        </w:rPr>
      </w:pPr>
    </w:p>
    <w:p w14:paraId="61A12727">
      <w:pPr>
        <w:jc w:val="center"/>
        <w:rPr>
          <w:rFonts w:ascii="宋体" w:hAnsi="宋体"/>
          <w:color w:val="000000" w:themeColor="text1"/>
          <w:sz w:val="20"/>
          <w:szCs w:val="20"/>
          <w14:textFill>
            <w14:solidFill>
              <w14:schemeClr w14:val="tx1"/>
            </w14:solidFill>
          </w14:textFill>
        </w:rPr>
      </w:pPr>
    </w:p>
    <w:p w14:paraId="6E2DF21D">
      <w:pPr>
        <w:rPr>
          <w:rFonts w:ascii="宋体" w:hAnsi="宋体"/>
          <w:color w:val="000000" w:themeColor="text1"/>
          <w:sz w:val="20"/>
          <w:szCs w:val="20"/>
          <w14:textFill>
            <w14:solidFill>
              <w14:schemeClr w14:val="tx1"/>
            </w14:solidFill>
          </w14:textFill>
        </w:rPr>
      </w:pPr>
    </w:p>
    <w:p w14:paraId="6F8B2B06">
      <w:pPr>
        <w:rPr>
          <w:rFonts w:ascii="宋体" w:hAnsi="宋体"/>
          <w:color w:val="000000" w:themeColor="text1"/>
          <w:sz w:val="20"/>
          <w:szCs w:val="20"/>
          <w14:textFill>
            <w14:solidFill>
              <w14:schemeClr w14:val="tx1"/>
            </w14:solidFill>
          </w14:textFill>
        </w:rPr>
      </w:pPr>
    </w:p>
    <w:p w14:paraId="7F49CF31">
      <w:pPr>
        <w:jc w:val="center"/>
        <w:rPr>
          <w:rFonts w:ascii="宋体" w:hAnsi="宋体"/>
          <w:b/>
          <w:color w:val="000000" w:themeColor="text1"/>
          <w:sz w:val="44"/>
          <w:szCs w:val="44"/>
          <w14:textFill>
            <w14:solidFill>
              <w14:schemeClr w14:val="tx1"/>
            </w14:solidFill>
          </w14:textFill>
        </w:rPr>
      </w:pPr>
      <w:r>
        <w:rPr>
          <w:rFonts w:hint="eastAsia" w:ascii="宋体" w:hAnsi="宋体"/>
          <w:b/>
          <w:color w:val="000000" w:themeColor="text1"/>
          <w:sz w:val="44"/>
          <w:szCs w:val="44"/>
          <w14:textFill>
            <w14:solidFill>
              <w14:schemeClr w14:val="tx1"/>
            </w14:solidFill>
          </w14:textFill>
        </w:rPr>
        <w:t>响</w:t>
      </w:r>
      <w:r>
        <w:rPr>
          <w:rFonts w:hint="eastAsia" w:ascii="宋体" w:hAnsi="宋体"/>
          <w:b/>
          <w:color w:val="000000" w:themeColor="text1"/>
          <w:sz w:val="44"/>
          <w:szCs w:val="44"/>
          <w:lang w:val="en-US" w:eastAsia="zh-CN"/>
          <w14:textFill>
            <w14:solidFill>
              <w14:schemeClr w14:val="tx1"/>
            </w14:solidFill>
          </w14:textFill>
        </w:rPr>
        <w:t xml:space="preserve">  </w:t>
      </w:r>
      <w:r>
        <w:rPr>
          <w:rFonts w:hint="eastAsia" w:ascii="宋体" w:hAnsi="宋体"/>
          <w:b/>
          <w:color w:val="000000" w:themeColor="text1"/>
          <w:sz w:val="44"/>
          <w:szCs w:val="44"/>
          <w14:textFill>
            <w14:solidFill>
              <w14:schemeClr w14:val="tx1"/>
            </w14:solidFill>
          </w14:textFill>
        </w:rPr>
        <w:t>应</w:t>
      </w:r>
      <w:r>
        <w:rPr>
          <w:rFonts w:ascii="宋体" w:hAnsi="宋体"/>
          <w:b/>
          <w:color w:val="000000" w:themeColor="text1"/>
          <w:sz w:val="44"/>
          <w:szCs w:val="44"/>
          <w14:textFill>
            <w14:solidFill>
              <w14:schemeClr w14:val="tx1"/>
            </w14:solidFill>
          </w14:textFill>
        </w:rPr>
        <w:t xml:space="preserve">  文  件</w:t>
      </w:r>
    </w:p>
    <w:p w14:paraId="1B45B2C6">
      <w:pPr>
        <w:rPr>
          <w:rFonts w:ascii="宋体" w:hAnsi="宋体"/>
          <w:color w:val="000000" w:themeColor="text1"/>
          <w:sz w:val="28"/>
          <w:szCs w:val="28"/>
          <w14:textFill>
            <w14:solidFill>
              <w14:schemeClr w14:val="tx1"/>
            </w14:solidFill>
          </w14:textFill>
        </w:rPr>
      </w:pPr>
    </w:p>
    <w:p w14:paraId="3F24F1FF">
      <w:pPr>
        <w:rPr>
          <w:rFonts w:ascii="宋体" w:hAnsi="宋体"/>
          <w:color w:val="000000" w:themeColor="text1"/>
          <w:sz w:val="28"/>
          <w:szCs w:val="28"/>
          <w14:textFill>
            <w14:solidFill>
              <w14:schemeClr w14:val="tx1"/>
            </w14:solidFill>
          </w14:textFill>
        </w:rPr>
      </w:pPr>
    </w:p>
    <w:p w14:paraId="1BF609F6">
      <w:pPr>
        <w:rPr>
          <w:rFonts w:ascii="宋体" w:hAnsi="宋体"/>
          <w:color w:val="000000" w:themeColor="text1"/>
          <w:sz w:val="28"/>
          <w:szCs w:val="28"/>
          <w14:textFill>
            <w14:solidFill>
              <w14:schemeClr w14:val="tx1"/>
            </w14:solidFill>
          </w14:textFill>
        </w:rPr>
      </w:pPr>
    </w:p>
    <w:p w14:paraId="7B581A62">
      <w:pPr>
        <w:rPr>
          <w:rFonts w:ascii="宋体" w:hAnsi="宋体"/>
          <w:color w:val="000000" w:themeColor="text1"/>
          <w:sz w:val="28"/>
          <w:szCs w:val="28"/>
          <w14:textFill>
            <w14:solidFill>
              <w14:schemeClr w14:val="tx1"/>
            </w14:solidFill>
          </w14:textFill>
        </w:rPr>
      </w:pPr>
    </w:p>
    <w:p w14:paraId="543AC6E3">
      <w:pPr>
        <w:rPr>
          <w:rFonts w:ascii="宋体" w:hAnsi="宋体"/>
          <w:color w:val="000000" w:themeColor="text1"/>
          <w:sz w:val="28"/>
          <w:szCs w:val="28"/>
          <w14:textFill>
            <w14:solidFill>
              <w14:schemeClr w14:val="tx1"/>
            </w14:solidFill>
          </w14:textFill>
        </w:rPr>
      </w:pPr>
    </w:p>
    <w:p w14:paraId="5402CDB9">
      <w:pPr>
        <w:rPr>
          <w:rFonts w:ascii="宋体" w:hAnsi="宋体"/>
          <w:color w:val="000000" w:themeColor="text1"/>
          <w:sz w:val="28"/>
          <w:szCs w:val="28"/>
          <w14:textFill>
            <w14:solidFill>
              <w14:schemeClr w14:val="tx1"/>
            </w14:solidFill>
          </w14:textFill>
        </w:rPr>
      </w:pPr>
    </w:p>
    <w:p w14:paraId="6B4D967A">
      <w:pPr>
        <w:rPr>
          <w:rFonts w:ascii="宋体" w:hAnsi="宋体"/>
          <w:color w:val="000000" w:themeColor="text1"/>
          <w:sz w:val="28"/>
          <w:szCs w:val="28"/>
          <w14:textFill>
            <w14:solidFill>
              <w14:schemeClr w14:val="tx1"/>
            </w14:solidFill>
          </w14:textFill>
        </w:rPr>
      </w:pPr>
    </w:p>
    <w:p w14:paraId="2EB20FE3">
      <w:pPr>
        <w:rPr>
          <w:rFonts w:ascii="宋体" w:hAnsi="宋体"/>
          <w:color w:val="000000" w:themeColor="text1"/>
          <w:sz w:val="28"/>
          <w:szCs w:val="28"/>
          <w14:textFill>
            <w14:solidFill>
              <w14:schemeClr w14:val="tx1"/>
            </w14:solidFill>
          </w14:textFill>
        </w:rPr>
      </w:pPr>
    </w:p>
    <w:p w14:paraId="48EFE8B2">
      <w:pPr>
        <w:jc w:val="center"/>
        <w:rPr>
          <w:rFonts w:ascii="宋体" w:hAnsi="宋体"/>
          <w:color w:val="000000" w:themeColor="text1"/>
          <w:sz w:val="28"/>
          <w:szCs w:val="28"/>
          <w14:textFill>
            <w14:solidFill>
              <w14:schemeClr w14:val="tx1"/>
            </w14:solidFill>
          </w14:textFill>
        </w:rPr>
      </w:pPr>
    </w:p>
    <w:p w14:paraId="3A033F64">
      <w:pPr>
        <w:jc w:val="center"/>
        <w:rPr>
          <w:rFonts w:ascii="宋体" w:hAnsi="宋体"/>
          <w:color w:val="000000" w:themeColor="text1"/>
          <w:sz w:val="28"/>
          <w:szCs w:val="28"/>
          <w14:textFill>
            <w14:solidFill>
              <w14:schemeClr w14:val="tx1"/>
            </w14:solidFill>
          </w14:textFill>
        </w:rPr>
      </w:pPr>
    </w:p>
    <w:p w14:paraId="0E5D7C76">
      <w:pPr>
        <w:jc w:val="center"/>
        <w:rPr>
          <w:rFonts w:ascii="宋体" w:hAnsi="宋体"/>
          <w:color w:val="000000" w:themeColor="text1"/>
          <w:sz w:val="28"/>
          <w:szCs w:val="28"/>
          <w14:textFill>
            <w14:solidFill>
              <w14:schemeClr w14:val="tx1"/>
            </w14:solidFill>
          </w14:textFill>
        </w:rPr>
      </w:pPr>
    </w:p>
    <w:p w14:paraId="6D0AA048">
      <w:pPr>
        <w:jc w:val="center"/>
        <w:rPr>
          <w:rFonts w:ascii="宋体" w:hAnsi="宋体"/>
          <w:color w:val="000000" w:themeColor="text1"/>
          <w:sz w:val="28"/>
          <w:szCs w:val="28"/>
          <w14:textFill>
            <w14:solidFill>
              <w14:schemeClr w14:val="tx1"/>
            </w14:solidFill>
          </w14:textFill>
        </w:rPr>
      </w:pPr>
    </w:p>
    <w:p w14:paraId="32E0CFDA">
      <w:pPr>
        <w:jc w:val="center"/>
        <w:rPr>
          <w:rFonts w:ascii="宋体" w:hAnsi="宋体"/>
          <w:color w:val="000000" w:themeColor="text1"/>
          <w:sz w:val="28"/>
          <w:szCs w:val="28"/>
          <w14:textFill>
            <w14:solidFill>
              <w14:schemeClr w14:val="tx1"/>
            </w14:solidFill>
          </w14:textFill>
        </w:rPr>
      </w:pPr>
    </w:p>
    <w:p w14:paraId="4C404D1E">
      <w:pPr>
        <w:jc w:val="center"/>
        <w:rPr>
          <w:rFonts w:ascii="宋体" w:hAnsi="宋体"/>
          <w:color w:val="000000" w:themeColor="text1"/>
          <w:sz w:val="28"/>
          <w:szCs w:val="28"/>
          <w14:textFill>
            <w14:solidFill>
              <w14:schemeClr w14:val="tx1"/>
            </w14:solidFill>
          </w14:textFill>
        </w:rPr>
      </w:pPr>
    </w:p>
    <w:p w14:paraId="06DBE5D3">
      <w:pPr>
        <w:jc w:val="center"/>
        <w:rPr>
          <w:rFonts w:ascii="宋体" w:hAnsi="宋体"/>
          <w:color w:val="000000" w:themeColor="text1"/>
          <w:sz w:val="28"/>
          <w:szCs w:val="28"/>
          <w14:textFill>
            <w14:solidFill>
              <w14:schemeClr w14:val="tx1"/>
            </w14:solidFill>
          </w14:textFill>
        </w:rPr>
      </w:pPr>
    </w:p>
    <w:p w14:paraId="19F54475">
      <w:pPr>
        <w:jc w:val="center"/>
        <w:rPr>
          <w:rFonts w:ascii="宋体" w:hAnsi="宋体"/>
          <w:color w:val="000000" w:themeColor="text1"/>
          <w:sz w:val="28"/>
          <w:szCs w:val="28"/>
          <w14:textFill>
            <w14:solidFill>
              <w14:schemeClr w14:val="tx1"/>
            </w14:solidFill>
          </w14:textFill>
        </w:rPr>
      </w:pPr>
    </w:p>
    <w:p w14:paraId="1B1A2445">
      <w:pPr>
        <w:jc w:val="center"/>
        <w:rPr>
          <w:rFonts w:ascii="宋体" w:hAnsi="宋体"/>
          <w:color w:val="000000" w:themeColor="text1"/>
          <w:sz w:val="28"/>
          <w:szCs w:val="28"/>
          <w14:textFill>
            <w14:solidFill>
              <w14:schemeClr w14:val="tx1"/>
            </w14:solidFill>
          </w14:textFill>
        </w:rPr>
      </w:pPr>
    </w:p>
    <w:p w14:paraId="64FF5456">
      <w:pPr>
        <w:jc w:val="center"/>
        <w:rPr>
          <w:rFonts w:ascii="宋体" w:hAnsi="宋体"/>
          <w:color w:val="000000" w:themeColor="text1"/>
          <w:sz w:val="28"/>
          <w:szCs w:val="28"/>
          <w:u w:val="single"/>
          <w14:textFill>
            <w14:solidFill>
              <w14:schemeClr w14:val="tx1"/>
            </w14:solidFill>
          </w14:textFill>
        </w:rPr>
      </w:pPr>
      <w:bookmarkStart w:id="777" w:name="_Toc14561"/>
      <w:r>
        <w:rPr>
          <w:rFonts w:hint="eastAsia" w:ascii="宋体" w:hAnsi="宋体"/>
          <w:color w:val="000000" w:themeColor="text1"/>
          <w:sz w:val="28"/>
          <w:szCs w:val="28"/>
          <w:lang w:eastAsia="zh-CN"/>
          <w14:textFill>
            <w14:solidFill>
              <w14:schemeClr w14:val="tx1"/>
            </w14:solidFill>
          </w14:textFill>
        </w:rPr>
        <w:t>供应商</w:t>
      </w:r>
      <w:r>
        <w:rPr>
          <w:rFonts w:ascii="宋体" w:hAnsi="宋体"/>
          <w:color w:val="000000" w:themeColor="text1"/>
          <w:sz w:val="28"/>
          <w:szCs w:val="28"/>
          <w14:textFill>
            <w14:solidFill>
              <w14:schemeClr w14:val="tx1"/>
            </w14:solidFill>
          </w14:textFill>
        </w:rPr>
        <w:t>：</w:t>
      </w:r>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（盖单位章）</w:t>
      </w:r>
      <w:bookmarkEnd w:id="777"/>
    </w:p>
    <w:p w14:paraId="6CC05206">
      <w:pPr>
        <w:jc w:val="center"/>
        <w:rPr>
          <w:rFonts w:ascii="宋体" w:hAnsi="宋体"/>
          <w:color w:val="000000" w:themeColor="text1"/>
          <w:sz w:val="28"/>
          <w:szCs w:val="28"/>
          <w14:textFill>
            <w14:solidFill>
              <w14:schemeClr w14:val="tx1"/>
            </w14:solidFill>
          </w14:textFill>
        </w:rPr>
      </w:pPr>
    </w:p>
    <w:p w14:paraId="187BAD32">
      <w:pPr>
        <w:jc w:val="center"/>
        <w:rPr>
          <w:rFonts w:ascii="宋体" w:hAnsi="宋体"/>
          <w:color w:val="000000" w:themeColor="text1"/>
          <w:sz w:val="28"/>
          <w:szCs w:val="28"/>
          <w14:textFill>
            <w14:solidFill>
              <w14:schemeClr w14:val="tx1"/>
            </w14:solidFill>
          </w14:textFill>
        </w:rPr>
      </w:pPr>
      <w:bookmarkStart w:id="778" w:name="_Toc9044"/>
      <w:r>
        <w:rPr>
          <w:rFonts w:ascii="宋体" w:hAnsi="宋体"/>
          <w:color w:val="000000" w:themeColor="text1"/>
          <w:sz w:val="28"/>
          <w:szCs w:val="28"/>
          <w14:textFill>
            <w14:solidFill>
              <w14:schemeClr w14:val="tx1"/>
            </w14:solidFill>
          </w14:textFill>
        </w:rPr>
        <w:t>法定代表人或其委托代理人：</w:t>
      </w:r>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（签字）</w:t>
      </w:r>
      <w:bookmarkEnd w:id="778"/>
    </w:p>
    <w:p w14:paraId="5644B82D">
      <w:pPr>
        <w:jc w:val="center"/>
        <w:rPr>
          <w:rFonts w:ascii="宋体" w:hAnsi="宋体"/>
          <w:color w:val="000000" w:themeColor="text1"/>
          <w:sz w:val="28"/>
          <w:szCs w:val="28"/>
          <w:u w:val="single"/>
          <w14:textFill>
            <w14:solidFill>
              <w14:schemeClr w14:val="tx1"/>
            </w14:solidFill>
          </w14:textFill>
        </w:rPr>
      </w:pPr>
    </w:p>
    <w:p w14:paraId="493DF97E">
      <w:pPr>
        <w:jc w:val="center"/>
        <w:rPr>
          <w:rFonts w:ascii="宋体" w:hAnsi="宋体"/>
          <w:color w:val="000000" w:themeColor="text1"/>
          <w:sz w:val="28"/>
          <w:szCs w:val="28"/>
          <w14:textFill>
            <w14:solidFill>
              <w14:schemeClr w14:val="tx1"/>
            </w14:solidFill>
          </w14:textFill>
        </w:rPr>
      </w:pPr>
      <w:bookmarkStart w:id="779" w:name="_Toc30311"/>
      <w:r>
        <w:rPr>
          <w:rFonts w:ascii="宋体" w:hAnsi="宋体"/>
          <w:color w:val="000000" w:themeColor="text1"/>
          <w:sz w:val="28"/>
          <w:szCs w:val="28"/>
          <w14:textFill>
            <w14:solidFill>
              <w14:schemeClr w14:val="tx1"/>
            </w14:solidFill>
          </w14:textFill>
        </w:rPr>
        <w:t>年</w:t>
      </w:r>
      <w:r>
        <w:rPr>
          <w:rFonts w:hint="eastAsia" w:ascii="宋体" w:hAnsi="宋体"/>
          <w:color w:val="000000" w:themeColor="text1"/>
          <w:sz w:val="28"/>
          <w:szCs w:val="28"/>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月</w:t>
      </w:r>
      <w:r>
        <w:rPr>
          <w:rFonts w:hint="eastAsia" w:ascii="宋体" w:hAnsi="宋体"/>
          <w:color w:val="000000" w:themeColor="text1"/>
          <w:sz w:val="28"/>
          <w:szCs w:val="28"/>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日</w:t>
      </w:r>
      <w:bookmarkEnd w:id="779"/>
    </w:p>
    <w:p w14:paraId="1CCB99F4">
      <w:pPr>
        <w:pageBreakBefore/>
        <w:jc w:val="center"/>
        <w:rPr>
          <w:rFonts w:ascii="宋体" w:hAnsi="宋体"/>
          <w:color w:val="000000" w:themeColor="text1"/>
          <w:sz w:val="28"/>
          <w:szCs w:val="28"/>
          <w14:textFill>
            <w14:solidFill>
              <w14:schemeClr w14:val="tx1"/>
            </w14:solidFill>
          </w14:textFill>
        </w:rPr>
      </w:pPr>
      <w:bookmarkStart w:id="780" w:name="_Toc791"/>
      <w:r>
        <w:rPr>
          <w:rFonts w:hint="eastAsia" w:ascii="宋体" w:hAnsi="宋体"/>
          <w:color w:val="000000" w:themeColor="text1"/>
          <w:sz w:val="28"/>
          <w:szCs w:val="28"/>
          <w14:textFill>
            <w14:solidFill>
              <w14:schemeClr w14:val="tx1"/>
            </w14:solidFill>
          </w14:textFill>
        </w:rPr>
        <w:t>目录</w:t>
      </w:r>
      <w:bookmarkEnd w:id="780"/>
    </w:p>
    <w:p w14:paraId="45473B62">
      <w:pPr>
        <w:spacing w:line="540" w:lineRule="exact"/>
        <w:rPr>
          <w:rFonts w:ascii="宋体" w:hAnsi="宋体"/>
          <w:color w:val="000000" w:themeColor="text1"/>
          <w14:textFill>
            <w14:solidFill>
              <w14:schemeClr w14:val="tx1"/>
            </w14:solidFill>
          </w14:textFill>
        </w:rPr>
      </w:pPr>
    </w:p>
    <w:p w14:paraId="565B622D">
      <w:pPr>
        <w:spacing w:line="360" w:lineRule="auto"/>
        <w:rPr>
          <w:rFonts w:hint="default" w:ascii="宋体" w:hAnsi="宋体" w:eastAsiaTheme="minorEastAsia"/>
          <w:color w:val="000000" w:themeColor="text1"/>
          <w:lang w:val="en-US" w:eastAsia="zh-CN"/>
          <w14:textFill>
            <w14:solidFill>
              <w14:schemeClr w14:val="tx1"/>
            </w14:solidFill>
          </w14:textFill>
        </w:rPr>
      </w:pPr>
      <w:bookmarkStart w:id="781" w:name="_Toc21439"/>
      <w:r>
        <w:rPr>
          <w:rFonts w:hint="eastAsia" w:ascii="宋体" w:hAnsi="宋体"/>
          <w:color w:val="000000" w:themeColor="text1"/>
          <w14:textFill>
            <w14:solidFill>
              <w14:schemeClr w14:val="tx1"/>
            </w14:solidFill>
          </w14:textFill>
        </w:rPr>
        <w:t>一、</w:t>
      </w:r>
      <w:bookmarkEnd w:id="781"/>
      <w:r>
        <w:rPr>
          <w:rFonts w:hint="eastAsia" w:asciiTheme="minorEastAsia" w:hAnsiTheme="minorEastAsia" w:eastAsiaTheme="minorEastAsia"/>
          <w:color w:val="000000" w:themeColor="text1"/>
          <w:sz w:val="24"/>
          <w14:textFill>
            <w14:solidFill>
              <w14:schemeClr w14:val="tx1"/>
            </w14:solidFill>
          </w14:textFill>
        </w:rPr>
        <w:t>投标函</w:t>
      </w:r>
      <w:r>
        <w:rPr>
          <w:rFonts w:hint="eastAsia" w:asciiTheme="minorEastAsia" w:hAnsiTheme="minorEastAsia" w:eastAsiaTheme="minorEastAsia"/>
          <w:color w:val="000000" w:themeColor="text1"/>
          <w:sz w:val="24"/>
          <w:lang w:val="en-US" w:eastAsia="zh-CN"/>
          <w14:textFill>
            <w14:solidFill>
              <w14:schemeClr w14:val="tx1"/>
            </w14:solidFill>
          </w14:textFill>
        </w:rPr>
        <w:t>及投标函附录</w:t>
      </w:r>
    </w:p>
    <w:p w14:paraId="32FC5DFF">
      <w:pPr>
        <w:spacing w:line="360" w:lineRule="auto"/>
        <w:rPr>
          <w:rFonts w:ascii="宋体" w:hAnsi="宋体"/>
          <w:color w:val="000000" w:themeColor="text1"/>
          <w14:textFill>
            <w14:solidFill>
              <w14:schemeClr w14:val="tx1"/>
            </w14:solidFill>
          </w14:textFill>
        </w:rPr>
      </w:pPr>
      <w:bookmarkStart w:id="782" w:name="_Toc9290"/>
      <w:r>
        <w:rPr>
          <w:rFonts w:hint="eastAsia" w:ascii="宋体" w:hAnsi="宋体"/>
          <w:color w:val="000000" w:themeColor="text1"/>
          <w14:textFill>
            <w14:solidFill>
              <w14:schemeClr w14:val="tx1"/>
            </w14:solidFill>
          </w14:textFill>
        </w:rPr>
        <w:t>二、</w:t>
      </w:r>
      <w:bookmarkEnd w:id="782"/>
      <w:r>
        <w:rPr>
          <w:rFonts w:hint="eastAsia" w:asciiTheme="minorEastAsia" w:hAnsiTheme="minorEastAsia" w:eastAsiaTheme="minorEastAsia"/>
          <w:color w:val="000000" w:themeColor="text1"/>
          <w:sz w:val="24"/>
          <w14:textFill>
            <w14:solidFill>
              <w14:schemeClr w14:val="tx1"/>
            </w14:solidFill>
          </w14:textFill>
        </w:rPr>
        <w:t>法定代表人身份证明或附有法定代表人身份证明的授权委托书</w:t>
      </w:r>
    </w:p>
    <w:p w14:paraId="626B0F2F">
      <w:pPr>
        <w:spacing w:line="360" w:lineRule="auto"/>
        <w:rPr>
          <w:rFonts w:ascii="宋体" w:hAnsi="宋体"/>
          <w:color w:val="000000" w:themeColor="text1"/>
          <w14:textFill>
            <w14:solidFill>
              <w14:schemeClr w14:val="tx1"/>
            </w14:solidFill>
          </w14:textFill>
        </w:rPr>
      </w:pPr>
      <w:bookmarkStart w:id="783" w:name="_Toc14099"/>
      <w:r>
        <w:rPr>
          <w:rFonts w:hint="eastAsia" w:ascii="宋体" w:hAnsi="宋体"/>
          <w:color w:val="000000" w:themeColor="text1"/>
          <w14:textFill>
            <w14:solidFill>
              <w14:schemeClr w14:val="tx1"/>
            </w14:solidFill>
          </w14:textFill>
        </w:rPr>
        <w:t>三、</w:t>
      </w:r>
      <w:bookmarkEnd w:id="783"/>
      <w:r>
        <w:rPr>
          <w:rFonts w:hint="eastAsia" w:asciiTheme="minorEastAsia" w:hAnsiTheme="minorEastAsia" w:eastAsiaTheme="minorEastAsia"/>
          <w:color w:val="000000" w:themeColor="text1"/>
          <w:sz w:val="24"/>
          <w14:textFill>
            <w14:solidFill>
              <w14:schemeClr w14:val="tx1"/>
            </w14:solidFill>
          </w14:textFill>
        </w:rPr>
        <w:t>磋商保证金</w:t>
      </w:r>
    </w:p>
    <w:p w14:paraId="5FB6B5B0">
      <w:pPr>
        <w:spacing w:line="360" w:lineRule="auto"/>
        <w:rPr>
          <w:rFonts w:ascii="宋体" w:hAnsi="宋体"/>
          <w:color w:val="000000" w:themeColor="text1"/>
          <w14:textFill>
            <w14:solidFill>
              <w14:schemeClr w14:val="tx1"/>
            </w14:solidFill>
          </w14:textFill>
        </w:rPr>
      </w:pPr>
      <w:bookmarkStart w:id="784" w:name="_Toc19883"/>
      <w:r>
        <w:rPr>
          <w:rFonts w:hint="eastAsia" w:ascii="宋体" w:hAnsi="宋体"/>
          <w:color w:val="000000" w:themeColor="text1"/>
          <w14:textFill>
            <w14:solidFill>
              <w14:schemeClr w14:val="tx1"/>
            </w14:solidFill>
          </w14:textFill>
        </w:rPr>
        <w:t>四、</w:t>
      </w:r>
      <w:r>
        <w:rPr>
          <w:rFonts w:hint="eastAsia" w:asciiTheme="minorEastAsia" w:hAnsiTheme="minorEastAsia" w:eastAsiaTheme="minorEastAsia"/>
          <w:color w:val="000000" w:themeColor="text1"/>
          <w:sz w:val="24"/>
          <w:lang w:eastAsia="zh-CN"/>
          <w14:textFill>
            <w14:solidFill>
              <w14:schemeClr w14:val="tx1"/>
            </w14:solidFill>
          </w14:textFill>
        </w:rPr>
        <w:t>报价</w:t>
      </w:r>
      <w:r>
        <w:rPr>
          <w:rFonts w:hint="eastAsia" w:asciiTheme="minorEastAsia" w:hAnsiTheme="minorEastAsia" w:eastAsiaTheme="minorEastAsia"/>
          <w:color w:val="000000" w:themeColor="text1"/>
          <w:sz w:val="24"/>
          <w14:textFill>
            <w14:solidFill>
              <w14:schemeClr w14:val="tx1"/>
            </w14:solidFill>
          </w14:textFill>
        </w:rPr>
        <w:t>一览表</w:t>
      </w:r>
      <w:bookmarkEnd w:id="784"/>
    </w:p>
    <w:p w14:paraId="167A50C1">
      <w:pPr>
        <w:spacing w:line="360" w:lineRule="auto"/>
        <w:rPr>
          <w:color w:val="000000" w:themeColor="text1"/>
          <w:highlight w:val="green"/>
          <w14:textFill>
            <w14:solidFill>
              <w14:schemeClr w14:val="tx1"/>
            </w14:solidFill>
          </w14:textFill>
        </w:rPr>
      </w:pPr>
      <w:bookmarkStart w:id="785" w:name="_Toc18552"/>
      <w:r>
        <w:rPr>
          <w:rFonts w:hint="eastAsia"/>
          <w:color w:val="000000" w:themeColor="text1"/>
          <w14:textFill>
            <w14:solidFill>
              <w14:schemeClr w14:val="tx1"/>
            </w14:solidFill>
          </w14:textFill>
        </w:rPr>
        <w:t>五</w:t>
      </w:r>
      <w:r>
        <w:rPr>
          <w:rFonts w:hint="eastAsia" w:asciiTheme="minorEastAsia" w:hAnsiTheme="minorEastAsia" w:eastAsiaTheme="minorEastAsia"/>
          <w:color w:val="000000" w:themeColor="text1"/>
          <w:sz w:val="24"/>
          <w14:textFill>
            <w14:solidFill>
              <w14:schemeClr w14:val="tx1"/>
            </w14:solidFill>
          </w14:textFill>
        </w:rPr>
        <w:t>、已标价工程量清单</w:t>
      </w:r>
      <w:bookmarkEnd w:id="785"/>
    </w:p>
    <w:p w14:paraId="3C694355">
      <w:pPr>
        <w:spacing w:line="360" w:lineRule="auto"/>
        <w:rPr>
          <w:rFonts w:ascii="宋体" w:hAnsi="宋体"/>
          <w:color w:val="000000" w:themeColor="text1"/>
          <w14:textFill>
            <w14:solidFill>
              <w14:schemeClr w14:val="tx1"/>
            </w14:solidFill>
          </w14:textFill>
        </w:rPr>
      </w:pPr>
      <w:bookmarkStart w:id="786" w:name="_Toc23044"/>
      <w:r>
        <w:rPr>
          <w:rFonts w:hint="eastAsia" w:ascii="宋体" w:hAnsi="宋体"/>
          <w:color w:val="000000" w:themeColor="text1"/>
          <w14:textFill>
            <w14:solidFill>
              <w14:schemeClr w14:val="tx1"/>
            </w14:solidFill>
          </w14:textFill>
        </w:rPr>
        <w:t>六</w:t>
      </w:r>
      <w:r>
        <w:rPr>
          <w:rFonts w:hint="eastAsia" w:asciiTheme="minorEastAsia" w:hAnsiTheme="minorEastAsia" w:eastAsiaTheme="minorEastAsia"/>
          <w:color w:val="000000" w:themeColor="text1"/>
          <w:sz w:val="24"/>
          <w14:textFill>
            <w14:solidFill>
              <w14:schemeClr w14:val="tx1"/>
            </w14:solidFill>
          </w14:textFill>
        </w:rPr>
        <w:t>、施工组织设计</w:t>
      </w:r>
      <w:bookmarkEnd w:id="786"/>
    </w:p>
    <w:p w14:paraId="17333B79">
      <w:pPr>
        <w:spacing w:line="360" w:lineRule="auto"/>
        <w:rPr>
          <w:rFonts w:ascii="宋体" w:hAnsi="宋体"/>
          <w:color w:val="000000" w:themeColor="text1"/>
          <w14:textFill>
            <w14:solidFill>
              <w14:schemeClr w14:val="tx1"/>
            </w14:solidFill>
          </w14:textFill>
        </w:rPr>
      </w:pPr>
      <w:bookmarkStart w:id="787" w:name="_Toc9841"/>
      <w:r>
        <w:rPr>
          <w:rFonts w:hint="eastAsia" w:ascii="宋体" w:hAnsi="宋体"/>
          <w:color w:val="000000" w:themeColor="text1"/>
          <w14:textFill>
            <w14:solidFill>
              <w14:schemeClr w14:val="tx1"/>
            </w14:solidFill>
          </w14:textFill>
        </w:rPr>
        <w:t>七、</w:t>
      </w:r>
      <w:r>
        <w:rPr>
          <w:rFonts w:hint="eastAsia" w:asciiTheme="minorEastAsia" w:hAnsiTheme="minorEastAsia" w:eastAsiaTheme="minorEastAsia"/>
          <w:color w:val="000000" w:themeColor="text1"/>
          <w:sz w:val="24"/>
          <w14:textFill>
            <w14:solidFill>
              <w14:schemeClr w14:val="tx1"/>
            </w14:solidFill>
          </w14:textFill>
        </w:rPr>
        <w:t>项目管理机构</w:t>
      </w:r>
      <w:bookmarkEnd w:id="787"/>
    </w:p>
    <w:p w14:paraId="71F84AEA">
      <w:pPr>
        <w:spacing w:line="360" w:lineRule="auto"/>
        <w:rPr>
          <w:rFonts w:ascii="宋体" w:hAnsi="宋体"/>
          <w:color w:val="000000" w:themeColor="text1"/>
          <w14:textFill>
            <w14:solidFill>
              <w14:schemeClr w14:val="tx1"/>
            </w14:solidFill>
          </w14:textFill>
        </w:rPr>
      </w:pPr>
      <w:bookmarkStart w:id="788" w:name="_Toc26920"/>
      <w:r>
        <w:rPr>
          <w:rFonts w:hint="eastAsia" w:ascii="宋体" w:hAnsi="宋体"/>
          <w:color w:val="000000" w:themeColor="text1"/>
          <w14:textFill>
            <w14:solidFill>
              <w14:schemeClr w14:val="tx1"/>
            </w14:solidFill>
          </w14:textFill>
        </w:rPr>
        <w:t>八、</w:t>
      </w:r>
      <w:r>
        <w:rPr>
          <w:rFonts w:hint="eastAsia" w:asciiTheme="minorEastAsia" w:hAnsiTheme="minorEastAsia" w:eastAsiaTheme="minorEastAsia"/>
          <w:color w:val="000000" w:themeColor="text1"/>
          <w:sz w:val="24"/>
          <w14:textFill>
            <w14:solidFill>
              <w14:schemeClr w14:val="tx1"/>
            </w14:solidFill>
          </w14:textFill>
        </w:rPr>
        <w:t>资格审查资料</w:t>
      </w:r>
      <w:bookmarkEnd w:id="788"/>
    </w:p>
    <w:p w14:paraId="739D70BB">
      <w:pPr>
        <w:pStyle w:val="87"/>
        <w:ind w:firstLine="0"/>
        <w:rPr>
          <w:color w:val="000000" w:themeColor="text1"/>
          <w14:textFill>
            <w14:solidFill>
              <w14:schemeClr w14:val="tx1"/>
            </w14:solidFill>
          </w14:textFill>
        </w:rPr>
      </w:pPr>
      <w:bookmarkStart w:id="789" w:name="_Toc26493"/>
      <w:r>
        <w:rPr>
          <w:rFonts w:hint="eastAsia"/>
          <w:color w:val="000000" w:themeColor="text1"/>
          <w14:textFill>
            <w14:solidFill>
              <w14:schemeClr w14:val="tx1"/>
            </w14:solidFill>
          </w14:textFill>
        </w:rPr>
        <w:t>九、</w:t>
      </w:r>
      <w:bookmarkEnd w:id="789"/>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须知前附表规定的其他材料</w:t>
      </w:r>
    </w:p>
    <w:p w14:paraId="1750690D">
      <w:pPr>
        <w:pStyle w:val="87"/>
        <w:ind w:firstLine="0"/>
        <w:rPr>
          <w:color w:val="000000" w:themeColor="text1"/>
          <w14:textFill>
            <w14:solidFill>
              <w14:schemeClr w14:val="tx1"/>
            </w14:solidFill>
          </w14:textFill>
        </w:rPr>
      </w:pPr>
    </w:p>
    <w:p w14:paraId="15F08E1E">
      <w:pPr>
        <w:pStyle w:val="87"/>
        <w:ind w:firstLine="0"/>
        <w:rPr>
          <w:color w:val="000000" w:themeColor="text1"/>
          <w14:textFill>
            <w14:solidFill>
              <w14:schemeClr w14:val="tx1"/>
            </w14:solidFill>
          </w14:textFill>
        </w:rPr>
      </w:pPr>
    </w:p>
    <w:p w14:paraId="286D674C">
      <w:pPr>
        <w:pStyle w:val="87"/>
        <w:ind w:firstLine="0"/>
        <w:rPr>
          <w:b/>
          <w:bCs/>
          <w:color w:val="000000" w:themeColor="text1"/>
          <w14:textFill>
            <w14:solidFill>
              <w14:schemeClr w14:val="tx1"/>
            </w14:solidFill>
          </w14:textFill>
        </w:rPr>
        <w:sectPr>
          <w:pgSz w:w="11907" w:h="16840"/>
          <w:pgMar w:top="1440" w:right="1134" w:bottom="1440" w:left="1417" w:header="0" w:footer="567" w:gutter="0"/>
          <w:cols w:space="720" w:num="1"/>
          <w:docGrid w:linePitch="312" w:charSpace="0"/>
        </w:sectPr>
      </w:pPr>
      <w:r>
        <w:rPr>
          <w:rFonts w:hint="eastAsia"/>
          <w:b/>
          <w:bCs/>
          <w:color w:val="000000" w:themeColor="text1"/>
          <w14:textFill>
            <w14:solidFill>
              <w14:schemeClr w14:val="tx1"/>
            </w14:solidFill>
          </w14:textFill>
        </w:rPr>
        <w:t>注：须编制目录</w:t>
      </w:r>
    </w:p>
    <w:p w14:paraId="46DE9FC2">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790" w:name="_A1_投标书"/>
      <w:bookmarkEnd w:id="790"/>
      <w:bookmarkStart w:id="791" w:name="_Toc229885704"/>
      <w:bookmarkStart w:id="792" w:name="_Toc229885655"/>
      <w:bookmarkStart w:id="793" w:name="_Toc229886198"/>
      <w:bookmarkStart w:id="794" w:name="_Toc54258239"/>
      <w:bookmarkStart w:id="795" w:name="_Toc229885253"/>
      <w:bookmarkStart w:id="796" w:name="_Toc469921627"/>
      <w:bookmarkStart w:id="797" w:name="_Toc53569418"/>
      <w:bookmarkStart w:id="798" w:name="_Toc54097216"/>
      <w:bookmarkStart w:id="799" w:name="_Toc262559152"/>
      <w:bookmarkStart w:id="800" w:name="_Toc238264250"/>
      <w:bookmarkStart w:id="801" w:name="_Toc410756522"/>
      <w:bookmarkStart w:id="802" w:name="_Toc229885376"/>
      <w:bookmarkStart w:id="803" w:name="_Toc7616"/>
      <w:bookmarkStart w:id="804" w:name="_Toc229885092"/>
      <w:bookmarkStart w:id="805" w:name="_Toc261899379"/>
      <w:bookmarkStart w:id="806" w:name="_Toc263679913"/>
      <w:bookmarkStart w:id="807" w:name="_Toc18235"/>
      <w:bookmarkStart w:id="808" w:name="_Toc416528550"/>
      <w:bookmarkStart w:id="809" w:name="_Toc432066473"/>
      <w:bookmarkStart w:id="810" w:name="_Toc128455956"/>
      <w:bookmarkStart w:id="811" w:name="_Toc179091096"/>
      <w:bookmarkStart w:id="812" w:name="_Toc176663528"/>
      <w:bookmarkStart w:id="813" w:name="_Toc162669084"/>
      <w:bookmarkStart w:id="814" w:name="_Toc181038076"/>
      <w:bookmarkStart w:id="815" w:name="_Toc192127127"/>
      <w:r>
        <w:rPr>
          <w:rFonts w:hint="eastAsia" w:ascii="宋体" w:hAnsi="宋体" w:eastAsia="宋体"/>
          <w:color w:val="000000" w:themeColor="text1"/>
          <w:sz w:val="28"/>
          <w:szCs w:val="28"/>
          <w14:textFill>
            <w14:solidFill>
              <w14:schemeClr w14:val="tx1"/>
            </w14:solidFill>
          </w14:textFill>
        </w:rPr>
        <w:t>一、投标函</w:t>
      </w:r>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p>
    <w:bookmarkEnd w:id="810"/>
    <w:bookmarkEnd w:id="811"/>
    <w:bookmarkEnd w:id="812"/>
    <w:bookmarkEnd w:id="813"/>
    <w:bookmarkEnd w:id="814"/>
    <w:bookmarkEnd w:id="815"/>
    <w:p w14:paraId="1E21A2EA">
      <w:pPr>
        <w:rPr>
          <w:rFonts w:ascii="宋体" w:hAnsi="宋体"/>
          <w:color w:val="000000" w:themeColor="text1"/>
          <w:sz w:val="24"/>
          <w14:textFill>
            <w14:solidFill>
              <w14:schemeClr w14:val="tx1"/>
            </w14:solidFill>
          </w14:textFill>
        </w:rPr>
      </w:pPr>
      <w:bookmarkStart w:id="816" w:name="_Toc261899380"/>
      <w:bookmarkStart w:id="817" w:name="_Toc229885254"/>
      <w:bookmarkStart w:id="818" w:name="_Toc177406307"/>
      <w:bookmarkStart w:id="819" w:name="_Toc229885093"/>
      <w:bookmarkStart w:id="820" w:name="_Toc181038078"/>
      <w:bookmarkStart w:id="821" w:name="_Toc238264251"/>
      <w:bookmarkStart w:id="822" w:name="_Toc229885705"/>
      <w:bookmarkStart w:id="823" w:name="_Toc262559153"/>
      <w:bookmarkStart w:id="824" w:name="_Toc229885377"/>
      <w:bookmarkStart w:id="825" w:name="_Toc229885656"/>
      <w:bookmarkStart w:id="826" w:name="_Toc410756523"/>
      <w:bookmarkStart w:id="827" w:name="_Toc263679914"/>
      <w:bookmarkStart w:id="828" w:name="_Toc177318896"/>
      <w:bookmarkStart w:id="829" w:name="_Toc229886199"/>
      <w:bookmarkStart w:id="830" w:name="_Toc416528551"/>
      <w:bookmarkStart w:id="831" w:name="_Toc177715392"/>
      <w:bookmarkStart w:id="832" w:name="_Toc179699517"/>
    </w:p>
    <w:p w14:paraId="7E138AAD">
      <w:pP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lang w:eastAsia="zh-CN"/>
          <w14:textFill>
            <w14:solidFill>
              <w14:schemeClr w14:val="tx1"/>
            </w14:solidFill>
          </w14:textFill>
        </w:rPr>
        <w:t>采购人</w:t>
      </w:r>
      <w:r>
        <w:rPr>
          <w:rFonts w:ascii="宋体" w:hAnsi="宋体"/>
          <w:color w:val="000000" w:themeColor="text1"/>
          <w:szCs w:val="21"/>
          <w14:textFill>
            <w14:solidFill>
              <w14:schemeClr w14:val="tx1"/>
            </w14:solidFill>
          </w14:textFill>
        </w:rPr>
        <w:t>名称）：</w:t>
      </w:r>
    </w:p>
    <w:p w14:paraId="236D6D52">
      <w:pPr>
        <w:rPr>
          <w:rFonts w:ascii="宋体" w:hAnsi="宋体"/>
          <w:color w:val="000000" w:themeColor="text1"/>
          <w:szCs w:val="21"/>
          <w14:textFill>
            <w14:solidFill>
              <w14:schemeClr w14:val="tx1"/>
            </w14:solidFill>
          </w14:textFill>
        </w:rPr>
      </w:pPr>
    </w:p>
    <w:p w14:paraId="39DBBA51">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1．我方已仔细研究了</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（项目名称）</w:t>
      </w:r>
      <w:r>
        <w:rPr>
          <w:rFonts w:hint="eastAsia" w:ascii="宋体" w:hAnsi="宋体"/>
          <w:color w:val="000000" w:themeColor="text1"/>
          <w:szCs w:val="21"/>
          <w14:textFill>
            <w14:solidFill>
              <w14:schemeClr w14:val="tx1"/>
            </w14:solidFill>
          </w14:textFill>
        </w:rPr>
        <w:t>竞争性磋商文件</w:t>
      </w:r>
      <w:r>
        <w:rPr>
          <w:rFonts w:ascii="宋体" w:hAnsi="宋体"/>
          <w:color w:val="000000" w:themeColor="text1"/>
          <w:szCs w:val="21"/>
          <w14:textFill>
            <w14:solidFill>
              <w14:schemeClr w14:val="tx1"/>
            </w14:solidFill>
          </w14:textFill>
        </w:rPr>
        <w:t>的全部内容，愿意以人民币</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（大写）元（¥）</w:t>
      </w:r>
      <w:r>
        <w:rPr>
          <w:rFonts w:ascii="宋体" w:hAnsi="宋体"/>
          <w:color w:val="000000" w:themeColor="text1"/>
          <w:szCs w:val="21"/>
          <w14:textFill>
            <w14:solidFill>
              <w14:schemeClr w14:val="tx1"/>
            </w14:solidFill>
          </w14:textFill>
        </w:rPr>
        <w:t>的投标总报价，工期</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年</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月</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日至</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年</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月</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日，共</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日历天</w:t>
      </w:r>
      <w:r>
        <w:rPr>
          <w:rFonts w:ascii="宋体" w:hAnsi="宋体"/>
          <w:color w:val="000000" w:themeColor="text1"/>
          <w:szCs w:val="21"/>
          <w14:textFill>
            <w14:solidFill>
              <w14:schemeClr w14:val="tx1"/>
            </w14:solidFill>
          </w14:textFill>
        </w:rPr>
        <w:t>，按合同约定实施和完成承包工程，修补工程中的任何缺陷，工程质量达到</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w:t>
      </w:r>
    </w:p>
    <w:p w14:paraId="2ECFC1D6">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2．我方承诺在投标有效期内不修改、撤销</w:t>
      </w:r>
      <w:r>
        <w:rPr>
          <w:rFonts w:hint="eastAsia" w:ascii="宋体" w:hAnsi="宋体"/>
          <w:color w:val="000000" w:themeColor="text1"/>
          <w:szCs w:val="21"/>
          <w14:textFill>
            <w14:solidFill>
              <w14:schemeClr w14:val="tx1"/>
            </w14:solidFill>
          </w14:textFill>
        </w:rPr>
        <w:t>响应文件</w:t>
      </w:r>
      <w:r>
        <w:rPr>
          <w:rFonts w:ascii="宋体" w:hAnsi="宋体"/>
          <w:color w:val="000000" w:themeColor="text1"/>
          <w:szCs w:val="21"/>
          <w14:textFill>
            <w14:solidFill>
              <w14:schemeClr w14:val="tx1"/>
            </w14:solidFill>
          </w14:textFill>
        </w:rPr>
        <w:t>。</w:t>
      </w:r>
    </w:p>
    <w:p w14:paraId="3218B5D5">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3．随同本投标函提交</w:t>
      </w:r>
      <w:r>
        <w:rPr>
          <w:rFonts w:hint="eastAsia" w:ascii="宋体" w:hAnsi="宋体"/>
          <w:color w:val="000000" w:themeColor="text1"/>
          <w:szCs w:val="21"/>
          <w14:textFill>
            <w14:solidFill>
              <w14:schemeClr w14:val="tx1"/>
            </w14:solidFill>
          </w14:textFill>
        </w:rPr>
        <w:t>磋商保证金</w:t>
      </w:r>
      <w:r>
        <w:rPr>
          <w:rFonts w:ascii="宋体" w:hAnsi="宋体"/>
          <w:color w:val="000000" w:themeColor="text1"/>
          <w:szCs w:val="21"/>
          <w14:textFill>
            <w14:solidFill>
              <w14:schemeClr w14:val="tx1"/>
            </w14:solidFill>
          </w14:textFill>
        </w:rPr>
        <w:t>一份，金额为</w:t>
      </w:r>
      <w:r>
        <w:rPr>
          <w:rFonts w:ascii="宋体" w:hAnsi="宋体"/>
          <w:color w:val="000000" w:themeColor="text1"/>
          <w:szCs w:val="21"/>
          <w:u w:val="single"/>
          <w14:textFill>
            <w14:solidFill>
              <w14:schemeClr w14:val="tx1"/>
            </w14:solidFill>
          </w14:textFill>
        </w:rPr>
        <w:t>人民币</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（大写）元（¥）</w:t>
      </w:r>
      <w:r>
        <w:rPr>
          <w:rFonts w:ascii="宋体" w:hAnsi="宋体"/>
          <w:color w:val="000000" w:themeColor="text1"/>
          <w:szCs w:val="21"/>
          <w14:textFill>
            <w14:solidFill>
              <w14:schemeClr w14:val="tx1"/>
            </w14:solidFill>
          </w14:textFill>
        </w:rPr>
        <w:t>。</w:t>
      </w:r>
    </w:p>
    <w:p w14:paraId="2818E502">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4．如我方</w:t>
      </w:r>
      <w:r>
        <w:rPr>
          <w:rFonts w:hint="eastAsia" w:ascii="宋体" w:hAnsi="宋体"/>
          <w:color w:val="000000" w:themeColor="text1"/>
          <w:szCs w:val="21"/>
          <w:lang w:eastAsia="zh-CN"/>
          <w14:textFill>
            <w14:solidFill>
              <w14:schemeClr w14:val="tx1"/>
            </w14:solidFill>
          </w14:textFill>
        </w:rPr>
        <w:t>成交</w:t>
      </w:r>
      <w:r>
        <w:rPr>
          <w:rFonts w:ascii="宋体" w:hAnsi="宋体"/>
          <w:color w:val="000000" w:themeColor="text1"/>
          <w:szCs w:val="21"/>
          <w14:textFill>
            <w14:solidFill>
              <w14:schemeClr w14:val="tx1"/>
            </w14:solidFill>
          </w14:textFill>
        </w:rPr>
        <w:t>：</w:t>
      </w:r>
    </w:p>
    <w:p w14:paraId="6A7D6E33">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（1）我方承诺在收到</w:t>
      </w:r>
      <w:r>
        <w:rPr>
          <w:rFonts w:hint="eastAsia" w:ascii="宋体" w:hAnsi="宋体"/>
          <w:color w:val="000000" w:themeColor="text1"/>
          <w:szCs w:val="21"/>
          <w:lang w:eastAsia="zh-CN"/>
          <w14:textFill>
            <w14:solidFill>
              <w14:schemeClr w14:val="tx1"/>
            </w14:solidFill>
          </w14:textFill>
        </w:rPr>
        <w:t>成交</w:t>
      </w:r>
      <w:r>
        <w:rPr>
          <w:rFonts w:ascii="宋体" w:hAnsi="宋体"/>
          <w:color w:val="000000" w:themeColor="text1"/>
          <w:szCs w:val="21"/>
          <w14:textFill>
            <w14:solidFill>
              <w14:schemeClr w14:val="tx1"/>
            </w14:solidFill>
          </w14:textFill>
        </w:rPr>
        <w:t>通知书后，在</w:t>
      </w:r>
      <w:r>
        <w:rPr>
          <w:rFonts w:hint="eastAsia" w:ascii="宋体" w:hAnsi="宋体"/>
          <w:color w:val="000000" w:themeColor="text1"/>
          <w:szCs w:val="21"/>
          <w:lang w:eastAsia="zh-CN"/>
          <w14:textFill>
            <w14:solidFill>
              <w14:schemeClr w14:val="tx1"/>
            </w14:solidFill>
          </w14:textFill>
        </w:rPr>
        <w:t>成交</w:t>
      </w:r>
      <w:r>
        <w:rPr>
          <w:rFonts w:ascii="宋体" w:hAnsi="宋体"/>
          <w:color w:val="000000" w:themeColor="text1"/>
          <w:szCs w:val="21"/>
          <w14:textFill>
            <w14:solidFill>
              <w14:schemeClr w14:val="tx1"/>
            </w14:solidFill>
          </w14:textFill>
        </w:rPr>
        <w:t>通知书规定的期限内与你方签订合同。</w:t>
      </w:r>
    </w:p>
    <w:p w14:paraId="73D7E014">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（2）随同本投标函递交的投标函附录属于合同文件的组成部分。</w:t>
      </w:r>
    </w:p>
    <w:p w14:paraId="4F1B113E">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14:textFill>
            <w14:solidFill>
              <w14:schemeClr w14:val="tx1"/>
            </w14:solidFill>
          </w14:textFill>
        </w:rPr>
        <w:t>3</w:t>
      </w:r>
      <w:r>
        <w:rPr>
          <w:rFonts w:ascii="宋体" w:hAnsi="宋体"/>
          <w:color w:val="000000" w:themeColor="text1"/>
          <w:szCs w:val="21"/>
          <w14:textFill>
            <w14:solidFill>
              <w14:schemeClr w14:val="tx1"/>
            </w14:solidFill>
          </w14:textFill>
        </w:rPr>
        <w:t>）我方承诺在合同约定的期限内完成并移交全部合同工程。</w:t>
      </w:r>
    </w:p>
    <w:p w14:paraId="13C2A484">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ascii="宋体" w:hAnsi="宋体" w:eastAsia="宋体" w:cs="Times New Roman"/>
          <w:color w:val="000000" w:themeColor="text1"/>
          <w:szCs w:val="21"/>
          <w14:textFill>
            <w14:solidFill>
              <w14:schemeClr w14:val="tx1"/>
            </w14:solidFill>
          </w14:textFill>
        </w:rPr>
        <w:t>5．我方在此声明，所递交的</w:t>
      </w:r>
      <w:r>
        <w:rPr>
          <w:rFonts w:hint="eastAsia" w:ascii="宋体" w:hAnsi="宋体" w:eastAsia="宋体" w:cs="Times New Roman"/>
          <w:color w:val="000000" w:themeColor="text1"/>
          <w:szCs w:val="21"/>
          <w14:textFill>
            <w14:solidFill>
              <w14:schemeClr w14:val="tx1"/>
            </w14:solidFill>
          </w14:textFill>
        </w:rPr>
        <w:t>响应文件</w:t>
      </w:r>
      <w:r>
        <w:rPr>
          <w:rFonts w:ascii="宋体" w:hAnsi="宋体" w:eastAsia="宋体" w:cs="Times New Roman"/>
          <w:color w:val="000000" w:themeColor="text1"/>
          <w:szCs w:val="21"/>
          <w14:textFill>
            <w14:solidFill>
              <w14:schemeClr w14:val="tx1"/>
            </w14:solidFill>
          </w14:textFill>
        </w:rPr>
        <w:t>及有关资料内容完整、真实和准确，且不存在第二章“</w:t>
      </w:r>
      <w:r>
        <w:rPr>
          <w:rFonts w:hint="eastAsia" w:ascii="宋体" w:hAnsi="宋体" w:cs="Times New Roman"/>
          <w:color w:val="000000" w:themeColor="text1"/>
          <w:szCs w:val="21"/>
          <w:lang w:eastAsia="zh-CN"/>
          <w14:textFill>
            <w14:solidFill>
              <w14:schemeClr w14:val="tx1"/>
            </w14:solidFill>
          </w14:textFill>
        </w:rPr>
        <w:t>供应商</w:t>
      </w:r>
      <w:r>
        <w:rPr>
          <w:rFonts w:ascii="宋体" w:hAnsi="宋体" w:eastAsia="宋体" w:cs="Times New Roman"/>
          <w:color w:val="000000" w:themeColor="text1"/>
          <w:szCs w:val="21"/>
          <w14:textFill>
            <w14:solidFill>
              <w14:schemeClr w14:val="tx1"/>
            </w14:solidFill>
          </w14:textFill>
        </w:rPr>
        <w:t>须知”第1.4.3项规定的任何一种情形。</w:t>
      </w:r>
    </w:p>
    <w:p w14:paraId="090853BD">
      <w:pPr>
        <w:spacing w:line="400" w:lineRule="exact"/>
        <w:ind w:firstLine="420" w:firstLineChars="200"/>
        <w:rPr>
          <w:rFonts w:hint="eastAsia" w:ascii="宋体" w:hAnsi="宋体" w:eastAsia="宋体" w:cs="宋体"/>
          <w:color w:val="000000"/>
          <w:sz w:val="21"/>
          <w:szCs w:val="22"/>
          <w:lang w:val="en-US" w:eastAsia="en-US" w:bidi="ar-SA"/>
        </w:rPr>
      </w:pPr>
      <w:r>
        <w:rPr>
          <w:rFonts w:ascii="宋体" w:hAnsi="宋体" w:eastAsia="宋体" w:cs="Times New Roman"/>
          <w:color w:val="000000" w:themeColor="text1"/>
          <w:szCs w:val="21"/>
          <w14:textFill>
            <w14:solidFill>
              <w14:schemeClr w14:val="tx1"/>
            </w14:solidFill>
          </w14:textFill>
        </w:rPr>
        <w:t>6．</w:t>
      </w:r>
      <w:r>
        <w:rPr>
          <w:rFonts w:hint="eastAsia" w:ascii="宋体" w:hAnsi="宋体" w:eastAsia="宋体" w:cs="宋体"/>
          <w:color w:val="000000"/>
          <w:sz w:val="21"/>
          <w:szCs w:val="22"/>
          <w:lang w:val="en-US" w:eastAsia="en-US" w:bidi="ar-SA"/>
        </w:rPr>
        <w:t>磋商有效期</w:t>
      </w:r>
      <w:r>
        <w:rPr>
          <w:rFonts w:hint="eastAsia" w:ascii="宋体" w:hAnsi="宋体" w:eastAsia="宋体" w:cs="宋体"/>
          <w:color w:val="000000"/>
          <w:sz w:val="21"/>
          <w:szCs w:val="22"/>
          <w:u w:val="single"/>
          <w:lang w:val="en-US" w:eastAsia="zh-CN" w:bidi="ar-SA"/>
        </w:rPr>
        <w:t xml:space="preserve">         </w:t>
      </w:r>
      <w:r>
        <w:rPr>
          <w:rFonts w:hint="eastAsia" w:ascii="宋体" w:hAnsi="宋体" w:eastAsia="宋体" w:cs="宋体"/>
          <w:color w:val="000000"/>
          <w:sz w:val="21"/>
          <w:szCs w:val="22"/>
          <w:lang w:val="en-US" w:eastAsia="en-US" w:bidi="ar-SA"/>
        </w:rPr>
        <w:t>日历天</w:t>
      </w:r>
    </w:p>
    <w:p w14:paraId="41F9AFB6">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宋体"/>
          <w:color w:val="000000"/>
          <w:sz w:val="21"/>
          <w:szCs w:val="22"/>
          <w:lang w:val="en-US" w:eastAsia="zh-CN" w:bidi="ar-SA"/>
        </w:rPr>
        <w:t>7.</w:t>
      </w:r>
      <w:r>
        <w:rPr>
          <w:rFonts w:hint="eastAsia" w:ascii="宋体" w:hAnsi="宋体" w:eastAsia="宋体" w:cs="宋体"/>
          <w:color w:val="000000"/>
          <w:sz w:val="21"/>
          <w:szCs w:val="22"/>
          <w:u w:val="single"/>
          <w:lang w:val="en-US" w:eastAsia="zh-CN" w:bidi="ar-SA"/>
        </w:rPr>
        <w:t xml:space="preserve">             </w:t>
      </w:r>
      <w:r>
        <w:rPr>
          <w:rFonts w:ascii="宋体" w:hAnsi="宋体" w:eastAsia="宋体" w:cs="Times New Roman"/>
          <w:color w:val="000000" w:themeColor="text1"/>
          <w:szCs w:val="21"/>
          <w14:textFill>
            <w14:solidFill>
              <w14:schemeClr w14:val="tx1"/>
            </w14:solidFill>
          </w14:textFill>
        </w:rPr>
        <w:t>（其他补充说明）。</w:t>
      </w:r>
    </w:p>
    <w:p w14:paraId="48B60A63">
      <w:pPr>
        <w:rPr>
          <w:rFonts w:ascii="宋体" w:hAnsi="宋体"/>
          <w:color w:val="000000" w:themeColor="text1"/>
          <w:szCs w:val="21"/>
          <w14:textFill>
            <w14:solidFill>
              <w14:schemeClr w14:val="tx1"/>
            </w14:solidFill>
          </w14:textFill>
        </w:rPr>
      </w:pPr>
    </w:p>
    <w:p w14:paraId="018C5178">
      <w:pPr>
        <w:spacing w:line="440" w:lineRule="exact"/>
        <w:rPr>
          <w:rFonts w:ascii="宋体" w:hAnsi="宋体"/>
          <w:color w:val="000000" w:themeColor="text1"/>
          <w:szCs w:val="21"/>
          <w14:textFill>
            <w14:solidFill>
              <w14:schemeClr w14:val="tx1"/>
            </w14:solidFill>
          </w14:textFill>
        </w:rPr>
      </w:pPr>
    </w:p>
    <w:p w14:paraId="05CC9F4C">
      <w:pPr>
        <w:spacing w:line="440" w:lineRule="exact"/>
        <w:rPr>
          <w:rFonts w:ascii="宋体" w:hAnsi="宋体"/>
          <w:color w:val="000000" w:themeColor="text1"/>
          <w:szCs w:val="21"/>
          <w14:textFill>
            <w14:solidFill>
              <w14:schemeClr w14:val="tx1"/>
            </w14:solidFill>
          </w14:textFill>
        </w:rPr>
      </w:pPr>
    </w:p>
    <w:p w14:paraId="3CA6AA0A">
      <w:pPr>
        <w:spacing w:line="440" w:lineRule="exact"/>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（盖单位章）</w:t>
      </w:r>
    </w:p>
    <w:p w14:paraId="37D3BB20">
      <w:pPr>
        <w:spacing w:line="440" w:lineRule="exac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法定代表人或其委托代理人：</w:t>
      </w:r>
      <w:r>
        <w:rPr>
          <w:rFonts w:hint="eastAsia" w:ascii="宋体" w:hAnsi="宋体"/>
          <w:color w:val="000000" w:themeColor="text1"/>
          <w:szCs w:val="21"/>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（签字）</w:t>
      </w:r>
    </w:p>
    <w:p w14:paraId="165E29C2">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地址：</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u w:val="single"/>
          <w:lang w:val="en-US" w:eastAsia="zh-CN"/>
          <w14:textFill>
            <w14:solidFill>
              <w14:schemeClr w14:val="tx1"/>
            </w14:solidFill>
          </w14:textFill>
        </w:rPr>
        <w:t xml:space="preserve">                            </w:t>
      </w:r>
    </w:p>
    <w:p w14:paraId="4258D5CA">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网址：</w:t>
      </w:r>
      <w:r>
        <w:rPr>
          <w:rFonts w:hint="eastAsia" w:ascii="宋体" w:hAnsi="宋体"/>
          <w:color w:val="000000" w:themeColor="text1"/>
          <w:szCs w:val="21"/>
          <w:u w:val="single"/>
          <w:lang w:val="en-US" w:eastAsia="zh-CN"/>
          <w14:textFill>
            <w14:solidFill>
              <w14:schemeClr w14:val="tx1"/>
            </w14:solidFill>
          </w14:textFill>
        </w:rPr>
        <w:t xml:space="preserve">                             </w:t>
      </w:r>
    </w:p>
    <w:p w14:paraId="3905339F">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电话：</w:t>
      </w:r>
      <w:r>
        <w:rPr>
          <w:rFonts w:hint="eastAsia" w:ascii="宋体" w:hAnsi="宋体"/>
          <w:color w:val="000000" w:themeColor="text1"/>
          <w:szCs w:val="21"/>
          <w:u w:val="single"/>
          <w:lang w:val="en-US" w:eastAsia="zh-CN"/>
          <w14:textFill>
            <w14:solidFill>
              <w14:schemeClr w14:val="tx1"/>
            </w14:solidFill>
          </w14:textFill>
        </w:rPr>
        <w:t xml:space="preserve">                             </w:t>
      </w:r>
    </w:p>
    <w:p w14:paraId="01A20756">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传真：</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u w:val="single"/>
          <w:lang w:val="en-US" w:eastAsia="zh-CN"/>
          <w14:textFill>
            <w14:solidFill>
              <w14:schemeClr w14:val="tx1"/>
            </w14:solidFill>
          </w14:textFill>
        </w:rPr>
        <w:t xml:space="preserve">                            </w:t>
      </w:r>
    </w:p>
    <w:p w14:paraId="0456C949">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邮政编码：</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u w:val="single"/>
          <w:lang w:val="en-US" w:eastAsia="zh-CN"/>
          <w14:textFill>
            <w14:solidFill>
              <w14:schemeClr w14:val="tx1"/>
            </w14:solidFill>
          </w14:textFill>
        </w:rPr>
        <w:t xml:space="preserve">                        </w:t>
      </w:r>
    </w:p>
    <w:p w14:paraId="20B78CE0">
      <w:pPr>
        <w:spacing w:line="440" w:lineRule="exact"/>
        <w:rPr>
          <w:rFonts w:hint="default" w:ascii="宋体" w:hAnsi="宋体" w:eastAsia="宋体"/>
          <w:color w:val="000000" w:themeColor="text1"/>
          <w:szCs w:val="21"/>
          <w:lang w:val="en-US" w:eastAsia="zh-CN"/>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 xml:space="preserve">      </w:t>
      </w:r>
    </w:p>
    <w:p w14:paraId="2CD59394">
      <w:pPr>
        <w:spacing w:line="440" w:lineRule="exact"/>
        <w:jc w:val="righ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w:t>
      </w:r>
      <w:r>
        <w:rPr>
          <w:rFonts w:hint="eastAsia" w:ascii="宋体" w:hAnsi="宋体"/>
          <w:color w:val="000000" w:themeColor="text1"/>
          <w:szCs w:val="21"/>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月</w:t>
      </w:r>
      <w:r>
        <w:rPr>
          <w:rFonts w:hint="eastAsia" w:ascii="宋体" w:hAnsi="宋体"/>
          <w:color w:val="000000" w:themeColor="text1"/>
          <w:szCs w:val="21"/>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日</w:t>
      </w:r>
    </w:p>
    <w:p w14:paraId="062F104B">
      <w:pPr>
        <w:rPr>
          <w:rFonts w:ascii="宋体" w:hAnsi="宋体"/>
          <w:color w:val="000000" w:themeColor="text1"/>
          <w:szCs w:val="21"/>
          <w14:textFill>
            <w14:solidFill>
              <w14:schemeClr w14:val="tx1"/>
            </w14:solidFill>
          </w14:textFill>
        </w:rPr>
      </w:pPr>
    </w:p>
    <w:p w14:paraId="1977E30B">
      <w:pPr>
        <w:rPr>
          <w:rFonts w:ascii="宋体" w:hAnsi="宋体"/>
          <w:color w:val="000000" w:themeColor="text1"/>
          <w:szCs w:val="21"/>
          <w14:textFill>
            <w14:solidFill>
              <w14:schemeClr w14:val="tx1"/>
            </w14:solidFill>
          </w14:textFill>
        </w:rPr>
      </w:pPr>
    </w:p>
    <w:p w14:paraId="584D5B8D">
      <w:pPr>
        <w:rPr>
          <w:rFonts w:ascii="宋体" w:hAnsi="宋体"/>
          <w:color w:val="000000" w:themeColor="text1"/>
          <w:sz w:val="24"/>
          <w14:textFill>
            <w14:solidFill>
              <w14:schemeClr w14:val="tx1"/>
            </w14:solidFill>
          </w14:textFill>
        </w:rPr>
      </w:pPr>
    </w:p>
    <w:p w14:paraId="5144CE6F">
      <w:pPr>
        <w:rPr>
          <w:color w:val="000000" w:themeColor="text1"/>
          <w14:textFill>
            <w14:solidFill>
              <w14:schemeClr w14:val="tx1"/>
            </w14:solidFill>
          </w14:textFill>
        </w:rPr>
      </w:pPr>
    </w:p>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p w14:paraId="0D0F3DC3">
      <w:pPr>
        <w:rPr>
          <w:rFonts w:hint="eastAsia" w:ascii="宋体" w:hAnsi="宋体" w:eastAsia="宋体"/>
          <w:color w:val="000000" w:themeColor="text1"/>
          <w:sz w:val="28"/>
          <w:szCs w:val="28"/>
          <w14:textFill>
            <w14:solidFill>
              <w14:schemeClr w14:val="tx1"/>
            </w14:solidFill>
          </w14:textFill>
        </w:rPr>
      </w:pPr>
      <w:bookmarkStart w:id="833" w:name="_Toc53569419"/>
      <w:bookmarkStart w:id="834" w:name="_Toc469921630"/>
      <w:bookmarkStart w:id="835" w:name="_Toc6429"/>
      <w:bookmarkStart w:id="836" w:name="_Toc54097217"/>
      <w:bookmarkStart w:id="837" w:name="_Toc54258240"/>
      <w:bookmarkStart w:id="838" w:name="_Toc432066477"/>
      <w:bookmarkStart w:id="839" w:name="_Toc30065"/>
      <w:bookmarkStart w:id="840" w:name="_Toc192127131"/>
      <w:r>
        <w:rPr>
          <w:rFonts w:hint="eastAsia" w:ascii="宋体" w:hAnsi="宋体" w:eastAsia="宋体"/>
          <w:color w:val="000000" w:themeColor="text1"/>
          <w:sz w:val="28"/>
          <w:szCs w:val="28"/>
          <w14:textFill>
            <w14:solidFill>
              <w14:schemeClr w14:val="tx1"/>
            </w14:solidFill>
          </w14:textFill>
        </w:rPr>
        <w:br w:type="page"/>
      </w:r>
    </w:p>
    <w:p w14:paraId="316DB511">
      <w:pPr>
        <w:pStyle w:val="4"/>
        <w:pageBreakBefore/>
        <w:widowControl w:val="0"/>
        <w:spacing w:line="360" w:lineRule="auto"/>
        <w:rPr>
          <w:rFonts w:hint="eastAsia" w:ascii="宋体" w:hAnsi="宋体" w:eastAsia="宋体" w:cs="Times New Roman"/>
          <w:color w:val="000000" w:themeColor="text1"/>
          <w:sz w:val="28"/>
          <w:szCs w:val="28"/>
          <w14:textFill>
            <w14:solidFill>
              <w14:schemeClr w14:val="tx1"/>
            </w14:solidFill>
          </w14:textFill>
        </w:rPr>
      </w:pPr>
      <w:r>
        <w:rPr>
          <w:rFonts w:hint="eastAsia" w:ascii="宋体" w:hAnsi="宋体" w:eastAsia="宋体" w:cs="Times New Roman"/>
          <w:color w:val="000000" w:themeColor="text1"/>
          <w:sz w:val="28"/>
          <w:szCs w:val="28"/>
          <w:lang w:eastAsia="zh-CN"/>
          <w14:textFill>
            <w14:solidFill>
              <w14:schemeClr w14:val="tx1"/>
            </w14:solidFill>
          </w14:textFill>
        </w:rPr>
        <w:t>投标函</w:t>
      </w:r>
      <w:r>
        <w:rPr>
          <w:rFonts w:hint="eastAsia" w:ascii="宋体" w:hAnsi="宋体" w:eastAsia="宋体" w:cs="Times New Roman"/>
          <w:color w:val="000000" w:themeColor="text1"/>
          <w:sz w:val="28"/>
          <w:szCs w:val="28"/>
          <w14:textFill>
            <w14:solidFill>
              <w14:schemeClr w14:val="tx1"/>
            </w14:solidFill>
          </w14:textFill>
        </w:rPr>
        <w:t>附录</w:t>
      </w:r>
    </w:p>
    <w:p w14:paraId="43584484">
      <w:pPr>
        <w:spacing w:line="440" w:lineRule="exact"/>
        <w:ind w:firstLine="105" w:firstLineChars="50"/>
        <w:rPr>
          <w:rFonts w:hint="eastAsia" w:ascii="宋体" w:hAnsi="宋体" w:cs="宋体"/>
          <w:sz w:val="21"/>
          <w:szCs w:val="21"/>
          <w:highlight w:val="none"/>
        </w:rPr>
      </w:pPr>
      <w:r>
        <w:rPr>
          <w:rFonts w:hint="eastAsia" w:ascii="宋体" w:hAnsi="宋体" w:cs="宋体"/>
          <w:sz w:val="21"/>
          <w:szCs w:val="21"/>
          <w:highlight w:val="none"/>
        </w:rPr>
        <w:t>项目名称：</w:t>
      </w:r>
    </w:p>
    <w:p w14:paraId="75D14AC6">
      <w:pPr>
        <w:spacing w:line="440" w:lineRule="exact"/>
        <w:ind w:firstLine="105" w:firstLineChars="50"/>
        <w:rPr>
          <w:rFonts w:hint="eastAsia" w:ascii="宋体" w:hAnsi="宋体" w:cs="宋体"/>
          <w:sz w:val="20"/>
          <w:highlight w:val="none"/>
        </w:rPr>
      </w:pPr>
      <w:r>
        <w:rPr>
          <w:rFonts w:hint="eastAsia" w:ascii="宋体" w:hAnsi="宋体" w:cs="宋体"/>
          <w:sz w:val="21"/>
          <w:szCs w:val="21"/>
          <w:highlight w:val="none"/>
        </w:rPr>
        <w:t>项目编号：</w:t>
      </w:r>
      <w:r>
        <w:rPr>
          <w:rFonts w:hint="eastAsia" w:ascii="宋体" w:hAnsi="宋体" w:cs="宋体"/>
          <w:sz w:val="20"/>
          <w:highlight w:val="none"/>
        </w:rPr>
        <w:t xml:space="preserve">           </w:t>
      </w:r>
    </w:p>
    <w:tbl>
      <w:tblPr>
        <w:tblStyle w:val="88"/>
        <w:tblW w:w="932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46"/>
        <w:gridCol w:w="2215"/>
        <w:gridCol w:w="3887"/>
        <w:gridCol w:w="2374"/>
      </w:tblGrid>
      <w:tr w14:paraId="7AE98B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6DE44050">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序号</w:t>
            </w:r>
          </w:p>
        </w:tc>
        <w:tc>
          <w:tcPr>
            <w:tcW w:w="2215" w:type="dxa"/>
            <w:tcBorders>
              <w:top w:val="single" w:color="auto" w:sz="4" w:space="0"/>
              <w:left w:val="single" w:color="auto" w:sz="4" w:space="0"/>
              <w:bottom w:val="single" w:color="auto" w:sz="4" w:space="0"/>
              <w:right w:val="single" w:color="auto" w:sz="4" w:space="0"/>
            </w:tcBorders>
            <w:vAlign w:val="center"/>
          </w:tcPr>
          <w:p w14:paraId="474095C9">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条款名称</w:t>
            </w:r>
          </w:p>
        </w:tc>
        <w:tc>
          <w:tcPr>
            <w:tcW w:w="3887" w:type="dxa"/>
            <w:tcBorders>
              <w:top w:val="single" w:color="auto" w:sz="4" w:space="0"/>
              <w:left w:val="single" w:color="auto" w:sz="4" w:space="0"/>
              <w:bottom w:val="single" w:color="auto" w:sz="4" w:space="0"/>
              <w:right w:val="single" w:color="auto" w:sz="4" w:space="0"/>
            </w:tcBorders>
            <w:vAlign w:val="center"/>
          </w:tcPr>
          <w:p w14:paraId="74837316">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约定内容</w:t>
            </w:r>
          </w:p>
        </w:tc>
        <w:tc>
          <w:tcPr>
            <w:tcW w:w="2374" w:type="dxa"/>
            <w:tcBorders>
              <w:top w:val="single" w:color="auto" w:sz="4" w:space="0"/>
              <w:left w:val="single" w:color="auto" w:sz="4" w:space="0"/>
              <w:bottom w:val="single" w:color="auto" w:sz="4" w:space="0"/>
              <w:right w:val="single" w:color="auto" w:sz="4" w:space="0"/>
            </w:tcBorders>
            <w:vAlign w:val="center"/>
          </w:tcPr>
          <w:p w14:paraId="3484A699">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是否响应</w:t>
            </w:r>
          </w:p>
        </w:tc>
      </w:tr>
      <w:tr w14:paraId="35CB2B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06C431E4">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1</w:t>
            </w:r>
          </w:p>
        </w:tc>
        <w:tc>
          <w:tcPr>
            <w:tcW w:w="2215" w:type="dxa"/>
            <w:tcBorders>
              <w:top w:val="single" w:color="auto" w:sz="4" w:space="0"/>
              <w:left w:val="single" w:color="auto" w:sz="4" w:space="0"/>
              <w:bottom w:val="single" w:color="auto" w:sz="4" w:space="0"/>
              <w:right w:val="single" w:color="auto" w:sz="4" w:space="0"/>
            </w:tcBorders>
            <w:vAlign w:val="center"/>
          </w:tcPr>
          <w:p w14:paraId="0DF44A91">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color w:val="auto"/>
                <w:kern w:val="0"/>
                <w:sz w:val="21"/>
                <w:szCs w:val="21"/>
                <w:highlight w:val="none"/>
                <w:lang w:val="en-US" w:eastAsia="zh-CN"/>
              </w:rPr>
              <w:t>计划工期</w:t>
            </w:r>
          </w:p>
        </w:tc>
        <w:tc>
          <w:tcPr>
            <w:tcW w:w="3887" w:type="dxa"/>
            <w:tcBorders>
              <w:top w:val="single" w:color="auto" w:sz="4" w:space="0"/>
              <w:left w:val="single" w:color="auto" w:sz="4" w:space="0"/>
              <w:bottom w:val="single" w:color="auto" w:sz="4" w:space="0"/>
              <w:right w:val="single" w:color="auto" w:sz="4" w:space="0"/>
            </w:tcBorders>
            <w:vAlign w:val="center"/>
          </w:tcPr>
          <w:p w14:paraId="3B878367">
            <w:pPr>
              <w:autoSpaceDE w:val="0"/>
              <w:autoSpaceDN w:val="0"/>
              <w:adjustRightInd w:val="0"/>
              <w:spacing w:line="240" w:lineRule="exact"/>
              <w:jc w:val="center"/>
              <w:rPr>
                <w:rFonts w:hint="eastAsia" w:ascii="宋体" w:hAnsi="宋体" w:cs="仿宋_GB2312"/>
                <w:kern w:val="0"/>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6D2764B5">
            <w:pPr>
              <w:autoSpaceDE w:val="0"/>
              <w:autoSpaceDN w:val="0"/>
              <w:adjustRightInd w:val="0"/>
              <w:ind w:firstLine="480"/>
              <w:jc w:val="center"/>
              <w:rPr>
                <w:rFonts w:hint="eastAsia" w:ascii="宋体" w:hAnsi="宋体" w:cs="仿宋_GB2312"/>
                <w:kern w:val="0"/>
                <w:sz w:val="21"/>
                <w:szCs w:val="21"/>
                <w:highlight w:val="none"/>
              </w:rPr>
            </w:pPr>
          </w:p>
        </w:tc>
      </w:tr>
      <w:tr w14:paraId="4CD441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30B006CB">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2</w:t>
            </w:r>
          </w:p>
        </w:tc>
        <w:tc>
          <w:tcPr>
            <w:tcW w:w="2215" w:type="dxa"/>
            <w:tcBorders>
              <w:top w:val="single" w:color="auto" w:sz="4" w:space="0"/>
              <w:left w:val="single" w:color="auto" w:sz="4" w:space="0"/>
              <w:bottom w:val="single" w:color="auto" w:sz="4" w:space="0"/>
              <w:right w:val="single" w:color="auto" w:sz="4" w:space="0"/>
            </w:tcBorders>
            <w:vAlign w:val="center"/>
          </w:tcPr>
          <w:p w14:paraId="5A051A70">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lang w:eastAsia="zh-CN"/>
              </w:rPr>
              <w:t>投标</w:t>
            </w:r>
            <w:r>
              <w:rPr>
                <w:rFonts w:hint="eastAsia" w:ascii="宋体" w:hAnsi="宋体" w:cs="仿宋_GB2312"/>
                <w:kern w:val="0"/>
                <w:sz w:val="21"/>
                <w:szCs w:val="21"/>
                <w:highlight w:val="none"/>
              </w:rPr>
              <w:t>有效期</w:t>
            </w:r>
          </w:p>
        </w:tc>
        <w:tc>
          <w:tcPr>
            <w:tcW w:w="3887" w:type="dxa"/>
            <w:tcBorders>
              <w:top w:val="single" w:color="auto" w:sz="4" w:space="0"/>
              <w:left w:val="single" w:color="auto" w:sz="4" w:space="0"/>
              <w:bottom w:val="single" w:color="auto" w:sz="4" w:space="0"/>
              <w:right w:val="single" w:color="auto" w:sz="4" w:space="0"/>
            </w:tcBorders>
            <w:vAlign w:val="center"/>
          </w:tcPr>
          <w:p w14:paraId="0D4FE211">
            <w:pPr>
              <w:autoSpaceDE w:val="0"/>
              <w:autoSpaceDN w:val="0"/>
              <w:adjustRightInd w:val="0"/>
              <w:spacing w:line="240" w:lineRule="exact"/>
              <w:jc w:val="center"/>
              <w:rPr>
                <w:rFonts w:hint="eastAsia" w:ascii="宋体" w:hAnsi="宋体" w:cs="仿宋_GB2312"/>
                <w:kern w:val="0"/>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7297A647">
            <w:pPr>
              <w:autoSpaceDE w:val="0"/>
              <w:autoSpaceDN w:val="0"/>
              <w:adjustRightInd w:val="0"/>
              <w:ind w:firstLine="480"/>
              <w:jc w:val="center"/>
              <w:rPr>
                <w:rFonts w:hint="eastAsia" w:ascii="宋体" w:hAnsi="宋体" w:cs="仿宋_GB2312"/>
                <w:kern w:val="0"/>
                <w:sz w:val="21"/>
                <w:szCs w:val="21"/>
                <w:highlight w:val="none"/>
              </w:rPr>
            </w:pPr>
          </w:p>
        </w:tc>
      </w:tr>
      <w:tr w14:paraId="00FBFC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4087E680">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3</w:t>
            </w:r>
          </w:p>
        </w:tc>
        <w:tc>
          <w:tcPr>
            <w:tcW w:w="2215" w:type="dxa"/>
            <w:tcBorders>
              <w:top w:val="single" w:color="auto" w:sz="4" w:space="0"/>
              <w:left w:val="single" w:color="auto" w:sz="4" w:space="0"/>
              <w:bottom w:val="single" w:color="auto" w:sz="4" w:space="0"/>
              <w:right w:val="single" w:color="auto" w:sz="4" w:space="0"/>
            </w:tcBorders>
            <w:vAlign w:val="center"/>
          </w:tcPr>
          <w:p w14:paraId="59BEEAC4">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权利义务</w:t>
            </w:r>
          </w:p>
        </w:tc>
        <w:tc>
          <w:tcPr>
            <w:tcW w:w="3887" w:type="dxa"/>
            <w:tcBorders>
              <w:top w:val="single" w:color="auto" w:sz="4" w:space="0"/>
              <w:left w:val="single" w:color="auto" w:sz="4" w:space="0"/>
              <w:bottom w:val="single" w:color="auto" w:sz="4" w:space="0"/>
              <w:right w:val="single" w:color="auto" w:sz="4" w:space="0"/>
            </w:tcBorders>
            <w:vAlign w:val="center"/>
          </w:tcPr>
          <w:p w14:paraId="270B3E3C">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Cs w:val="21"/>
                <w:highlight w:val="none"/>
              </w:rPr>
              <w:t>符合第四章“合同条款及格式“规定</w:t>
            </w:r>
          </w:p>
        </w:tc>
        <w:tc>
          <w:tcPr>
            <w:tcW w:w="2374" w:type="dxa"/>
            <w:tcBorders>
              <w:top w:val="single" w:color="auto" w:sz="4" w:space="0"/>
              <w:left w:val="single" w:color="auto" w:sz="4" w:space="0"/>
              <w:bottom w:val="single" w:color="auto" w:sz="4" w:space="0"/>
              <w:right w:val="single" w:color="auto" w:sz="4" w:space="0"/>
            </w:tcBorders>
            <w:vAlign w:val="center"/>
          </w:tcPr>
          <w:p w14:paraId="38B997F9">
            <w:pPr>
              <w:autoSpaceDE w:val="0"/>
              <w:autoSpaceDN w:val="0"/>
              <w:adjustRightInd w:val="0"/>
              <w:ind w:firstLine="480"/>
              <w:jc w:val="center"/>
              <w:rPr>
                <w:rFonts w:hint="eastAsia" w:ascii="宋体" w:hAnsi="宋体" w:cs="仿宋_GB2312"/>
                <w:kern w:val="0"/>
                <w:sz w:val="21"/>
                <w:szCs w:val="21"/>
                <w:highlight w:val="none"/>
              </w:rPr>
            </w:pPr>
          </w:p>
        </w:tc>
      </w:tr>
      <w:tr w14:paraId="56A1B0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6C696346">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4</w:t>
            </w:r>
          </w:p>
        </w:tc>
        <w:tc>
          <w:tcPr>
            <w:tcW w:w="2215" w:type="dxa"/>
            <w:tcBorders>
              <w:top w:val="single" w:color="auto" w:sz="4" w:space="0"/>
              <w:left w:val="single" w:color="auto" w:sz="4" w:space="0"/>
              <w:bottom w:val="single" w:color="auto" w:sz="4" w:space="0"/>
              <w:right w:val="single" w:color="auto" w:sz="4" w:space="0"/>
            </w:tcBorders>
            <w:vAlign w:val="center"/>
          </w:tcPr>
          <w:p w14:paraId="3A543ADF">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技术标准和要求</w:t>
            </w:r>
          </w:p>
        </w:tc>
        <w:tc>
          <w:tcPr>
            <w:tcW w:w="3887" w:type="dxa"/>
            <w:tcBorders>
              <w:top w:val="single" w:color="auto" w:sz="4" w:space="0"/>
              <w:left w:val="single" w:color="auto" w:sz="4" w:space="0"/>
              <w:bottom w:val="single" w:color="auto" w:sz="4" w:space="0"/>
              <w:right w:val="single" w:color="auto" w:sz="4" w:space="0"/>
            </w:tcBorders>
            <w:vAlign w:val="center"/>
          </w:tcPr>
          <w:p w14:paraId="1CADBE4B">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Cs w:val="21"/>
                <w:highlight w:val="none"/>
              </w:rPr>
              <w:t>符合第七章“技术标准和要求“规定</w:t>
            </w:r>
          </w:p>
        </w:tc>
        <w:tc>
          <w:tcPr>
            <w:tcW w:w="2374" w:type="dxa"/>
            <w:tcBorders>
              <w:top w:val="single" w:color="auto" w:sz="4" w:space="0"/>
              <w:left w:val="single" w:color="auto" w:sz="4" w:space="0"/>
              <w:bottom w:val="single" w:color="auto" w:sz="4" w:space="0"/>
              <w:right w:val="single" w:color="auto" w:sz="4" w:space="0"/>
            </w:tcBorders>
            <w:vAlign w:val="center"/>
          </w:tcPr>
          <w:p w14:paraId="642D7571">
            <w:pPr>
              <w:autoSpaceDE w:val="0"/>
              <w:autoSpaceDN w:val="0"/>
              <w:adjustRightInd w:val="0"/>
              <w:ind w:firstLine="480"/>
              <w:jc w:val="center"/>
              <w:rPr>
                <w:rFonts w:hint="eastAsia" w:ascii="宋体" w:hAnsi="宋体" w:cs="仿宋_GB2312"/>
                <w:kern w:val="0"/>
                <w:sz w:val="21"/>
                <w:szCs w:val="21"/>
                <w:highlight w:val="none"/>
              </w:rPr>
            </w:pPr>
          </w:p>
        </w:tc>
      </w:tr>
      <w:tr w14:paraId="355339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3" w:hRule="atLeast"/>
        </w:trPr>
        <w:tc>
          <w:tcPr>
            <w:tcW w:w="846" w:type="dxa"/>
            <w:tcBorders>
              <w:top w:val="single" w:color="auto" w:sz="4" w:space="0"/>
              <w:left w:val="single" w:color="auto" w:sz="4" w:space="0"/>
              <w:bottom w:val="single" w:color="auto" w:sz="4" w:space="0"/>
              <w:right w:val="single" w:color="auto" w:sz="4" w:space="0"/>
            </w:tcBorders>
            <w:vAlign w:val="center"/>
          </w:tcPr>
          <w:p w14:paraId="5D4C3E56">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5</w:t>
            </w:r>
          </w:p>
        </w:tc>
        <w:tc>
          <w:tcPr>
            <w:tcW w:w="2215" w:type="dxa"/>
            <w:tcBorders>
              <w:top w:val="single" w:color="auto" w:sz="4" w:space="0"/>
              <w:left w:val="single" w:color="auto" w:sz="4" w:space="0"/>
              <w:bottom w:val="single" w:color="auto" w:sz="4" w:space="0"/>
              <w:right w:val="single" w:color="auto" w:sz="4" w:space="0"/>
            </w:tcBorders>
            <w:vAlign w:val="center"/>
          </w:tcPr>
          <w:p w14:paraId="268DED4E">
            <w:pPr>
              <w:spacing w:line="240" w:lineRule="exact"/>
              <w:jc w:val="center"/>
              <w:rPr>
                <w:rFonts w:hint="eastAsia" w:ascii="宋体" w:hAnsi="宋体" w:cs="Times New Roman"/>
                <w:sz w:val="21"/>
                <w:szCs w:val="21"/>
                <w:highlight w:val="none"/>
              </w:rPr>
            </w:pPr>
            <w:r>
              <w:rPr>
                <w:rFonts w:hint="eastAsia" w:ascii="宋体" w:hAnsi="宋体" w:cs="Times New Roman"/>
                <w:sz w:val="21"/>
                <w:szCs w:val="21"/>
                <w:highlight w:val="none"/>
                <w:lang w:eastAsia="zh-CN"/>
              </w:rPr>
              <w:t>质量</w:t>
            </w:r>
            <w:r>
              <w:rPr>
                <w:rFonts w:hint="eastAsia" w:ascii="宋体" w:hAnsi="宋体" w:cs="Times New Roman"/>
                <w:sz w:val="21"/>
                <w:szCs w:val="21"/>
                <w:highlight w:val="none"/>
              </w:rPr>
              <w:t>标准</w:t>
            </w:r>
          </w:p>
        </w:tc>
        <w:tc>
          <w:tcPr>
            <w:tcW w:w="3887" w:type="dxa"/>
            <w:tcBorders>
              <w:top w:val="single" w:color="auto" w:sz="4" w:space="0"/>
              <w:left w:val="single" w:color="auto" w:sz="4" w:space="0"/>
              <w:bottom w:val="single" w:color="auto" w:sz="4" w:space="0"/>
              <w:right w:val="single" w:color="auto" w:sz="4" w:space="0"/>
            </w:tcBorders>
            <w:vAlign w:val="center"/>
          </w:tcPr>
          <w:p w14:paraId="6163D35B">
            <w:pPr>
              <w:spacing w:line="240" w:lineRule="exact"/>
              <w:jc w:val="center"/>
              <w:rPr>
                <w:rFonts w:hint="eastAsia" w:ascii="宋体" w:hAnsi="宋体" w:eastAsia="宋体" w:cs="Times New Roman"/>
                <w:sz w:val="21"/>
                <w:szCs w:val="21"/>
                <w:highlight w:val="none"/>
                <w:lang w:eastAsia="zh-CN"/>
              </w:rPr>
            </w:pPr>
          </w:p>
        </w:tc>
        <w:tc>
          <w:tcPr>
            <w:tcW w:w="2374" w:type="dxa"/>
            <w:tcBorders>
              <w:top w:val="single" w:color="auto" w:sz="4" w:space="0"/>
              <w:left w:val="single" w:color="auto" w:sz="4" w:space="0"/>
              <w:bottom w:val="single" w:color="auto" w:sz="4" w:space="0"/>
              <w:right w:val="single" w:color="auto" w:sz="4" w:space="0"/>
            </w:tcBorders>
            <w:vAlign w:val="center"/>
          </w:tcPr>
          <w:p w14:paraId="118D125B">
            <w:pPr>
              <w:ind w:firstLine="480"/>
              <w:rPr>
                <w:rFonts w:hint="eastAsia" w:ascii="宋体" w:hAnsi="宋体" w:cs="Times New Roman"/>
                <w:sz w:val="21"/>
                <w:szCs w:val="21"/>
                <w:highlight w:val="none"/>
              </w:rPr>
            </w:pPr>
          </w:p>
        </w:tc>
      </w:tr>
      <w:tr w14:paraId="74D475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3" w:hRule="atLeast"/>
        </w:trPr>
        <w:tc>
          <w:tcPr>
            <w:tcW w:w="846" w:type="dxa"/>
            <w:tcBorders>
              <w:top w:val="single" w:color="auto" w:sz="4" w:space="0"/>
              <w:left w:val="single" w:color="auto" w:sz="4" w:space="0"/>
              <w:bottom w:val="single" w:color="auto" w:sz="4" w:space="0"/>
              <w:right w:val="single" w:color="auto" w:sz="4" w:space="0"/>
            </w:tcBorders>
            <w:vAlign w:val="center"/>
          </w:tcPr>
          <w:p w14:paraId="487F2C3F">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6</w:t>
            </w:r>
          </w:p>
        </w:tc>
        <w:tc>
          <w:tcPr>
            <w:tcW w:w="2215" w:type="dxa"/>
            <w:tcBorders>
              <w:top w:val="single" w:color="auto" w:sz="4" w:space="0"/>
              <w:left w:val="single" w:color="auto" w:sz="4" w:space="0"/>
              <w:bottom w:val="single" w:color="auto" w:sz="4" w:space="0"/>
              <w:right w:val="single" w:color="auto" w:sz="4" w:space="0"/>
            </w:tcBorders>
            <w:vAlign w:val="center"/>
          </w:tcPr>
          <w:p w14:paraId="142A27E0">
            <w:pPr>
              <w:spacing w:line="240" w:lineRule="exact"/>
              <w:jc w:val="center"/>
              <w:rPr>
                <w:rFonts w:hint="eastAsia" w:ascii="宋体" w:hAnsi="宋体" w:eastAsia="宋体" w:cs="Times New Roman"/>
                <w:sz w:val="21"/>
                <w:szCs w:val="21"/>
                <w:highlight w:val="none"/>
                <w:lang w:eastAsia="zh-CN"/>
              </w:rPr>
            </w:pPr>
            <w:r>
              <w:rPr>
                <w:rFonts w:hint="eastAsia" w:ascii="宋体" w:hAnsi="宋体" w:cs="Times New Roman"/>
                <w:sz w:val="21"/>
                <w:szCs w:val="21"/>
                <w:highlight w:val="none"/>
                <w:lang w:eastAsia="zh-CN"/>
              </w:rPr>
              <w:t>项目经理</w:t>
            </w:r>
          </w:p>
        </w:tc>
        <w:tc>
          <w:tcPr>
            <w:tcW w:w="3887" w:type="dxa"/>
            <w:tcBorders>
              <w:top w:val="single" w:color="auto" w:sz="4" w:space="0"/>
              <w:left w:val="single" w:color="auto" w:sz="4" w:space="0"/>
              <w:bottom w:val="single" w:color="auto" w:sz="4" w:space="0"/>
              <w:right w:val="single" w:color="auto" w:sz="4" w:space="0"/>
            </w:tcBorders>
            <w:vAlign w:val="center"/>
          </w:tcPr>
          <w:p w14:paraId="0B0DA9C6">
            <w:pPr>
              <w:spacing w:line="240" w:lineRule="exact"/>
              <w:rPr>
                <w:rFonts w:hint="eastAsia" w:ascii="宋体" w:hAnsi="宋体" w:cs="Times New Roman"/>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26FE8156">
            <w:pPr>
              <w:ind w:firstLine="480"/>
              <w:rPr>
                <w:rFonts w:hint="eastAsia" w:ascii="宋体" w:hAnsi="宋体" w:cs="Times New Roman"/>
                <w:sz w:val="21"/>
                <w:szCs w:val="21"/>
                <w:highlight w:val="none"/>
              </w:rPr>
            </w:pPr>
          </w:p>
        </w:tc>
      </w:tr>
      <w:tr w14:paraId="4F764A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2" w:hRule="atLeast"/>
        </w:trPr>
        <w:tc>
          <w:tcPr>
            <w:tcW w:w="846" w:type="dxa"/>
            <w:tcBorders>
              <w:top w:val="single" w:color="auto" w:sz="4" w:space="0"/>
              <w:left w:val="single" w:color="auto" w:sz="4" w:space="0"/>
              <w:bottom w:val="single" w:color="auto" w:sz="4" w:space="0"/>
              <w:right w:val="single" w:color="auto" w:sz="4" w:space="0"/>
            </w:tcBorders>
            <w:vAlign w:val="center"/>
          </w:tcPr>
          <w:p w14:paraId="175BBA81">
            <w:pPr>
              <w:autoSpaceDE w:val="0"/>
              <w:autoSpaceDN w:val="0"/>
              <w:adjustRightInd w:val="0"/>
              <w:spacing w:line="240" w:lineRule="exact"/>
              <w:jc w:val="center"/>
              <w:rPr>
                <w:rFonts w:hint="default" w:ascii="宋体" w:hAnsi="宋体" w:cs="仿宋_GB2312"/>
                <w:kern w:val="0"/>
                <w:sz w:val="21"/>
                <w:szCs w:val="21"/>
                <w:highlight w:val="none"/>
                <w:lang w:val="en-US" w:eastAsia="zh-CN"/>
              </w:rPr>
            </w:pPr>
            <w:r>
              <w:rPr>
                <w:rFonts w:hint="eastAsia" w:ascii="宋体" w:hAnsi="宋体" w:cs="仿宋_GB2312"/>
                <w:kern w:val="0"/>
                <w:sz w:val="21"/>
                <w:szCs w:val="21"/>
                <w:highlight w:val="none"/>
                <w:lang w:val="en-US" w:eastAsia="zh-CN"/>
              </w:rPr>
              <w:t>7</w:t>
            </w:r>
          </w:p>
        </w:tc>
        <w:tc>
          <w:tcPr>
            <w:tcW w:w="2215" w:type="dxa"/>
            <w:tcBorders>
              <w:top w:val="single" w:color="auto" w:sz="4" w:space="0"/>
              <w:left w:val="single" w:color="auto" w:sz="4" w:space="0"/>
              <w:bottom w:val="single" w:color="auto" w:sz="4" w:space="0"/>
              <w:right w:val="single" w:color="auto" w:sz="4" w:space="0"/>
            </w:tcBorders>
            <w:vAlign w:val="center"/>
          </w:tcPr>
          <w:p w14:paraId="2768584A">
            <w:pPr>
              <w:spacing w:line="240" w:lineRule="exact"/>
              <w:jc w:val="center"/>
              <w:rPr>
                <w:rFonts w:hint="eastAsia" w:ascii="宋体" w:hAnsi="宋体" w:cs="Times New Roman"/>
                <w:sz w:val="21"/>
                <w:szCs w:val="21"/>
                <w:highlight w:val="none"/>
              </w:rPr>
            </w:pPr>
            <w:r>
              <w:rPr>
                <w:rFonts w:hint="eastAsia" w:ascii="宋体" w:hAnsi="宋体" w:cs="Times New Roman"/>
                <w:sz w:val="21"/>
                <w:szCs w:val="21"/>
                <w:highlight w:val="none"/>
              </w:rPr>
              <w:t>……</w:t>
            </w:r>
          </w:p>
        </w:tc>
        <w:tc>
          <w:tcPr>
            <w:tcW w:w="3887" w:type="dxa"/>
            <w:tcBorders>
              <w:top w:val="single" w:color="auto" w:sz="4" w:space="0"/>
              <w:left w:val="single" w:color="auto" w:sz="4" w:space="0"/>
              <w:bottom w:val="single" w:color="auto" w:sz="4" w:space="0"/>
              <w:right w:val="single" w:color="auto" w:sz="4" w:space="0"/>
            </w:tcBorders>
            <w:vAlign w:val="center"/>
          </w:tcPr>
          <w:p w14:paraId="582E3A0C">
            <w:pPr>
              <w:spacing w:line="240" w:lineRule="exact"/>
              <w:rPr>
                <w:rFonts w:hint="eastAsia" w:ascii="宋体" w:hAnsi="宋体" w:cs="Times New Roman"/>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2C42E847">
            <w:pPr>
              <w:ind w:firstLine="480"/>
              <w:rPr>
                <w:rFonts w:hint="eastAsia" w:ascii="宋体" w:hAnsi="宋体" w:cs="Times New Roman"/>
                <w:sz w:val="21"/>
                <w:szCs w:val="21"/>
                <w:highlight w:val="none"/>
              </w:rPr>
            </w:pPr>
          </w:p>
        </w:tc>
      </w:tr>
      <w:tr w14:paraId="48C1A7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7" w:hRule="atLeast"/>
        </w:trPr>
        <w:tc>
          <w:tcPr>
            <w:tcW w:w="9322" w:type="dxa"/>
            <w:gridSpan w:val="4"/>
            <w:tcBorders>
              <w:top w:val="single" w:color="auto" w:sz="4" w:space="0"/>
              <w:left w:val="single" w:color="auto" w:sz="4" w:space="0"/>
              <w:bottom w:val="single" w:color="auto" w:sz="4" w:space="0"/>
              <w:right w:val="single" w:color="auto" w:sz="4" w:space="0"/>
            </w:tcBorders>
            <w:vAlign w:val="center"/>
          </w:tcPr>
          <w:p w14:paraId="7360524B">
            <w:pPr>
              <w:rPr>
                <w:rFonts w:hint="eastAsia" w:ascii="宋体" w:hAnsi="宋体" w:cs="Times New Roman"/>
                <w:sz w:val="21"/>
                <w:szCs w:val="21"/>
                <w:highlight w:val="none"/>
              </w:rPr>
            </w:pPr>
            <w:r>
              <w:rPr>
                <w:rFonts w:hint="eastAsia" w:ascii="宋体" w:hAnsi="宋体" w:cs="Times New Roman"/>
                <w:sz w:val="21"/>
                <w:szCs w:val="21"/>
                <w:highlight w:val="none"/>
              </w:rPr>
              <w:t>备注：</w:t>
            </w:r>
            <w:r>
              <w:rPr>
                <w:rFonts w:hint="eastAsia" w:ascii="宋体" w:hAnsi="宋体" w:cs="Times New Roman"/>
                <w:sz w:val="21"/>
                <w:szCs w:val="21"/>
                <w:highlight w:val="none"/>
                <w:lang w:eastAsia="zh-CN"/>
              </w:rPr>
              <w:t>供应商</w:t>
            </w:r>
            <w:r>
              <w:rPr>
                <w:rFonts w:hint="eastAsia" w:ascii="宋体" w:hAnsi="宋体" w:cs="Times New Roman"/>
                <w:sz w:val="21"/>
                <w:szCs w:val="21"/>
                <w:highlight w:val="none"/>
              </w:rPr>
              <w:t>在响应采购文件中规定的实质性要求和条件的基础上，可做出其他有利于采购人的承诺。此类承诺可在本表中予以补充填写。</w:t>
            </w:r>
          </w:p>
        </w:tc>
      </w:tr>
    </w:tbl>
    <w:p w14:paraId="2B179216">
      <w:pPr>
        <w:rPr>
          <w:rFonts w:hint="eastAsia" w:ascii="宋体" w:hAnsi="宋体" w:eastAsia="宋体"/>
          <w:color w:val="000000" w:themeColor="text1"/>
          <w:sz w:val="28"/>
          <w:szCs w:val="28"/>
          <w14:textFill>
            <w14:solidFill>
              <w14:schemeClr w14:val="tx1"/>
            </w14:solidFill>
          </w14:textFill>
        </w:rPr>
      </w:pPr>
    </w:p>
    <w:p w14:paraId="69499297">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r>
        <w:rPr>
          <w:rFonts w:hint="eastAsia" w:ascii="宋体" w:hAnsi="宋体" w:eastAsia="宋体"/>
          <w:color w:val="000000" w:themeColor="text1"/>
          <w:sz w:val="28"/>
          <w:szCs w:val="28"/>
          <w14:textFill>
            <w14:solidFill>
              <w14:schemeClr w14:val="tx1"/>
            </w14:solidFill>
          </w14:textFill>
        </w:rPr>
        <w:t>二、</w:t>
      </w:r>
      <w:r>
        <w:rPr>
          <w:rFonts w:ascii="宋体" w:hAnsi="宋体" w:eastAsia="宋体"/>
          <w:color w:val="000000" w:themeColor="text1"/>
          <w:sz w:val="28"/>
          <w:szCs w:val="28"/>
          <w14:textFill>
            <w14:solidFill>
              <w14:schemeClr w14:val="tx1"/>
            </w14:solidFill>
          </w14:textFill>
        </w:rPr>
        <w:t>法定代表人身份证明</w:t>
      </w:r>
      <w:bookmarkEnd w:id="833"/>
      <w:bookmarkEnd w:id="834"/>
      <w:bookmarkEnd w:id="835"/>
      <w:bookmarkEnd w:id="836"/>
      <w:bookmarkEnd w:id="837"/>
      <w:bookmarkEnd w:id="838"/>
      <w:r>
        <w:rPr>
          <w:rFonts w:hint="eastAsia" w:ascii="宋体" w:hAnsi="宋体" w:eastAsia="宋体"/>
          <w:color w:val="000000" w:themeColor="text1"/>
          <w:sz w:val="28"/>
          <w:szCs w:val="28"/>
          <w14:textFill>
            <w14:solidFill>
              <w14:schemeClr w14:val="tx1"/>
            </w14:solidFill>
          </w14:textFill>
        </w:rPr>
        <w:t>或附有法定代表人身份证明的授权委托书</w:t>
      </w:r>
      <w:bookmarkEnd w:id="839"/>
    </w:p>
    <w:p w14:paraId="2D27707F">
      <w:pPr>
        <w:rPr>
          <w:rFonts w:ascii="宋体" w:hAnsi="宋体"/>
          <w:color w:val="000000" w:themeColor="text1"/>
          <w:sz w:val="24"/>
          <w14:textFill>
            <w14:solidFill>
              <w14:schemeClr w14:val="tx1"/>
            </w14:solidFill>
          </w14:textFill>
        </w:rPr>
      </w:pPr>
    </w:p>
    <w:p w14:paraId="4BFDD577">
      <w:pPr>
        <w:spacing w:line="500" w:lineRule="exact"/>
        <w:rPr>
          <w:rFonts w:ascii="宋体" w:hAnsi="宋体"/>
          <w:szCs w:val="21"/>
          <w:highlight w:val="none"/>
        </w:rPr>
      </w:pPr>
      <w:r>
        <w:rPr>
          <w:rFonts w:hint="eastAsia" w:ascii="宋体" w:hAnsi="宋体"/>
          <w:szCs w:val="21"/>
          <w:highlight w:val="none"/>
          <w:lang w:val="en-US" w:eastAsia="zh-CN"/>
        </w:rPr>
        <w:t>供 应 商</w:t>
      </w:r>
      <w:r>
        <w:rPr>
          <w:rFonts w:hint="eastAsia" w:ascii="宋体" w:hAnsi="宋体"/>
          <w:szCs w:val="21"/>
          <w:highlight w:val="none"/>
        </w:rPr>
        <w:t>：</w:t>
      </w:r>
      <w:r>
        <w:rPr>
          <w:rFonts w:hint="eastAsia" w:ascii="宋体" w:hAnsi="宋体"/>
          <w:szCs w:val="21"/>
          <w:highlight w:val="none"/>
          <w:u w:val="single"/>
        </w:rPr>
        <w:t xml:space="preserve">                                                        </w:t>
      </w:r>
    </w:p>
    <w:p w14:paraId="5A37A1B8">
      <w:pPr>
        <w:spacing w:line="500" w:lineRule="exact"/>
        <w:rPr>
          <w:rFonts w:ascii="宋体" w:hAnsi="宋体"/>
          <w:szCs w:val="21"/>
          <w:highlight w:val="none"/>
        </w:rPr>
      </w:pPr>
      <w:r>
        <w:rPr>
          <w:rFonts w:hint="eastAsia" w:ascii="宋体" w:hAnsi="宋体"/>
          <w:szCs w:val="21"/>
          <w:highlight w:val="none"/>
        </w:rPr>
        <w:t>单位性质：</w:t>
      </w:r>
      <w:r>
        <w:rPr>
          <w:rFonts w:hint="eastAsia" w:ascii="宋体" w:hAnsi="宋体"/>
          <w:szCs w:val="21"/>
          <w:highlight w:val="none"/>
          <w:u w:val="single"/>
        </w:rPr>
        <w:t xml:space="preserve">                                                        </w:t>
      </w:r>
    </w:p>
    <w:p w14:paraId="4CDF74E3">
      <w:pPr>
        <w:spacing w:line="500" w:lineRule="exact"/>
        <w:rPr>
          <w:rFonts w:ascii="宋体" w:hAnsi="宋体"/>
          <w:szCs w:val="21"/>
          <w:highlight w:val="none"/>
        </w:rPr>
      </w:pPr>
      <w:r>
        <w:rPr>
          <w:rFonts w:hint="eastAsia" w:ascii="宋体" w:hAnsi="宋体"/>
          <w:szCs w:val="21"/>
          <w:highlight w:val="none"/>
        </w:rPr>
        <w:t>地    址：</w:t>
      </w:r>
      <w:r>
        <w:rPr>
          <w:rFonts w:hint="eastAsia" w:ascii="宋体" w:hAnsi="宋体"/>
          <w:szCs w:val="21"/>
          <w:highlight w:val="none"/>
          <w:u w:val="single"/>
        </w:rPr>
        <w:t xml:space="preserve">                                                        </w:t>
      </w:r>
    </w:p>
    <w:p w14:paraId="67069D0A">
      <w:pPr>
        <w:spacing w:line="500" w:lineRule="exact"/>
        <w:rPr>
          <w:rFonts w:ascii="宋体" w:hAnsi="宋体"/>
          <w:szCs w:val="21"/>
          <w:highlight w:val="none"/>
        </w:rPr>
      </w:pPr>
      <w:r>
        <w:rPr>
          <w:rFonts w:hint="eastAsia" w:ascii="宋体" w:hAnsi="宋体"/>
          <w:szCs w:val="21"/>
          <w:highlight w:val="none"/>
        </w:rPr>
        <w:t>成立时间：</w:t>
      </w: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日</w:t>
      </w:r>
    </w:p>
    <w:p w14:paraId="1E78518D">
      <w:pPr>
        <w:spacing w:line="500" w:lineRule="exact"/>
        <w:rPr>
          <w:rFonts w:ascii="宋体" w:hAnsi="宋体"/>
          <w:szCs w:val="21"/>
          <w:highlight w:val="none"/>
        </w:rPr>
      </w:pPr>
      <w:r>
        <w:rPr>
          <w:rFonts w:hint="eastAsia" w:ascii="宋体" w:hAnsi="宋体"/>
          <w:szCs w:val="21"/>
          <w:highlight w:val="none"/>
        </w:rPr>
        <w:t>经营期限：</w:t>
      </w:r>
      <w:r>
        <w:rPr>
          <w:rFonts w:hint="eastAsia" w:ascii="宋体" w:hAnsi="宋体"/>
          <w:szCs w:val="21"/>
          <w:highlight w:val="none"/>
          <w:u w:val="single"/>
        </w:rPr>
        <w:t xml:space="preserve">                                                        </w:t>
      </w:r>
    </w:p>
    <w:p w14:paraId="3BD11749">
      <w:pPr>
        <w:spacing w:line="500" w:lineRule="exact"/>
        <w:rPr>
          <w:rFonts w:ascii="宋体" w:hAnsi="宋体"/>
          <w:szCs w:val="21"/>
          <w:highlight w:val="none"/>
        </w:rPr>
      </w:pPr>
      <w:r>
        <w:rPr>
          <w:rFonts w:hint="eastAsia" w:ascii="宋体" w:hAnsi="宋体"/>
          <w:szCs w:val="21"/>
          <w:highlight w:val="none"/>
        </w:rPr>
        <w:t>姓    名：</w:t>
      </w:r>
      <w:r>
        <w:rPr>
          <w:rFonts w:hint="eastAsia" w:ascii="宋体" w:hAnsi="宋体"/>
          <w:szCs w:val="21"/>
          <w:highlight w:val="none"/>
          <w:u w:val="single"/>
        </w:rPr>
        <w:t xml:space="preserve">                          </w:t>
      </w:r>
      <w:r>
        <w:rPr>
          <w:rFonts w:hint="eastAsia" w:ascii="宋体" w:hAnsi="宋体"/>
          <w:szCs w:val="21"/>
          <w:highlight w:val="none"/>
        </w:rPr>
        <w:t>性        别：</w:t>
      </w:r>
      <w:r>
        <w:rPr>
          <w:rFonts w:hint="eastAsia" w:ascii="宋体" w:hAnsi="宋体"/>
          <w:szCs w:val="21"/>
          <w:highlight w:val="none"/>
          <w:u w:val="single"/>
        </w:rPr>
        <w:t xml:space="preserve">                </w:t>
      </w:r>
    </w:p>
    <w:p w14:paraId="46B08CEB">
      <w:pPr>
        <w:spacing w:line="500" w:lineRule="exact"/>
        <w:rPr>
          <w:rFonts w:ascii="宋体" w:hAnsi="宋体"/>
          <w:szCs w:val="21"/>
          <w:highlight w:val="none"/>
        </w:rPr>
      </w:pPr>
      <w:r>
        <w:rPr>
          <w:rFonts w:hint="eastAsia" w:ascii="宋体" w:hAnsi="宋体"/>
          <w:szCs w:val="21"/>
          <w:highlight w:val="none"/>
        </w:rPr>
        <w:t>年    龄：</w:t>
      </w:r>
      <w:r>
        <w:rPr>
          <w:rFonts w:hint="eastAsia" w:ascii="宋体" w:hAnsi="宋体"/>
          <w:szCs w:val="21"/>
          <w:highlight w:val="none"/>
          <w:u w:val="single"/>
        </w:rPr>
        <w:t xml:space="preserve">                          </w:t>
      </w:r>
      <w:r>
        <w:rPr>
          <w:rFonts w:hint="eastAsia" w:ascii="宋体" w:hAnsi="宋体"/>
          <w:szCs w:val="21"/>
          <w:highlight w:val="none"/>
        </w:rPr>
        <w:t>职        务：</w:t>
      </w:r>
      <w:r>
        <w:rPr>
          <w:rFonts w:hint="eastAsia" w:ascii="宋体" w:hAnsi="宋体"/>
          <w:szCs w:val="21"/>
          <w:highlight w:val="none"/>
          <w:u w:val="single"/>
        </w:rPr>
        <w:t xml:space="preserve">                </w:t>
      </w:r>
    </w:p>
    <w:p w14:paraId="0297D515">
      <w:pPr>
        <w:spacing w:line="500" w:lineRule="exact"/>
        <w:rPr>
          <w:rFonts w:ascii="宋体" w:hAnsi="宋体"/>
          <w:szCs w:val="21"/>
          <w:highlight w:val="none"/>
        </w:rPr>
      </w:pPr>
      <w:r>
        <w:rPr>
          <w:rFonts w:hint="eastAsia" w:ascii="宋体" w:hAnsi="宋体"/>
          <w:szCs w:val="21"/>
          <w:highlight w:val="none"/>
        </w:rPr>
        <w:t>系</w:t>
      </w:r>
      <w:r>
        <w:rPr>
          <w:rFonts w:hint="eastAsia" w:ascii="宋体" w:hAnsi="宋体"/>
          <w:szCs w:val="21"/>
          <w:highlight w:val="none"/>
          <w:u w:val="single"/>
        </w:rPr>
        <w:t xml:space="preserve">                                                 </w:t>
      </w:r>
      <w:r>
        <w:rPr>
          <w:rFonts w:hint="eastAsia" w:ascii="宋体" w:hAnsi="宋体"/>
          <w:szCs w:val="21"/>
          <w:highlight w:val="none"/>
        </w:rPr>
        <w:t>（</w:t>
      </w:r>
      <w:r>
        <w:rPr>
          <w:rFonts w:hint="eastAsia" w:ascii="宋体" w:hAnsi="宋体"/>
          <w:szCs w:val="21"/>
          <w:highlight w:val="none"/>
          <w:lang w:val="en-US" w:eastAsia="zh-CN"/>
        </w:rPr>
        <w:t>供应商</w:t>
      </w:r>
      <w:r>
        <w:rPr>
          <w:rFonts w:hint="eastAsia" w:ascii="宋体" w:hAnsi="宋体"/>
          <w:szCs w:val="21"/>
          <w:highlight w:val="none"/>
        </w:rPr>
        <w:t>名称）的法定代表人。</w:t>
      </w:r>
    </w:p>
    <w:p w14:paraId="076A7185">
      <w:pPr>
        <w:spacing w:line="500" w:lineRule="exact"/>
        <w:rPr>
          <w:rFonts w:ascii="宋体" w:hAnsi="宋体"/>
          <w:szCs w:val="21"/>
          <w:highlight w:val="none"/>
        </w:rPr>
      </w:pPr>
      <w:r>
        <w:rPr>
          <w:rFonts w:hint="eastAsia" w:ascii="宋体" w:hAnsi="宋体"/>
          <w:szCs w:val="21"/>
          <w:highlight w:val="none"/>
        </w:rPr>
        <w:t>特此证明。</w:t>
      </w:r>
    </w:p>
    <w:p w14:paraId="786DE7B3">
      <w:pPr>
        <w:spacing w:line="500" w:lineRule="exact"/>
        <w:rPr>
          <w:rFonts w:hint="eastAsia" w:ascii="宋体" w:hAnsi="宋体"/>
          <w:szCs w:val="21"/>
          <w:highlight w:val="none"/>
          <w:lang w:val="en-US" w:eastAsia="zh-CN"/>
        </w:rPr>
      </w:pPr>
    </w:p>
    <w:p w14:paraId="12AA8689">
      <w:pPr>
        <w:spacing w:line="500" w:lineRule="exact"/>
        <w:rPr>
          <w:rFonts w:hint="default" w:ascii="宋体" w:hAnsi="宋体" w:eastAsia="宋体"/>
          <w:szCs w:val="21"/>
          <w:highlight w:val="none"/>
          <w:lang w:val="en-US" w:eastAsia="zh-CN"/>
        </w:rPr>
      </w:pPr>
      <w:r>
        <w:rPr>
          <w:rFonts w:hint="eastAsia" w:ascii="宋体" w:hAnsi="宋体"/>
          <w:szCs w:val="21"/>
          <w:highlight w:val="none"/>
          <w:lang w:val="en-US" w:eastAsia="zh-CN"/>
        </w:rPr>
        <w:t>附法定代表人身份证正、反扫描件</w:t>
      </w:r>
    </w:p>
    <w:p w14:paraId="198AEE95">
      <w:pPr>
        <w:spacing w:line="500" w:lineRule="exact"/>
        <w:rPr>
          <w:rFonts w:ascii="宋体" w:hAnsi="宋体"/>
          <w:szCs w:val="21"/>
          <w:highlight w:val="none"/>
        </w:rPr>
      </w:pPr>
    </w:p>
    <w:p w14:paraId="2C763E31">
      <w:pPr>
        <w:wordWrap w:val="0"/>
        <w:spacing w:line="500" w:lineRule="exact"/>
        <w:jc w:val="right"/>
        <w:rPr>
          <w:rFonts w:hint="eastAsia" w:ascii="宋体" w:hAnsi="宋体"/>
          <w:szCs w:val="21"/>
          <w:highlight w:val="none"/>
          <w:lang w:val="en-US" w:eastAsia="zh-CN"/>
        </w:rPr>
      </w:pPr>
    </w:p>
    <w:p w14:paraId="59138A0A">
      <w:pPr>
        <w:wordWrap w:val="0"/>
        <w:spacing w:line="500" w:lineRule="exact"/>
        <w:jc w:val="right"/>
        <w:rPr>
          <w:rFonts w:ascii="宋体" w:hAnsi="宋体"/>
          <w:szCs w:val="21"/>
          <w:highlight w:val="none"/>
        </w:rPr>
      </w:pPr>
      <w:r>
        <w:rPr>
          <w:rFonts w:hint="eastAsia" w:ascii="宋体" w:hAnsi="宋体"/>
          <w:szCs w:val="21"/>
          <w:highlight w:val="none"/>
          <w:lang w:val="en-US" w:eastAsia="zh-CN"/>
        </w:rPr>
        <w:t>供应商</w:t>
      </w:r>
      <w:r>
        <w:rPr>
          <w:rFonts w:hint="eastAsia" w:ascii="宋体" w:hAnsi="宋体"/>
          <w:szCs w:val="21"/>
          <w:highlight w:val="none"/>
        </w:rPr>
        <w:t>：</w:t>
      </w:r>
      <w:r>
        <w:rPr>
          <w:rFonts w:hint="eastAsia" w:ascii="宋体" w:hAnsi="宋体"/>
          <w:szCs w:val="21"/>
          <w:highlight w:val="none"/>
          <w:u w:val="single"/>
        </w:rPr>
        <w:t xml:space="preserve">                          </w:t>
      </w:r>
      <w:r>
        <w:rPr>
          <w:rFonts w:hint="eastAsia" w:ascii="宋体" w:hAnsi="宋体"/>
          <w:szCs w:val="21"/>
          <w:highlight w:val="none"/>
        </w:rPr>
        <w:t>（盖单位章）</w:t>
      </w:r>
    </w:p>
    <w:p w14:paraId="61013657">
      <w:pPr>
        <w:wordWrap w:val="0"/>
        <w:spacing w:line="500" w:lineRule="exact"/>
        <w:jc w:val="right"/>
        <w:rPr>
          <w:rFonts w:hint="eastAsia" w:ascii="宋体" w:hAnsi="宋体"/>
          <w:szCs w:val="21"/>
          <w:highlight w:val="none"/>
          <w:u w:val="single"/>
        </w:rPr>
      </w:pPr>
    </w:p>
    <w:p w14:paraId="394295DE">
      <w:pPr>
        <w:wordWrap w:val="0"/>
        <w:spacing w:line="500" w:lineRule="exact"/>
        <w:jc w:val="right"/>
        <w:rPr>
          <w:rFonts w:hint="eastAsia" w:ascii="宋体" w:hAnsi="宋体"/>
          <w:szCs w:val="21"/>
          <w:highlight w:val="none"/>
          <w:u w:val="single"/>
        </w:rPr>
      </w:pPr>
    </w:p>
    <w:p w14:paraId="31A5E4BB">
      <w:pPr>
        <w:wordWrap w:val="0"/>
        <w:spacing w:line="500" w:lineRule="exact"/>
        <w:jc w:val="right"/>
        <w:rPr>
          <w:rFonts w:ascii="宋体" w:hAnsi="宋体"/>
          <w:szCs w:val="21"/>
          <w:highlight w:val="none"/>
        </w:rPr>
      </w:pP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 xml:space="preserve">日          </w:t>
      </w:r>
    </w:p>
    <w:p w14:paraId="03F78996">
      <w:pPr>
        <w:rPr>
          <w:rFonts w:ascii="宋体" w:hAnsi="宋体"/>
          <w:color w:val="000000" w:themeColor="text1"/>
          <w:szCs w:val="21"/>
          <w14:textFill>
            <w14:solidFill>
              <w14:schemeClr w14:val="tx1"/>
            </w14:solidFill>
          </w14:textFill>
        </w:rPr>
      </w:pPr>
    </w:p>
    <w:p w14:paraId="3485C450">
      <w:pPr>
        <w:rPr>
          <w:rFonts w:ascii="宋体" w:hAnsi="宋体"/>
          <w:color w:val="000000" w:themeColor="text1"/>
          <w:szCs w:val="21"/>
          <w14:textFill>
            <w14:solidFill>
              <w14:schemeClr w14:val="tx1"/>
            </w14:solidFill>
          </w14:textFill>
        </w:rPr>
      </w:pPr>
    </w:p>
    <w:p w14:paraId="2EC3C6FB">
      <w:pPr>
        <w:rPr>
          <w:rFonts w:ascii="宋体" w:hAnsi="宋体"/>
          <w:color w:val="000000" w:themeColor="text1"/>
          <w:szCs w:val="21"/>
          <w14:textFill>
            <w14:solidFill>
              <w14:schemeClr w14:val="tx1"/>
            </w14:solidFill>
          </w14:textFill>
        </w:rPr>
      </w:pPr>
    </w:p>
    <w:p w14:paraId="58466462">
      <w:pPr>
        <w:rPr>
          <w:rFonts w:ascii="宋体" w:hAnsi="宋体"/>
          <w:color w:val="000000" w:themeColor="text1"/>
          <w:szCs w:val="21"/>
          <w14:textFill>
            <w14:solidFill>
              <w14:schemeClr w14:val="tx1"/>
            </w14:solidFill>
          </w14:textFill>
        </w:rPr>
      </w:pPr>
    </w:p>
    <w:p w14:paraId="2178FCA5">
      <w:pPr>
        <w:rPr>
          <w:rFonts w:ascii="宋体" w:hAnsi="宋体"/>
          <w:color w:val="000000" w:themeColor="text1"/>
          <w:szCs w:val="21"/>
          <w14:textFill>
            <w14:solidFill>
              <w14:schemeClr w14:val="tx1"/>
            </w14:solidFill>
          </w14:textFill>
        </w:rPr>
      </w:pPr>
    </w:p>
    <w:p w14:paraId="21FBEA17">
      <w:pPr>
        <w:rPr>
          <w:rFonts w:ascii="宋体" w:hAnsi="宋体"/>
          <w:color w:val="000000" w:themeColor="text1"/>
          <w:szCs w:val="21"/>
          <w14:textFill>
            <w14:solidFill>
              <w14:schemeClr w14:val="tx1"/>
            </w14:solidFill>
          </w14:textFill>
        </w:rPr>
      </w:pPr>
    </w:p>
    <w:p w14:paraId="5377DFEA">
      <w:pPr>
        <w:rPr>
          <w:rFonts w:ascii="宋体" w:hAnsi="宋体"/>
          <w:color w:val="000000" w:themeColor="text1"/>
          <w:szCs w:val="21"/>
          <w14:textFill>
            <w14:solidFill>
              <w14:schemeClr w14:val="tx1"/>
            </w14:solidFill>
          </w14:textFill>
        </w:rPr>
      </w:pPr>
    </w:p>
    <w:p w14:paraId="366F0112">
      <w:pPr>
        <w:rPr>
          <w:rFonts w:ascii="宋体" w:hAnsi="宋体"/>
          <w:color w:val="000000" w:themeColor="text1"/>
          <w:szCs w:val="21"/>
          <w14:textFill>
            <w14:solidFill>
              <w14:schemeClr w14:val="tx1"/>
            </w14:solidFill>
          </w14:textFill>
        </w:rPr>
      </w:pPr>
    </w:p>
    <w:p w14:paraId="48629B67">
      <w:pPr>
        <w:rPr>
          <w:rFonts w:ascii="宋体" w:hAnsi="宋体"/>
          <w:color w:val="000000" w:themeColor="text1"/>
          <w:szCs w:val="21"/>
          <w14:textFill>
            <w14:solidFill>
              <w14:schemeClr w14:val="tx1"/>
            </w14:solidFill>
          </w14:textFill>
        </w:rPr>
      </w:pPr>
    </w:p>
    <w:p w14:paraId="7FCC1692">
      <w:pPr>
        <w:rPr>
          <w:rFonts w:ascii="宋体" w:hAnsi="宋体"/>
          <w:color w:val="000000" w:themeColor="text1"/>
          <w:szCs w:val="21"/>
          <w14:textFill>
            <w14:solidFill>
              <w14:schemeClr w14:val="tx1"/>
            </w14:solidFill>
          </w14:textFill>
        </w:rPr>
      </w:pPr>
    </w:p>
    <w:p w14:paraId="00E62A54">
      <w:pPr>
        <w:rPr>
          <w:rFonts w:ascii="宋体" w:hAnsi="宋体"/>
          <w:color w:val="000000" w:themeColor="text1"/>
          <w:szCs w:val="21"/>
          <w14:textFill>
            <w14:solidFill>
              <w14:schemeClr w14:val="tx1"/>
            </w14:solidFill>
          </w14:textFill>
        </w:rPr>
      </w:pPr>
    </w:p>
    <w:p w14:paraId="4FCC0A56">
      <w:pPr>
        <w:rPr>
          <w:rFonts w:ascii="宋体" w:hAnsi="宋体"/>
          <w:color w:val="000000" w:themeColor="text1"/>
          <w:szCs w:val="21"/>
          <w14:textFill>
            <w14:solidFill>
              <w14:schemeClr w14:val="tx1"/>
            </w14:solidFill>
          </w14:textFill>
        </w:rPr>
      </w:pPr>
    </w:p>
    <w:p w14:paraId="4FD05678">
      <w:pPr>
        <w:rPr>
          <w:rFonts w:ascii="宋体" w:hAnsi="宋体"/>
          <w:color w:val="000000" w:themeColor="text1"/>
          <w:szCs w:val="21"/>
          <w14:textFill>
            <w14:solidFill>
              <w14:schemeClr w14:val="tx1"/>
            </w14:solidFill>
          </w14:textFill>
        </w:rPr>
      </w:pPr>
    </w:p>
    <w:p w14:paraId="5F81F575">
      <w:pPr>
        <w:rPr>
          <w:rFonts w:ascii="宋体" w:hAnsi="宋体"/>
          <w:color w:val="000000" w:themeColor="text1"/>
          <w:szCs w:val="21"/>
          <w14:textFill>
            <w14:solidFill>
              <w14:schemeClr w14:val="tx1"/>
            </w14:solidFill>
          </w14:textFill>
        </w:rPr>
      </w:pPr>
    </w:p>
    <w:p w14:paraId="2E2F5B17">
      <w:pPr>
        <w:spacing w:beforeLines="100" w:afterLines="50"/>
        <w:jc w:val="center"/>
        <w:rPr>
          <w:rFonts w:ascii="宋体" w:hAnsi="宋体"/>
          <w:b/>
          <w:sz w:val="28"/>
          <w:szCs w:val="28"/>
          <w:highlight w:val="none"/>
        </w:rPr>
      </w:pPr>
      <w:r>
        <w:rPr>
          <w:rFonts w:hint="eastAsia" w:ascii="宋体" w:hAnsi="宋体"/>
          <w:b/>
          <w:sz w:val="28"/>
          <w:szCs w:val="28"/>
          <w:highlight w:val="none"/>
        </w:rPr>
        <w:t>授权委托书</w:t>
      </w:r>
    </w:p>
    <w:p w14:paraId="36F94656">
      <w:pPr>
        <w:spacing w:line="500" w:lineRule="exact"/>
        <w:ind w:firstLine="420" w:firstLineChars="200"/>
        <w:rPr>
          <w:rFonts w:ascii="宋体" w:hAnsi="宋体"/>
          <w:szCs w:val="21"/>
          <w:highlight w:val="none"/>
        </w:rPr>
      </w:pPr>
      <w:r>
        <w:rPr>
          <w:rFonts w:hint="eastAsia" w:ascii="宋体" w:hAnsi="宋体"/>
          <w:szCs w:val="21"/>
          <w:highlight w:val="none"/>
        </w:rPr>
        <w:t>本人</w:t>
      </w:r>
      <w:r>
        <w:rPr>
          <w:rFonts w:hint="eastAsia" w:ascii="宋体" w:hAnsi="宋体"/>
          <w:szCs w:val="21"/>
          <w:highlight w:val="none"/>
          <w:u w:val="single"/>
        </w:rPr>
        <w:t xml:space="preserve">         </w:t>
      </w:r>
      <w:r>
        <w:rPr>
          <w:rFonts w:hint="eastAsia" w:ascii="宋体" w:hAnsi="宋体"/>
          <w:szCs w:val="21"/>
          <w:highlight w:val="none"/>
        </w:rPr>
        <w:t>（姓名）系</w:t>
      </w:r>
      <w:r>
        <w:rPr>
          <w:rFonts w:hint="eastAsia" w:ascii="宋体" w:hAnsi="宋体"/>
          <w:szCs w:val="21"/>
          <w:highlight w:val="none"/>
          <w:u w:val="single"/>
        </w:rPr>
        <w:t xml:space="preserve">         </w:t>
      </w:r>
      <w:r>
        <w:rPr>
          <w:rFonts w:hint="eastAsia" w:ascii="宋体" w:hAnsi="宋体"/>
          <w:szCs w:val="21"/>
          <w:highlight w:val="none"/>
        </w:rPr>
        <w:t>（</w:t>
      </w:r>
      <w:r>
        <w:rPr>
          <w:rFonts w:hint="eastAsia" w:ascii="宋体" w:hAnsi="宋体"/>
          <w:szCs w:val="21"/>
          <w:highlight w:val="none"/>
          <w:lang w:val="en-US" w:eastAsia="zh-CN"/>
        </w:rPr>
        <w:t>供应商</w:t>
      </w:r>
      <w:r>
        <w:rPr>
          <w:rFonts w:hint="eastAsia" w:ascii="宋体" w:hAnsi="宋体"/>
          <w:szCs w:val="21"/>
          <w:highlight w:val="none"/>
        </w:rPr>
        <w:t>名称）的法定代表人，现委托</w:t>
      </w:r>
      <w:r>
        <w:rPr>
          <w:rFonts w:hint="eastAsia" w:ascii="宋体" w:hAnsi="宋体"/>
          <w:szCs w:val="21"/>
          <w:highlight w:val="none"/>
          <w:u w:val="single"/>
        </w:rPr>
        <w:t xml:space="preserve">      </w:t>
      </w:r>
      <w:r>
        <w:rPr>
          <w:rFonts w:hint="eastAsia" w:ascii="宋体" w:hAnsi="宋体"/>
          <w:szCs w:val="21"/>
          <w:highlight w:val="none"/>
        </w:rPr>
        <w:t>（姓名）为我方代理人。代理人根据授权，以我方名义签署、澄清、说明、补正、递交、撤回、修改</w:t>
      </w:r>
      <w:r>
        <w:rPr>
          <w:rFonts w:hint="eastAsia" w:ascii="宋体" w:hAnsi="宋体"/>
          <w:szCs w:val="21"/>
          <w:highlight w:val="none"/>
          <w:u w:val="single"/>
        </w:rPr>
        <w:t xml:space="preserve">             </w:t>
      </w:r>
      <w:r>
        <w:rPr>
          <w:rFonts w:hint="eastAsia" w:ascii="宋体" w:hAnsi="宋体"/>
          <w:szCs w:val="21"/>
          <w:highlight w:val="none"/>
        </w:rPr>
        <w:t>（项目名称）响应文件、签订合同和处理有关事宜，其法律后果由我方承担。</w:t>
      </w:r>
    </w:p>
    <w:p w14:paraId="347F6B96">
      <w:pPr>
        <w:spacing w:beforeLines="50" w:line="500" w:lineRule="exact"/>
        <w:ind w:firstLine="420" w:firstLineChars="200"/>
        <w:rPr>
          <w:rFonts w:ascii="宋体" w:hAnsi="宋体"/>
          <w:szCs w:val="21"/>
          <w:highlight w:val="none"/>
        </w:rPr>
      </w:pPr>
      <w:r>
        <w:rPr>
          <w:rFonts w:hint="eastAsia" w:ascii="宋体" w:hAnsi="宋体"/>
          <w:szCs w:val="21"/>
          <w:highlight w:val="none"/>
        </w:rPr>
        <w:t>委托期限：</w:t>
      </w:r>
      <w:r>
        <w:rPr>
          <w:rFonts w:hint="eastAsia" w:ascii="宋体" w:hAnsi="宋体"/>
          <w:szCs w:val="21"/>
          <w:highlight w:val="none"/>
          <w:u w:val="single"/>
        </w:rPr>
        <w:t xml:space="preserve">                            </w:t>
      </w:r>
      <w:r>
        <w:rPr>
          <w:rFonts w:hint="eastAsia" w:ascii="宋体" w:hAnsi="宋体"/>
          <w:szCs w:val="21"/>
          <w:highlight w:val="none"/>
        </w:rPr>
        <w:t>。</w:t>
      </w:r>
    </w:p>
    <w:p w14:paraId="78A10073">
      <w:pPr>
        <w:spacing w:beforeLines="100" w:afterLines="100" w:line="500" w:lineRule="exact"/>
        <w:ind w:firstLine="420" w:firstLineChars="200"/>
        <w:rPr>
          <w:rFonts w:ascii="宋体" w:hAnsi="宋体"/>
          <w:szCs w:val="21"/>
          <w:highlight w:val="none"/>
        </w:rPr>
      </w:pPr>
      <w:r>
        <w:rPr>
          <w:rFonts w:hint="eastAsia" w:ascii="宋体" w:hAnsi="宋体"/>
          <w:szCs w:val="21"/>
          <w:highlight w:val="none"/>
        </w:rPr>
        <w:t>代理人无转委托权。</w:t>
      </w:r>
    </w:p>
    <w:p w14:paraId="26B048E0">
      <w:pPr>
        <w:spacing w:afterLines="100" w:line="500" w:lineRule="exact"/>
        <w:ind w:firstLine="420" w:firstLineChars="200"/>
        <w:rPr>
          <w:rFonts w:hint="default" w:ascii="宋体" w:hAnsi="宋体" w:eastAsia="宋体"/>
          <w:szCs w:val="21"/>
          <w:highlight w:val="none"/>
          <w:lang w:val="en-US" w:eastAsia="zh-CN"/>
        </w:rPr>
      </w:pPr>
      <w:r>
        <w:rPr>
          <w:rFonts w:hint="eastAsia" w:ascii="宋体" w:hAnsi="宋体"/>
          <w:szCs w:val="21"/>
          <w:highlight w:val="none"/>
        </w:rPr>
        <w:t>附：法定代表人</w:t>
      </w:r>
      <w:r>
        <w:rPr>
          <w:rFonts w:hint="eastAsia" w:ascii="宋体" w:hAnsi="宋体"/>
          <w:szCs w:val="21"/>
          <w:highlight w:val="none"/>
          <w:lang w:eastAsia="zh-CN"/>
        </w:rPr>
        <w:t>、</w:t>
      </w:r>
      <w:r>
        <w:rPr>
          <w:rFonts w:hint="eastAsia" w:ascii="宋体" w:hAnsi="宋体"/>
          <w:szCs w:val="21"/>
          <w:highlight w:val="none"/>
          <w:lang w:val="en-US" w:eastAsia="zh-CN"/>
        </w:rPr>
        <w:t>被授权人委托人身份证正、反扫描件</w:t>
      </w:r>
    </w:p>
    <w:p w14:paraId="7780E97E">
      <w:pPr>
        <w:spacing w:line="500" w:lineRule="exact"/>
        <w:rPr>
          <w:rFonts w:ascii="宋体" w:hAnsi="宋体"/>
          <w:szCs w:val="21"/>
          <w:highlight w:val="none"/>
        </w:rPr>
      </w:pPr>
    </w:p>
    <w:p w14:paraId="6DE517CA">
      <w:pPr>
        <w:spacing w:line="400" w:lineRule="exact"/>
        <w:rPr>
          <w:rFonts w:ascii="宋体" w:hAnsi="宋体"/>
          <w:szCs w:val="21"/>
          <w:highlight w:val="none"/>
        </w:rPr>
      </w:pPr>
      <w:r>
        <w:rPr>
          <w:rFonts w:hint="eastAsia" w:ascii="宋体" w:hAnsi="宋体"/>
          <w:szCs w:val="21"/>
          <w:highlight w:val="none"/>
        </w:rPr>
        <w:t xml:space="preserve">                                   </w:t>
      </w:r>
      <w:r>
        <w:rPr>
          <w:rFonts w:hint="eastAsia" w:ascii="宋体" w:hAnsi="宋体"/>
          <w:szCs w:val="21"/>
          <w:highlight w:val="none"/>
          <w:lang w:val="en-US" w:eastAsia="zh-CN"/>
        </w:rPr>
        <w:t>供  应  商</w:t>
      </w:r>
      <w:r>
        <w:rPr>
          <w:rFonts w:hint="eastAsia" w:ascii="宋体" w:hAnsi="宋体"/>
          <w:szCs w:val="21"/>
          <w:highlight w:val="none"/>
        </w:rPr>
        <w:t>：</w:t>
      </w:r>
      <w:r>
        <w:rPr>
          <w:rFonts w:hint="eastAsia" w:ascii="宋体" w:hAnsi="宋体"/>
          <w:szCs w:val="21"/>
          <w:highlight w:val="none"/>
          <w:u w:val="single"/>
        </w:rPr>
        <w:t xml:space="preserve">                          </w:t>
      </w:r>
      <w:r>
        <w:rPr>
          <w:rFonts w:hint="eastAsia" w:ascii="宋体" w:hAnsi="宋体"/>
          <w:szCs w:val="21"/>
          <w:highlight w:val="none"/>
        </w:rPr>
        <w:t>（盖单位章）</w:t>
      </w:r>
    </w:p>
    <w:p w14:paraId="190BCA9D">
      <w:pPr>
        <w:spacing w:line="400" w:lineRule="exact"/>
        <w:ind w:firstLine="3570" w:firstLineChars="1700"/>
        <w:rPr>
          <w:rFonts w:ascii="宋体" w:hAnsi="宋体"/>
          <w:szCs w:val="21"/>
          <w:highlight w:val="none"/>
        </w:rPr>
      </w:pPr>
    </w:p>
    <w:p w14:paraId="26608FA7">
      <w:pPr>
        <w:spacing w:line="400" w:lineRule="exact"/>
        <w:rPr>
          <w:rFonts w:ascii="宋体" w:hAnsi="宋体"/>
          <w:szCs w:val="21"/>
          <w:highlight w:val="none"/>
        </w:rPr>
      </w:pPr>
      <w:r>
        <w:rPr>
          <w:rFonts w:hint="eastAsia" w:ascii="宋体" w:hAnsi="宋体"/>
          <w:szCs w:val="21"/>
          <w:highlight w:val="none"/>
        </w:rPr>
        <w:t xml:space="preserve">                                   法定代表人：</w:t>
      </w:r>
      <w:r>
        <w:rPr>
          <w:rFonts w:hint="eastAsia" w:ascii="宋体" w:hAnsi="宋体"/>
          <w:szCs w:val="21"/>
          <w:highlight w:val="none"/>
          <w:u w:val="single"/>
        </w:rPr>
        <w:t xml:space="preserve">                          </w:t>
      </w:r>
      <w:r>
        <w:rPr>
          <w:rFonts w:hint="eastAsia" w:ascii="宋体" w:hAnsi="宋体"/>
          <w:szCs w:val="21"/>
          <w:highlight w:val="none"/>
        </w:rPr>
        <w:t>（签字）</w:t>
      </w:r>
    </w:p>
    <w:p w14:paraId="265C562F">
      <w:pPr>
        <w:spacing w:line="400" w:lineRule="exact"/>
        <w:ind w:firstLine="3570" w:firstLineChars="1700"/>
        <w:rPr>
          <w:rFonts w:ascii="宋体" w:hAnsi="宋体"/>
          <w:szCs w:val="21"/>
          <w:highlight w:val="none"/>
        </w:rPr>
      </w:pPr>
    </w:p>
    <w:p w14:paraId="31E908AF">
      <w:pPr>
        <w:spacing w:line="400" w:lineRule="exact"/>
        <w:rPr>
          <w:rFonts w:ascii="宋体" w:hAnsi="宋体"/>
          <w:szCs w:val="21"/>
          <w:highlight w:val="none"/>
          <w:u w:val="single"/>
        </w:rPr>
      </w:pPr>
      <w:r>
        <w:rPr>
          <w:rFonts w:hint="eastAsia" w:ascii="宋体" w:hAnsi="宋体"/>
          <w:szCs w:val="21"/>
          <w:highlight w:val="none"/>
        </w:rPr>
        <w:t xml:space="preserve">                                   身份证号码：</w:t>
      </w:r>
      <w:r>
        <w:rPr>
          <w:rFonts w:hint="eastAsia" w:ascii="宋体" w:hAnsi="宋体"/>
          <w:szCs w:val="21"/>
          <w:highlight w:val="none"/>
          <w:u w:val="single"/>
        </w:rPr>
        <w:t xml:space="preserve">                            </w:t>
      </w:r>
    </w:p>
    <w:p w14:paraId="294C54EE">
      <w:pPr>
        <w:spacing w:line="400" w:lineRule="exact"/>
        <w:rPr>
          <w:rFonts w:ascii="宋体" w:hAnsi="宋体"/>
          <w:szCs w:val="21"/>
          <w:highlight w:val="none"/>
          <w:u w:val="single"/>
        </w:rPr>
      </w:pPr>
    </w:p>
    <w:p w14:paraId="1D96DDBD">
      <w:pPr>
        <w:spacing w:line="400" w:lineRule="exact"/>
        <w:rPr>
          <w:rFonts w:ascii="宋体" w:hAnsi="宋体"/>
          <w:szCs w:val="21"/>
          <w:highlight w:val="none"/>
        </w:rPr>
      </w:pPr>
      <w:r>
        <w:rPr>
          <w:rFonts w:hint="eastAsia" w:ascii="宋体" w:hAnsi="宋体"/>
          <w:szCs w:val="21"/>
          <w:highlight w:val="none"/>
        </w:rPr>
        <w:t xml:space="preserve">                                   委托代理人：</w:t>
      </w:r>
      <w:r>
        <w:rPr>
          <w:rFonts w:hint="eastAsia" w:ascii="宋体" w:hAnsi="宋体"/>
          <w:szCs w:val="21"/>
          <w:highlight w:val="none"/>
          <w:u w:val="single"/>
        </w:rPr>
        <w:t xml:space="preserve">                            </w:t>
      </w:r>
      <w:r>
        <w:rPr>
          <w:rFonts w:hint="eastAsia" w:ascii="宋体" w:hAnsi="宋体"/>
          <w:szCs w:val="21"/>
          <w:highlight w:val="none"/>
        </w:rPr>
        <w:t>（签字）</w:t>
      </w:r>
    </w:p>
    <w:p w14:paraId="77A02CAB">
      <w:pPr>
        <w:spacing w:line="400" w:lineRule="exact"/>
        <w:ind w:firstLine="3570" w:firstLineChars="1700"/>
        <w:rPr>
          <w:rFonts w:ascii="宋体" w:hAnsi="宋体"/>
          <w:szCs w:val="21"/>
          <w:highlight w:val="none"/>
        </w:rPr>
      </w:pPr>
    </w:p>
    <w:p w14:paraId="17FED2A6">
      <w:pPr>
        <w:spacing w:line="400" w:lineRule="exact"/>
        <w:rPr>
          <w:rFonts w:ascii="宋体" w:hAnsi="宋体"/>
          <w:szCs w:val="21"/>
          <w:highlight w:val="none"/>
          <w:u w:val="single"/>
        </w:rPr>
      </w:pPr>
      <w:r>
        <w:rPr>
          <w:rFonts w:hint="eastAsia" w:ascii="宋体" w:hAnsi="宋体"/>
          <w:szCs w:val="21"/>
          <w:highlight w:val="none"/>
        </w:rPr>
        <w:t xml:space="preserve">                                   身份证号码：</w:t>
      </w:r>
      <w:r>
        <w:rPr>
          <w:rFonts w:hint="eastAsia" w:ascii="宋体" w:hAnsi="宋体"/>
          <w:szCs w:val="21"/>
          <w:highlight w:val="none"/>
          <w:u w:val="single"/>
        </w:rPr>
        <w:t xml:space="preserve">                             </w:t>
      </w:r>
    </w:p>
    <w:p w14:paraId="2E3863A5">
      <w:pPr>
        <w:spacing w:line="400" w:lineRule="exact"/>
        <w:ind w:firstLine="3570" w:firstLineChars="1700"/>
        <w:rPr>
          <w:rFonts w:ascii="宋体" w:hAnsi="宋体"/>
          <w:szCs w:val="21"/>
          <w:highlight w:val="none"/>
        </w:rPr>
      </w:pPr>
      <w:r>
        <w:rPr>
          <w:rFonts w:hint="eastAsia" w:ascii="宋体" w:hAnsi="宋体"/>
          <w:szCs w:val="21"/>
          <w:highlight w:val="none"/>
        </w:rPr>
        <w:t xml:space="preserve">   </w:t>
      </w:r>
    </w:p>
    <w:p w14:paraId="69DCCE2D">
      <w:pPr>
        <w:jc w:val="right"/>
        <w:rPr>
          <w:rFonts w:ascii="宋体" w:hAnsi="宋体"/>
          <w:color w:val="000000" w:themeColor="text1"/>
          <w:szCs w:val="21"/>
          <w14:textFill>
            <w14:solidFill>
              <w14:schemeClr w14:val="tx1"/>
            </w14:solidFill>
          </w14:textFill>
        </w:rPr>
      </w:pP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日</w:t>
      </w:r>
    </w:p>
    <w:p w14:paraId="46C43A51">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841" w:name="_Toc469921632"/>
      <w:bookmarkStart w:id="842" w:name="_Toc53569421"/>
      <w:bookmarkStart w:id="843" w:name="_Toc54097219"/>
      <w:bookmarkStart w:id="844" w:name="_Toc414897841"/>
      <w:bookmarkStart w:id="845" w:name="_Toc54258242"/>
      <w:bookmarkStart w:id="846" w:name="_Toc432066480"/>
      <w:bookmarkStart w:id="847" w:name="_Toc30409"/>
      <w:bookmarkStart w:id="848" w:name="_Toc13820"/>
      <w:bookmarkStart w:id="849" w:name="_Toc432066481"/>
      <w:bookmarkStart w:id="850" w:name="_Toc469921633"/>
      <w:bookmarkStart w:id="851" w:name="_Toc414897842"/>
      <w:bookmarkStart w:id="852" w:name="_Toc414891993"/>
      <w:r>
        <w:rPr>
          <w:rFonts w:hint="eastAsia" w:ascii="宋体" w:hAnsi="宋体" w:eastAsia="宋体"/>
          <w:color w:val="000000" w:themeColor="text1"/>
          <w:sz w:val="28"/>
          <w:szCs w:val="28"/>
          <w14:textFill>
            <w14:solidFill>
              <w14:schemeClr w14:val="tx1"/>
            </w14:solidFill>
          </w14:textFill>
        </w:rPr>
        <w:t>三、</w:t>
      </w:r>
      <w:bookmarkEnd w:id="841"/>
      <w:bookmarkEnd w:id="842"/>
      <w:bookmarkEnd w:id="843"/>
      <w:bookmarkEnd w:id="844"/>
      <w:bookmarkEnd w:id="845"/>
      <w:bookmarkEnd w:id="846"/>
      <w:bookmarkEnd w:id="847"/>
      <w:r>
        <w:rPr>
          <w:rFonts w:hint="eastAsia" w:ascii="宋体" w:hAnsi="宋体" w:eastAsia="宋体"/>
          <w:color w:val="000000" w:themeColor="text1"/>
          <w:sz w:val="28"/>
          <w:szCs w:val="28"/>
          <w14:textFill>
            <w14:solidFill>
              <w14:schemeClr w14:val="tx1"/>
            </w14:solidFill>
          </w14:textFill>
        </w:rPr>
        <w:t>磋商保证金</w:t>
      </w:r>
      <w:bookmarkEnd w:id="848"/>
    </w:p>
    <w:p w14:paraId="4BD6A71B">
      <w:pPr>
        <w:autoSpaceDE w:val="0"/>
        <w:autoSpaceDN w:val="0"/>
        <w:adjustRightInd w:val="0"/>
        <w:spacing w:line="360" w:lineRule="auto"/>
        <w:jc w:val="left"/>
        <w:rPr>
          <w:rFonts w:ascii="宋体" w:hAnsi="宋体" w:cs="宋体"/>
          <w:szCs w:val="21"/>
          <w:highlight w:val="none"/>
          <w:lang w:val="zh-CN"/>
        </w:rPr>
      </w:pPr>
      <w:bookmarkStart w:id="853" w:name="_Toc54097220"/>
      <w:bookmarkStart w:id="854" w:name="_Toc53569422"/>
      <w:bookmarkStart w:id="855" w:name="_Toc12271"/>
      <w:bookmarkStart w:id="856" w:name="_Toc54258243"/>
      <w:bookmarkStart w:id="857" w:name="_Toc23112"/>
      <w:r>
        <w:rPr>
          <w:rFonts w:hint="eastAsia" w:ascii="宋体" w:hAnsi="宋体" w:cs="宋体"/>
          <w:szCs w:val="21"/>
          <w:highlight w:val="none"/>
          <w:lang w:val="zh-CN"/>
        </w:rPr>
        <w:t>致</w:t>
      </w:r>
      <w:r>
        <w:rPr>
          <w:rFonts w:ascii="宋体" w:hAnsi="宋体" w:cs="宋体"/>
          <w:szCs w:val="21"/>
          <w:highlight w:val="none"/>
          <w:u w:val="single"/>
          <w:lang w:val="zh-CN"/>
        </w:rPr>
        <w:t xml:space="preserve">                </w:t>
      </w:r>
      <w:r>
        <w:rPr>
          <w:rFonts w:hint="eastAsia" w:ascii="宋体" w:hAnsi="宋体" w:cs="宋体"/>
          <w:szCs w:val="21"/>
          <w:highlight w:val="none"/>
          <w:lang w:val="zh-CN"/>
        </w:rPr>
        <w:t>（采购代理机构名称）：</w:t>
      </w:r>
    </w:p>
    <w:p w14:paraId="7046E69D">
      <w:pPr>
        <w:autoSpaceDE w:val="0"/>
        <w:autoSpaceDN w:val="0"/>
        <w:adjustRightInd w:val="0"/>
        <w:spacing w:line="360" w:lineRule="auto"/>
        <w:ind w:firstLine="601"/>
        <w:jc w:val="left"/>
        <w:rPr>
          <w:rFonts w:ascii="宋体" w:hAnsi="宋体" w:cs="宋体"/>
          <w:szCs w:val="21"/>
          <w:highlight w:val="none"/>
          <w:lang w:val="zh-CN"/>
        </w:rPr>
      </w:pPr>
      <w:r>
        <w:rPr>
          <w:rFonts w:ascii="宋体" w:hAnsi="宋体" w:cs="宋体"/>
          <w:szCs w:val="21"/>
          <w:highlight w:val="none"/>
          <w:u w:val="single"/>
          <w:lang w:val="zh-CN"/>
        </w:rPr>
        <w:t xml:space="preserve">    </w:t>
      </w:r>
      <w:r>
        <w:rPr>
          <w:rFonts w:hint="eastAsia" w:ascii="宋体" w:hAnsi="宋体" w:cs="宋体"/>
          <w:szCs w:val="21"/>
          <w:highlight w:val="none"/>
          <w:u w:val="single"/>
          <w:lang w:val="zh-CN"/>
        </w:rPr>
        <w:t xml:space="preserve">       </w:t>
      </w:r>
      <w:r>
        <w:rPr>
          <w:rFonts w:ascii="宋体" w:hAnsi="宋体" w:cs="宋体"/>
          <w:szCs w:val="21"/>
          <w:highlight w:val="none"/>
          <w:u w:val="single"/>
          <w:lang w:val="zh-CN"/>
        </w:rPr>
        <w:t xml:space="preserve">   </w:t>
      </w:r>
      <w:r>
        <w:rPr>
          <w:rFonts w:ascii="宋体" w:hAnsi="宋体" w:cs="宋体"/>
          <w:szCs w:val="21"/>
          <w:highlight w:val="none"/>
          <w:lang w:val="zh-CN"/>
        </w:rPr>
        <w:t>[</w:t>
      </w:r>
      <w:r>
        <w:rPr>
          <w:rFonts w:hint="eastAsia" w:ascii="宋体" w:hAnsi="宋体" w:cs="宋体"/>
          <w:szCs w:val="21"/>
          <w:highlight w:val="none"/>
          <w:lang w:val="en-US" w:eastAsia="zh-CN"/>
        </w:rPr>
        <w:t>供应商</w:t>
      </w:r>
      <w:r>
        <w:rPr>
          <w:rFonts w:hint="eastAsia" w:ascii="宋体" w:hAnsi="宋体" w:cs="宋体"/>
          <w:szCs w:val="21"/>
          <w:highlight w:val="none"/>
          <w:lang w:val="zh-CN"/>
        </w:rPr>
        <w:t>名称</w:t>
      </w:r>
      <w:r>
        <w:rPr>
          <w:rFonts w:ascii="宋体" w:hAnsi="宋体" w:cs="宋体"/>
          <w:szCs w:val="21"/>
          <w:highlight w:val="none"/>
          <w:lang w:val="zh-CN"/>
        </w:rPr>
        <w:t>]</w:t>
      </w:r>
      <w:r>
        <w:rPr>
          <w:rFonts w:hint="eastAsia" w:ascii="宋体" w:hAnsi="宋体" w:cs="宋体"/>
          <w:szCs w:val="21"/>
          <w:highlight w:val="none"/>
          <w:lang w:val="zh-CN"/>
        </w:rPr>
        <w:t>（以下称</w:t>
      </w:r>
      <w:r>
        <w:rPr>
          <w:rFonts w:ascii="宋体" w:hAnsi="宋体" w:cs="宋体"/>
          <w:szCs w:val="21"/>
          <w:highlight w:val="none"/>
          <w:lang w:val="zh-CN"/>
        </w:rPr>
        <w:t>“</w:t>
      </w:r>
      <w:r>
        <w:rPr>
          <w:rFonts w:hint="eastAsia" w:ascii="宋体" w:hAnsi="宋体" w:cs="宋体"/>
          <w:szCs w:val="21"/>
          <w:highlight w:val="none"/>
          <w:lang w:val="en-US" w:eastAsia="zh-CN"/>
        </w:rPr>
        <w:t>供应商</w:t>
      </w:r>
      <w:r>
        <w:rPr>
          <w:rFonts w:ascii="宋体" w:hAnsi="宋体" w:cs="宋体"/>
          <w:szCs w:val="21"/>
          <w:highlight w:val="none"/>
          <w:lang w:val="zh-CN"/>
        </w:rPr>
        <w:t>”</w:t>
      </w:r>
      <w:r>
        <w:rPr>
          <w:rFonts w:hint="eastAsia" w:ascii="宋体" w:hAnsi="宋体" w:cs="宋体"/>
          <w:szCs w:val="21"/>
          <w:highlight w:val="none"/>
          <w:lang w:val="zh-CN"/>
        </w:rPr>
        <w:t>）于</w:t>
      </w:r>
      <w:r>
        <w:rPr>
          <w:rFonts w:ascii="宋体" w:hAnsi="宋体" w:cs="宋体"/>
          <w:szCs w:val="21"/>
          <w:highlight w:val="none"/>
          <w:u w:val="single"/>
          <w:lang w:val="zh-CN"/>
        </w:rPr>
        <w:t xml:space="preserve">  </w:t>
      </w:r>
      <w:r>
        <w:rPr>
          <w:rFonts w:hint="eastAsia" w:ascii="宋体" w:hAnsi="宋体" w:cs="宋体"/>
          <w:szCs w:val="21"/>
          <w:highlight w:val="none"/>
          <w:lang w:val="zh-CN"/>
        </w:rPr>
        <w:t>年</w:t>
      </w:r>
      <w:r>
        <w:rPr>
          <w:rFonts w:ascii="宋体" w:hAnsi="宋体" w:cs="宋体"/>
          <w:szCs w:val="21"/>
          <w:highlight w:val="none"/>
          <w:u w:val="single"/>
          <w:lang w:val="zh-CN"/>
        </w:rPr>
        <w:t xml:space="preserve">  </w:t>
      </w:r>
      <w:r>
        <w:rPr>
          <w:rFonts w:hint="eastAsia" w:ascii="宋体" w:hAnsi="宋体" w:cs="宋体"/>
          <w:szCs w:val="21"/>
          <w:highlight w:val="none"/>
          <w:lang w:val="zh-CN"/>
        </w:rPr>
        <w:t>月</w:t>
      </w:r>
      <w:r>
        <w:rPr>
          <w:rFonts w:ascii="宋体" w:hAnsi="宋体" w:cs="宋体"/>
          <w:szCs w:val="21"/>
          <w:highlight w:val="none"/>
          <w:u w:val="single"/>
          <w:lang w:val="zh-CN"/>
        </w:rPr>
        <w:t xml:space="preserve">  </w:t>
      </w:r>
      <w:r>
        <w:rPr>
          <w:rFonts w:hint="eastAsia" w:ascii="宋体" w:hAnsi="宋体" w:cs="宋体"/>
          <w:szCs w:val="21"/>
          <w:highlight w:val="none"/>
          <w:lang w:val="zh-CN"/>
        </w:rPr>
        <w:t>日递交了</w:t>
      </w:r>
      <w:r>
        <w:rPr>
          <w:rFonts w:ascii="宋体" w:hAnsi="宋体" w:cs="宋体"/>
          <w:szCs w:val="21"/>
          <w:highlight w:val="none"/>
          <w:u w:val="single"/>
          <w:lang w:val="zh-CN"/>
        </w:rPr>
        <w:t xml:space="preserve">         </w:t>
      </w:r>
      <w:r>
        <w:rPr>
          <w:rFonts w:ascii="宋体" w:hAnsi="宋体" w:cs="宋体"/>
          <w:szCs w:val="21"/>
          <w:highlight w:val="none"/>
          <w:lang w:val="zh-CN"/>
        </w:rPr>
        <w:t>[</w:t>
      </w:r>
      <w:r>
        <w:rPr>
          <w:rFonts w:hint="eastAsia" w:ascii="宋体" w:hAnsi="宋体" w:cs="宋体"/>
          <w:szCs w:val="21"/>
          <w:highlight w:val="none"/>
          <w:lang w:val="zh-CN"/>
        </w:rPr>
        <w:t>项目名称</w:t>
      </w:r>
      <w:r>
        <w:rPr>
          <w:rFonts w:ascii="宋体" w:hAnsi="宋体" w:cs="宋体"/>
          <w:szCs w:val="21"/>
          <w:highlight w:val="none"/>
          <w:lang w:val="zh-CN"/>
        </w:rPr>
        <w:t>]</w:t>
      </w:r>
      <w:r>
        <w:rPr>
          <w:rFonts w:hint="eastAsia" w:ascii="宋体" w:hAnsi="宋体" w:cs="宋体"/>
          <w:szCs w:val="21"/>
          <w:highlight w:val="none"/>
          <w:u w:val="single"/>
          <w:lang w:val="zh-CN"/>
        </w:rPr>
        <w:t xml:space="preserve">     </w:t>
      </w:r>
      <w:r>
        <w:rPr>
          <w:rFonts w:hint="eastAsia" w:ascii="宋体" w:hAnsi="宋体" w:cs="宋体"/>
          <w:szCs w:val="21"/>
          <w:highlight w:val="none"/>
          <w:lang w:val="zh-CN"/>
        </w:rPr>
        <w:t>的磋商保证金。金额为人民币</w:t>
      </w:r>
      <w:r>
        <w:rPr>
          <w:rFonts w:ascii="宋体" w:hAnsi="宋体" w:cs="宋体"/>
          <w:szCs w:val="21"/>
          <w:highlight w:val="none"/>
          <w:u w:val="single"/>
          <w:lang w:val="zh-CN"/>
        </w:rPr>
        <w:t xml:space="preserve">  </w:t>
      </w:r>
      <w:r>
        <w:rPr>
          <w:rFonts w:hint="eastAsia" w:ascii="宋体" w:hAnsi="宋体" w:cs="宋体"/>
          <w:szCs w:val="21"/>
          <w:highlight w:val="none"/>
          <w:u w:val="single"/>
          <w:lang w:val="zh-CN"/>
        </w:rPr>
        <w:t xml:space="preserve"> </w:t>
      </w:r>
      <w:r>
        <w:rPr>
          <w:rFonts w:ascii="宋体" w:hAnsi="宋体" w:cs="宋体"/>
          <w:szCs w:val="21"/>
          <w:highlight w:val="none"/>
          <w:u w:val="single"/>
          <w:lang w:val="zh-CN"/>
        </w:rPr>
        <w:t xml:space="preserve">   </w:t>
      </w:r>
      <w:r>
        <w:rPr>
          <w:rFonts w:hint="eastAsia" w:ascii="宋体" w:hAnsi="宋体" w:cs="宋体"/>
          <w:szCs w:val="21"/>
          <w:highlight w:val="none"/>
          <w:lang w:val="zh-CN"/>
        </w:rPr>
        <w:t>万元。</w:t>
      </w:r>
    </w:p>
    <w:p w14:paraId="2BF97EBE">
      <w:pPr>
        <w:autoSpaceDE w:val="0"/>
        <w:autoSpaceDN w:val="0"/>
        <w:adjustRightInd w:val="0"/>
        <w:spacing w:line="360" w:lineRule="auto"/>
        <w:ind w:firstLine="601"/>
        <w:jc w:val="left"/>
        <w:rPr>
          <w:rFonts w:ascii="宋体" w:hAnsi="宋体" w:cs="宋体"/>
          <w:szCs w:val="21"/>
          <w:highlight w:val="none"/>
          <w:lang w:val="zh-CN"/>
        </w:rPr>
      </w:pPr>
      <w:r>
        <w:rPr>
          <w:rFonts w:hint="eastAsia" w:ascii="宋体" w:hAnsi="宋体" w:cs="宋体"/>
          <w:szCs w:val="21"/>
          <w:highlight w:val="none"/>
          <w:lang w:val="zh-CN"/>
        </w:rPr>
        <w:t>我方同意磋商文件中有关磋商保证金的规定，并对我方有约束力。</w:t>
      </w:r>
    </w:p>
    <w:p w14:paraId="1C6DC247">
      <w:pPr>
        <w:autoSpaceDE w:val="0"/>
        <w:autoSpaceDN w:val="0"/>
        <w:adjustRightInd w:val="0"/>
        <w:spacing w:line="360" w:lineRule="auto"/>
        <w:ind w:firstLine="570"/>
        <w:jc w:val="left"/>
        <w:rPr>
          <w:rFonts w:ascii="宋体" w:hAnsi="宋体" w:cs="宋体"/>
          <w:szCs w:val="21"/>
          <w:highlight w:val="none"/>
          <w:lang w:val="zh-CN"/>
        </w:rPr>
      </w:pPr>
    </w:p>
    <w:p w14:paraId="59903930">
      <w:pPr>
        <w:autoSpaceDE w:val="0"/>
        <w:autoSpaceDN w:val="0"/>
        <w:adjustRightInd w:val="0"/>
        <w:rPr>
          <w:rFonts w:ascii="宋体" w:hAnsi="宋体"/>
          <w:bCs/>
          <w:color w:val="000000"/>
          <w:sz w:val="32"/>
          <w:szCs w:val="32"/>
          <w:highlight w:val="none"/>
        </w:rPr>
      </w:pPr>
    </w:p>
    <w:tbl>
      <w:tblPr>
        <w:tblStyle w:val="88"/>
        <w:tblW w:w="93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00"/>
      </w:tblGrid>
      <w:tr w14:paraId="59ED5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9" w:hRule="atLeast"/>
        </w:trPr>
        <w:tc>
          <w:tcPr>
            <w:tcW w:w="9300" w:type="dxa"/>
            <w:vAlign w:val="center"/>
          </w:tcPr>
          <w:p w14:paraId="42B69FB9">
            <w:pPr>
              <w:autoSpaceDE w:val="0"/>
              <w:autoSpaceDN w:val="0"/>
              <w:adjustRightInd w:val="0"/>
              <w:jc w:val="center"/>
              <w:rPr>
                <w:rFonts w:ascii="宋体" w:hAnsi="宋体"/>
                <w:bCs/>
                <w:color w:val="000000"/>
                <w:szCs w:val="21"/>
                <w:highlight w:val="none"/>
              </w:rPr>
            </w:pPr>
            <w:r>
              <w:rPr>
                <w:rFonts w:hint="eastAsia" w:ascii="宋体" w:hAnsi="宋体"/>
                <w:bCs/>
                <w:color w:val="000000"/>
                <w:szCs w:val="21"/>
                <w:highlight w:val="none"/>
              </w:rPr>
              <w:t>附：</w:t>
            </w:r>
            <w:r>
              <w:rPr>
                <w:rFonts w:hint="eastAsia"/>
                <w:szCs w:val="21"/>
                <w:highlight w:val="none"/>
              </w:rPr>
              <w:t>投标</w:t>
            </w:r>
            <w:r>
              <w:rPr>
                <w:rFonts w:hint="eastAsia"/>
                <w:szCs w:val="21"/>
                <w:highlight w:val="none"/>
                <w:lang w:val="en-US" w:eastAsia="zh-CN"/>
              </w:rPr>
              <w:t>供应商</w:t>
            </w:r>
            <w:r>
              <w:rPr>
                <w:rFonts w:hint="eastAsia"/>
                <w:szCs w:val="21"/>
                <w:highlight w:val="none"/>
              </w:rPr>
              <w:t>基本帐户转出的银行转账凭证或电汇凭证或保函</w:t>
            </w:r>
          </w:p>
        </w:tc>
      </w:tr>
    </w:tbl>
    <w:p w14:paraId="0515F1CA">
      <w:pPr>
        <w:autoSpaceDE w:val="0"/>
        <w:autoSpaceDN w:val="0"/>
        <w:adjustRightInd w:val="0"/>
        <w:rPr>
          <w:rFonts w:ascii="宋体" w:hAnsi="宋体"/>
          <w:bCs/>
          <w:color w:val="000000"/>
          <w:szCs w:val="21"/>
          <w:highlight w:val="none"/>
        </w:rPr>
      </w:pPr>
    </w:p>
    <w:p w14:paraId="798CAE31">
      <w:pPr>
        <w:autoSpaceDE w:val="0"/>
        <w:autoSpaceDN w:val="0"/>
        <w:adjustRightInd w:val="0"/>
        <w:rPr>
          <w:rFonts w:ascii="宋体" w:hAnsi="宋体"/>
          <w:bCs/>
          <w:color w:val="000000"/>
          <w:szCs w:val="21"/>
          <w:highlight w:val="none"/>
        </w:rPr>
      </w:pPr>
    </w:p>
    <w:p w14:paraId="67EC6755">
      <w:pPr>
        <w:autoSpaceDE w:val="0"/>
        <w:autoSpaceDN w:val="0"/>
        <w:adjustRightInd w:val="0"/>
        <w:spacing w:line="360" w:lineRule="auto"/>
        <w:ind w:firstLine="570"/>
        <w:jc w:val="center"/>
        <w:rPr>
          <w:rFonts w:ascii="宋体" w:hAnsi="宋体" w:cs="宋体"/>
          <w:szCs w:val="21"/>
          <w:highlight w:val="none"/>
          <w:lang w:val="zh-CN"/>
        </w:rPr>
      </w:pPr>
      <w:r>
        <w:rPr>
          <w:rFonts w:hint="eastAsia" w:ascii="宋体" w:hAnsi="宋体" w:cs="宋体"/>
          <w:szCs w:val="21"/>
          <w:highlight w:val="none"/>
          <w:lang w:val="en-US" w:eastAsia="zh-CN"/>
        </w:rPr>
        <w:t xml:space="preserve">                                           供应商</w:t>
      </w:r>
      <w:r>
        <w:rPr>
          <w:rFonts w:hint="eastAsia" w:ascii="宋体" w:hAnsi="宋体" w:cs="宋体"/>
          <w:szCs w:val="21"/>
          <w:highlight w:val="none"/>
          <w:lang w:val="zh-CN"/>
        </w:rPr>
        <w:t>：</w:t>
      </w: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（公章）</w:t>
      </w:r>
    </w:p>
    <w:p w14:paraId="3F17293A">
      <w:pPr>
        <w:autoSpaceDE w:val="0"/>
        <w:autoSpaceDN w:val="0"/>
        <w:adjustRightInd w:val="0"/>
        <w:spacing w:line="360" w:lineRule="auto"/>
        <w:ind w:firstLine="570"/>
        <w:jc w:val="right"/>
        <w:rPr>
          <w:rFonts w:ascii="宋体" w:hAnsi="宋体" w:cs="宋体"/>
          <w:szCs w:val="21"/>
          <w:highlight w:val="none"/>
          <w:lang w:val="zh-CN"/>
        </w:rPr>
      </w:pPr>
    </w:p>
    <w:p w14:paraId="1BF361D8">
      <w:pPr>
        <w:spacing w:line="360" w:lineRule="auto"/>
        <w:ind w:firstLine="583" w:firstLineChars="278"/>
        <w:jc w:val="right"/>
        <w:rPr>
          <w:rFonts w:ascii="宋体" w:hAnsi="宋体" w:cs="宋体"/>
          <w:szCs w:val="21"/>
          <w:highlight w:val="none"/>
          <w:lang w:val="zh-CN"/>
        </w:rPr>
      </w:pPr>
      <w:r>
        <w:rPr>
          <w:rFonts w:hint="eastAsia" w:ascii="宋体" w:hAnsi="宋体" w:cs="宋体"/>
          <w:szCs w:val="21"/>
          <w:highlight w:val="none"/>
          <w:lang w:val="zh-CN"/>
        </w:rPr>
        <w:t>法定代表人：   （签字或盖章）</w:t>
      </w:r>
    </w:p>
    <w:p w14:paraId="373F860E">
      <w:pPr>
        <w:spacing w:line="360" w:lineRule="auto"/>
        <w:ind w:firstLine="583" w:firstLineChars="278"/>
        <w:jc w:val="right"/>
        <w:rPr>
          <w:rFonts w:ascii="宋体" w:hAnsi="宋体" w:cs="宋体"/>
          <w:szCs w:val="21"/>
          <w:highlight w:val="none"/>
          <w:lang w:val="zh-CN"/>
        </w:rPr>
      </w:pPr>
    </w:p>
    <w:p w14:paraId="53D46EBD">
      <w:pPr>
        <w:spacing w:line="360" w:lineRule="auto"/>
        <w:ind w:firstLine="583" w:firstLineChars="278"/>
        <w:jc w:val="center"/>
        <w:rPr>
          <w:rFonts w:ascii="宋体" w:hAnsi="宋体" w:cs="宋体"/>
          <w:szCs w:val="21"/>
          <w:highlight w:val="none"/>
          <w:lang w:val="zh-CN"/>
        </w:rPr>
      </w:pP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委托代理人：   （签字）</w:t>
      </w:r>
    </w:p>
    <w:p w14:paraId="376DD239">
      <w:pPr>
        <w:spacing w:line="360" w:lineRule="auto"/>
        <w:ind w:firstLine="583" w:firstLineChars="278"/>
        <w:jc w:val="right"/>
        <w:rPr>
          <w:rFonts w:ascii="宋体" w:hAnsi="宋体" w:cs="宋体"/>
          <w:szCs w:val="21"/>
          <w:highlight w:val="none"/>
          <w:lang w:val="zh-CN"/>
        </w:rPr>
      </w:pPr>
    </w:p>
    <w:p w14:paraId="388F2B51">
      <w:pPr>
        <w:spacing w:line="360" w:lineRule="auto"/>
        <w:ind w:firstLine="583" w:firstLineChars="278"/>
        <w:jc w:val="right"/>
        <w:rPr>
          <w:rFonts w:ascii="宋体" w:hAnsi="宋体" w:cs="宋体"/>
          <w:szCs w:val="21"/>
          <w:highlight w:val="none"/>
          <w:lang w:val="zh-CN"/>
        </w:rPr>
      </w:pPr>
    </w:p>
    <w:p w14:paraId="778A8FBB">
      <w:pPr>
        <w:tabs>
          <w:tab w:val="left" w:pos="4080"/>
        </w:tabs>
        <w:spacing w:line="360" w:lineRule="auto"/>
        <w:ind w:firstLine="583" w:firstLineChars="278"/>
        <w:jc w:val="right"/>
        <w:rPr>
          <w:rFonts w:ascii="宋体" w:hAnsi="宋体" w:cs="宋体"/>
          <w:szCs w:val="21"/>
          <w:highlight w:val="none"/>
          <w:lang w:val="zh-CN"/>
        </w:rPr>
      </w:pPr>
      <w:r>
        <w:rPr>
          <w:rFonts w:hint="eastAsia" w:ascii="宋体" w:hAnsi="宋体" w:cs="宋体"/>
          <w:szCs w:val="21"/>
          <w:highlight w:val="none"/>
          <w:lang w:val="zh-CN"/>
        </w:rPr>
        <w:t xml:space="preserve">     </w:t>
      </w: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日期：    年    月    日</w:t>
      </w:r>
      <w:r>
        <w:rPr>
          <w:rFonts w:ascii="宋体" w:hAnsi="宋体" w:cs="宋体"/>
          <w:szCs w:val="21"/>
          <w:highlight w:val="none"/>
          <w:lang w:val="zh-CN"/>
        </w:rPr>
        <w:tab/>
      </w:r>
    </w:p>
    <w:p w14:paraId="47E1D5FD">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r>
        <w:rPr>
          <w:rFonts w:hint="eastAsia" w:ascii="宋体" w:hAnsi="宋体" w:eastAsia="宋体"/>
          <w:color w:val="000000" w:themeColor="text1"/>
          <w:sz w:val="28"/>
          <w:szCs w:val="28"/>
          <w14:textFill>
            <w14:solidFill>
              <w14:schemeClr w14:val="tx1"/>
            </w14:solidFill>
          </w14:textFill>
        </w:rPr>
        <w:t>四、</w:t>
      </w:r>
      <w:r>
        <w:rPr>
          <w:rFonts w:hint="eastAsia" w:ascii="宋体" w:hAnsi="宋体" w:eastAsia="宋体"/>
          <w:color w:val="000000" w:themeColor="text1"/>
          <w:sz w:val="28"/>
          <w:szCs w:val="28"/>
          <w:lang w:eastAsia="zh-CN"/>
          <w14:textFill>
            <w14:solidFill>
              <w14:schemeClr w14:val="tx1"/>
            </w14:solidFill>
          </w14:textFill>
        </w:rPr>
        <w:t>报价</w:t>
      </w:r>
      <w:r>
        <w:rPr>
          <w:rFonts w:hint="eastAsia" w:ascii="宋体" w:hAnsi="宋体" w:eastAsia="宋体"/>
          <w:color w:val="000000" w:themeColor="text1"/>
          <w:sz w:val="28"/>
          <w:szCs w:val="28"/>
          <w14:textFill>
            <w14:solidFill>
              <w14:schemeClr w14:val="tx1"/>
            </w14:solidFill>
          </w14:textFill>
        </w:rPr>
        <w:t>一览表</w:t>
      </w:r>
      <w:bookmarkEnd w:id="849"/>
      <w:bookmarkEnd w:id="850"/>
      <w:bookmarkEnd w:id="851"/>
      <w:bookmarkEnd w:id="852"/>
      <w:bookmarkEnd w:id="853"/>
      <w:bookmarkEnd w:id="854"/>
      <w:bookmarkEnd w:id="855"/>
      <w:bookmarkEnd w:id="856"/>
      <w:bookmarkEnd w:id="857"/>
    </w:p>
    <w:p w14:paraId="0C13C81A">
      <w:pPr>
        <w:autoSpaceDE w:val="0"/>
        <w:autoSpaceDN w:val="0"/>
        <w:adjustRightInd w:val="0"/>
        <w:snapToGrid w:val="0"/>
        <w:jc w:val="left"/>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项目名称：</w:t>
      </w:r>
    </w:p>
    <w:p w14:paraId="1CCAEC40">
      <w:pPr>
        <w:autoSpaceDE w:val="0"/>
        <w:autoSpaceDN w:val="0"/>
        <w:adjustRightInd w:val="0"/>
        <w:snapToGrid w:val="0"/>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项目编号：</w:t>
      </w:r>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3"/>
        <w:gridCol w:w="2245"/>
        <w:gridCol w:w="1675"/>
        <w:gridCol w:w="3323"/>
      </w:tblGrid>
      <w:tr w14:paraId="57305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123" w:type="dxa"/>
            <w:vAlign w:val="center"/>
          </w:tcPr>
          <w:p w14:paraId="40CBE252">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投标单位</w:t>
            </w:r>
          </w:p>
        </w:tc>
        <w:tc>
          <w:tcPr>
            <w:tcW w:w="7243" w:type="dxa"/>
            <w:gridSpan w:val="3"/>
            <w:vAlign w:val="center"/>
          </w:tcPr>
          <w:p w14:paraId="6E1CAECD">
            <w:pPr>
              <w:adjustRightInd w:val="0"/>
              <w:snapToGrid w:val="0"/>
              <w:jc w:val="center"/>
              <w:rPr>
                <w:rFonts w:ascii="宋体" w:hAnsi="宋体"/>
                <w:bCs/>
                <w:color w:val="000000" w:themeColor="text1"/>
                <w:szCs w:val="21"/>
                <w14:textFill>
                  <w14:solidFill>
                    <w14:schemeClr w14:val="tx1"/>
                  </w14:solidFill>
                </w14:textFill>
              </w:rPr>
            </w:pPr>
          </w:p>
        </w:tc>
      </w:tr>
      <w:tr w14:paraId="3160EB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23" w:type="dxa"/>
            <w:vAlign w:val="center"/>
          </w:tcPr>
          <w:p w14:paraId="1EFBA480">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资质等级</w:t>
            </w:r>
          </w:p>
        </w:tc>
        <w:tc>
          <w:tcPr>
            <w:tcW w:w="7243" w:type="dxa"/>
            <w:gridSpan w:val="3"/>
            <w:vAlign w:val="center"/>
          </w:tcPr>
          <w:p w14:paraId="76BF570A">
            <w:pPr>
              <w:adjustRightInd w:val="0"/>
              <w:snapToGrid w:val="0"/>
              <w:jc w:val="center"/>
              <w:rPr>
                <w:rFonts w:ascii="宋体" w:hAnsi="宋体"/>
                <w:bCs/>
                <w:color w:val="000000" w:themeColor="text1"/>
                <w:szCs w:val="21"/>
                <w14:textFill>
                  <w14:solidFill>
                    <w14:schemeClr w14:val="tx1"/>
                  </w14:solidFill>
                </w14:textFill>
              </w:rPr>
            </w:pPr>
          </w:p>
        </w:tc>
      </w:tr>
      <w:tr w14:paraId="5CF869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23" w:type="dxa"/>
            <w:vAlign w:val="center"/>
          </w:tcPr>
          <w:p w14:paraId="4BEE545C">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投标报价</w:t>
            </w:r>
          </w:p>
        </w:tc>
        <w:tc>
          <w:tcPr>
            <w:tcW w:w="7243" w:type="dxa"/>
            <w:gridSpan w:val="3"/>
            <w:vAlign w:val="center"/>
          </w:tcPr>
          <w:p w14:paraId="7EAE8375">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 xml:space="preserve">  万元</w:t>
            </w:r>
          </w:p>
        </w:tc>
      </w:tr>
      <w:tr w14:paraId="20F5C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23" w:type="dxa"/>
            <w:vAlign w:val="center"/>
          </w:tcPr>
          <w:p w14:paraId="09437163">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磋商保证金</w:t>
            </w:r>
          </w:p>
        </w:tc>
        <w:tc>
          <w:tcPr>
            <w:tcW w:w="2245" w:type="dxa"/>
            <w:vAlign w:val="center"/>
          </w:tcPr>
          <w:p w14:paraId="15DC19D5">
            <w:pPr>
              <w:adjustRightInd w:val="0"/>
              <w:snapToGrid w:val="0"/>
              <w:jc w:val="center"/>
              <w:rPr>
                <w:rFonts w:ascii="宋体" w:hAnsi="宋体"/>
                <w:b/>
                <w:bCs/>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有/无</w:t>
            </w:r>
          </w:p>
        </w:tc>
        <w:tc>
          <w:tcPr>
            <w:tcW w:w="1675" w:type="dxa"/>
            <w:vAlign w:val="center"/>
          </w:tcPr>
          <w:p w14:paraId="125CC9B4">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工程质量标准</w:t>
            </w:r>
          </w:p>
        </w:tc>
        <w:tc>
          <w:tcPr>
            <w:tcW w:w="3323" w:type="dxa"/>
            <w:vAlign w:val="center"/>
          </w:tcPr>
          <w:p w14:paraId="5A5C3BE8">
            <w:pPr>
              <w:adjustRightInd w:val="0"/>
              <w:snapToGrid w:val="0"/>
              <w:jc w:val="center"/>
              <w:rPr>
                <w:rFonts w:ascii="宋体" w:hAnsi="宋体"/>
                <w:b/>
                <w:bCs/>
                <w:color w:val="000000" w:themeColor="text1"/>
                <w:szCs w:val="21"/>
                <w14:textFill>
                  <w14:solidFill>
                    <w14:schemeClr w14:val="tx1"/>
                  </w14:solidFill>
                </w14:textFill>
              </w:rPr>
            </w:pPr>
          </w:p>
        </w:tc>
      </w:tr>
      <w:tr w14:paraId="60AAF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3" w:hRule="atLeast"/>
          <w:jc w:val="center"/>
        </w:trPr>
        <w:tc>
          <w:tcPr>
            <w:tcW w:w="2123" w:type="dxa"/>
            <w:vAlign w:val="center"/>
          </w:tcPr>
          <w:p w14:paraId="01F8223A">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工    期</w:t>
            </w:r>
          </w:p>
        </w:tc>
        <w:tc>
          <w:tcPr>
            <w:tcW w:w="7243" w:type="dxa"/>
            <w:gridSpan w:val="3"/>
            <w:vAlign w:val="center"/>
          </w:tcPr>
          <w:p w14:paraId="2CE847D1">
            <w:pPr>
              <w:adjustRightInd w:val="0"/>
              <w:snapToGrid w:val="0"/>
              <w:jc w:val="center"/>
              <w:rPr>
                <w:rFonts w:ascii="宋体" w:hAnsi="宋体"/>
                <w:bCs/>
                <w:color w:val="000000" w:themeColor="text1"/>
                <w:szCs w:val="21"/>
                <w14:textFill>
                  <w14:solidFill>
                    <w14:schemeClr w14:val="tx1"/>
                  </w14:solidFill>
                </w14:textFill>
              </w:rPr>
            </w:pPr>
          </w:p>
        </w:tc>
      </w:tr>
      <w:tr w14:paraId="09E7B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0" w:hRule="atLeast"/>
          <w:jc w:val="center"/>
        </w:trPr>
        <w:tc>
          <w:tcPr>
            <w:tcW w:w="2123" w:type="dxa"/>
            <w:vAlign w:val="center"/>
          </w:tcPr>
          <w:p w14:paraId="2660A444">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优惠条件</w:t>
            </w:r>
          </w:p>
        </w:tc>
        <w:tc>
          <w:tcPr>
            <w:tcW w:w="7243" w:type="dxa"/>
            <w:gridSpan w:val="3"/>
            <w:vAlign w:val="center"/>
          </w:tcPr>
          <w:p w14:paraId="4102CC81">
            <w:pPr>
              <w:adjustRightInd w:val="0"/>
              <w:snapToGrid w:val="0"/>
              <w:jc w:val="center"/>
              <w:rPr>
                <w:rFonts w:ascii="宋体" w:hAnsi="宋体"/>
                <w:bCs/>
                <w:color w:val="000000" w:themeColor="text1"/>
                <w:szCs w:val="21"/>
                <w14:textFill>
                  <w14:solidFill>
                    <w14:schemeClr w14:val="tx1"/>
                  </w14:solidFill>
                </w14:textFill>
              </w:rPr>
            </w:pPr>
          </w:p>
        </w:tc>
      </w:tr>
      <w:tr w14:paraId="52650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0" w:hRule="atLeast"/>
          <w:jc w:val="center"/>
        </w:trPr>
        <w:tc>
          <w:tcPr>
            <w:tcW w:w="2123" w:type="dxa"/>
            <w:vAlign w:val="center"/>
          </w:tcPr>
          <w:p w14:paraId="2F85679F">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服务承诺</w:t>
            </w:r>
          </w:p>
        </w:tc>
        <w:tc>
          <w:tcPr>
            <w:tcW w:w="7243" w:type="dxa"/>
            <w:gridSpan w:val="3"/>
            <w:vAlign w:val="center"/>
          </w:tcPr>
          <w:p w14:paraId="7377797E">
            <w:pPr>
              <w:adjustRightInd w:val="0"/>
              <w:snapToGrid w:val="0"/>
              <w:jc w:val="center"/>
              <w:rPr>
                <w:rFonts w:ascii="宋体" w:hAnsi="宋体"/>
                <w:bCs/>
                <w:color w:val="000000" w:themeColor="text1"/>
                <w:szCs w:val="21"/>
                <w14:textFill>
                  <w14:solidFill>
                    <w14:schemeClr w14:val="tx1"/>
                  </w14:solidFill>
                </w14:textFill>
              </w:rPr>
            </w:pPr>
          </w:p>
        </w:tc>
      </w:tr>
      <w:tr w14:paraId="3E3A03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2" w:hRule="atLeast"/>
          <w:jc w:val="center"/>
        </w:trPr>
        <w:tc>
          <w:tcPr>
            <w:tcW w:w="2123" w:type="dxa"/>
            <w:vAlign w:val="center"/>
          </w:tcPr>
          <w:p w14:paraId="475B1617">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备注</w:t>
            </w:r>
          </w:p>
        </w:tc>
        <w:tc>
          <w:tcPr>
            <w:tcW w:w="7243" w:type="dxa"/>
            <w:gridSpan w:val="3"/>
            <w:vAlign w:val="center"/>
          </w:tcPr>
          <w:p w14:paraId="0D02C997">
            <w:pPr>
              <w:pStyle w:val="28"/>
              <w:numPr>
                <w:ilvl w:val="0"/>
                <w:numId w:val="36"/>
              </w:numPr>
              <w:rPr>
                <w:rFonts w:ascii="宋体" w:hAnsi="宋体"/>
                <w:bCs/>
                <w:szCs w:val="21"/>
              </w:rPr>
            </w:pPr>
            <w:r>
              <w:rPr>
                <w:rFonts w:hint="eastAsia" w:ascii="宋体" w:hAnsi="宋体"/>
                <w:bCs/>
                <w:szCs w:val="21"/>
              </w:rPr>
              <w:t>本表只做唱标时使用，但本表的一切内容均具有法律效力，不得更改。</w:t>
            </w:r>
          </w:p>
          <w:p w14:paraId="407F2C81">
            <w:pPr>
              <w:pStyle w:val="28"/>
              <w:rPr>
                <w:rFonts w:ascii="宋体" w:hAnsi="宋体"/>
                <w:bCs/>
                <w:szCs w:val="21"/>
              </w:rPr>
            </w:pPr>
            <w:r>
              <w:rPr>
                <w:rFonts w:hint="eastAsia" w:ascii="宋体" w:hAnsi="宋体"/>
                <w:bCs/>
                <w:szCs w:val="21"/>
              </w:rPr>
              <w:t>2、本表内容须与响应文件中正本内容一致，如不一致以</w:t>
            </w:r>
            <w:r>
              <w:rPr>
                <w:rFonts w:hint="eastAsia" w:ascii="宋体" w:hAnsi="宋体"/>
                <w:bCs/>
                <w:szCs w:val="21"/>
                <w:lang w:eastAsia="zh-CN"/>
              </w:rPr>
              <w:t>报价</w:t>
            </w:r>
            <w:r>
              <w:rPr>
                <w:rFonts w:hint="eastAsia" w:ascii="宋体" w:hAnsi="宋体"/>
                <w:bCs/>
                <w:szCs w:val="21"/>
              </w:rPr>
              <w:t>一览表内容为准。</w:t>
            </w:r>
          </w:p>
          <w:p w14:paraId="1F37EB45">
            <w:pPr>
              <w:pStyle w:val="28"/>
              <w:rPr>
                <w:rFonts w:ascii="宋体" w:hAnsi="宋体"/>
                <w:bCs/>
                <w:szCs w:val="21"/>
              </w:rPr>
            </w:pPr>
            <w:r>
              <w:rPr>
                <w:rFonts w:hint="eastAsia" w:ascii="宋体" w:hAnsi="宋体"/>
                <w:bCs/>
                <w:szCs w:val="21"/>
              </w:rPr>
              <w:t>3、投标报价为完成本项目的所有费用之和。</w:t>
            </w:r>
          </w:p>
          <w:p w14:paraId="2B132BAB">
            <w:pPr>
              <w:pStyle w:val="28"/>
              <w:rPr>
                <w:rFonts w:ascii="宋体" w:hAnsi="宋体"/>
                <w:bCs/>
                <w:szCs w:val="21"/>
              </w:rPr>
            </w:pPr>
            <w:r>
              <w:rPr>
                <w:rFonts w:hint="eastAsia" w:ascii="宋体" w:hAnsi="宋体"/>
                <w:bCs/>
                <w:szCs w:val="21"/>
              </w:rPr>
              <w:t>4、优惠条件及服务承诺内容，详细内容必须在投标书中载明，如内容较多，本表只填写“有”“无”即可。</w:t>
            </w:r>
          </w:p>
          <w:p w14:paraId="45BA667C">
            <w:pPr>
              <w:pStyle w:val="28"/>
              <w:rPr>
                <w:rFonts w:ascii="宋体" w:hAnsi="宋体"/>
                <w:bCs/>
                <w:color w:val="000000" w:themeColor="text1"/>
                <w:szCs w:val="21"/>
                <w14:textFill>
                  <w14:solidFill>
                    <w14:schemeClr w14:val="tx1"/>
                  </w14:solidFill>
                </w14:textFill>
              </w:rPr>
            </w:pPr>
            <w:r>
              <w:rPr>
                <w:rFonts w:hint="eastAsia" w:ascii="宋体" w:hAnsi="宋体"/>
                <w:bCs/>
                <w:szCs w:val="21"/>
              </w:rPr>
              <w:t>5、投标报价以万元为单位，小数点保留到个位。</w:t>
            </w:r>
          </w:p>
        </w:tc>
      </w:tr>
      <w:tr w14:paraId="615F81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2" w:hRule="atLeast"/>
          <w:jc w:val="center"/>
        </w:trPr>
        <w:tc>
          <w:tcPr>
            <w:tcW w:w="9366" w:type="dxa"/>
            <w:gridSpan w:val="4"/>
            <w:vAlign w:val="center"/>
          </w:tcPr>
          <w:p w14:paraId="6194AD47">
            <w:pPr>
              <w:adjustRightInd w:val="0"/>
              <w:snapToGrid w:val="0"/>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lang w:eastAsia="zh-CN"/>
                <w14:textFill>
                  <w14:solidFill>
                    <w14:schemeClr w14:val="tx1"/>
                  </w14:solidFill>
                </w14:textFill>
              </w:rPr>
              <w:t>供应商</w:t>
            </w:r>
            <w:r>
              <w:rPr>
                <w:rFonts w:hint="eastAsia" w:ascii="宋体" w:hAnsi="宋体"/>
                <w:bCs/>
                <w:color w:val="000000" w:themeColor="text1"/>
                <w:szCs w:val="21"/>
                <w14:textFill>
                  <w14:solidFill>
                    <w14:schemeClr w14:val="tx1"/>
                  </w14:solidFill>
                </w14:textFill>
              </w:rPr>
              <w:t>：            （盖章）          法定代表人或其委托代理人：         （签字或盖章）</w:t>
            </w:r>
          </w:p>
        </w:tc>
      </w:tr>
    </w:tbl>
    <w:p w14:paraId="5478120C">
      <w:pPr>
        <w:rPr>
          <w:rFonts w:hint="eastAsia" w:ascii="宋体" w:hAnsi="宋体"/>
          <w:b/>
          <w:bCs/>
          <w:szCs w:val="21"/>
        </w:rPr>
      </w:pPr>
      <w:r>
        <w:rPr>
          <w:rFonts w:hint="eastAsia" w:ascii="宋体" w:hAnsi="宋体"/>
          <w:b/>
          <w:bCs/>
          <w:szCs w:val="21"/>
        </w:rPr>
        <w:br w:type="page"/>
      </w:r>
    </w:p>
    <w:p w14:paraId="0C1B1DBB">
      <w:pPr>
        <w:pStyle w:val="4"/>
        <w:pageBreakBefore/>
        <w:widowControl w:val="0"/>
        <w:spacing w:line="360" w:lineRule="auto"/>
        <w:rPr>
          <w:rFonts w:hint="eastAsia" w:ascii="宋体" w:hAnsi="宋体" w:eastAsia="宋体" w:cs="Times New Roman"/>
          <w:color w:val="000000" w:themeColor="text1"/>
          <w:sz w:val="28"/>
          <w:szCs w:val="28"/>
          <w:lang w:eastAsia="zh-CN"/>
          <w14:textFill>
            <w14:solidFill>
              <w14:schemeClr w14:val="tx1"/>
            </w14:solidFill>
          </w14:textFill>
        </w:rPr>
      </w:pPr>
      <w:r>
        <w:rPr>
          <w:rFonts w:hint="eastAsia" w:ascii="宋体" w:hAnsi="宋体" w:eastAsia="宋体" w:cs="Times New Roman"/>
          <w:color w:val="000000" w:themeColor="text1"/>
          <w:sz w:val="28"/>
          <w:szCs w:val="28"/>
          <w:lang w:eastAsia="zh-CN"/>
          <w14:textFill>
            <w14:solidFill>
              <w14:schemeClr w14:val="tx1"/>
            </w14:solidFill>
          </w14:textFill>
        </w:rPr>
        <w:t>最后报价</w:t>
      </w:r>
      <w:r>
        <w:rPr>
          <w:rFonts w:hint="eastAsia" w:ascii="宋体" w:hAnsi="宋体" w:eastAsia="宋体" w:cs="Times New Roman"/>
          <w:color w:val="000000" w:themeColor="text1"/>
          <w:sz w:val="28"/>
          <w:szCs w:val="28"/>
          <w14:textFill>
            <w14:solidFill>
              <w14:schemeClr w14:val="tx1"/>
            </w14:solidFill>
          </w14:textFill>
        </w:rPr>
        <w:t>一览表</w:t>
      </w:r>
    </w:p>
    <w:p w14:paraId="0F62FB86">
      <w:pPr>
        <w:spacing w:afterLines="50" w:line="360" w:lineRule="auto"/>
        <w:ind w:firstLine="210" w:firstLineChars="100"/>
        <w:rPr>
          <w:rFonts w:hint="eastAsia" w:ascii="宋体" w:hAnsi="宋体" w:cs="Times New Roman"/>
          <w:bCs/>
          <w:sz w:val="21"/>
          <w:szCs w:val="21"/>
          <w:highlight w:val="none"/>
          <w:lang w:val="zh-CN"/>
        </w:rPr>
      </w:pPr>
      <w:r>
        <w:rPr>
          <w:rFonts w:hint="eastAsia" w:ascii="宋体" w:hAnsi="宋体" w:cs="宋体"/>
          <w:sz w:val="21"/>
          <w:szCs w:val="21"/>
          <w:highlight w:val="none"/>
        </w:rPr>
        <w:t>项目名称：</w:t>
      </w:r>
    </w:p>
    <w:p w14:paraId="7F796C79">
      <w:pPr>
        <w:spacing w:afterLines="50" w:line="360" w:lineRule="auto"/>
        <w:ind w:firstLine="210" w:firstLineChars="100"/>
        <w:rPr>
          <w:rFonts w:ascii="宋体" w:hAnsi="宋体" w:cs="宋体"/>
          <w:sz w:val="21"/>
          <w:szCs w:val="21"/>
          <w:highlight w:val="none"/>
        </w:rPr>
      </w:pPr>
      <w:r>
        <w:rPr>
          <w:rFonts w:hint="eastAsia" w:ascii="宋体" w:hAnsi="宋体" w:cs="宋体"/>
          <w:sz w:val="21"/>
          <w:szCs w:val="21"/>
          <w:highlight w:val="none"/>
        </w:rPr>
        <w:t>项目编号：</w:t>
      </w:r>
    </w:p>
    <w:tbl>
      <w:tblPr>
        <w:tblStyle w:val="88"/>
        <w:tblW w:w="910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08"/>
        <w:gridCol w:w="7394"/>
      </w:tblGrid>
      <w:tr w14:paraId="4D8DA9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51" w:hRule="atLeast"/>
          <w:jc w:val="center"/>
        </w:trPr>
        <w:tc>
          <w:tcPr>
            <w:tcW w:w="1708" w:type="dxa"/>
            <w:tcBorders>
              <w:top w:val="single" w:color="auto" w:sz="4" w:space="0"/>
              <w:left w:val="single" w:color="auto" w:sz="4" w:space="0"/>
              <w:bottom w:val="single" w:color="auto" w:sz="4" w:space="0"/>
              <w:right w:val="single" w:color="auto" w:sz="4" w:space="0"/>
            </w:tcBorders>
            <w:vAlign w:val="center"/>
          </w:tcPr>
          <w:p w14:paraId="31FA6702">
            <w:pPr>
              <w:jc w:val="center"/>
              <w:rPr>
                <w:rFonts w:ascii="宋体" w:hAnsi="宋体"/>
                <w:sz w:val="21"/>
                <w:szCs w:val="21"/>
                <w:highlight w:val="none"/>
              </w:rPr>
            </w:pPr>
            <w:r>
              <w:rPr>
                <w:rFonts w:hint="eastAsia" w:ascii="宋体" w:hAnsi="宋体"/>
                <w:sz w:val="21"/>
                <w:szCs w:val="21"/>
                <w:highlight w:val="none"/>
              </w:rPr>
              <w:t>供应商名称</w:t>
            </w:r>
          </w:p>
        </w:tc>
        <w:tc>
          <w:tcPr>
            <w:tcW w:w="7394" w:type="dxa"/>
            <w:tcBorders>
              <w:top w:val="single" w:color="auto" w:sz="4" w:space="0"/>
              <w:left w:val="single" w:color="auto" w:sz="4" w:space="0"/>
              <w:bottom w:val="single" w:color="auto" w:sz="4" w:space="0"/>
              <w:right w:val="single" w:color="auto" w:sz="4" w:space="0"/>
            </w:tcBorders>
            <w:vAlign w:val="center"/>
          </w:tcPr>
          <w:p w14:paraId="198600B4">
            <w:pPr>
              <w:jc w:val="center"/>
              <w:rPr>
                <w:rFonts w:ascii="宋体" w:hAnsi="宋体"/>
                <w:sz w:val="21"/>
                <w:szCs w:val="21"/>
                <w:highlight w:val="none"/>
              </w:rPr>
            </w:pPr>
          </w:p>
        </w:tc>
      </w:tr>
      <w:tr w14:paraId="4CDBD9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61" w:hRule="atLeast"/>
          <w:jc w:val="center"/>
        </w:trPr>
        <w:tc>
          <w:tcPr>
            <w:tcW w:w="1708" w:type="dxa"/>
            <w:tcBorders>
              <w:top w:val="single" w:color="auto" w:sz="4" w:space="0"/>
              <w:left w:val="single" w:color="auto" w:sz="4" w:space="0"/>
              <w:bottom w:val="single" w:color="auto" w:sz="4" w:space="0"/>
              <w:right w:val="single" w:color="auto" w:sz="4" w:space="0"/>
            </w:tcBorders>
            <w:vAlign w:val="center"/>
          </w:tcPr>
          <w:p w14:paraId="70C9E0EA">
            <w:pPr>
              <w:jc w:val="center"/>
              <w:rPr>
                <w:rFonts w:hint="eastAsia" w:ascii="宋体" w:hAnsi="宋体" w:eastAsia="宋体"/>
                <w:sz w:val="21"/>
                <w:szCs w:val="21"/>
                <w:highlight w:val="none"/>
                <w:lang w:eastAsia="zh-CN"/>
              </w:rPr>
            </w:pPr>
            <w:r>
              <w:rPr>
                <w:rFonts w:hint="eastAsia" w:ascii="宋体" w:hAnsi="宋体"/>
                <w:sz w:val="21"/>
                <w:szCs w:val="21"/>
                <w:highlight w:val="none"/>
                <w:lang w:eastAsia="zh-CN"/>
              </w:rPr>
              <w:t>最后报价</w:t>
            </w:r>
          </w:p>
        </w:tc>
        <w:tc>
          <w:tcPr>
            <w:tcW w:w="7394" w:type="dxa"/>
            <w:tcBorders>
              <w:top w:val="single" w:color="auto" w:sz="4" w:space="0"/>
              <w:left w:val="single" w:color="auto" w:sz="4" w:space="0"/>
              <w:bottom w:val="single" w:color="auto" w:sz="4" w:space="0"/>
              <w:right w:val="single" w:color="auto" w:sz="4" w:space="0"/>
            </w:tcBorders>
            <w:vAlign w:val="center"/>
          </w:tcPr>
          <w:p w14:paraId="78515DC2">
            <w:pPr>
              <w:wordWrap w:val="0"/>
              <w:jc w:val="left"/>
              <w:rPr>
                <w:rFonts w:ascii="宋体" w:hAnsi="宋体"/>
                <w:sz w:val="21"/>
                <w:szCs w:val="21"/>
                <w:highlight w:val="none"/>
              </w:rPr>
            </w:pPr>
            <w:r>
              <w:rPr>
                <w:rFonts w:hint="eastAsia" w:ascii="宋体" w:cs="宋体"/>
                <w:sz w:val="24"/>
                <w:szCs w:val="24"/>
                <w:lang w:val="zh-CN"/>
              </w:rPr>
              <w:t xml:space="preserve">（大写）                  </w:t>
            </w:r>
            <w:r>
              <w:rPr>
                <w:rFonts w:hint="eastAsia" w:ascii="宋体" w:cs="宋体"/>
                <w:sz w:val="24"/>
                <w:szCs w:val="24"/>
                <w:lang w:val="en-US" w:eastAsia="zh-CN"/>
              </w:rPr>
              <w:t xml:space="preserve"> </w:t>
            </w:r>
            <w:r>
              <w:rPr>
                <w:rFonts w:hint="eastAsia" w:ascii="宋体" w:cs="宋体"/>
                <w:sz w:val="24"/>
                <w:szCs w:val="24"/>
                <w:lang w:val="zh-CN"/>
              </w:rPr>
              <w:t xml:space="preserve">     </w:t>
            </w:r>
            <w:r>
              <w:rPr>
                <w:rFonts w:hint="eastAsia" w:ascii="宋体" w:cs="宋体"/>
                <w:sz w:val="24"/>
                <w:szCs w:val="24"/>
                <w:lang w:val="en-US" w:eastAsia="zh-CN"/>
              </w:rPr>
              <w:t xml:space="preserve"> </w:t>
            </w:r>
            <w:r>
              <w:rPr>
                <w:rFonts w:hint="eastAsia" w:ascii="宋体" w:cs="宋体"/>
                <w:sz w:val="24"/>
                <w:szCs w:val="24"/>
                <w:lang w:val="zh-CN"/>
              </w:rPr>
              <w:t xml:space="preserve">   （￥：           万元）</w:t>
            </w:r>
          </w:p>
        </w:tc>
      </w:tr>
      <w:tr w14:paraId="2D9D0E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546" w:hRule="atLeast"/>
          <w:jc w:val="center"/>
        </w:trPr>
        <w:tc>
          <w:tcPr>
            <w:tcW w:w="9102" w:type="dxa"/>
            <w:gridSpan w:val="2"/>
            <w:tcBorders>
              <w:top w:val="single" w:color="auto" w:sz="4" w:space="0"/>
              <w:left w:val="single" w:color="auto" w:sz="4" w:space="0"/>
              <w:bottom w:val="single" w:color="auto" w:sz="4" w:space="0"/>
              <w:right w:val="single" w:color="auto" w:sz="4" w:space="0"/>
            </w:tcBorders>
            <w:vAlign w:val="center"/>
          </w:tcPr>
          <w:p w14:paraId="48A55506">
            <w:pPr>
              <w:jc w:val="center"/>
              <w:rPr>
                <w:rFonts w:hint="eastAsia" w:ascii="宋体" w:hAnsi="宋体" w:cs="Times New Roman"/>
                <w:sz w:val="21"/>
                <w:szCs w:val="21"/>
                <w:highlight w:val="none"/>
              </w:rPr>
            </w:pPr>
          </w:p>
          <w:p w14:paraId="08552B79">
            <w:pPr>
              <w:jc w:val="center"/>
              <w:rPr>
                <w:rFonts w:hint="eastAsia" w:ascii="宋体" w:hAnsi="宋体" w:cs="Times New Roman"/>
                <w:sz w:val="21"/>
                <w:szCs w:val="21"/>
                <w:highlight w:val="none"/>
              </w:rPr>
            </w:pPr>
          </w:p>
          <w:p w14:paraId="52B95DD8">
            <w:pPr>
              <w:jc w:val="both"/>
              <w:rPr>
                <w:rFonts w:hint="eastAsia" w:ascii="宋体" w:hAnsi="宋体" w:cs="Times New Roman"/>
                <w:sz w:val="21"/>
                <w:szCs w:val="21"/>
                <w:highlight w:val="none"/>
                <w:lang w:val="zh-CN"/>
              </w:rPr>
            </w:pPr>
            <w:r>
              <w:rPr>
                <w:rFonts w:hint="eastAsia" w:ascii="宋体" w:hAnsi="宋体" w:cs="Times New Roman"/>
                <w:sz w:val="21"/>
                <w:szCs w:val="21"/>
                <w:highlight w:val="none"/>
                <w:lang w:val="zh-CN"/>
              </w:rPr>
              <w:t xml:space="preserve">供应商单位法定代表人或被授权人：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(签字或盖章)</w:t>
            </w:r>
          </w:p>
          <w:p w14:paraId="4B5AC4BD">
            <w:pPr>
              <w:pStyle w:val="87"/>
              <w:rPr>
                <w:rFonts w:hint="eastAsia" w:ascii="宋体" w:hAnsi="宋体" w:cs="Times New Roman"/>
                <w:sz w:val="21"/>
                <w:szCs w:val="21"/>
                <w:highlight w:val="none"/>
                <w:lang w:val="zh-CN"/>
              </w:rPr>
            </w:pPr>
          </w:p>
          <w:p w14:paraId="6059C1DA">
            <w:pPr>
              <w:jc w:val="center"/>
              <w:rPr>
                <w:rFonts w:ascii="宋体" w:hAnsi="宋体"/>
                <w:b/>
                <w:sz w:val="21"/>
                <w:szCs w:val="21"/>
                <w:highlight w:val="none"/>
              </w:rPr>
            </w:pPr>
            <w:r>
              <w:rPr>
                <w:rFonts w:hint="eastAsia" w:ascii="宋体" w:hAnsi="宋体" w:cs="Times New Roman"/>
                <w:sz w:val="21"/>
                <w:szCs w:val="21"/>
                <w:highlight w:val="none"/>
                <w:lang w:val="zh-CN"/>
              </w:rPr>
              <w:t xml:space="preserve">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年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月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日</w:t>
            </w:r>
          </w:p>
        </w:tc>
      </w:tr>
    </w:tbl>
    <w:p w14:paraId="70458EF1">
      <w:pPr>
        <w:pStyle w:val="87"/>
        <w:rPr>
          <w:rFonts w:hint="eastAsia"/>
        </w:rPr>
      </w:pPr>
    </w:p>
    <w:p w14:paraId="77FD9508">
      <w:pPr>
        <w:adjustRightInd w:val="0"/>
        <w:snapToGrid w:val="0"/>
        <w:rPr>
          <w:rFonts w:ascii="宋体" w:hAnsi="宋体"/>
          <w:b/>
          <w:bCs/>
          <w:color w:val="000000" w:themeColor="text1"/>
          <w:szCs w:val="21"/>
          <w14:textFill>
            <w14:solidFill>
              <w14:schemeClr w14:val="tx1"/>
            </w14:solidFill>
          </w14:textFill>
        </w:rPr>
      </w:pPr>
    </w:p>
    <w:p w14:paraId="25B13295">
      <w:pPr>
        <w:widowControl/>
        <w:jc w:val="left"/>
        <w:rPr>
          <w:rFonts w:ascii="宋体" w:hAnsi="宋体"/>
          <w:b/>
          <w:color w:val="000000" w:themeColor="text1"/>
          <w:spacing w:val="20"/>
          <w:szCs w:val="21"/>
          <w14:textFill>
            <w14:solidFill>
              <w14:schemeClr w14:val="tx1"/>
            </w14:solidFill>
          </w14:textFill>
        </w:rPr>
      </w:pPr>
    </w:p>
    <w:p w14:paraId="0E81A351">
      <w:pPr>
        <w:spacing w:line="360" w:lineRule="auto"/>
        <w:rPr>
          <w:rFonts w:ascii="宋体" w:hAnsi="宋体"/>
          <w:b/>
          <w:color w:val="000000" w:themeColor="text1"/>
          <w:spacing w:val="20"/>
          <w:szCs w:val="21"/>
          <w14:textFill>
            <w14:solidFill>
              <w14:schemeClr w14:val="tx1"/>
            </w14:solidFill>
          </w14:textFill>
        </w:rPr>
      </w:pPr>
    </w:p>
    <w:bookmarkEnd w:id="840"/>
    <w:p w14:paraId="5E10D57E">
      <w:pPr>
        <w:pStyle w:val="4"/>
        <w:pageBreakBefore/>
        <w:widowControl w:val="0"/>
        <w:spacing w:line="360" w:lineRule="auto"/>
        <w:ind w:right="210" w:rightChars="100"/>
        <w:rPr>
          <w:rFonts w:hint="eastAsia" w:ascii="宋体" w:hAnsi="宋体" w:eastAsia="宋体"/>
          <w:color w:val="000000" w:themeColor="text1"/>
          <w:sz w:val="28"/>
          <w:szCs w:val="28"/>
          <w14:textFill>
            <w14:solidFill>
              <w14:schemeClr w14:val="tx1"/>
            </w14:solidFill>
          </w14:textFill>
        </w:rPr>
      </w:pPr>
      <w:bookmarkStart w:id="858" w:name="_Toc469921634"/>
      <w:bookmarkStart w:id="859" w:name="_Toc432066482"/>
      <w:bookmarkStart w:id="860" w:name="_Toc54097221"/>
      <w:bookmarkStart w:id="861" w:name="_Toc54258244"/>
      <w:bookmarkStart w:id="862" w:name="_Toc9543"/>
      <w:bookmarkStart w:id="863" w:name="_Toc2475"/>
      <w:bookmarkStart w:id="864" w:name="_Toc53569423"/>
      <w:r>
        <w:rPr>
          <w:rFonts w:hint="eastAsia" w:ascii="宋体" w:hAnsi="宋体" w:eastAsia="宋体"/>
          <w:color w:val="000000" w:themeColor="text1"/>
          <w:sz w:val="28"/>
          <w:szCs w:val="28"/>
          <w14:textFill>
            <w14:solidFill>
              <w14:schemeClr w14:val="tx1"/>
            </w14:solidFill>
          </w14:textFill>
        </w:rPr>
        <w:t>五、</w:t>
      </w:r>
      <w:bookmarkEnd w:id="858"/>
      <w:bookmarkEnd w:id="859"/>
      <w:r>
        <w:rPr>
          <w:rFonts w:hint="eastAsia" w:ascii="宋体" w:hAnsi="宋体" w:eastAsia="宋体"/>
          <w:color w:val="000000" w:themeColor="text1"/>
          <w:sz w:val="28"/>
          <w:szCs w:val="28"/>
          <w14:textFill>
            <w14:solidFill>
              <w14:schemeClr w14:val="tx1"/>
            </w14:solidFill>
          </w14:textFill>
        </w:rPr>
        <w:t>已标价工程量清单</w:t>
      </w:r>
      <w:bookmarkEnd w:id="860"/>
      <w:bookmarkEnd w:id="861"/>
      <w:bookmarkEnd w:id="862"/>
      <w:bookmarkEnd w:id="863"/>
      <w:bookmarkEnd w:id="864"/>
    </w:p>
    <w:p w14:paraId="5744C6A2">
      <w:pPr>
        <w:bidi w:val="0"/>
      </w:pPr>
    </w:p>
    <w:p w14:paraId="3A4D0E87">
      <w:pPr>
        <w:spacing w:line="460" w:lineRule="exact"/>
        <w:rPr>
          <w:rFonts w:ascii="宋体" w:hAnsi="宋体"/>
          <w:szCs w:val="21"/>
          <w:highlight w:val="none"/>
        </w:rPr>
      </w:pPr>
      <w:r>
        <w:rPr>
          <w:rFonts w:hint="eastAsia" w:ascii="宋体" w:hAnsi="宋体"/>
          <w:szCs w:val="21"/>
          <w:highlight w:val="none"/>
        </w:rPr>
        <w:t>说明：</w:t>
      </w:r>
    </w:p>
    <w:p w14:paraId="20E9475B">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szCs w:val="21"/>
          <w:highlight w:val="none"/>
        </w:rPr>
      </w:pPr>
    </w:p>
    <w:p w14:paraId="0ADDC814">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szCs w:val="21"/>
          <w:highlight w:val="none"/>
          <w:lang w:val="en-US" w:eastAsia="zh-CN"/>
        </w:rPr>
      </w:pPr>
      <w:r>
        <w:rPr>
          <w:rFonts w:hint="eastAsia" w:ascii="宋体" w:hAnsi="宋体"/>
          <w:szCs w:val="21"/>
          <w:highlight w:val="none"/>
        </w:rPr>
        <w:t>已标价工程量清单按第五章“工程量清单”中的相关清单表格式填写。</w:t>
      </w:r>
      <w:r>
        <w:rPr>
          <w:highlight w:val="none"/>
          <w:lang w:val="zh-CN"/>
        </w:rPr>
        <w:t>符合</w:t>
      </w:r>
      <w:r>
        <w:rPr>
          <w:rFonts w:hint="eastAsia"/>
          <w:highlight w:val="none"/>
          <w:lang w:val="zh-CN"/>
        </w:rPr>
        <w:t>磋商</w:t>
      </w:r>
      <w:r>
        <w:rPr>
          <w:highlight w:val="none"/>
          <w:lang w:val="zh-CN"/>
        </w:rPr>
        <w:t>文件“工程量清单”给出的范围及数量。</w:t>
      </w:r>
      <w:r>
        <w:rPr>
          <w:rFonts w:hint="eastAsia" w:ascii="宋体" w:hAnsi="宋体" w:cs="宋体"/>
          <w:bCs/>
          <w:szCs w:val="21"/>
          <w:highlight w:val="none"/>
          <w:lang w:val="zh-CN"/>
        </w:rPr>
        <w:t>供应商应按工程量清单填报价格。项目编码、项目标段名称、项目特征、计量单位、工程量必须与工程量清单一致，经</w:t>
      </w:r>
      <w:r>
        <w:rPr>
          <w:rFonts w:hint="eastAsia" w:ascii="宋体" w:hAnsi="宋体" w:cs="宋体"/>
          <w:bCs/>
          <w:szCs w:val="21"/>
          <w:highlight w:val="none"/>
          <w:lang w:val="en-US" w:eastAsia="zh-CN"/>
        </w:rPr>
        <w:t>注册造价工程师</w:t>
      </w:r>
      <w:r>
        <w:rPr>
          <w:rFonts w:hint="eastAsia" w:ascii="宋体" w:hAnsi="宋体" w:cs="宋体"/>
          <w:bCs/>
          <w:szCs w:val="21"/>
          <w:highlight w:val="none"/>
          <w:lang w:val="zh-CN"/>
        </w:rPr>
        <w:t>签字盖专用章，并符合相关法律法规及采购文件规定（</w:t>
      </w:r>
      <w:r>
        <w:rPr>
          <w:rFonts w:hint="eastAsia" w:ascii="宋体" w:hAnsi="宋体" w:cs="宋体"/>
          <w:bCs/>
          <w:szCs w:val="21"/>
          <w:highlight w:val="none"/>
          <w:lang w:val="en-US" w:eastAsia="zh-CN"/>
        </w:rPr>
        <w:t>若供应商无注册造价工程师，</w:t>
      </w:r>
      <w:r>
        <w:rPr>
          <w:rFonts w:hint="eastAsia" w:ascii="宋体" w:hAnsi="宋体" w:cs="宋体"/>
          <w:bCs/>
          <w:szCs w:val="21"/>
          <w:highlight w:val="none"/>
          <w:lang w:val="zh-CN"/>
        </w:rPr>
        <w:t>须提供供应商与造价咨询单位签署的委托书扫描件加盖公章）。</w:t>
      </w:r>
      <w:r>
        <w:rPr>
          <w:rFonts w:hint="eastAsia" w:ascii="宋体" w:hAnsi="宋体" w:cs="宋体"/>
          <w:bCs/>
          <w:color w:val="auto"/>
          <w:kern w:val="15"/>
          <w:szCs w:val="21"/>
          <w:highlight w:val="none"/>
          <w:lang w:val="zh-CN" w:eastAsia="zh-CN"/>
        </w:rPr>
        <w:t>同一单位的注册造价师在本项目中不能为两个及两个以上的供应商单位编制工程量清单，否则按废标处理。</w:t>
      </w:r>
    </w:p>
    <w:p w14:paraId="1814E033">
      <w:pPr>
        <w:bidi w:val="0"/>
        <w:jc w:val="center"/>
      </w:pPr>
    </w:p>
    <w:p w14:paraId="3784C134">
      <w:pPr>
        <w:pStyle w:val="4"/>
        <w:pageBreakBefore/>
        <w:widowControl w:val="0"/>
        <w:spacing w:line="360" w:lineRule="auto"/>
        <w:rPr>
          <w:rFonts w:ascii="宋体" w:hAnsi="宋体"/>
          <w:color w:val="000000" w:themeColor="text1"/>
          <w:sz w:val="28"/>
          <w:szCs w:val="28"/>
          <w14:textFill>
            <w14:solidFill>
              <w14:schemeClr w14:val="tx1"/>
            </w14:solidFill>
          </w14:textFill>
        </w:rPr>
      </w:pPr>
      <w:bookmarkStart w:id="865" w:name="_Toc14812"/>
      <w:bookmarkStart w:id="866" w:name="_Toc469921635"/>
      <w:bookmarkStart w:id="867" w:name="_Toc53569424"/>
      <w:bookmarkStart w:id="868" w:name="_Toc54258246"/>
      <w:bookmarkStart w:id="869" w:name="_Toc8078"/>
      <w:bookmarkStart w:id="870" w:name="_Toc432066483"/>
      <w:bookmarkStart w:id="871" w:name="_Toc54097222"/>
      <w:r>
        <w:rPr>
          <w:rFonts w:hint="eastAsia" w:ascii="宋体" w:hAnsi="宋体" w:eastAsia="宋体"/>
          <w:color w:val="000000" w:themeColor="text1"/>
          <w:sz w:val="28"/>
          <w:szCs w:val="28"/>
          <w14:textFill>
            <w14:solidFill>
              <w14:schemeClr w14:val="tx1"/>
            </w14:solidFill>
          </w14:textFill>
        </w:rPr>
        <w:t>六、施工组织设计</w:t>
      </w:r>
      <w:bookmarkEnd w:id="865"/>
      <w:bookmarkEnd w:id="866"/>
      <w:bookmarkEnd w:id="867"/>
      <w:bookmarkEnd w:id="868"/>
      <w:bookmarkEnd w:id="869"/>
      <w:bookmarkEnd w:id="870"/>
      <w:bookmarkEnd w:id="871"/>
    </w:p>
    <w:p w14:paraId="1CF40B00">
      <w:pPr>
        <w:tabs>
          <w:tab w:val="left" w:pos="720"/>
        </w:tabs>
        <w:spacing w:line="440" w:lineRule="exact"/>
        <w:ind w:firstLine="420" w:firstLineChars="20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w:t>
      </w:r>
      <w:r>
        <w:rPr>
          <w:rFonts w:hint="eastAsia" w:ascii="宋体" w:hAnsi="宋体"/>
          <w:color w:val="000000" w:themeColor="text1"/>
          <w:szCs w:val="21"/>
          <w14:textFill>
            <w14:solidFill>
              <w14:schemeClr w14:val="tx1"/>
            </w14:solidFill>
          </w14:textFill>
        </w:rPr>
        <w:tab/>
      </w: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编制施工组织设计的要求：编制时应</w:t>
      </w:r>
      <w:r>
        <w:rPr>
          <w:rFonts w:hint="eastAsia" w:ascii="宋体" w:hAnsi="宋体"/>
          <w:color w:val="000000" w:themeColor="text1"/>
          <w:szCs w:val="21"/>
          <w14:textFill>
            <w14:solidFill>
              <w14:schemeClr w14:val="tx1"/>
            </w14:solidFill>
          </w14:textFill>
        </w:rPr>
        <w:t>简明扼要地</w:t>
      </w:r>
      <w:r>
        <w:rPr>
          <w:rFonts w:ascii="宋体" w:hAnsi="宋体"/>
          <w:color w:val="000000" w:themeColor="text1"/>
          <w:szCs w:val="21"/>
          <w14:textFill>
            <w14:solidFill>
              <w14:schemeClr w14:val="tx1"/>
            </w14:solidFill>
          </w14:textFill>
        </w:rPr>
        <w:t>说明施工方法</w:t>
      </w:r>
      <w:r>
        <w:rPr>
          <w:rFonts w:hint="eastAsia" w:ascii="宋体" w:hAnsi="宋体"/>
          <w:color w:val="000000" w:themeColor="text1"/>
          <w:szCs w:val="21"/>
          <w14:textFill>
            <w14:solidFill>
              <w14:schemeClr w14:val="tx1"/>
            </w14:solidFill>
          </w14:textFill>
        </w:rPr>
        <w:t>，</w:t>
      </w:r>
      <w:r>
        <w:rPr>
          <w:rFonts w:ascii="宋体" w:hAnsi="宋体"/>
          <w:color w:val="000000" w:themeColor="text1"/>
          <w:szCs w:val="21"/>
          <w14:textFill>
            <w14:solidFill>
              <w14:schemeClr w14:val="tx1"/>
            </w14:solidFill>
          </w14:textFill>
        </w:rPr>
        <w:t>工程质量、安全生产、文明施工、环境</w:t>
      </w:r>
      <w:r>
        <w:rPr>
          <w:rFonts w:hint="eastAsia" w:ascii="宋体" w:hAnsi="宋体"/>
          <w:color w:val="000000" w:themeColor="text1"/>
          <w:szCs w:val="21"/>
          <w14:textFill>
            <w14:solidFill>
              <w14:schemeClr w14:val="tx1"/>
            </w14:solidFill>
          </w14:textFill>
        </w:rPr>
        <w:t>保护、</w:t>
      </w:r>
      <w:r>
        <w:rPr>
          <w:rFonts w:ascii="宋体" w:hAnsi="宋体"/>
          <w:color w:val="000000" w:themeColor="text1"/>
          <w:szCs w:val="21"/>
          <w14:textFill>
            <w14:solidFill>
              <w14:schemeClr w14:val="tx1"/>
            </w14:solidFill>
          </w14:textFill>
        </w:rPr>
        <w:t>冬雨季施工</w:t>
      </w:r>
      <w:r>
        <w:rPr>
          <w:rFonts w:hint="eastAsia" w:ascii="宋体" w:hAnsi="宋体"/>
          <w:color w:val="000000" w:themeColor="text1"/>
          <w:szCs w:val="21"/>
          <w14:textFill>
            <w14:solidFill>
              <w14:schemeClr w14:val="tx1"/>
            </w14:solidFill>
          </w14:textFill>
        </w:rPr>
        <w:t>、</w:t>
      </w:r>
      <w:r>
        <w:rPr>
          <w:rFonts w:ascii="宋体" w:hAnsi="宋体"/>
          <w:color w:val="000000" w:themeColor="text1"/>
          <w:szCs w:val="21"/>
          <w14:textFill>
            <w14:solidFill>
              <w14:schemeClr w14:val="tx1"/>
            </w14:solidFill>
          </w14:textFill>
        </w:rPr>
        <w:t>工程进度、</w:t>
      </w:r>
      <w:r>
        <w:rPr>
          <w:rFonts w:hint="eastAsia" w:ascii="宋体" w:hAnsi="宋体" w:cs="宋体"/>
          <w:szCs w:val="21"/>
        </w:rPr>
        <w:t>成品保护和工程保修工作的管理</w:t>
      </w:r>
      <w:r>
        <w:rPr>
          <w:rFonts w:hint="eastAsia" w:ascii="宋体" w:hAnsi="宋体"/>
          <w:color w:val="000000" w:themeColor="text1"/>
          <w:szCs w:val="21"/>
          <w14:textFill>
            <w14:solidFill>
              <w14:schemeClr w14:val="tx1"/>
            </w14:solidFill>
          </w14:textFill>
        </w:rPr>
        <w:t>措施、</w:t>
      </w:r>
      <w:r>
        <w:rPr>
          <w:rFonts w:hint="eastAsia" w:ascii="宋体" w:hAnsi="宋体" w:cs="宋体"/>
          <w:szCs w:val="21"/>
        </w:rPr>
        <w:t>紧急情况的处理措施、预案以及抵抗风险的措施等</w:t>
      </w: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14:textFill>
            <w14:solidFill>
              <w14:schemeClr w14:val="tx1"/>
            </w14:solidFill>
          </w14:textFill>
        </w:rPr>
        <w:t>用图表形式阐明</w:t>
      </w:r>
      <w:r>
        <w:rPr>
          <w:rFonts w:ascii="宋体" w:hAnsi="宋体"/>
          <w:color w:val="000000" w:themeColor="text1"/>
          <w:szCs w:val="21"/>
          <w14:textFill>
            <w14:solidFill>
              <w14:schemeClr w14:val="tx1"/>
            </w14:solidFill>
          </w14:textFill>
        </w:rPr>
        <w:t>本</w:t>
      </w:r>
      <w:r>
        <w:rPr>
          <w:rFonts w:hint="eastAsia" w:ascii="宋体" w:hAnsi="宋体"/>
          <w:color w:val="000000" w:themeColor="text1"/>
          <w:szCs w:val="21"/>
          <w14:textFill>
            <w14:solidFill>
              <w14:schemeClr w14:val="tx1"/>
            </w14:solidFill>
          </w14:textFill>
        </w:rPr>
        <w:t>项目</w:t>
      </w:r>
      <w:r>
        <w:rPr>
          <w:rFonts w:ascii="宋体" w:hAnsi="宋体"/>
          <w:color w:val="000000" w:themeColor="text1"/>
          <w:szCs w:val="21"/>
          <w14:textFill>
            <w14:solidFill>
              <w14:schemeClr w14:val="tx1"/>
            </w14:solidFill>
          </w14:textFill>
        </w:rPr>
        <w:t>的</w:t>
      </w:r>
      <w:r>
        <w:rPr>
          <w:rFonts w:hint="eastAsia" w:ascii="宋体" w:hAnsi="宋体"/>
          <w:color w:val="000000" w:themeColor="text1"/>
          <w:szCs w:val="21"/>
          <w14:textFill>
            <w14:solidFill>
              <w14:schemeClr w14:val="tx1"/>
            </w14:solidFill>
          </w14:textFill>
        </w:rPr>
        <w:t>施工总平面、进度计划以及</w:t>
      </w:r>
      <w:r>
        <w:rPr>
          <w:rFonts w:ascii="宋体" w:hAnsi="宋体"/>
          <w:color w:val="000000" w:themeColor="text1"/>
          <w:szCs w:val="21"/>
          <w14:textFill>
            <w14:solidFill>
              <w14:schemeClr w14:val="tx1"/>
            </w14:solidFill>
          </w14:textFill>
        </w:rPr>
        <w:t>拟投入主要施工设备、劳动力</w:t>
      </w:r>
      <w:r>
        <w:rPr>
          <w:rFonts w:hint="eastAsia" w:ascii="宋体" w:hAnsi="宋体"/>
          <w:color w:val="000000" w:themeColor="text1"/>
          <w:szCs w:val="21"/>
          <w14:textFill>
            <w14:solidFill>
              <w14:schemeClr w14:val="tx1"/>
            </w14:solidFill>
          </w14:textFill>
        </w:rPr>
        <w:t>、项目管理机构</w:t>
      </w:r>
      <w:r>
        <w:rPr>
          <w:rFonts w:ascii="宋体" w:hAnsi="宋体"/>
          <w:color w:val="000000" w:themeColor="text1"/>
          <w:szCs w:val="21"/>
          <w14:textFill>
            <w14:solidFill>
              <w14:schemeClr w14:val="tx1"/>
            </w14:solidFill>
          </w14:textFill>
        </w:rPr>
        <w:t>等</w:t>
      </w:r>
      <w:r>
        <w:rPr>
          <w:rFonts w:hint="eastAsia" w:ascii="宋体" w:hAnsi="宋体"/>
          <w:color w:val="000000" w:themeColor="text1"/>
          <w:szCs w:val="21"/>
          <w14:textFill>
            <w14:solidFill>
              <w14:schemeClr w14:val="tx1"/>
            </w14:solidFill>
          </w14:textFill>
        </w:rPr>
        <w:t>。</w:t>
      </w:r>
    </w:p>
    <w:p w14:paraId="3FD22437">
      <w:pPr>
        <w:tabs>
          <w:tab w:val="left" w:pos="720"/>
        </w:tabs>
        <w:spacing w:line="440" w:lineRule="exact"/>
        <w:ind w:firstLine="420" w:firstLineChars="20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2.图表及格式要求</w:t>
      </w:r>
      <w:r>
        <w:rPr>
          <w:rFonts w:hint="eastAsia" w:ascii="宋体" w:hAnsi="宋体"/>
          <w:color w:val="000000" w:themeColor="text1"/>
          <w:szCs w:val="21"/>
          <w14:textFill>
            <w14:solidFill>
              <w14:schemeClr w14:val="tx1"/>
            </w14:solidFill>
          </w14:textFill>
        </w:rPr>
        <w:t>：</w:t>
      </w:r>
    </w:p>
    <w:p w14:paraId="212FDEC4">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附表一  拟投入的主要施工设备表</w:t>
      </w:r>
    </w:p>
    <w:p w14:paraId="336C3DD2">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二</w:t>
      </w:r>
      <w:r>
        <w:rPr>
          <w:rFonts w:ascii="宋体" w:hAnsi="宋体"/>
          <w:color w:val="000000" w:themeColor="text1"/>
          <w:szCs w:val="21"/>
          <w14:textFill>
            <w14:solidFill>
              <w14:schemeClr w14:val="tx1"/>
            </w14:solidFill>
          </w14:textFill>
        </w:rPr>
        <w:t xml:space="preserve">  劳动力计划表</w:t>
      </w:r>
    </w:p>
    <w:p w14:paraId="25BFD884">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三</w:t>
      </w:r>
      <w:r>
        <w:rPr>
          <w:rFonts w:ascii="宋体" w:hAnsi="宋体"/>
          <w:color w:val="000000" w:themeColor="text1"/>
          <w:szCs w:val="21"/>
          <w14:textFill>
            <w14:solidFill>
              <w14:schemeClr w14:val="tx1"/>
            </w14:solidFill>
          </w14:textFill>
        </w:rPr>
        <w:t xml:space="preserve">  进度</w:t>
      </w:r>
      <w:r>
        <w:rPr>
          <w:rFonts w:hint="eastAsia" w:ascii="宋体" w:hAnsi="宋体"/>
          <w:color w:val="000000" w:themeColor="text1"/>
          <w:szCs w:val="21"/>
          <w14:textFill>
            <w14:solidFill>
              <w14:schemeClr w14:val="tx1"/>
            </w14:solidFill>
          </w14:textFill>
        </w:rPr>
        <w:t>计划</w:t>
      </w:r>
    </w:p>
    <w:p w14:paraId="26F37EE1">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四</w:t>
      </w:r>
      <w:r>
        <w:rPr>
          <w:rFonts w:ascii="宋体" w:hAnsi="宋体"/>
          <w:color w:val="000000" w:themeColor="text1"/>
          <w:szCs w:val="21"/>
          <w14:textFill>
            <w14:solidFill>
              <w14:schemeClr w14:val="tx1"/>
            </w14:solidFill>
          </w14:textFill>
        </w:rPr>
        <w:t xml:space="preserve">  施工总平面图</w:t>
      </w:r>
    </w:p>
    <w:p w14:paraId="511609FF">
      <w:pPr>
        <w:pageBreakBefore/>
        <w:snapToGrid w:val="0"/>
        <w:spacing w:beforeLines="50"/>
        <w:ind w:left="850" w:hanging="850" w:hangingChars="405"/>
        <w:rPr>
          <w:rFonts w:ascii="宋体" w:hAnsi="宋体"/>
          <w:color w:val="000000" w:themeColor="text1"/>
          <w:szCs w:val="21"/>
          <w14:textFill>
            <w14:solidFill>
              <w14:schemeClr w14:val="tx1"/>
            </w14:solidFill>
          </w14:textFill>
        </w:rPr>
      </w:pPr>
      <w:bookmarkStart w:id="872" w:name="_Toc246997108"/>
      <w:bookmarkStart w:id="873" w:name="_Toc296602610"/>
      <w:bookmarkStart w:id="874" w:name="_Toc246996365"/>
      <w:bookmarkStart w:id="875" w:name="_Toc247085883"/>
      <w:bookmarkStart w:id="876" w:name="_Toc179632817"/>
      <w:bookmarkStart w:id="877" w:name="_Toc152042586"/>
      <w:bookmarkStart w:id="878" w:name="_Toc144974865"/>
      <w:bookmarkStart w:id="879" w:name="_Toc152045797"/>
      <w:r>
        <w:rPr>
          <w:rFonts w:ascii="宋体" w:hAnsi="宋体"/>
          <w:color w:val="000000" w:themeColor="text1"/>
          <w:szCs w:val="21"/>
          <w14:textFill>
            <w14:solidFill>
              <w14:schemeClr w14:val="tx1"/>
            </w14:solidFill>
          </w14:textFill>
        </w:rPr>
        <w:t>附表一：拟投入本</w:t>
      </w:r>
      <w:r>
        <w:rPr>
          <w:rFonts w:hint="eastAsia" w:ascii="宋体" w:hAnsi="宋体"/>
          <w:color w:val="000000" w:themeColor="text1"/>
          <w:szCs w:val="21"/>
          <w14:textFill>
            <w14:solidFill>
              <w14:schemeClr w14:val="tx1"/>
            </w14:solidFill>
          </w14:textFill>
        </w:rPr>
        <w:t>项目</w:t>
      </w:r>
      <w:r>
        <w:rPr>
          <w:rFonts w:ascii="宋体" w:hAnsi="宋体"/>
          <w:color w:val="000000" w:themeColor="text1"/>
          <w:szCs w:val="21"/>
          <w14:textFill>
            <w14:solidFill>
              <w14:schemeClr w14:val="tx1"/>
            </w14:solidFill>
          </w14:textFill>
        </w:rPr>
        <w:t>的主要施工设备表</w:t>
      </w:r>
      <w:bookmarkEnd w:id="872"/>
      <w:bookmarkEnd w:id="873"/>
      <w:bookmarkEnd w:id="874"/>
      <w:bookmarkEnd w:id="875"/>
      <w:bookmarkEnd w:id="876"/>
      <w:bookmarkEnd w:id="877"/>
      <w:bookmarkEnd w:id="878"/>
      <w:bookmarkEnd w:id="879"/>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5"/>
        <w:gridCol w:w="1674"/>
        <w:gridCol w:w="761"/>
        <w:gridCol w:w="990"/>
        <w:gridCol w:w="672"/>
        <w:gridCol w:w="738"/>
        <w:gridCol w:w="1212"/>
        <w:gridCol w:w="874"/>
        <w:gridCol w:w="1055"/>
        <w:gridCol w:w="691"/>
      </w:tblGrid>
      <w:tr w14:paraId="12D83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vAlign w:val="center"/>
          </w:tcPr>
          <w:p w14:paraId="4916C056">
            <w:pPr>
              <w:snapToGrid w:val="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序号</w:t>
            </w:r>
          </w:p>
        </w:tc>
        <w:tc>
          <w:tcPr>
            <w:tcW w:w="1674" w:type="dxa"/>
            <w:vAlign w:val="center"/>
          </w:tcPr>
          <w:p w14:paraId="6D20FE9F">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设备名称</w:t>
            </w:r>
          </w:p>
        </w:tc>
        <w:tc>
          <w:tcPr>
            <w:tcW w:w="761" w:type="dxa"/>
            <w:vAlign w:val="center"/>
          </w:tcPr>
          <w:p w14:paraId="3218DF4C">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型号</w:t>
            </w:r>
          </w:p>
          <w:p w14:paraId="315392A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规格</w:t>
            </w:r>
          </w:p>
        </w:tc>
        <w:tc>
          <w:tcPr>
            <w:tcW w:w="990" w:type="dxa"/>
            <w:vAlign w:val="center"/>
          </w:tcPr>
          <w:p w14:paraId="5491D3CF">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数量</w:t>
            </w:r>
          </w:p>
        </w:tc>
        <w:tc>
          <w:tcPr>
            <w:tcW w:w="672" w:type="dxa"/>
            <w:vAlign w:val="center"/>
          </w:tcPr>
          <w:p w14:paraId="79538AE4">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国别</w:t>
            </w:r>
          </w:p>
          <w:p w14:paraId="1FB6067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产地</w:t>
            </w:r>
          </w:p>
        </w:tc>
        <w:tc>
          <w:tcPr>
            <w:tcW w:w="738" w:type="dxa"/>
            <w:vAlign w:val="center"/>
          </w:tcPr>
          <w:p w14:paraId="7234805E">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制造</w:t>
            </w:r>
          </w:p>
          <w:p w14:paraId="7A79F81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年份</w:t>
            </w:r>
          </w:p>
        </w:tc>
        <w:tc>
          <w:tcPr>
            <w:tcW w:w="1212" w:type="dxa"/>
            <w:vAlign w:val="center"/>
          </w:tcPr>
          <w:p w14:paraId="133B3267">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额定功率（</w:t>
            </w:r>
            <w:r>
              <w:rPr>
                <w:rFonts w:hint="eastAsia" w:ascii="宋体" w:hAnsi="宋体"/>
                <w:color w:val="000000" w:themeColor="text1"/>
                <w:szCs w:val="21"/>
                <w14:textFill>
                  <w14:solidFill>
                    <w14:schemeClr w14:val="tx1"/>
                  </w14:solidFill>
                </w14:textFill>
              </w:rPr>
              <w:t>k</w:t>
            </w:r>
            <w:r>
              <w:rPr>
                <w:rFonts w:ascii="宋体" w:hAnsi="宋体"/>
                <w:color w:val="000000" w:themeColor="text1"/>
                <w:szCs w:val="21"/>
                <w14:textFill>
                  <w14:solidFill>
                    <w14:schemeClr w14:val="tx1"/>
                  </w14:solidFill>
                </w14:textFill>
              </w:rPr>
              <w:t>W）</w:t>
            </w:r>
          </w:p>
        </w:tc>
        <w:tc>
          <w:tcPr>
            <w:tcW w:w="874" w:type="dxa"/>
            <w:vAlign w:val="center"/>
          </w:tcPr>
          <w:p w14:paraId="197C621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生产</w:t>
            </w:r>
          </w:p>
          <w:p w14:paraId="7705769F">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能力</w:t>
            </w:r>
          </w:p>
        </w:tc>
        <w:tc>
          <w:tcPr>
            <w:tcW w:w="1055" w:type="dxa"/>
            <w:vAlign w:val="center"/>
          </w:tcPr>
          <w:p w14:paraId="7393B212">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用于施工部位</w:t>
            </w:r>
          </w:p>
        </w:tc>
        <w:tc>
          <w:tcPr>
            <w:tcW w:w="691" w:type="dxa"/>
            <w:vAlign w:val="center"/>
          </w:tcPr>
          <w:p w14:paraId="12200134">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r>
      <w:tr w14:paraId="427C04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vAlign w:val="center"/>
          </w:tcPr>
          <w:p w14:paraId="23358044">
            <w:pPr>
              <w:snapToGrid w:val="0"/>
              <w:jc w:val="center"/>
              <w:rPr>
                <w:rFonts w:ascii="宋体" w:hAnsi="宋体"/>
                <w:color w:val="000000" w:themeColor="text1"/>
                <w:szCs w:val="21"/>
                <w14:textFill>
                  <w14:solidFill>
                    <w14:schemeClr w14:val="tx1"/>
                  </w14:solidFill>
                </w14:textFill>
              </w:rPr>
            </w:pPr>
          </w:p>
        </w:tc>
        <w:tc>
          <w:tcPr>
            <w:tcW w:w="1674" w:type="dxa"/>
            <w:vAlign w:val="center"/>
          </w:tcPr>
          <w:p w14:paraId="04884B78">
            <w:pPr>
              <w:snapToGrid w:val="0"/>
              <w:jc w:val="center"/>
              <w:rPr>
                <w:rFonts w:ascii="宋体" w:hAnsi="宋体"/>
                <w:color w:val="000000" w:themeColor="text1"/>
                <w:szCs w:val="21"/>
                <w14:textFill>
                  <w14:solidFill>
                    <w14:schemeClr w14:val="tx1"/>
                  </w14:solidFill>
                </w14:textFill>
              </w:rPr>
            </w:pPr>
          </w:p>
        </w:tc>
        <w:tc>
          <w:tcPr>
            <w:tcW w:w="761" w:type="dxa"/>
            <w:vAlign w:val="center"/>
          </w:tcPr>
          <w:p w14:paraId="2A0FDCBD">
            <w:pPr>
              <w:snapToGrid w:val="0"/>
              <w:jc w:val="center"/>
              <w:rPr>
                <w:rFonts w:ascii="宋体" w:hAnsi="宋体"/>
                <w:color w:val="000000" w:themeColor="text1"/>
                <w:szCs w:val="21"/>
                <w14:textFill>
                  <w14:solidFill>
                    <w14:schemeClr w14:val="tx1"/>
                  </w14:solidFill>
                </w14:textFill>
              </w:rPr>
            </w:pPr>
          </w:p>
        </w:tc>
        <w:tc>
          <w:tcPr>
            <w:tcW w:w="990" w:type="dxa"/>
            <w:vAlign w:val="center"/>
          </w:tcPr>
          <w:p w14:paraId="43970322">
            <w:pPr>
              <w:snapToGrid w:val="0"/>
              <w:jc w:val="center"/>
              <w:rPr>
                <w:rFonts w:ascii="宋体" w:hAnsi="宋体"/>
                <w:color w:val="000000" w:themeColor="text1"/>
                <w:szCs w:val="21"/>
                <w14:textFill>
                  <w14:solidFill>
                    <w14:schemeClr w14:val="tx1"/>
                  </w14:solidFill>
                </w14:textFill>
              </w:rPr>
            </w:pPr>
          </w:p>
        </w:tc>
        <w:tc>
          <w:tcPr>
            <w:tcW w:w="672" w:type="dxa"/>
            <w:vAlign w:val="center"/>
          </w:tcPr>
          <w:p w14:paraId="4ED2C87C">
            <w:pPr>
              <w:snapToGrid w:val="0"/>
              <w:jc w:val="center"/>
              <w:rPr>
                <w:rFonts w:ascii="宋体" w:hAnsi="宋体"/>
                <w:color w:val="000000" w:themeColor="text1"/>
                <w:szCs w:val="21"/>
                <w14:textFill>
                  <w14:solidFill>
                    <w14:schemeClr w14:val="tx1"/>
                  </w14:solidFill>
                </w14:textFill>
              </w:rPr>
            </w:pPr>
          </w:p>
        </w:tc>
        <w:tc>
          <w:tcPr>
            <w:tcW w:w="738" w:type="dxa"/>
            <w:vAlign w:val="center"/>
          </w:tcPr>
          <w:p w14:paraId="64061261">
            <w:pPr>
              <w:snapToGrid w:val="0"/>
              <w:jc w:val="center"/>
              <w:rPr>
                <w:rFonts w:ascii="宋体" w:hAnsi="宋体"/>
                <w:color w:val="000000" w:themeColor="text1"/>
                <w:szCs w:val="21"/>
                <w14:textFill>
                  <w14:solidFill>
                    <w14:schemeClr w14:val="tx1"/>
                  </w14:solidFill>
                </w14:textFill>
              </w:rPr>
            </w:pPr>
          </w:p>
        </w:tc>
        <w:tc>
          <w:tcPr>
            <w:tcW w:w="1212" w:type="dxa"/>
            <w:vAlign w:val="center"/>
          </w:tcPr>
          <w:p w14:paraId="2024384B">
            <w:pPr>
              <w:snapToGrid w:val="0"/>
              <w:jc w:val="center"/>
              <w:rPr>
                <w:rFonts w:ascii="宋体" w:hAnsi="宋体"/>
                <w:color w:val="000000" w:themeColor="text1"/>
                <w:szCs w:val="21"/>
                <w14:textFill>
                  <w14:solidFill>
                    <w14:schemeClr w14:val="tx1"/>
                  </w14:solidFill>
                </w14:textFill>
              </w:rPr>
            </w:pPr>
          </w:p>
        </w:tc>
        <w:tc>
          <w:tcPr>
            <w:tcW w:w="874" w:type="dxa"/>
            <w:vAlign w:val="center"/>
          </w:tcPr>
          <w:p w14:paraId="02B01910">
            <w:pPr>
              <w:snapToGrid w:val="0"/>
              <w:jc w:val="center"/>
              <w:rPr>
                <w:rFonts w:ascii="宋体" w:hAnsi="宋体"/>
                <w:color w:val="000000" w:themeColor="text1"/>
                <w:szCs w:val="21"/>
                <w14:textFill>
                  <w14:solidFill>
                    <w14:schemeClr w14:val="tx1"/>
                  </w14:solidFill>
                </w14:textFill>
              </w:rPr>
            </w:pPr>
          </w:p>
        </w:tc>
        <w:tc>
          <w:tcPr>
            <w:tcW w:w="1055" w:type="dxa"/>
            <w:vAlign w:val="center"/>
          </w:tcPr>
          <w:p w14:paraId="3FD994F6">
            <w:pPr>
              <w:snapToGrid w:val="0"/>
              <w:jc w:val="center"/>
              <w:rPr>
                <w:rFonts w:ascii="宋体" w:hAnsi="宋体"/>
                <w:color w:val="000000" w:themeColor="text1"/>
                <w:szCs w:val="21"/>
                <w14:textFill>
                  <w14:solidFill>
                    <w14:schemeClr w14:val="tx1"/>
                  </w14:solidFill>
                </w14:textFill>
              </w:rPr>
            </w:pPr>
          </w:p>
        </w:tc>
        <w:tc>
          <w:tcPr>
            <w:tcW w:w="691" w:type="dxa"/>
            <w:vAlign w:val="center"/>
          </w:tcPr>
          <w:p w14:paraId="0E61D94F">
            <w:pPr>
              <w:snapToGrid w:val="0"/>
              <w:jc w:val="center"/>
              <w:rPr>
                <w:rFonts w:ascii="宋体" w:hAnsi="宋体"/>
                <w:color w:val="000000" w:themeColor="text1"/>
                <w:szCs w:val="21"/>
                <w14:textFill>
                  <w14:solidFill>
                    <w14:schemeClr w14:val="tx1"/>
                  </w14:solidFill>
                </w14:textFill>
              </w:rPr>
            </w:pPr>
          </w:p>
        </w:tc>
      </w:tr>
      <w:tr w14:paraId="6A7209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vAlign w:val="center"/>
          </w:tcPr>
          <w:p w14:paraId="26C705D6">
            <w:pPr>
              <w:snapToGrid w:val="0"/>
              <w:jc w:val="center"/>
              <w:rPr>
                <w:rFonts w:ascii="宋体" w:hAnsi="宋体"/>
                <w:color w:val="000000" w:themeColor="text1"/>
                <w:szCs w:val="21"/>
                <w14:textFill>
                  <w14:solidFill>
                    <w14:schemeClr w14:val="tx1"/>
                  </w14:solidFill>
                </w14:textFill>
              </w:rPr>
            </w:pPr>
          </w:p>
        </w:tc>
        <w:tc>
          <w:tcPr>
            <w:tcW w:w="1674" w:type="dxa"/>
            <w:vAlign w:val="center"/>
          </w:tcPr>
          <w:p w14:paraId="5ECA81F5">
            <w:pPr>
              <w:snapToGrid w:val="0"/>
              <w:jc w:val="center"/>
              <w:rPr>
                <w:rFonts w:ascii="宋体" w:hAnsi="宋体"/>
                <w:color w:val="000000" w:themeColor="text1"/>
                <w:szCs w:val="21"/>
                <w14:textFill>
                  <w14:solidFill>
                    <w14:schemeClr w14:val="tx1"/>
                  </w14:solidFill>
                </w14:textFill>
              </w:rPr>
            </w:pPr>
          </w:p>
        </w:tc>
        <w:tc>
          <w:tcPr>
            <w:tcW w:w="761" w:type="dxa"/>
            <w:vAlign w:val="center"/>
          </w:tcPr>
          <w:p w14:paraId="0F7651E8">
            <w:pPr>
              <w:snapToGrid w:val="0"/>
              <w:jc w:val="center"/>
              <w:rPr>
                <w:rFonts w:ascii="宋体" w:hAnsi="宋体"/>
                <w:color w:val="000000" w:themeColor="text1"/>
                <w:szCs w:val="21"/>
                <w14:textFill>
                  <w14:solidFill>
                    <w14:schemeClr w14:val="tx1"/>
                  </w14:solidFill>
                </w14:textFill>
              </w:rPr>
            </w:pPr>
          </w:p>
        </w:tc>
        <w:tc>
          <w:tcPr>
            <w:tcW w:w="990" w:type="dxa"/>
            <w:vAlign w:val="center"/>
          </w:tcPr>
          <w:p w14:paraId="5779AEA8">
            <w:pPr>
              <w:snapToGrid w:val="0"/>
              <w:jc w:val="center"/>
              <w:rPr>
                <w:rFonts w:ascii="宋体" w:hAnsi="宋体"/>
                <w:color w:val="000000" w:themeColor="text1"/>
                <w:szCs w:val="21"/>
                <w14:textFill>
                  <w14:solidFill>
                    <w14:schemeClr w14:val="tx1"/>
                  </w14:solidFill>
                </w14:textFill>
              </w:rPr>
            </w:pPr>
          </w:p>
        </w:tc>
        <w:tc>
          <w:tcPr>
            <w:tcW w:w="672" w:type="dxa"/>
            <w:vAlign w:val="center"/>
          </w:tcPr>
          <w:p w14:paraId="4F13C17F">
            <w:pPr>
              <w:snapToGrid w:val="0"/>
              <w:jc w:val="center"/>
              <w:rPr>
                <w:rFonts w:ascii="宋体" w:hAnsi="宋体"/>
                <w:color w:val="000000" w:themeColor="text1"/>
                <w:szCs w:val="21"/>
                <w14:textFill>
                  <w14:solidFill>
                    <w14:schemeClr w14:val="tx1"/>
                  </w14:solidFill>
                </w14:textFill>
              </w:rPr>
            </w:pPr>
          </w:p>
        </w:tc>
        <w:tc>
          <w:tcPr>
            <w:tcW w:w="738" w:type="dxa"/>
            <w:vAlign w:val="center"/>
          </w:tcPr>
          <w:p w14:paraId="27CA494A">
            <w:pPr>
              <w:snapToGrid w:val="0"/>
              <w:jc w:val="center"/>
              <w:rPr>
                <w:rFonts w:ascii="宋体" w:hAnsi="宋体"/>
                <w:color w:val="000000" w:themeColor="text1"/>
                <w:szCs w:val="21"/>
                <w14:textFill>
                  <w14:solidFill>
                    <w14:schemeClr w14:val="tx1"/>
                  </w14:solidFill>
                </w14:textFill>
              </w:rPr>
            </w:pPr>
          </w:p>
        </w:tc>
        <w:tc>
          <w:tcPr>
            <w:tcW w:w="1212" w:type="dxa"/>
            <w:vAlign w:val="center"/>
          </w:tcPr>
          <w:p w14:paraId="3CFB0B1A">
            <w:pPr>
              <w:snapToGrid w:val="0"/>
              <w:jc w:val="center"/>
              <w:rPr>
                <w:rFonts w:ascii="宋体" w:hAnsi="宋体"/>
                <w:color w:val="000000" w:themeColor="text1"/>
                <w:szCs w:val="21"/>
                <w14:textFill>
                  <w14:solidFill>
                    <w14:schemeClr w14:val="tx1"/>
                  </w14:solidFill>
                </w14:textFill>
              </w:rPr>
            </w:pPr>
          </w:p>
        </w:tc>
        <w:tc>
          <w:tcPr>
            <w:tcW w:w="874" w:type="dxa"/>
            <w:vAlign w:val="center"/>
          </w:tcPr>
          <w:p w14:paraId="2D6E8F8C">
            <w:pPr>
              <w:snapToGrid w:val="0"/>
              <w:jc w:val="center"/>
              <w:rPr>
                <w:rFonts w:ascii="宋体" w:hAnsi="宋体"/>
                <w:color w:val="000000" w:themeColor="text1"/>
                <w:szCs w:val="21"/>
                <w14:textFill>
                  <w14:solidFill>
                    <w14:schemeClr w14:val="tx1"/>
                  </w14:solidFill>
                </w14:textFill>
              </w:rPr>
            </w:pPr>
          </w:p>
        </w:tc>
        <w:tc>
          <w:tcPr>
            <w:tcW w:w="1055" w:type="dxa"/>
            <w:vAlign w:val="center"/>
          </w:tcPr>
          <w:p w14:paraId="385AA0E5">
            <w:pPr>
              <w:snapToGrid w:val="0"/>
              <w:jc w:val="center"/>
              <w:rPr>
                <w:rFonts w:ascii="宋体" w:hAnsi="宋体"/>
                <w:color w:val="000000" w:themeColor="text1"/>
                <w:szCs w:val="21"/>
                <w14:textFill>
                  <w14:solidFill>
                    <w14:schemeClr w14:val="tx1"/>
                  </w14:solidFill>
                </w14:textFill>
              </w:rPr>
            </w:pPr>
          </w:p>
        </w:tc>
        <w:tc>
          <w:tcPr>
            <w:tcW w:w="691" w:type="dxa"/>
            <w:vAlign w:val="center"/>
          </w:tcPr>
          <w:p w14:paraId="29E439C8">
            <w:pPr>
              <w:snapToGrid w:val="0"/>
              <w:jc w:val="center"/>
              <w:rPr>
                <w:rFonts w:ascii="宋体" w:hAnsi="宋体"/>
                <w:color w:val="000000" w:themeColor="text1"/>
                <w:szCs w:val="21"/>
                <w14:textFill>
                  <w14:solidFill>
                    <w14:schemeClr w14:val="tx1"/>
                  </w14:solidFill>
                </w14:textFill>
              </w:rPr>
            </w:pPr>
          </w:p>
        </w:tc>
      </w:tr>
      <w:tr w14:paraId="5D6A8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1BE14478">
            <w:pPr>
              <w:snapToGrid w:val="0"/>
              <w:jc w:val="center"/>
              <w:rPr>
                <w:rFonts w:ascii="宋体" w:hAnsi="宋体"/>
                <w:color w:val="000000" w:themeColor="text1"/>
                <w:szCs w:val="21"/>
                <w14:textFill>
                  <w14:solidFill>
                    <w14:schemeClr w14:val="tx1"/>
                  </w14:solidFill>
                </w14:textFill>
              </w:rPr>
            </w:pPr>
          </w:p>
        </w:tc>
        <w:tc>
          <w:tcPr>
            <w:tcW w:w="1674" w:type="dxa"/>
          </w:tcPr>
          <w:p w14:paraId="37FD4D39">
            <w:pPr>
              <w:snapToGrid w:val="0"/>
              <w:jc w:val="center"/>
              <w:rPr>
                <w:rFonts w:ascii="宋体" w:hAnsi="宋体"/>
                <w:color w:val="000000" w:themeColor="text1"/>
                <w:szCs w:val="21"/>
                <w14:textFill>
                  <w14:solidFill>
                    <w14:schemeClr w14:val="tx1"/>
                  </w14:solidFill>
                </w14:textFill>
              </w:rPr>
            </w:pPr>
          </w:p>
        </w:tc>
        <w:tc>
          <w:tcPr>
            <w:tcW w:w="761" w:type="dxa"/>
          </w:tcPr>
          <w:p w14:paraId="12AB7BC5">
            <w:pPr>
              <w:snapToGrid w:val="0"/>
              <w:jc w:val="center"/>
              <w:rPr>
                <w:rFonts w:ascii="宋体" w:hAnsi="宋体"/>
                <w:color w:val="000000" w:themeColor="text1"/>
                <w:szCs w:val="21"/>
                <w14:textFill>
                  <w14:solidFill>
                    <w14:schemeClr w14:val="tx1"/>
                  </w14:solidFill>
                </w14:textFill>
              </w:rPr>
            </w:pPr>
          </w:p>
        </w:tc>
        <w:tc>
          <w:tcPr>
            <w:tcW w:w="990" w:type="dxa"/>
          </w:tcPr>
          <w:p w14:paraId="24EF0F6F">
            <w:pPr>
              <w:snapToGrid w:val="0"/>
              <w:jc w:val="center"/>
              <w:rPr>
                <w:rFonts w:ascii="宋体" w:hAnsi="宋体"/>
                <w:color w:val="000000" w:themeColor="text1"/>
                <w:szCs w:val="21"/>
                <w14:textFill>
                  <w14:solidFill>
                    <w14:schemeClr w14:val="tx1"/>
                  </w14:solidFill>
                </w14:textFill>
              </w:rPr>
            </w:pPr>
          </w:p>
        </w:tc>
        <w:tc>
          <w:tcPr>
            <w:tcW w:w="672" w:type="dxa"/>
          </w:tcPr>
          <w:p w14:paraId="46D4AEBB">
            <w:pPr>
              <w:snapToGrid w:val="0"/>
              <w:jc w:val="center"/>
              <w:rPr>
                <w:rFonts w:ascii="宋体" w:hAnsi="宋体"/>
                <w:color w:val="000000" w:themeColor="text1"/>
                <w:szCs w:val="21"/>
                <w14:textFill>
                  <w14:solidFill>
                    <w14:schemeClr w14:val="tx1"/>
                  </w14:solidFill>
                </w14:textFill>
              </w:rPr>
            </w:pPr>
          </w:p>
        </w:tc>
        <w:tc>
          <w:tcPr>
            <w:tcW w:w="738" w:type="dxa"/>
          </w:tcPr>
          <w:p w14:paraId="63C6F456">
            <w:pPr>
              <w:snapToGrid w:val="0"/>
              <w:jc w:val="center"/>
              <w:rPr>
                <w:rFonts w:ascii="宋体" w:hAnsi="宋体"/>
                <w:color w:val="000000" w:themeColor="text1"/>
                <w:szCs w:val="21"/>
                <w14:textFill>
                  <w14:solidFill>
                    <w14:schemeClr w14:val="tx1"/>
                  </w14:solidFill>
                </w14:textFill>
              </w:rPr>
            </w:pPr>
          </w:p>
        </w:tc>
        <w:tc>
          <w:tcPr>
            <w:tcW w:w="1212" w:type="dxa"/>
          </w:tcPr>
          <w:p w14:paraId="617CF8C4">
            <w:pPr>
              <w:snapToGrid w:val="0"/>
              <w:jc w:val="center"/>
              <w:rPr>
                <w:rFonts w:ascii="宋体" w:hAnsi="宋体"/>
                <w:color w:val="000000" w:themeColor="text1"/>
                <w:szCs w:val="21"/>
                <w14:textFill>
                  <w14:solidFill>
                    <w14:schemeClr w14:val="tx1"/>
                  </w14:solidFill>
                </w14:textFill>
              </w:rPr>
            </w:pPr>
          </w:p>
        </w:tc>
        <w:tc>
          <w:tcPr>
            <w:tcW w:w="874" w:type="dxa"/>
          </w:tcPr>
          <w:p w14:paraId="1B2BBDFB">
            <w:pPr>
              <w:snapToGrid w:val="0"/>
              <w:jc w:val="center"/>
              <w:rPr>
                <w:rFonts w:ascii="宋体" w:hAnsi="宋体"/>
                <w:color w:val="000000" w:themeColor="text1"/>
                <w:szCs w:val="21"/>
                <w14:textFill>
                  <w14:solidFill>
                    <w14:schemeClr w14:val="tx1"/>
                  </w14:solidFill>
                </w14:textFill>
              </w:rPr>
            </w:pPr>
          </w:p>
        </w:tc>
        <w:tc>
          <w:tcPr>
            <w:tcW w:w="1055" w:type="dxa"/>
          </w:tcPr>
          <w:p w14:paraId="79B9DBD3">
            <w:pPr>
              <w:snapToGrid w:val="0"/>
              <w:jc w:val="center"/>
              <w:rPr>
                <w:rFonts w:ascii="宋体" w:hAnsi="宋体"/>
                <w:color w:val="000000" w:themeColor="text1"/>
                <w:szCs w:val="21"/>
                <w14:textFill>
                  <w14:solidFill>
                    <w14:schemeClr w14:val="tx1"/>
                  </w14:solidFill>
                </w14:textFill>
              </w:rPr>
            </w:pPr>
          </w:p>
        </w:tc>
        <w:tc>
          <w:tcPr>
            <w:tcW w:w="691" w:type="dxa"/>
          </w:tcPr>
          <w:p w14:paraId="65A5B0B7">
            <w:pPr>
              <w:snapToGrid w:val="0"/>
              <w:jc w:val="center"/>
              <w:rPr>
                <w:rFonts w:ascii="宋体" w:hAnsi="宋体"/>
                <w:color w:val="000000" w:themeColor="text1"/>
                <w:szCs w:val="21"/>
                <w14:textFill>
                  <w14:solidFill>
                    <w14:schemeClr w14:val="tx1"/>
                  </w14:solidFill>
                </w14:textFill>
              </w:rPr>
            </w:pPr>
          </w:p>
        </w:tc>
      </w:tr>
      <w:tr w14:paraId="5C6739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04582E3E">
            <w:pPr>
              <w:snapToGrid w:val="0"/>
              <w:jc w:val="center"/>
              <w:rPr>
                <w:rFonts w:ascii="宋体" w:hAnsi="宋体"/>
                <w:color w:val="000000" w:themeColor="text1"/>
                <w:szCs w:val="21"/>
                <w14:textFill>
                  <w14:solidFill>
                    <w14:schemeClr w14:val="tx1"/>
                  </w14:solidFill>
                </w14:textFill>
              </w:rPr>
            </w:pPr>
          </w:p>
        </w:tc>
        <w:tc>
          <w:tcPr>
            <w:tcW w:w="1674" w:type="dxa"/>
          </w:tcPr>
          <w:p w14:paraId="36F0089E">
            <w:pPr>
              <w:snapToGrid w:val="0"/>
              <w:jc w:val="center"/>
              <w:rPr>
                <w:rFonts w:ascii="宋体" w:hAnsi="宋体"/>
                <w:color w:val="000000" w:themeColor="text1"/>
                <w:szCs w:val="21"/>
                <w14:textFill>
                  <w14:solidFill>
                    <w14:schemeClr w14:val="tx1"/>
                  </w14:solidFill>
                </w14:textFill>
              </w:rPr>
            </w:pPr>
          </w:p>
        </w:tc>
        <w:tc>
          <w:tcPr>
            <w:tcW w:w="761" w:type="dxa"/>
          </w:tcPr>
          <w:p w14:paraId="61016ED4">
            <w:pPr>
              <w:snapToGrid w:val="0"/>
              <w:jc w:val="center"/>
              <w:rPr>
                <w:rFonts w:ascii="宋体" w:hAnsi="宋体"/>
                <w:color w:val="000000" w:themeColor="text1"/>
                <w:szCs w:val="21"/>
                <w14:textFill>
                  <w14:solidFill>
                    <w14:schemeClr w14:val="tx1"/>
                  </w14:solidFill>
                </w14:textFill>
              </w:rPr>
            </w:pPr>
          </w:p>
        </w:tc>
        <w:tc>
          <w:tcPr>
            <w:tcW w:w="990" w:type="dxa"/>
          </w:tcPr>
          <w:p w14:paraId="6EC15A06">
            <w:pPr>
              <w:snapToGrid w:val="0"/>
              <w:jc w:val="center"/>
              <w:rPr>
                <w:rFonts w:ascii="宋体" w:hAnsi="宋体"/>
                <w:color w:val="000000" w:themeColor="text1"/>
                <w:szCs w:val="21"/>
                <w14:textFill>
                  <w14:solidFill>
                    <w14:schemeClr w14:val="tx1"/>
                  </w14:solidFill>
                </w14:textFill>
              </w:rPr>
            </w:pPr>
          </w:p>
        </w:tc>
        <w:tc>
          <w:tcPr>
            <w:tcW w:w="672" w:type="dxa"/>
          </w:tcPr>
          <w:p w14:paraId="618E8A5D">
            <w:pPr>
              <w:snapToGrid w:val="0"/>
              <w:jc w:val="center"/>
              <w:rPr>
                <w:rFonts w:ascii="宋体" w:hAnsi="宋体"/>
                <w:color w:val="000000" w:themeColor="text1"/>
                <w:szCs w:val="21"/>
                <w14:textFill>
                  <w14:solidFill>
                    <w14:schemeClr w14:val="tx1"/>
                  </w14:solidFill>
                </w14:textFill>
              </w:rPr>
            </w:pPr>
          </w:p>
        </w:tc>
        <w:tc>
          <w:tcPr>
            <w:tcW w:w="738" w:type="dxa"/>
          </w:tcPr>
          <w:p w14:paraId="2567E823">
            <w:pPr>
              <w:snapToGrid w:val="0"/>
              <w:jc w:val="center"/>
              <w:rPr>
                <w:rFonts w:ascii="宋体" w:hAnsi="宋体"/>
                <w:color w:val="000000" w:themeColor="text1"/>
                <w:szCs w:val="21"/>
                <w14:textFill>
                  <w14:solidFill>
                    <w14:schemeClr w14:val="tx1"/>
                  </w14:solidFill>
                </w14:textFill>
              </w:rPr>
            </w:pPr>
          </w:p>
        </w:tc>
        <w:tc>
          <w:tcPr>
            <w:tcW w:w="1212" w:type="dxa"/>
          </w:tcPr>
          <w:p w14:paraId="4BBCD241">
            <w:pPr>
              <w:snapToGrid w:val="0"/>
              <w:jc w:val="center"/>
              <w:rPr>
                <w:rFonts w:ascii="宋体" w:hAnsi="宋体"/>
                <w:color w:val="000000" w:themeColor="text1"/>
                <w:szCs w:val="21"/>
                <w14:textFill>
                  <w14:solidFill>
                    <w14:schemeClr w14:val="tx1"/>
                  </w14:solidFill>
                </w14:textFill>
              </w:rPr>
            </w:pPr>
          </w:p>
        </w:tc>
        <w:tc>
          <w:tcPr>
            <w:tcW w:w="874" w:type="dxa"/>
          </w:tcPr>
          <w:p w14:paraId="0CAD09EF">
            <w:pPr>
              <w:snapToGrid w:val="0"/>
              <w:jc w:val="center"/>
              <w:rPr>
                <w:rFonts w:ascii="宋体" w:hAnsi="宋体"/>
                <w:color w:val="000000" w:themeColor="text1"/>
                <w:szCs w:val="21"/>
                <w14:textFill>
                  <w14:solidFill>
                    <w14:schemeClr w14:val="tx1"/>
                  </w14:solidFill>
                </w14:textFill>
              </w:rPr>
            </w:pPr>
          </w:p>
        </w:tc>
        <w:tc>
          <w:tcPr>
            <w:tcW w:w="1055" w:type="dxa"/>
          </w:tcPr>
          <w:p w14:paraId="67CFC8E0">
            <w:pPr>
              <w:snapToGrid w:val="0"/>
              <w:jc w:val="center"/>
              <w:rPr>
                <w:rFonts w:ascii="宋体" w:hAnsi="宋体"/>
                <w:color w:val="000000" w:themeColor="text1"/>
                <w:szCs w:val="21"/>
                <w14:textFill>
                  <w14:solidFill>
                    <w14:schemeClr w14:val="tx1"/>
                  </w14:solidFill>
                </w14:textFill>
              </w:rPr>
            </w:pPr>
          </w:p>
        </w:tc>
        <w:tc>
          <w:tcPr>
            <w:tcW w:w="691" w:type="dxa"/>
          </w:tcPr>
          <w:p w14:paraId="61F1D4B0">
            <w:pPr>
              <w:snapToGrid w:val="0"/>
              <w:jc w:val="center"/>
              <w:rPr>
                <w:rFonts w:ascii="宋体" w:hAnsi="宋体"/>
                <w:color w:val="000000" w:themeColor="text1"/>
                <w:szCs w:val="21"/>
                <w14:textFill>
                  <w14:solidFill>
                    <w14:schemeClr w14:val="tx1"/>
                  </w14:solidFill>
                </w14:textFill>
              </w:rPr>
            </w:pPr>
          </w:p>
        </w:tc>
      </w:tr>
      <w:tr w14:paraId="73A948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43B379E4">
            <w:pPr>
              <w:snapToGrid w:val="0"/>
              <w:jc w:val="center"/>
              <w:rPr>
                <w:rFonts w:ascii="宋体" w:hAnsi="宋体"/>
                <w:color w:val="000000" w:themeColor="text1"/>
                <w:szCs w:val="21"/>
                <w14:textFill>
                  <w14:solidFill>
                    <w14:schemeClr w14:val="tx1"/>
                  </w14:solidFill>
                </w14:textFill>
              </w:rPr>
            </w:pPr>
          </w:p>
        </w:tc>
        <w:tc>
          <w:tcPr>
            <w:tcW w:w="1674" w:type="dxa"/>
          </w:tcPr>
          <w:p w14:paraId="161F8FAE">
            <w:pPr>
              <w:snapToGrid w:val="0"/>
              <w:jc w:val="center"/>
              <w:rPr>
                <w:rFonts w:ascii="宋体" w:hAnsi="宋体"/>
                <w:color w:val="000000" w:themeColor="text1"/>
                <w:szCs w:val="21"/>
                <w14:textFill>
                  <w14:solidFill>
                    <w14:schemeClr w14:val="tx1"/>
                  </w14:solidFill>
                </w14:textFill>
              </w:rPr>
            </w:pPr>
          </w:p>
        </w:tc>
        <w:tc>
          <w:tcPr>
            <w:tcW w:w="761" w:type="dxa"/>
          </w:tcPr>
          <w:p w14:paraId="3AE6C09A">
            <w:pPr>
              <w:snapToGrid w:val="0"/>
              <w:jc w:val="center"/>
              <w:rPr>
                <w:rFonts w:ascii="宋体" w:hAnsi="宋体"/>
                <w:color w:val="000000" w:themeColor="text1"/>
                <w:szCs w:val="21"/>
                <w14:textFill>
                  <w14:solidFill>
                    <w14:schemeClr w14:val="tx1"/>
                  </w14:solidFill>
                </w14:textFill>
              </w:rPr>
            </w:pPr>
          </w:p>
        </w:tc>
        <w:tc>
          <w:tcPr>
            <w:tcW w:w="990" w:type="dxa"/>
          </w:tcPr>
          <w:p w14:paraId="2801A890">
            <w:pPr>
              <w:snapToGrid w:val="0"/>
              <w:jc w:val="center"/>
              <w:rPr>
                <w:rFonts w:ascii="宋体" w:hAnsi="宋体"/>
                <w:color w:val="000000" w:themeColor="text1"/>
                <w:szCs w:val="21"/>
                <w14:textFill>
                  <w14:solidFill>
                    <w14:schemeClr w14:val="tx1"/>
                  </w14:solidFill>
                </w14:textFill>
              </w:rPr>
            </w:pPr>
          </w:p>
        </w:tc>
        <w:tc>
          <w:tcPr>
            <w:tcW w:w="672" w:type="dxa"/>
          </w:tcPr>
          <w:p w14:paraId="3F79916F">
            <w:pPr>
              <w:snapToGrid w:val="0"/>
              <w:jc w:val="center"/>
              <w:rPr>
                <w:rFonts w:ascii="宋体" w:hAnsi="宋体"/>
                <w:color w:val="000000" w:themeColor="text1"/>
                <w:szCs w:val="21"/>
                <w14:textFill>
                  <w14:solidFill>
                    <w14:schemeClr w14:val="tx1"/>
                  </w14:solidFill>
                </w14:textFill>
              </w:rPr>
            </w:pPr>
          </w:p>
        </w:tc>
        <w:tc>
          <w:tcPr>
            <w:tcW w:w="738" w:type="dxa"/>
          </w:tcPr>
          <w:p w14:paraId="05CF3085">
            <w:pPr>
              <w:snapToGrid w:val="0"/>
              <w:jc w:val="center"/>
              <w:rPr>
                <w:rFonts w:ascii="宋体" w:hAnsi="宋体"/>
                <w:color w:val="000000" w:themeColor="text1"/>
                <w:szCs w:val="21"/>
                <w14:textFill>
                  <w14:solidFill>
                    <w14:schemeClr w14:val="tx1"/>
                  </w14:solidFill>
                </w14:textFill>
              </w:rPr>
            </w:pPr>
          </w:p>
        </w:tc>
        <w:tc>
          <w:tcPr>
            <w:tcW w:w="1212" w:type="dxa"/>
          </w:tcPr>
          <w:p w14:paraId="7F741FA1">
            <w:pPr>
              <w:snapToGrid w:val="0"/>
              <w:jc w:val="center"/>
              <w:rPr>
                <w:rFonts w:ascii="宋体" w:hAnsi="宋体"/>
                <w:color w:val="000000" w:themeColor="text1"/>
                <w:szCs w:val="21"/>
                <w14:textFill>
                  <w14:solidFill>
                    <w14:schemeClr w14:val="tx1"/>
                  </w14:solidFill>
                </w14:textFill>
              </w:rPr>
            </w:pPr>
          </w:p>
        </w:tc>
        <w:tc>
          <w:tcPr>
            <w:tcW w:w="874" w:type="dxa"/>
          </w:tcPr>
          <w:p w14:paraId="62805D2E">
            <w:pPr>
              <w:snapToGrid w:val="0"/>
              <w:jc w:val="center"/>
              <w:rPr>
                <w:rFonts w:ascii="宋体" w:hAnsi="宋体"/>
                <w:color w:val="000000" w:themeColor="text1"/>
                <w:szCs w:val="21"/>
                <w14:textFill>
                  <w14:solidFill>
                    <w14:schemeClr w14:val="tx1"/>
                  </w14:solidFill>
                </w14:textFill>
              </w:rPr>
            </w:pPr>
          </w:p>
        </w:tc>
        <w:tc>
          <w:tcPr>
            <w:tcW w:w="1055" w:type="dxa"/>
          </w:tcPr>
          <w:p w14:paraId="53D212E3">
            <w:pPr>
              <w:snapToGrid w:val="0"/>
              <w:jc w:val="center"/>
              <w:rPr>
                <w:rFonts w:ascii="宋体" w:hAnsi="宋体"/>
                <w:color w:val="000000" w:themeColor="text1"/>
                <w:szCs w:val="21"/>
                <w14:textFill>
                  <w14:solidFill>
                    <w14:schemeClr w14:val="tx1"/>
                  </w14:solidFill>
                </w14:textFill>
              </w:rPr>
            </w:pPr>
          </w:p>
        </w:tc>
        <w:tc>
          <w:tcPr>
            <w:tcW w:w="691" w:type="dxa"/>
          </w:tcPr>
          <w:p w14:paraId="15F933FE">
            <w:pPr>
              <w:snapToGrid w:val="0"/>
              <w:jc w:val="center"/>
              <w:rPr>
                <w:rFonts w:ascii="宋体" w:hAnsi="宋体"/>
                <w:color w:val="000000" w:themeColor="text1"/>
                <w:szCs w:val="21"/>
                <w14:textFill>
                  <w14:solidFill>
                    <w14:schemeClr w14:val="tx1"/>
                  </w14:solidFill>
                </w14:textFill>
              </w:rPr>
            </w:pPr>
          </w:p>
        </w:tc>
      </w:tr>
      <w:tr w14:paraId="59B50C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3D4CAB30">
            <w:pPr>
              <w:snapToGrid w:val="0"/>
              <w:jc w:val="center"/>
              <w:rPr>
                <w:rFonts w:ascii="宋体" w:hAnsi="宋体"/>
                <w:color w:val="000000" w:themeColor="text1"/>
                <w:szCs w:val="21"/>
                <w14:textFill>
                  <w14:solidFill>
                    <w14:schemeClr w14:val="tx1"/>
                  </w14:solidFill>
                </w14:textFill>
              </w:rPr>
            </w:pPr>
          </w:p>
        </w:tc>
        <w:tc>
          <w:tcPr>
            <w:tcW w:w="1674" w:type="dxa"/>
          </w:tcPr>
          <w:p w14:paraId="747B54AF">
            <w:pPr>
              <w:snapToGrid w:val="0"/>
              <w:jc w:val="center"/>
              <w:rPr>
                <w:rFonts w:ascii="宋体" w:hAnsi="宋体"/>
                <w:color w:val="000000" w:themeColor="text1"/>
                <w:szCs w:val="21"/>
                <w14:textFill>
                  <w14:solidFill>
                    <w14:schemeClr w14:val="tx1"/>
                  </w14:solidFill>
                </w14:textFill>
              </w:rPr>
            </w:pPr>
          </w:p>
        </w:tc>
        <w:tc>
          <w:tcPr>
            <w:tcW w:w="761" w:type="dxa"/>
          </w:tcPr>
          <w:p w14:paraId="68BF979B">
            <w:pPr>
              <w:snapToGrid w:val="0"/>
              <w:jc w:val="center"/>
              <w:rPr>
                <w:rFonts w:ascii="宋体" w:hAnsi="宋体"/>
                <w:color w:val="000000" w:themeColor="text1"/>
                <w:szCs w:val="21"/>
                <w14:textFill>
                  <w14:solidFill>
                    <w14:schemeClr w14:val="tx1"/>
                  </w14:solidFill>
                </w14:textFill>
              </w:rPr>
            </w:pPr>
          </w:p>
        </w:tc>
        <w:tc>
          <w:tcPr>
            <w:tcW w:w="990" w:type="dxa"/>
          </w:tcPr>
          <w:p w14:paraId="06ED983D">
            <w:pPr>
              <w:snapToGrid w:val="0"/>
              <w:jc w:val="center"/>
              <w:rPr>
                <w:rFonts w:ascii="宋体" w:hAnsi="宋体"/>
                <w:color w:val="000000" w:themeColor="text1"/>
                <w:szCs w:val="21"/>
                <w14:textFill>
                  <w14:solidFill>
                    <w14:schemeClr w14:val="tx1"/>
                  </w14:solidFill>
                </w14:textFill>
              </w:rPr>
            </w:pPr>
          </w:p>
        </w:tc>
        <w:tc>
          <w:tcPr>
            <w:tcW w:w="672" w:type="dxa"/>
          </w:tcPr>
          <w:p w14:paraId="2F528871">
            <w:pPr>
              <w:snapToGrid w:val="0"/>
              <w:jc w:val="center"/>
              <w:rPr>
                <w:rFonts w:ascii="宋体" w:hAnsi="宋体"/>
                <w:color w:val="000000" w:themeColor="text1"/>
                <w:szCs w:val="21"/>
                <w14:textFill>
                  <w14:solidFill>
                    <w14:schemeClr w14:val="tx1"/>
                  </w14:solidFill>
                </w14:textFill>
              </w:rPr>
            </w:pPr>
          </w:p>
        </w:tc>
        <w:tc>
          <w:tcPr>
            <w:tcW w:w="738" w:type="dxa"/>
          </w:tcPr>
          <w:p w14:paraId="2976D938">
            <w:pPr>
              <w:snapToGrid w:val="0"/>
              <w:jc w:val="center"/>
              <w:rPr>
                <w:rFonts w:ascii="宋体" w:hAnsi="宋体"/>
                <w:color w:val="000000" w:themeColor="text1"/>
                <w:szCs w:val="21"/>
                <w14:textFill>
                  <w14:solidFill>
                    <w14:schemeClr w14:val="tx1"/>
                  </w14:solidFill>
                </w14:textFill>
              </w:rPr>
            </w:pPr>
          </w:p>
        </w:tc>
        <w:tc>
          <w:tcPr>
            <w:tcW w:w="1212" w:type="dxa"/>
          </w:tcPr>
          <w:p w14:paraId="510D1456">
            <w:pPr>
              <w:snapToGrid w:val="0"/>
              <w:jc w:val="center"/>
              <w:rPr>
                <w:rFonts w:ascii="宋体" w:hAnsi="宋体"/>
                <w:color w:val="000000" w:themeColor="text1"/>
                <w:szCs w:val="21"/>
                <w14:textFill>
                  <w14:solidFill>
                    <w14:schemeClr w14:val="tx1"/>
                  </w14:solidFill>
                </w14:textFill>
              </w:rPr>
            </w:pPr>
          </w:p>
        </w:tc>
        <w:tc>
          <w:tcPr>
            <w:tcW w:w="874" w:type="dxa"/>
          </w:tcPr>
          <w:p w14:paraId="0166A530">
            <w:pPr>
              <w:snapToGrid w:val="0"/>
              <w:jc w:val="center"/>
              <w:rPr>
                <w:rFonts w:ascii="宋体" w:hAnsi="宋体"/>
                <w:color w:val="000000" w:themeColor="text1"/>
                <w:szCs w:val="21"/>
                <w14:textFill>
                  <w14:solidFill>
                    <w14:schemeClr w14:val="tx1"/>
                  </w14:solidFill>
                </w14:textFill>
              </w:rPr>
            </w:pPr>
          </w:p>
        </w:tc>
        <w:tc>
          <w:tcPr>
            <w:tcW w:w="1055" w:type="dxa"/>
          </w:tcPr>
          <w:p w14:paraId="56F3294A">
            <w:pPr>
              <w:snapToGrid w:val="0"/>
              <w:jc w:val="center"/>
              <w:rPr>
                <w:rFonts w:ascii="宋体" w:hAnsi="宋体"/>
                <w:color w:val="000000" w:themeColor="text1"/>
                <w:szCs w:val="21"/>
                <w14:textFill>
                  <w14:solidFill>
                    <w14:schemeClr w14:val="tx1"/>
                  </w14:solidFill>
                </w14:textFill>
              </w:rPr>
            </w:pPr>
          </w:p>
        </w:tc>
        <w:tc>
          <w:tcPr>
            <w:tcW w:w="691" w:type="dxa"/>
          </w:tcPr>
          <w:p w14:paraId="0D013855">
            <w:pPr>
              <w:snapToGrid w:val="0"/>
              <w:jc w:val="center"/>
              <w:rPr>
                <w:rFonts w:ascii="宋体" w:hAnsi="宋体"/>
                <w:color w:val="000000" w:themeColor="text1"/>
                <w:szCs w:val="21"/>
                <w14:textFill>
                  <w14:solidFill>
                    <w14:schemeClr w14:val="tx1"/>
                  </w14:solidFill>
                </w14:textFill>
              </w:rPr>
            </w:pPr>
          </w:p>
        </w:tc>
      </w:tr>
      <w:tr w14:paraId="6349D9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232426DA">
            <w:pPr>
              <w:snapToGrid w:val="0"/>
              <w:jc w:val="center"/>
              <w:rPr>
                <w:rFonts w:ascii="宋体" w:hAnsi="宋体"/>
                <w:color w:val="000000" w:themeColor="text1"/>
                <w:szCs w:val="21"/>
                <w14:textFill>
                  <w14:solidFill>
                    <w14:schemeClr w14:val="tx1"/>
                  </w14:solidFill>
                </w14:textFill>
              </w:rPr>
            </w:pPr>
          </w:p>
        </w:tc>
        <w:tc>
          <w:tcPr>
            <w:tcW w:w="1674" w:type="dxa"/>
          </w:tcPr>
          <w:p w14:paraId="27870476">
            <w:pPr>
              <w:snapToGrid w:val="0"/>
              <w:jc w:val="center"/>
              <w:rPr>
                <w:rFonts w:ascii="宋体" w:hAnsi="宋体"/>
                <w:color w:val="000000" w:themeColor="text1"/>
                <w:szCs w:val="21"/>
                <w14:textFill>
                  <w14:solidFill>
                    <w14:schemeClr w14:val="tx1"/>
                  </w14:solidFill>
                </w14:textFill>
              </w:rPr>
            </w:pPr>
          </w:p>
        </w:tc>
        <w:tc>
          <w:tcPr>
            <w:tcW w:w="761" w:type="dxa"/>
          </w:tcPr>
          <w:p w14:paraId="06323113">
            <w:pPr>
              <w:snapToGrid w:val="0"/>
              <w:jc w:val="center"/>
              <w:rPr>
                <w:rFonts w:ascii="宋体" w:hAnsi="宋体"/>
                <w:color w:val="000000" w:themeColor="text1"/>
                <w:szCs w:val="21"/>
                <w14:textFill>
                  <w14:solidFill>
                    <w14:schemeClr w14:val="tx1"/>
                  </w14:solidFill>
                </w14:textFill>
              </w:rPr>
            </w:pPr>
          </w:p>
        </w:tc>
        <w:tc>
          <w:tcPr>
            <w:tcW w:w="990" w:type="dxa"/>
          </w:tcPr>
          <w:p w14:paraId="63174E2A">
            <w:pPr>
              <w:snapToGrid w:val="0"/>
              <w:jc w:val="center"/>
              <w:rPr>
                <w:rFonts w:ascii="宋体" w:hAnsi="宋体"/>
                <w:color w:val="000000" w:themeColor="text1"/>
                <w:szCs w:val="21"/>
                <w14:textFill>
                  <w14:solidFill>
                    <w14:schemeClr w14:val="tx1"/>
                  </w14:solidFill>
                </w14:textFill>
              </w:rPr>
            </w:pPr>
          </w:p>
        </w:tc>
        <w:tc>
          <w:tcPr>
            <w:tcW w:w="672" w:type="dxa"/>
          </w:tcPr>
          <w:p w14:paraId="426B6446">
            <w:pPr>
              <w:snapToGrid w:val="0"/>
              <w:jc w:val="center"/>
              <w:rPr>
                <w:rFonts w:ascii="宋体" w:hAnsi="宋体"/>
                <w:color w:val="000000" w:themeColor="text1"/>
                <w:szCs w:val="21"/>
                <w14:textFill>
                  <w14:solidFill>
                    <w14:schemeClr w14:val="tx1"/>
                  </w14:solidFill>
                </w14:textFill>
              </w:rPr>
            </w:pPr>
          </w:p>
        </w:tc>
        <w:tc>
          <w:tcPr>
            <w:tcW w:w="738" w:type="dxa"/>
          </w:tcPr>
          <w:p w14:paraId="3A108EEB">
            <w:pPr>
              <w:snapToGrid w:val="0"/>
              <w:jc w:val="center"/>
              <w:rPr>
                <w:rFonts w:ascii="宋体" w:hAnsi="宋体"/>
                <w:color w:val="000000" w:themeColor="text1"/>
                <w:szCs w:val="21"/>
                <w14:textFill>
                  <w14:solidFill>
                    <w14:schemeClr w14:val="tx1"/>
                  </w14:solidFill>
                </w14:textFill>
              </w:rPr>
            </w:pPr>
          </w:p>
        </w:tc>
        <w:tc>
          <w:tcPr>
            <w:tcW w:w="1212" w:type="dxa"/>
          </w:tcPr>
          <w:p w14:paraId="49EB9B97">
            <w:pPr>
              <w:snapToGrid w:val="0"/>
              <w:jc w:val="center"/>
              <w:rPr>
                <w:rFonts w:ascii="宋体" w:hAnsi="宋体"/>
                <w:color w:val="000000" w:themeColor="text1"/>
                <w:szCs w:val="21"/>
                <w14:textFill>
                  <w14:solidFill>
                    <w14:schemeClr w14:val="tx1"/>
                  </w14:solidFill>
                </w14:textFill>
              </w:rPr>
            </w:pPr>
          </w:p>
        </w:tc>
        <w:tc>
          <w:tcPr>
            <w:tcW w:w="874" w:type="dxa"/>
          </w:tcPr>
          <w:p w14:paraId="6BDDC607">
            <w:pPr>
              <w:snapToGrid w:val="0"/>
              <w:jc w:val="center"/>
              <w:rPr>
                <w:rFonts w:ascii="宋体" w:hAnsi="宋体"/>
                <w:color w:val="000000" w:themeColor="text1"/>
                <w:szCs w:val="21"/>
                <w14:textFill>
                  <w14:solidFill>
                    <w14:schemeClr w14:val="tx1"/>
                  </w14:solidFill>
                </w14:textFill>
              </w:rPr>
            </w:pPr>
          </w:p>
        </w:tc>
        <w:tc>
          <w:tcPr>
            <w:tcW w:w="1055" w:type="dxa"/>
          </w:tcPr>
          <w:p w14:paraId="45CCF3B8">
            <w:pPr>
              <w:snapToGrid w:val="0"/>
              <w:jc w:val="center"/>
              <w:rPr>
                <w:rFonts w:ascii="宋体" w:hAnsi="宋体"/>
                <w:color w:val="000000" w:themeColor="text1"/>
                <w:szCs w:val="21"/>
                <w14:textFill>
                  <w14:solidFill>
                    <w14:schemeClr w14:val="tx1"/>
                  </w14:solidFill>
                </w14:textFill>
              </w:rPr>
            </w:pPr>
          </w:p>
        </w:tc>
        <w:tc>
          <w:tcPr>
            <w:tcW w:w="691" w:type="dxa"/>
          </w:tcPr>
          <w:p w14:paraId="1AA3C259">
            <w:pPr>
              <w:snapToGrid w:val="0"/>
              <w:jc w:val="center"/>
              <w:rPr>
                <w:rFonts w:ascii="宋体" w:hAnsi="宋体"/>
                <w:color w:val="000000" w:themeColor="text1"/>
                <w:szCs w:val="21"/>
                <w14:textFill>
                  <w14:solidFill>
                    <w14:schemeClr w14:val="tx1"/>
                  </w14:solidFill>
                </w14:textFill>
              </w:rPr>
            </w:pPr>
          </w:p>
        </w:tc>
      </w:tr>
      <w:tr w14:paraId="531733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0EB670F1">
            <w:pPr>
              <w:snapToGrid w:val="0"/>
              <w:jc w:val="center"/>
              <w:rPr>
                <w:rFonts w:ascii="宋体" w:hAnsi="宋体"/>
                <w:color w:val="000000" w:themeColor="text1"/>
                <w:szCs w:val="21"/>
                <w14:textFill>
                  <w14:solidFill>
                    <w14:schemeClr w14:val="tx1"/>
                  </w14:solidFill>
                </w14:textFill>
              </w:rPr>
            </w:pPr>
          </w:p>
        </w:tc>
        <w:tc>
          <w:tcPr>
            <w:tcW w:w="1674" w:type="dxa"/>
          </w:tcPr>
          <w:p w14:paraId="7ACFBF49">
            <w:pPr>
              <w:snapToGrid w:val="0"/>
              <w:jc w:val="center"/>
              <w:rPr>
                <w:rFonts w:ascii="宋体" w:hAnsi="宋体"/>
                <w:color w:val="000000" w:themeColor="text1"/>
                <w:szCs w:val="21"/>
                <w14:textFill>
                  <w14:solidFill>
                    <w14:schemeClr w14:val="tx1"/>
                  </w14:solidFill>
                </w14:textFill>
              </w:rPr>
            </w:pPr>
          </w:p>
        </w:tc>
        <w:tc>
          <w:tcPr>
            <w:tcW w:w="761" w:type="dxa"/>
          </w:tcPr>
          <w:p w14:paraId="1A041BD3">
            <w:pPr>
              <w:snapToGrid w:val="0"/>
              <w:jc w:val="center"/>
              <w:rPr>
                <w:rFonts w:ascii="宋体" w:hAnsi="宋体"/>
                <w:color w:val="000000" w:themeColor="text1"/>
                <w:szCs w:val="21"/>
                <w14:textFill>
                  <w14:solidFill>
                    <w14:schemeClr w14:val="tx1"/>
                  </w14:solidFill>
                </w14:textFill>
              </w:rPr>
            </w:pPr>
          </w:p>
        </w:tc>
        <w:tc>
          <w:tcPr>
            <w:tcW w:w="990" w:type="dxa"/>
          </w:tcPr>
          <w:p w14:paraId="564141E8">
            <w:pPr>
              <w:snapToGrid w:val="0"/>
              <w:jc w:val="center"/>
              <w:rPr>
                <w:rFonts w:ascii="宋体" w:hAnsi="宋体"/>
                <w:color w:val="000000" w:themeColor="text1"/>
                <w:szCs w:val="21"/>
                <w14:textFill>
                  <w14:solidFill>
                    <w14:schemeClr w14:val="tx1"/>
                  </w14:solidFill>
                </w14:textFill>
              </w:rPr>
            </w:pPr>
          </w:p>
        </w:tc>
        <w:tc>
          <w:tcPr>
            <w:tcW w:w="672" w:type="dxa"/>
          </w:tcPr>
          <w:p w14:paraId="6D5A7CC5">
            <w:pPr>
              <w:snapToGrid w:val="0"/>
              <w:jc w:val="center"/>
              <w:rPr>
                <w:rFonts w:ascii="宋体" w:hAnsi="宋体"/>
                <w:color w:val="000000" w:themeColor="text1"/>
                <w:szCs w:val="21"/>
                <w14:textFill>
                  <w14:solidFill>
                    <w14:schemeClr w14:val="tx1"/>
                  </w14:solidFill>
                </w14:textFill>
              </w:rPr>
            </w:pPr>
          </w:p>
        </w:tc>
        <w:tc>
          <w:tcPr>
            <w:tcW w:w="738" w:type="dxa"/>
          </w:tcPr>
          <w:p w14:paraId="695D0277">
            <w:pPr>
              <w:snapToGrid w:val="0"/>
              <w:jc w:val="center"/>
              <w:rPr>
                <w:rFonts w:ascii="宋体" w:hAnsi="宋体"/>
                <w:color w:val="000000" w:themeColor="text1"/>
                <w:szCs w:val="21"/>
                <w14:textFill>
                  <w14:solidFill>
                    <w14:schemeClr w14:val="tx1"/>
                  </w14:solidFill>
                </w14:textFill>
              </w:rPr>
            </w:pPr>
          </w:p>
        </w:tc>
        <w:tc>
          <w:tcPr>
            <w:tcW w:w="1212" w:type="dxa"/>
          </w:tcPr>
          <w:p w14:paraId="774B5326">
            <w:pPr>
              <w:snapToGrid w:val="0"/>
              <w:jc w:val="center"/>
              <w:rPr>
                <w:rFonts w:ascii="宋体" w:hAnsi="宋体"/>
                <w:color w:val="000000" w:themeColor="text1"/>
                <w:szCs w:val="21"/>
                <w14:textFill>
                  <w14:solidFill>
                    <w14:schemeClr w14:val="tx1"/>
                  </w14:solidFill>
                </w14:textFill>
              </w:rPr>
            </w:pPr>
          </w:p>
        </w:tc>
        <w:tc>
          <w:tcPr>
            <w:tcW w:w="874" w:type="dxa"/>
          </w:tcPr>
          <w:p w14:paraId="5F4162DB">
            <w:pPr>
              <w:snapToGrid w:val="0"/>
              <w:jc w:val="center"/>
              <w:rPr>
                <w:rFonts w:ascii="宋体" w:hAnsi="宋体"/>
                <w:color w:val="000000" w:themeColor="text1"/>
                <w:szCs w:val="21"/>
                <w14:textFill>
                  <w14:solidFill>
                    <w14:schemeClr w14:val="tx1"/>
                  </w14:solidFill>
                </w14:textFill>
              </w:rPr>
            </w:pPr>
          </w:p>
        </w:tc>
        <w:tc>
          <w:tcPr>
            <w:tcW w:w="1055" w:type="dxa"/>
          </w:tcPr>
          <w:p w14:paraId="4A2266E8">
            <w:pPr>
              <w:snapToGrid w:val="0"/>
              <w:jc w:val="center"/>
              <w:rPr>
                <w:rFonts w:ascii="宋体" w:hAnsi="宋体"/>
                <w:color w:val="000000" w:themeColor="text1"/>
                <w:szCs w:val="21"/>
                <w14:textFill>
                  <w14:solidFill>
                    <w14:schemeClr w14:val="tx1"/>
                  </w14:solidFill>
                </w14:textFill>
              </w:rPr>
            </w:pPr>
          </w:p>
        </w:tc>
        <w:tc>
          <w:tcPr>
            <w:tcW w:w="691" w:type="dxa"/>
          </w:tcPr>
          <w:p w14:paraId="30EF2D4F">
            <w:pPr>
              <w:snapToGrid w:val="0"/>
              <w:jc w:val="center"/>
              <w:rPr>
                <w:rFonts w:ascii="宋体" w:hAnsi="宋体"/>
                <w:color w:val="000000" w:themeColor="text1"/>
                <w:szCs w:val="21"/>
                <w14:textFill>
                  <w14:solidFill>
                    <w14:schemeClr w14:val="tx1"/>
                  </w14:solidFill>
                </w14:textFill>
              </w:rPr>
            </w:pPr>
          </w:p>
        </w:tc>
      </w:tr>
      <w:tr w14:paraId="7FC302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65BBF4DF">
            <w:pPr>
              <w:snapToGrid w:val="0"/>
              <w:jc w:val="center"/>
              <w:rPr>
                <w:rFonts w:ascii="宋体" w:hAnsi="宋体"/>
                <w:color w:val="000000" w:themeColor="text1"/>
                <w:szCs w:val="21"/>
                <w14:textFill>
                  <w14:solidFill>
                    <w14:schemeClr w14:val="tx1"/>
                  </w14:solidFill>
                </w14:textFill>
              </w:rPr>
            </w:pPr>
          </w:p>
        </w:tc>
        <w:tc>
          <w:tcPr>
            <w:tcW w:w="1674" w:type="dxa"/>
          </w:tcPr>
          <w:p w14:paraId="354FFE98">
            <w:pPr>
              <w:snapToGrid w:val="0"/>
              <w:jc w:val="center"/>
              <w:rPr>
                <w:rFonts w:ascii="宋体" w:hAnsi="宋体"/>
                <w:color w:val="000000" w:themeColor="text1"/>
                <w:szCs w:val="21"/>
                <w14:textFill>
                  <w14:solidFill>
                    <w14:schemeClr w14:val="tx1"/>
                  </w14:solidFill>
                </w14:textFill>
              </w:rPr>
            </w:pPr>
          </w:p>
        </w:tc>
        <w:tc>
          <w:tcPr>
            <w:tcW w:w="761" w:type="dxa"/>
          </w:tcPr>
          <w:p w14:paraId="6884948C">
            <w:pPr>
              <w:snapToGrid w:val="0"/>
              <w:jc w:val="center"/>
              <w:rPr>
                <w:rFonts w:ascii="宋体" w:hAnsi="宋体"/>
                <w:color w:val="000000" w:themeColor="text1"/>
                <w:szCs w:val="21"/>
                <w14:textFill>
                  <w14:solidFill>
                    <w14:schemeClr w14:val="tx1"/>
                  </w14:solidFill>
                </w14:textFill>
              </w:rPr>
            </w:pPr>
          </w:p>
        </w:tc>
        <w:tc>
          <w:tcPr>
            <w:tcW w:w="990" w:type="dxa"/>
          </w:tcPr>
          <w:p w14:paraId="309D492F">
            <w:pPr>
              <w:snapToGrid w:val="0"/>
              <w:jc w:val="center"/>
              <w:rPr>
                <w:rFonts w:ascii="宋体" w:hAnsi="宋体"/>
                <w:color w:val="000000" w:themeColor="text1"/>
                <w:szCs w:val="21"/>
                <w14:textFill>
                  <w14:solidFill>
                    <w14:schemeClr w14:val="tx1"/>
                  </w14:solidFill>
                </w14:textFill>
              </w:rPr>
            </w:pPr>
          </w:p>
        </w:tc>
        <w:tc>
          <w:tcPr>
            <w:tcW w:w="672" w:type="dxa"/>
          </w:tcPr>
          <w:p w14:paraId="41E2D55A">
            <w:pPr>
              <w:snapToGrid w:val="0"/>
              <w:jc w:val="center"/>
              <w:rPr>
                <w:rFonts w:ascii="宋体" w:hAnsi="宋体"/>
                <w:color w:val="000000" w:themeColor="text1"/>
                <w:szCs w:val="21"/>
                <w14:textFill>
                  <w14:solidFill>
                    <w14:schemeClr w14:val="tx1"/>
                  </w14:solidFill>
                </w14:textFill>
              </w:rPr>
            </w:pPr>
          </w:p>
        </w:tc>
        <w:tc>
          <w:tcPr>
            <w:tcW w:w="738" w:type="dxa"/>
          </w:tcPr>
          <w:p w14:paraId="5E8F663B">
            <w:pPr>
              <w:snapToGrid w:val="0"/>
              <w:jc w:val="center"/>
              <w:rPr>
                <w:rFonts w:ascii="宋体" w:hAnsi="宋体"/>
                <w:color w:val="000000" w:themeColor="text1"/>
                <w:szCs w:val="21"/>
                <w14:textFill>
                  <w14:solidFill>
                    <w14:schemeClr w14:val="tx1"/>
                  </w14:solidFill>
                </w14:textFill>
              </w:rPr>
            </w:pPr>
          </w:p>
        </w:tc>
        <w:tc>
          <w:tcPr>
            <w:tcW w:w="1212" w:type="dxa"/>
          </w:tcPr>
          <w:p w14:paraId="292B28D8">
            <w:pPr>
              <w:snapToGrid w:val="0"/>
              <w:jc w:val="center"/>
              <w:rPr>
                <w:rFonts w:ascii="宋体" w:hAnsi="宋体"/>
                <w:color w:val="000000" w:themeColor="text1"/>
                <w:szCs w:val="21"/>
                <w14:textFill>
                  <w14:solidFill>
                    <w14:schemeClr w14:val="tx1"/>
                  </w14:solidFill>
                </w14:textFill>
              </w:rPr>
            </w:pPr>
          </w:p>
        </w:tc>
        <w:tc>
          <w:tcPr>
            <w:tcW w:w="874" w:type="dxa"/>
          </w:tcPr>
          <w:p w14:paraId="4E5E2AEE">
            <w:pPr>
              <w:snapToGrid w:val="0"/>
              <w:jc w:val="center"/>
              <w:rPr>
                <w:rFonts w:ascii="宋体" w:hAnsi="宋体"/>
                <w:color w:val="000000" w:themeColor="text1"/>
                <w:szCs w:val="21"/>
                <w14:textFill>
                  <w14:solidFill>
                    <w14:schemeClr w14:val="tx1"/>
                  </w14:solidFill>
                </w14:textFill>
              </w:rPr>
            </w:pPr>
          </w:p>
        </w:tc>
        <w:tc>
          <w:tcPr>
            <w:tcW w:w="1055" w:type="dxa"/>
          </w:tcPr>
          <w:p w14:paraId="2FF90280">
            <w:pPr>
              <w:snapToGrid w:val="0"/>
              <w:jc w:val="center"/>
              <w:rPr>
                <w:rFonts w:ascii="宋体" w:hAnsi="宋体"/>
                <w:color w:val="000000" w:themeColor="text1"/>
                <w:szCs w:val="21"/>
                <w14:textFill>
                  <w14:solidFill>
                    <w14:schemeClr w14:val="tx1"/>
                  </w14:solidFill>
                </w14:textFill>
              </w:rPr>
            </w:pPr>
          </w:p>
        </w:tc>
        <w:tc>
          <w:tcPr>
            <w:tcW w:w="691" w:type="dxa"/>
          </w:tcPr>
          <w:p w14:paraId="04876C7A">
            <w:pPr>
              <w:snapToGrid w:val="0"/>
              <w:jc w:val="center"/>
              <w:rPr>
                <w:rFonts w:ascii="宋体" w:hAnsi="宋体"/>
                <w:color w:val="000000" w:themeColor="text1"/>
                <w:szCs w:val="21"/>
                <w14:textFill>
                  <w14:solidFill>
                    <w14:schemeClr w14:val="tx1"/>
                  </w14:solidFill>
                </w14:textFill>
              </w:rPr>
            </w:pPr>
          </w:p>
        </w:tc>
      </w:tr>
      <w:tr w14:paraId="569F9B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289A5557">
            <w:pPr>
              <w:snapToGrid w:val="0"/>
              <w:jc w:val="center"/>
              <w:rPr>
                <w:rFonts w:ascii="宋体" w:hAnsi="宋体"/>
                <w:color w:val="000000" w:themeColor="text1"/>
                <w:szCs w:val="21"/>
                <w14:textFill>
                  <w14:solidFill>
                    <w14:schemeClr w14:val="tx1"/>
                  </w14:solidFill>
                </w14:textFill>
              </w:rPr>
            </w:pPr>
          </w:p>
        </w:tc>
        <w:tc>
          <w:tcPr>
            <w:tcW w:w="1674" w:type="dxa"/>
          </w:tcPr>
          <w:p w14:paraId="29FD33A2">
            <w:pPr>
              <w:snapToGrid w:val="0"/>
              <w:jc w:val="center"/>
              <w:rPr>
                <w:rFonts w:ascii="宋体" w:hAnsi="宋体"/>
                <w:color w:val="000000" w:themeColor="text1"/>
                <w:szCs w:val="21"/>
                <w14:textFill>
                  <w14:solidFill>
                    <w14:schemeClr w14:val="tx1"/>
                  </w14:solidFill>
                </w14:textFill>
              </w:rPr>
            </w:pPr>
          </w:p>
        </w:tc>
        <w:tc>
          <w:tcPr>
            <w:tcW w:w="761" w:type="dxa"/>
          </w:tcPr>
          <w:p w14:paraId="391843AD">
            <w:pPr>
              <w:snapToGrid w:val="0"/>
              <w:jc w:val="center"/>
              <w:rPr>
                <w:rFonts w:ascii="宋体" w:hAnsi="宋体"/>
                <w:color w:val="000000" w:themeColor="text1"/>
                <w:szCs w:val="21"/>
                <w14:textFill>
                  <w14:solidFill>
                    <w14:schemeClr w14:val="tx1"/>
                  </w14:solidFill>
                </w14:textFill>
              </w:rPr>
            </w:pPr>
          </w:p>
        </w:tc>
        <w:tc>
          <w:tcPr>
            <w:tcW w:w="990" w:type="dxa"/>
          </w:tcPr>
          <w:p w14:paraId="25863A67">
            <w:pPr>
              <w:snapToGrid w:val="0"/>
              <w:jc w:val="center"/>
              <w:rPr>
                <w:rFonts w:ascii="宋体" w:hAnsi="宋体"/>
                <w:color w:val="000000" w:themeColor="text1"/>
                <w:szCs w:val="21"/>
                <w14:textFill>
                  <w14:solidFill>
                    <w14:schemeClr w14:val="tx1"/>
                  </w14:solidFill>
                </w14:textFill>
              </w:rPr>
            </w:pPr>
          </w:p>
        </w:tc>
        <w:tc>
          <w:tcPr>
            <w:tcW w:w="672" w:type="dxa"/>
          </w:tcPr>
          <w:p w14:paraId="3510D71B">
            <w:pPr>
              <w:snapToGrid w:val="0"/>
              <w:jc w:val="center"/>
              <w:rPr>
                <w:rFonts w:ascii="宋体" w:hAnsi="宋体"/>
                <w:color w:val="000000" w:themeColor="text1"/>
                <w:szCs w:val="21"/>
                <w14:textFill>
                  <w14:solidFill>
                    <w14:schemeClr w14:val="tx1"/>
                  </w14:solidFill>
                </w14:textFill>
              </w:rPr>
            </w:pPr>
          </w:p>
        </w:tc>
        <w:tc>
          <w:tcPr>
            <w:tcW w:w="738" w:type="dxa"/>
          </w:tcPr>
          <w:p w14:paraId="1B9F8ACF">
            <w:pPr>
              <w:snapToGrid w:val="0"/>
              <w:jc w:val="center"/>
              <w:rPr>
                <w:rFonts w:ascii="宋体" w:hAnsi="宋体"/>
                <w:color w:val="000000" w:themeColor="text1"/>
                <w:szCs w:val="21"/>
                <w14:textFill>
                  <w14:solidFill>
                    <w14:schemeClr w14:val="tx1"/>
                  </w14:solidFill>
                </w14:textFill>
              </w:rPr>
            </w:pPr>
          </w:p>
        </w:tc>
        <w:tc>
          <w:tcPr>
            <w:tcW w:w="1212" w:type="dxa"/>
          </w:tcPr>
          <w:p w14:paraId="663305AE">
            <w:pPr>
              <w:snapToGrid w:val="0"/>
              <w:jc w:val="center"/>
              <w:rPr>
                <w:rFonts w:ascii="宋体" w:hAnsi="宋体"/>
                <w:color w:val="000000" w:themeColor="text1"/>
                <w:szCs w:val="21"/>
                <w14:textFill>
                  <w14:solidFill>
                    <w14:schemeClr w14:val="tx1"/>
                  </w14:solidFill>
                </w14:textFill>
              </w:rPr>
            </w:pPr>
          </w:p>
        </w:tc>
        <w:tc>
          <w:tcPr>
            <w:tcW w:w="874" w:type="dxa"/>
          </w:tcPr>
          <w:p w14:paraId="1AFD2DD2">
            <w:pPr>
              <w:snapToGrid w:val="0"/>
              <w:jc w:val="center"/>
              <w:rPr>
                <w:rFonts w:ascii="宋体" w:hAnsi="宋体"/>
                <w:color w:val="000000" w:themeColor="text1"/>
                <w:szCs w:val="21"/>
                <w14:textFill>
                  <w14:solidFill>
                    <w14:schemeClr w14:val="tx1"/>
                  </w14:solidFill>
                </w14:textFill>
              </w:rPr>
            </w:pPr>
          </w:p>
        </w:tc>
        <w:tc>
          <w:tcPr>
            <w:tcW w:w="1055" w:type="dxa"/>
          </w:tcPr>
          <w:p w14:paraId="2DCF6139">
            <w:pPr>
              <w:snapToGrid w:val="0"/>
              <w:jc w:val="center"/>
              <w:rPr>
                <w:rFonts w:ascii="宋体" w:hAnsi="宋体"/>
                <w:color w:val="000000" w:themeColor="text1"/>
                <w:szCs w:val="21"/>
                <w14:textFill>
                  <w14:solidFill>
                    <w14:schemeClr w14:val="tx1"/>
                  </w14:solidFill>
                </w14:textFill>
              </w:rPr>
            </w:pPr>
          </w:p>
        </w:tc>
        <w:tc>
          <w:tcPr>
            <w:tcW w:w="691" w:type="dxa"/>
          </w:tcPr>
          <w:p w14:paraId="59F27E34">
            <w:pPr>
              <w:snapToGrid w:val="0"/>
              <w:jc w:val="center"/>
              <w:rPr>
                <w:rFonts w:ascii="宋体" w:hAnsi="宋体"/>
                <w:color w:val="000000" w:themeColor="text1"/>
                <w:szCs w:val="21"/>
                <w14:textFill>
                  <w14:solidFill>
                    <w14:schemeClr w14:val="tx1"/>
                  </w14:solidFill>
                </w14:textFill>
              </w:rPr>
            </w:pPr>
          </w:p>
        </w:tc>
      </w:tr>
      <w:tr w14:paraId="37750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3C748E45">
            <w:pPr>
              <w:snapToGrid w:val="0"/>
              <w:jc w:val="center"/>
              <w:rPr>
                <w:rFonts w:ascii="宋体" w:hAnsi="宋体"/>
                <w:color w:val="000000" w:themeColor="text1"/>
                <w:szCs w:val="21"/>
                <w14:textFill>
                  <w14:solidFill>
                    <w14:schemeClr w14:val="tx1"/>
                  </w14:solidFill>
                </w14:textFill>
              </w:rPr>
            </w:pPr>
          </w:p>
        </w:tc>
        <w:tc>
          <w:tcPr>
            <w:tcW w:w="1674" w:type="dxa"/>
          </w:tcPr>
          <w:p w14:paraId="0F419ED9">
            <w:pPr>
              <w:snapToGrid w:val="0"/>
              <w:jc w:val="center"/>
              <w:rPr>
                <w:rFonts w:ascii="宋体" w:hAnsi="宋体"/>
                <w:color w:val="000000" w:themeColor="text1"/>
                <w:szCs w:val="21"/>
                <w14:textFill>
                  <w14:solidFill>
                    <w14:schemeClr w14:val="tx1"/>
                  </w14:solidFill>
                </w14:textFill>
              </w:rPr>
            </w:pPr>
          </w:p>
        </w:tc>
        <w:tc>
          <w:tcPr>
            <w:tcW w:w="761" w:type="dxa"/>
          </w:tcPr>
          <w:p w14:paraId="1EF31DCA">
            <w:pPr>
              <w:snapToGrid w:val="0"/>
              <w:jc w:val="center"/>
              <w:rPr>
                <w:rFonts w:ascii="宋体" w:hAnsi="宋体"/>
                <w:color w:val="000000" w:themeColor="text1"/>
                <w:szCs w:val="21"/>
                <w14:textFill>
                  <w14:solidFill>
                    <w14:schemeClr w14:val="tx1"/>
                  </w14:solidFill>
                </w14:textFill>
              </w:rPr>
            </w:pPr>
          </w:p>
        </w:tc>
        <w:tc>
          <w:tcPr>
            <w:tcW w:w="990" w:type="dxa"/>
          </w:tcPr>
          <w:p w14:paraId="46FC425F">
            <w:pPr>
              <w:snapToGrid w:val="0"/>
              <w:jc w:val="center"/>
              <w:rPr>
                <w:rFonts w:ascii="宋体" w:hAnsi="宋体"/>
                <w:color w:val="000000" w:themeColor="text1"/>
                <w:szCs w:val="21"/>
                <w14:textFill>
                  <w14:solidFill>
                    <w14:schemeClr w14:val="tx1"/>
                  </w14:solidFill>
                </w14:textFill>
              </w:rPr>
            </w:pPr>
          </w:p>
        </w:tc>
        <w:tc>
          <w:tcPr>
            <w:tcW w:w="672" w:type="dxa"/>
          </w:tcPr>
          <w:p w14:paraId="78BCCB54">
            <w:pPr>
              <w:snapToGrid w:val="0"/>
              <w:jc w:val="center"/>
              <w:rPr>
                <w:rFonts w:ascii="宋体" w:hAnsi="宋体"/>
                <w:color w:val="000000" w:themeColor="text1"/>
                <w:szCs w:val="21"/>
                <w14:textFill>
                  <w14:solidFill>
                    <w14:schemeClr w14:val="tx1"/>
                  </w14:solidFill>
                </w14:textFill>
              </w:rPr>
            </w:pPr>
          </w:p>
        </w:tc>
        <w:tc>
          <w:tcPr>
            <w:tcW w:w="738" w:type="dxa"/>
          </w:tcPr>
          <w:p w14:paraId="192D136D">
            <w:pPr>
              <w:snapToGrid w:val="0"/>
              <w:jc w:val="center"/>
              <w:rPr>
                <w:rFonts w:ascii="宋体" w:hAnsi="宋体"/>
                <w:color w:val="000000" w:themeColor="text1"/>
                <w:szCs w:val="21"/>
                <w14:textFill>
                  <w14:solidFill>
                    <w14:schemeClr w14:val="tx1"/>
                  </w14:solidFill>
                </w14:textFill>
              </w:rPr>
            </w:pPr>
          </w:p>
        </w:tc>
        <w:tc>
          <w:tcPr>
            <w:tcW w:w="1212" w:type="dxa"/>
          </w:tcPr>
          <w:p w14:paraId="76206DE3">
            <w:pPr>
              <w:snapToGrid w:val="0"/>
              <w:jc w:val="center"/>
              <w:rPr>
                <w:rFonts w:ascii="宋体" w:hAnsi="宋体"/>
                <w:color w:val="000000" w:themeColor="text1"/>
                <w:szCs w:val="21"/>
                <w14:textFill>
                  <w14:solidFill>
                    <w14:schemeClr w14:val="tx1"/>
                  </w14:solidFill>
                </w14:textFill>
              </w:rPr>
            </w:pPr>
          </w:p>
        </w:tc>
        <w:tc>
          <w:tcPr>
            <w:tcW w:w="874" w:type="dxa"/>
          </w:tcPr>
          <w:p w14:paraId="733D0747">
            <w:pPr>
              <w:snapToGrid w:val="0"/>
              <w:jc w:val="center"/>
              <w:rPr>
                <w:rFonts w:ascii="宋体" w:hAnsi="宋体"/>
                <w:color w:val="000000" w:themeColor="text1"/>
                <w:szCs w:val="21"/>
                <w14:textFill>
                  <w14:solidFill>
                    <w14:schemeClr w14:val="tx1"/>
                  </w14:solidFill>
                </w14:textFill>
              </w:rPr>
            </w:pPr>
          </w:p>
        </w:tc>
        <w:tc>
          <w:tcPr>
            <w:tcW w:w="1055" w:type="dxa"/>
          </w:tcPr>
          <w:p w14:paraId="21F5EF19">
            <w:pPr>
              <w:snapToGrid w:val="0"/>
              <w:jc w:val="center"/>
              <w:rPr>
                <w:rFonts w:ascii="宋体" w:hAnsi="宋体"/>
                <w:color w:val="000000" w:themeColor="text1"/>
                <w:szCs w:val="21"/>
                <w14:textFill>
                  <w14:solidFill>
                    <w14:schemeClr w14:val="tx1"/>
                  </w14:solidFill>
                </w14:textFill>
              </w:rPr>
            </w:pPr>
          </w:p>
        </w:tc>
        <w:tc>
          <w:tcPr>
            <w:tcW w:w="691" w:type="dxa"/>
          </w:tcPr>
          <w:p w14:paraId="49244443">
            <w:pPr>
              <w:snapToGrid w:val="0"/>
              <w:jc w:val="center"/>
              <w:rPr>
                <w:rFonts w:ascii="宋体" w:hAnsi="宋体"/>
                <w:color w:val="000000" w:themeColor="text1"/>
                <w:szCs w:val="21"/>
                <w14:textFill>
                  <w14:solidFill>
                    <w14:schemeClr w14:val="tx1"/>
                  </w14:solidFill>
                </w14:textFill>
              </w:rPr>
            </w:pPr>
          </w:p>
        </w:tc>
      </w:tr>
      <w:tr w14:paraId="3C222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5A4B23EC">
            <w:pPr>
              <w:snapToGrid w:val="0"/>
              <w:jc w:val="center"/>
              <w:rPr>
                <w:rFonts w:ascii="宋体" w:hAnsi="宋体"/>
                <w:color w:val="000000" w:themeColor="text1"/>
                <w:szCs w:val="21"/>
                <w14:textFill>
                  <w14:solidFill>
                    <w14:schemeClr w14:val="tx1"/>
                  </w14:solidFill>
                </w14:textFill>
              </w:rPr>
            </w:pPr>
          </w:p>
        </w:tc>
        <w:tc>
          <w:tcPr>
            <w:tcW w:w="1674" w:type="dxa"/>
          </w:tcPr>
          <w:p w14:paraId="7C14FC87">
            <w:pPr>
              <w:snapToGrid w:val="0"/>
              <w:jc w:val="center"/>
              <w:rPr>
                <w:rFonts w:ascii="宋体" w:hAnsi="宋体"/>
                <w:color w:val="000000" w:themeColor="text1"/>
                <w:szCs w:val="21"/>
                <w14:textFill>
                  <w14:solidFill>
                    <w14:schemeClr w14:val="tx1"/>
                  </w14:solidFill>
                </w14:textFill>
              </w:rPr>
            </w:pPr>
          </w:p>
        </w:tc>
        <w:tc>
          <w:tcPr>
            <w:tcW w:w="761" w:type="dxa"/>
          </w:tcPr>
          <w:p w14:paraId="4E192D90">
            <w:pPr>
              <w:snapToGrid w:val="0"/>
              <w:jc w:val="center"/>
              <w:rPr>
                <w:rFonts w:ascii="宋体" w:hAnsi="宋体"/>
                <w:color w:val="000000" w:themeColor="text1"/>
                <w:szCs w:val="21"/>
                <w14:textFill>
                  <w14:solidFill>
                    <w14:schemeClr w14:val="tx1"/>
                  </w14:solidFill>
                </w14:textFill>
              </w:rPr>
            </w:pPr>
          </w:p>
        </w:tc>
        <w:tc>
          <w:tcPr>
            <w:tcW w:w="990" w:type="dxa"/>
          </w:tcPr>
          <w:p w14:paraId="4BE62BF6">
            <w:pPr>
              <w:snapToGrid w:val="0"/>
              <w:jc w:val="center"/>
              <w:rPr>
                <w:rFonts w:ascii="宋体" w:hAnsi="宋体"/>
                <w:color w:val="000000" w:themeColor="text1"/>
                <w:szCs w:val="21"/>
                <w14:textFill>
                  <w14:solidFill>
                    <w14:schemeClr w14:val="tx1"/>
                  </w14:solidFill>
                </w14:textFill>
              </w:rPr>
            </w:pPr>
          </w:p>
        </w:tc>
        <w:tc>
          <w:tcPr>
            <w:tcW w:w="672" w:type="dxa"/>
          </w:tcPr>
          <w:p w14:paraId="3ED841C4">
            <w:pPr>
              <w:snapToGrid w:val="0"/>
              <w:jc w:val="center"/>
              <w:rPr>
                <w:rFonts w:ascii="宋体" w:hAnsi="宋体"/>
                <w:color w:val="000000" w:themeColor="text1"/>
                <w:szCs w:val="21"/>
                <w14:textFill>
                  <w14:solidFill>
                    <w14:schemeClr w14:val="tx1"/>
                  </w14:solidFill>
                </w14:textFill>
              </w:rPr>
            </w:pPr>
          </w:p>
        </w:tc>
        <w:tc>
          <w:tcPr>
            <w:tcW w:w="738" w:type="dxa"/>
          </w:tcPr>
          <w:p w14:paraId="724A833B">
            <w:pPr>
              <w:snapToGrid w:val="0"/>
              <w:jc w:val="center"/>
              <w:rPr>
                <w:rFonts w:ascii="宋体" w:hAnsi="宋体"/>
                <w:color w:val="000000" w:themeColor="text1"/>
                <w:szCs w:val="21"/>
                <w14:textFill>
                  <w14:solidFill>
                    <w14:schemeClr w14:val="tx1"/>
                  </w14:solidFill>
                </w14:textFill>
              </w:rPr>
            </w:pPr>
          </w:p>
        </w:tc>
        <w:tc>
          <w:tcPr>
            <w:tcW w:w="1212" w:type="dxa"/>
          </w:tcPr>
          <w:p w14:paraId="16E4436F">
            <w:pPr>
              <w:snapToGrid w:val="0"/>
              <w:jc w:val="center"/>
              <w:rPr>
                <w:rFonts w:ascii="宋体" w:hAnsi="宋体"/>
                <w:color w:val="000000" w:themeColor="text1"/>
                <w:szCs w:val="21"/>
                <w14:textFill>
                  <w14:solidFill>
                    <w14:schemeClr w14:val="tx1"/>
                  </w14:solidFill>
                </w14:textFill>
              </w:rPr>
            </w:pPr>
          </w:p>
        </w:tc>
        <w:tc>
          <w:tcPr>
            <w:tcW w:w="874" w:type="dxa"/>
          </w:tcPr>
          <w:p w14:paraId="738D26A9">
            <w:pPr>
              <w:snapToGrid w:val="0"/>
              <w:jc w:val="center"/>
              <w:rPr>
                <w:rFonts w:ascii="宋体" w:hAnsi="宋体"/>
                <w:color w:val="000000" w:themeColor="text1"/>
                <w:szCs w:val="21"/>
                <w14:textFill>
                  <w14:solidFill>
                    <w14:schemeClr w14:val="tx1"/>
                  </w14:solidFill>
                </w14:textFill>
              </w:rPr>
            </w:pPr>
          </w:p>
        </w:tc>
        <w:tc>
          <w:tcPr>
            <w:tcW w:w="1055" w:type="dxa"/>
          </w:tcPr>
          <w:p w14:paraId="3F685F0A">
            <w:pPr>
              <w:snapToGrid w:val="0"/>
              <w:jc w:val="center"/>
              <w:rPr>
                <w:rFonts w:ascii="宋体" w:hAnsi="宋体"/>
                <w:color w:val="000000" w:themeColor="text1"/>
                <w:szCs w:val="21"/>
                <w14:textFill>
                  <w14:solidFill>
                    <w14:schemeClr w14:val="tx1"/>
                  </w14:solidFill>
                </w14:textFill>
              </w:rPr>
            </w:pPr>
          </w:p>
        </w:tc>
        <w:tc>
          <w:tcPr>
            <w:tcW w:w="691" w:type="dxa"/>
          </w:tcPr>
          <w:p w14:paraId="57B1377F">
            <w:pPr>
              <w:snapToGrid w:val="0"/>
              <w:jc w:val="center"/>
              <w:rPr>
                <w:rFonts w:ascii="宋体" w:hAnsi="宋体"/>
                <w:color w:val="000000" w:themeColor="text1"/>
                <w:szCs w:val="21"/>
                <w14:textFill>
                  <w14:solidFill>
                    <w14:schemeClr w14:val="tx1"/>
                  </w14:solidFill>
                </w14:textFill>
              </w:rPr>
            </w:pPr>
          </w:p>
        </w:tc>
      </w:tr>
      <w:tr w14:paraId="644378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5694E9C9">
            <w:pPr>
              <w:snapToGrid w:val="0"/>
              <w:jc w:val="center"/>
              <w:rPr>
                <w:rFonts w:ascii="宋体" w:hAnsi="宋体"/>
                <w:color w:val="000000" w:themeColor="text1"/>
                <w:szCs w:val="21"/>
                <w14:textFill>
                  <w14:solidFill>
                    <w14:schemeClr w14:val="tx1"/>
                  </w14:solidFill>
                </w14:textFill>
              </w:rPr>
            </w:pPr>
          </w:p>
        </w:tc>
        <w:tc>
          <w:tcPr>
            <w:tcW w:w="1674" w:type="dxa"/>
          </w:tcPr>
          <w:p w14:paraId="2335A0A1">
            <w:pPr>
              <w:snapToGrid w:val="0"/>
              <w:jc w:val="center"/>
              <w:rPr>
                <w:rFonts w:ascii="宋体" w:hAnsi="宋体"/>
                <w:color w:val="000000" w:themeColor="text1"/>
                <w:szCs w:val="21"/>
                <w14:textFill>
                  <w14:solidFill>
                    <w14:schemeClr w14:val="tx1"/>
                  </w14:solidFill>
                </w14:textFill>
              </w:rPr>
            </w:pPr>
          </w:p>
        </w:tc>
        <w:tc>
          <w:tcPr>
            <w:tcW w:w="761" w:type="dxa"/>
          </w:tcPr>
          <w:p w14:paraId="3BD047CE">
            <w:pPr>
              <w:snapToGrid w:val="0"/>
              <w:jc w:val="center"/>
              <w:rPr>
                <w:rFonts w:ascii="宋体" w:hAnsi="宋体"/>
                <w:color w:val="000000" w:themeColor="text1"/>
                <w:szCs w:val="21"/>
                <w14:textFill>
                  <w14:solidFill>
                    <w14:schemeClr w14:val="tx1"/>
                  </w14:solidFill>
                </w14:textFill>
              </w:rPr>
            </w:pPr>
          </w:p>
        </w:tc>
        <w:tc>
          <w:tcPr>
            <w:tcW w:w="990" w:type="dxa"/>
          </w:tcPr>
          <w:p w14:paraId="0E411E27">
            <w:pPr>
              <w:snapToGrid w:val="0"/>
              <w:jc w:val="center"/>
              <w:rPr>
                <w:rFonts w:ascii="宋体" w:hAnsi="宋体"/>
                <w:color w:val="000000" w:themeColor="text1"/>
                <w:szCs w:val="21"/>
                <w14:textFill>
                  <w14:solidFill>
                    <w14:schemeClr w14:val="tx1"/>
                  </w14:solidFill>
                </w14:textFill>
              </w:rPr>
            </w:pPr>
          </w:p>
        </w:tc>
        <w:tc>
          <w:tcPr>
            <w:tcW w:w="672" w:type="dxa"/>
          </w:tcPr>
          <w:p w14:paraId="074B6CB5">
            <w:pPr>
              <w:snapToGrid w:val="0"/>
              <w:jc w:val="center"/>
              <w:rPr>
                <w:rFonts w:ascii="宋体" w:hAnsi="宋体"/>
                <w:color w:val="000000" w:themeColor="text1"/>
                <w:szCs w:val="21"/>
                <w14:textFill>
                  <w14:solidFill>
                    <w14:schemeClr w14:val="tx1"/>
                  </w14:solidFill>
                </w14:textFill>
              </w:rPr>
            </w:pPr>
          </w:p>
        </w:tc>
        <w:tc>
          <w:tcPr>
            <w:tcW w:w="738" w:type="dxa"/>
          </w:tcPr>
          <w:p w14:paraId="6B4943FB">
            <w:pPr>
              <w:snapToGrid w:val="0"/>
              <w:jc w:val="center"/>
              <w:rPr>
                <w:rFonts w:ascii="宋体" w:hAnsi="宋体"/>
                <w:color w:val="000000" w:themeColor="text1"/>
                <w:szCs w:val="21"/>
                <w14:textFill>
                  <w14:solidFill>
                    <w14:schemeClr w14:val="tx1"/>
                  </w14:solidFill>
                </w14:textFill>
              </w:rPr>
            </w:pPr>
          </w:p>
        </w:tc>
        <w:tc>
          <w:tcPr>
            <w:tcW w:w="1212" w:type="dxa"/>
          </w:tcPr>
          <w:p w14:paraId="0B8C0736">
            <w:pPr>
              <w:snapToGrid w:val="0"/>
              <w:jc w:val="center"/>
              <w:rPr>
                <w:rFonts w:ascii="宋体" w:hAnsi="宋体"/>
                <w:color w:val="000000" w:themeColor="text1"/>
                <w:szCs w:val="21"/>
                <w14:textFill>
                  <w14:solidFill>
                    <w14:schemeClr w14:val="tx1"/>
                  </w14:solidFill>
                </w14:textFill>
              </w:rPr>
            </w:pPr>
          </w:p>
        </w:tc>
        <w:tc>
          <w:tcPr>
            <w:tcW w:w="874" w:type="dxa"/>
          </w:tcPr>
          <w:p w14:paraId="24DFA7EC">
            <w:pPr>
              <w:snapToGrid w:val="0"/>
              <w:jc w:val="center"/>
              <w:rPr>
                <w:rFonts w:ascii="宋体" w:hAnsi="宋体"/>
                <w:color w:val="000000" w:themeColor="text1"/>
                <w:szCs w:val="21"/>
                <w14:textFill>
                  <w14:solidFill>
                    <w14:schemeClr w14:val="tx1"/>
                  </w14:solidFill>
                </w14:textFill>
              </w:rPr>
            </w:pPr>
          </w:p>
        </w:tc>
        <w:tc>
          <w:tcPr>
            <w:tcW w:w="1055" w:type="dxa"/>
          </w:tcPr>
          <w:p w14:paraId="5407BB40">
            <w:pPr>
              <w:snapToGrid w:val="0"/>
              <w:jc w:val="center"/>
              <w:rPr>
                <w:rFonts w:ascii="宋体" w:hAnsi="宋体"/>
                <w:color w:val="000000" w:themeColor="text1"/>
                <w:szCs w:val="21"/>
                <w14:textFill>
                  <w14:solidFill>
                    <w14:schemeClr w14:val="tx1"/>
                  </w14:solidFill>
                </w14:textFill>
              </w:rPr>
            </w:pPr>
          </w:p>
        </w:tc>
        <w:tc>
          <w:tcPr>
            <w:tcW w:w="691" w:type="dxa"/>
          </w:tcPr>
          <w:p w14:paraId="6C50B1FA">
            <w:pPr>
              <w:snapToGrid w:val="0"/>
              <w:jc w:val="center"/>
              <w:rPr>
                <w:rFonts w:ascii="宋体" w:hAnsi="宋体"/>
                <w:color w:val="000000" w:themeColor="text1"/>
                <w:szCs w:val="21"/>
                <w14:textFill>
                  <w14:solidFill>
                    <w14:schemeClr w14:val="tx1"/>
                  </w14:solidFill>
                </w14:textFill>
              </w:rPr>
            </w:pPr>
          </w:p>
        </w:tc>
      </w:tr>
      <w:tr w14:paraId="752A20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1D38AA59">
            <w:pPr>
              <w:snapToGrid w:val="0"/>
              <w:jc w:val="center"/>
              <w:rPr>
                <w:rFonts w:ascii="宋体" w:hAnsi="宋体"/>
                <w:color w:val="000000" w:themeColor="text1"/>
                <w:szCs w:val="21"/>
                <w14:textFill>
                  <w14:solidFill>
                    <w14:schemeClr w14:val="tx1"/>
                  </w14:solidFill>
                </w14:textFill>
              </w:rPr>
            </w:pPr>
          </w:p>
        </w:tc>
        <w:tc>
          <w:tcPr>
            <w:tcW w:w="1674" w:type="dxa"/>
          </w:tcPr>
          <w:p w14:paraId="53D1070C">
            <w:pPr>
              <w:snapToGrid w:val="0"/>
              <w:jc w:val="center"/>
              <w:rPr>
                <w:rFonts w:ascii="宋体" w:hAnsi="宋体"/>
                <w:color w:val="000000" w:themeColor="text1"/>
                <w:szCs w:val="21"/>
                <w14:textFill>
                  <w14:solidFill>
                    <w14:schemeClr w14:val="tx1"/>
                  </w14:solidFill>
                </w14:textFill>
              </w:rPr>
            </w:pPr>
          </w:p>
        </w:tc>
        <w:tc>
          <w:tcPr>
            <w:tcW w:w="761" w:type="dxa"/>
          </w:tcPr>
          <w:p w14:paraId="6983DE59">
            <w:pPr>
              <w:snapToGrid w:val="0"/>
              <w:jc w:val="center"/>
              <w:rPr>
                <w:rFonts w:ascii="宋体" w:hAnsi="宋体"/>
                <w:color w:val="000000" w:themeColor="text1"/>
                <w:szCs w:val="21"/>
                <w14:textFill>
                  <w14:solidFill>
                    <w14:schemeClr w14:val="tx1"/>
                  </w14:solidFill>
                </w14:textFill>
              </w:rPr>
            </w:pPr>
          </w:p>
        </w:tc>
        <w:tc>
          <w:tcPr>
            <w:tcW w:w="990" w:type="dxa"/>
          </w:tcPr>
          <w:p w14:paraId="6970DF2B">
            <w:pPr>
              <w:snapToGrid w:val="0"/>
              <w:jc w:val="center"/>
              <w:rPr>
                <w:rFonts w:ascii="宋体" w:hAnsi="宋体"/>
                <w:color w:val="000000" w:themeColor="text1"/>
                <w:szCs w:val="21"/>
                <w14:textFill>
                  <w14:solidFill>
                    <w14:schemeClr w14:val="tx1"/>
                  </w14:solidFill>
                </w14:textFill>
              </w:rPr>
            </w:pPr>
          </w:p>
        </w:tc>
        <w:tc>
          <w:tcPr>
            <w:tcW w:w="672" w:type="dxa"/>
          </w:tcPr>
          <w:p w14:paraId="30EC3EDE">
            <w:pPr>
              <w:snapToGrid w:val="0"/>
              <w:jc w:val="center"/>
              <w:rPr>
                <w:rFonts w:ascii="宋体" w:hAnsi="宋体"/>
                <w:color w:val="000000" w:themeColor="text1"/>
                <w:szCs w:val="21"/>
                <w14:textFill>
                  <w14:solidFill>
                    <w14:schemeClr w14:val="tx1"/>
                  </w14:solidFill>
                </w14:textFill>
              </w:rPr>
            </w:pPr>
          </w:p>
        </w:tc>
        <w:tc>
          <w:tcPr>
            <w:tcW w:w="738" w:type="dxa"/>
          </w:tcPr>
          <w:p w14:paraId="6A16DDE5">
            <w:pPr>
              <w:snapToGrid w:val="0"/>
              <w:jc w:val="center"/>
              <w:rPr>
                <w:rFonts w:ascii="宋体" w:hAnsi="宋体"/>
                <w:color w:val="000000" w:themeColor="text1"/>
                <w:szCs w:val="21"/>
                <w14:textFill>
                  <w14:solidFill>
                    <w14:schemeClr w14:val="tx1"/>
                  </w14:solidFill>
                </w14:textFill>
              </w:rPr>
            </w:pPr>
          </w:p>
        </w:tc>
        <w:tc>
          <w:tcPr>
            <w:tcW w:w="1212" w:type="dxa"/>
          </w:tcPr>
          <w:p w14:paraId="0E5D6108">
            <w:pPr>
              <w:snapToGrid w:val="0"/>
              <w:jc w:val="center"/>
              <w:rPr>
                <w:rFonts w:ascii="宋体" w:hAnsi="宋体"/>
                <w:color w:val="000000" w:themeColor="text1"/>
                <w:szCs w:val="21"/>
                <w14:textFill>
                  <w14:solidFill>
                    <w14:schemeClr w14:val="tx1"/>
                  </w14:solidFill>
                </w14:textFill>
              </w:rPr>
            </w:pPr>
          </w:p>
        </w:tc>
        <w:tc>
          <w:tcPr>
            <w:tcW w:w="874" w:type="dxa"/>
          </w:tcPr>
          <w:p w14:paraId="3A5B35CF">
            <w:pPr>
              <w:snapToGrid w:val="0"/>
              <w:jc w:val="center"/>
              <w:rPr>
                <w:rFonts w:ascii="宋体" w:hAnsi="宋体"/>
                <w:color w:val="000000" w:themeColor="text1"/>
                <w:szCs w:val="21"/>
                <w14:textFill>
                  <w14:solidFill>
                    <w14:schemeClr w14:val="tx1"/>
                  </w14:solidFill>
                </w14:textFill>
              </w:rPr>
            </w:pPr>
          </w:p>
        </w:tc>
        <w:tc>
          <w:tcPr>
            <w:tcW w:w="1055" w:type="dxa"/>
          </w:tcPr>
          <w:p w14:paraId="04576B77">
            <w:pPr>
              <w:snapToGrid w:val="0"/>
              <w:jc w:val="center"/>
              <w:rPr>
                <w:rFonts w:ascii="宋体" w:hAnsi="宋体"/>
                <w:color w:val="000000" w:themeColor="text1"/>
                <w:szCs w:val="21"/>
                <w14:textFill>
                  <w14:solidFill>
                    <w14:schemeClr w14:val="tx1"/>
                  </w14:solidFill>
                </w14:textFill>
              </w:rPr>
            </w:pPr>
          </w:p>
        </w:tc>
        <w:tc>
          <w:tcPr>
            <w:tcW w:w="691" w:type="dxa"/>
          </w:tcPr>
          <w:p w14:paraId="15D5170A">
            <w:pPr>
              <w:snapToGrid w:val="0"/>
              <w:jc w:val="center"/>
              <w:rPr>
                <w:rFonts w:ascii="宋体" w:hAnsi="宋体"/>
                <w:color w:val="000000" w:themeColor="text1"/>
                <w:szCs w:val="21"/>
                <w14:textFill>
                  <w14:solidFill>
                    <w14:schemeClr w14:val="tx1"/>
                  </w14:solidFill>
                </w14:textFill>
              </w:rPr>
            </w:pPr>
          </w:p>
        </w:tc>
      </w:tr>
      <w:tr w14:paraId="6BB3B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55C1AA8F">
            <w:pPr>
              <w:snapToGrid w:val="0"/>
              <w:jc w:val="center"/>
              <w:rPr>
                <w:rFonts w:ascii="宋体" w:hAnsi="宋体"/>
                <w:color w:val="000000" w:themeColor="text1"/>
                <w:szCs w:val="21"/>
                <w14:textFill>
                  <w14:solidFill>
                    <w14:schemeClr w14:val="tx1"/>
                  </w14:solidFill>
                </w14:textFill>
              </w:rPr>
            </w:pPr>
          </w:p>
        </w:tc>
        <w:tc>
          <w:tcPr>
            <w:tcW w:w="1674" w:type="dxa"/>
          </w:tcPr>
          <w:p w14:paraId="6288CFA0">
            <w:pPr>
              <w:snapToGrid w:val="0"/>
              <w:jc w:val="center"/>
              <w:rPr>
                <w:rFonts w:ascii="宋体" w:hAnsi="宋体"/>
                <w:color w:val="000000" w:themeColor="text1"/>
                <w:szCs w:val="21"/>
                <w14:textFill>
                  <w14:solidFill>
                    <w14:schemeClr w14:val="tx1"/>
                  </w14:solidFill>
                </w14:textFill>
              </w:rPr>
            </w:pPr>
          </w:p>
        </w:tc>
        <w:tc>
          <w:tcPr>
            <w:tcW w:w="761" w:type="dxa"/>
          </w:tcPr>
          <w:p w14:paraId="48CF581D">
            <w:pPr>
              <w:snapToGrid w:val="0"/>
              <w:jc w:val="center"/>
              <w:rPr>
                <w:rFonts w:ascii="宋体" w:hAnsi="宋体"/>
                <w:color w:val="000000" w:themeColor="text1"/>
                <w:szCs w:val="21"/>
                <w14:textFill>
                  <w14:solidFill>
                    <w14:schemeClr w14:val="tx1"/>
                  </w14:solidFill>
                </w14:textFill>
              </w:rPr>
            </w:pPr>
          </w:p>
        </w:tc>
        <w:tc>
          <w:tcPr>
            <w:tcW w:w="990" w:type="dxa"/>
          </w:tcPr>
          <w:p w14:paraId="537F776F">
            <w:pPr>
              <w:snapToGrid w:val="0"/>
              <w:jc w:val="center"/>
              <w:rPr>
                <w:rFonts w:ascii="宋体" w:hAnsi="宋体"/>
                <w:color w:val="000000" w:themeColor="text1"/>
                <w:szCs w:val="21"/>
                <w14:textFill>
                  <w14:solidFill>
                    <w14:schemeClr w14:val="tx1"/>
                  </w14:solidFill>
                </w14:textFill>
              </w:rPr>
            </w:pPr>
          </w:p>
        </w:tc>
        <w:tc>
          <w:tcPr>
            <w:tcW w:w="672" w:type="dxa"/>
          </w:tcPr>
          <w:p w14:paraId="1A03E908">
            <w:pPr>
              <w:snapToGrid w:val="0"/>
              <w:jc w:val="center"/>
              <w:rPr>
                <w:rFonts w:ascii="宋体" w:hAnsi="宋体"/>
                <w:color w:val="000000" w:themeColor="text1"/>
                <w:szCs w:val="21"/>
                <w14:textFill>
                  <w14:solidFill>
                    <w14:schemeClr w14:val="tx1"/>
                  </w14:solidFill>
                </w14:textFill>
              </w:rPr>
            </w:pPr>
          </w:p>
        </w:tc>
        <w:tc>
          <w:tcPr>
            <w:tcW w:w="738" w:type="dxa"/>
          </w:tcPr>
          <w:p w14:paraId="722C3330">
            <w:pPr>
              <w:snapToGrid w:val="0"/>
              <w:jc w:val="center"/>
              <w:rPr>
                <w:rFonts w:ascii="宋体" w:hAnsi="宋体"/>
                <w:color w:val="000000" w:themeColor="text1"/>
                <w:szCs w:val="21"/>
                <w14:textFill>
                  <w14:solidFill>
                    <w14:schemeClr w14:val="tx1"/>
                  </w14:solidFill>
                </w14:textFill>
              </w:rPr>
            </w:pPr>
          </w:p>
        </w:tc>
        <w:tc>
          <w:tcPr>
            <w:tcW w:w="1212" w:type="dxa"/>
          </w:tcPr>
          <w:p w14:paraId="3C4B975D">
            <w:pPr>
              <w:snapToGrid w:val="0"/>
              <w:jc w:val="center"/>
              <w:rPr>
                <w:rFonts w:ascii="宋体" w:hAnsi="宋体"/>
                <w:color w:val="000000" w:themeColor="text1"/>
                <w:szCs w:val="21"/>
                <w14:textFill>
                  <w14:solidFill>
                    <w14:schemeClr w14:val="tx1"/>
                  </w14:solidFill>
                </w14:textFill>
              </w:rPr>
            </w:pPr>
          </w:p>
        </w:tc>
        <w:tc>
          <w:tcPr>
            <w:tcW w:w="874" w:type="dxa"/>
          </w:tcPr>
          <w:p w14:paraId="16F36B3F">
            <w:pPr>
              <w:snapToGrid w:val="0"/>
              <w:jc w:val="center"/>
              <w:rPr>
                <w:rFonts w:ascii="宋体" w:hAnsi="宋体"/>
                <w:color w:val="000000" w:themeColor="text1"/>
                <w:szCs w:val="21"/>
                <w14:textFill>
                  <w14:solidFill>
                    <w14:schemeClr w14:val="tx1"/>
                  </w14:solidFill>
                </w14:textFill>
              </w:rPr>
            </w:pPr>
          </w:p>
        </w:tc>
        <w:tc>
          <w:tcPr>
            <w:tcW w:w="1055" w:type="dxa"/>
          </w:tcPr>
          <w:p w14:paraId="715867CD">
            <w:pPr>
              <w:snapToGrid w:val="0"/>
              <w:jc w:val="center"/>
              <w:rPr>
                <w:rFonts w:ascii="宋体" w:hAnsi="宋体"/>
                <w:color w:val="000000" w:themeColor="text1"/>
                <w:szCs w:val="21"/>
                <w14:textFill>
                  <w14:solidFill>
                    <w14:schemeClr w14:val="tx1"/>
                  </w14:solidFill>
                </w14:textFill>
              </w:rPr>
            </w:pPr>
          </w:p>
        </w:tc>
        <w:tc>
          <w:tcPr>
            <w:tcW w:w="691" w:type="dxa"/>
          </w:tcPr>
          <w:p w14:paraId="7CF5BA7E">
            <w:pPr>
              <w:snapToGrid w:val="0"/>
              <w:jc w:val="center"/>
              <w:rPr>
                <w:rFonts w:ascii="宋体" w:hAnsi="宋体"/>
                <w:color w:val="000000" w:themeColor="text1"/>
                <w:szCs w:val="21"/>
                <w14:textFill>
                  <w14:solidFill>
                    <w14:schemeClr w14:val="tx1"/>
                  </w14:solidFill>
                </w14:textFill>
              </w:rPr>
            </w:pPr>
          </w:p>
        </w:tc>
      </w:tr>
      <w:tr w14:paraId="1403AB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466DB683">
            <w:pPr>
              <w:snapToGrid w:val="0"/>
              <w:jc w:val="center"/>
              <w:rPr>
                <w:rFonts w:ascii="宋体" w:hAnsi="宋体"/>
                <w:color w:val="000000" w:themeColor="text1"/>
                <w:szCs w:val="21"/>
                <w14:textFill>
                  <w14:solidFill>
                    <w14:schemeClr w14:val="tx1"/>
                  </w14:solidFill>
                </w14:textFill>
              </w:rPr>
            </w:pPr>
          </w:p>
        </w:tc>
        <w:tc>
          <w:tcPr>
            <w:tcW w:w="1674" w:type="dxa"/>
          </w:tcPr>
          <w:p w14:paraId="544C958C">
            <w:pPr>
              <w:snapToGrid w:val="0"/>
              <w:jc w:val="center"/>
              <w:rPr>
                <w:rFonts w:ascii="宋体" w:hAnsi="宋体"/>
                <w:color w:val="000000" w:themeColor="text1"/>
                <w:szCs w:val="21"/>
                <w14:textFill>
                  <w14:solidFill>
                    <w14:schemeClr w14:val="tx1"/>
                  </w14:solidFill>
                </w14:textFill>
              </w:rPr>
            </w:pPr>
          </w:p>
        </w:tc>
        <w:tc>
          <w:tcPr>
            <w:tcW w:w="761" w:type="dxa"/>
          </w:tcPr>
          <w:p w14:paraId="17646C7A">
            <w:pPr>
              <w:snapToGrid w:val="0"/>
              <w:jc w:val="center"/>
              <w:rPr>
                <w:rFonts w:ascii="宋体" w:hAnsi="宋体"/>
                <w:color w:val="000000" w:themeColor="text1"/>
                <w:szCs w:val="21"/>
                <w14:textFill>
                  <w14:solidFill>
                    <w14:schemeClr w14:val="tx1"/>
                  </w14:solidFill>
                </w14:textFill>
              </w:rPr>
            </w:pPr>
          </w:p>
        </w:tc>
        <w:tc>
          <w:tcPr>
            <w:tcW w:w="990" w:type="dxa"/>
          </w:tcPr>
          <w:p w14:paraId="50D39771">
            <w:pPr>
              <w:snapToGrid w:val="0"/>
              <w:jc w:val="center"/>
              <w:rPr>
                <w:rFonts w:ascii="宋体" w:hAnsi="宋体"/>
                <w:color w:val="000000" w:themeColor="text1"/>
                <w:szCs w:val="21"/>
                <w14:textFill>
                  <w14:solidFill>
                    <w14:schemeClr w14:val="tx1"/>
                  </w14:solidFill>
                </w14:textFill>
              </w:rPr>
            </w:pPr>
          </w:p>
        </w:tc>
        <w:tc>
          <w:tcPr>
            <w:tcW w:w="672" w:type="dxa"/>
          </w:tcPr>
          <w:p w14:paraId="1C126DAB">
            <w:pPr>
              <w:snapToGrid w:val="0"/>
              <w:jc w:val="center"/>
              <w:rPr>
                <w:rFonts w:ascii="宋体" w:hAnsi="宋体"/>
                <w:color w:val="000000" w:themeColor="text1"/>
                <w:szCs w:val="21"/>
                <w14:textFill>
                  <w14:solidFill>
                    <w14:schemeClr w14:val="tx1"/>
                  </w14:solidFill>
                </w14:textFill>
              </w:rPr>
            </w:pPr>
          </w:p>
        </w:tc>
        <w:tc>
          <w:tcPr>
            <w:tcW w:w="738" w:type="dxa"/>
          </w:tcPr>
          <w:p w14:paraId="4BF9D628">
            <w:pPr>
              <w:snapToGrid w:val="0"/>
              <w:jc w:val="center"/>
              <w:rPr>
                <w:rFonts w:ascii="宋体" w:hAnsi="宋体"/>
                <w:color w:val="000000" w:themeColor="text1"/>
                <w:szCs w:val="21"/>
                <w14:textFill>
                  <w14:solidFill>
                    <w14:schemeClr w14:val="tx1"/>
                  </w14:solidFill>
                </w14:textFill>
              </w:rPr>
            </w:pPr>
          </w:p>
        </w:tc>
        <w:tc>
          <w:tcPr>
            <w:tcW w:w="1212" w:type="dxa"/>
          </w:tcPr>
          <w:p w14:paraId="056DC25A">
            <w:pPr>
              <w:snapToGrid w:val="0"/>
              <w:jc w:val="center"/>
              <w:rPr>
                <w:rFonts w:ascii="宋体" w:hAnsi="宋体"/>
                <w:color w:val="000000" w:themeColor="text1"/>
                <w:szCs w:val="21"/>
                <w14:textFill>
                  <w14:solidFill>
                    <w14:schemeClr w14:val="tx1"/>
                  </w14:solidFill>
                </w14:textFill>
              </w:rPr>
            </w:pPr>
          </w:p>
        </w:tc>
        <w:tc>
          <w:tcPr>
            <w:tcW w:w="874" w:type="dxa"/>
          </w:tcPr>
          <w:p w14:paraId="52786777">
            <w:pPr>
              <w:snapToGrid w:val="0"/>
              <w:jc w:val="center"/>
              <w:rPr>
                <w:rFonts w:ascii="宋体" w:hAnsi="宋体"/>
                <w:color w:val="000000" w:themeColor="text1"/>
                <w:szCs w:val="21"/>
                <w14:textFill>
                  <w14:solidFill>
                    <w14:schemeClr w14:val="tx1"/>
                  </w14:solidFill>
                </w14:textFill>
              </w:rPr>
            </w:pPr>
          </w:p>
        </w:tc>
        <w:tc>
          <w:tcPr>
            <w:tcW w:w="1055" w:type="dxa"/>
          </w:tcPr>
          <w:p w14:paraId="1ADF121D">
            <w:pPr>
              <w:snapToGrid w:val="0"/>
              <w:jc w:val="center"/>
              <w:rPr>
                <w:rFonts w:ascii="宋体" w:hAnsi="宋体"/>
                <w:color w:val="000000" w:themeColor="text1"/>
                <w:szCs w:val="21"/>
                <w14:textFill>
                  <w14:solidFill>
                    <w14:schemeClr w14:val="tx1"/>
                  </w14:solidFill>
                </w14:textFill>
              </w:rPr>
            </w:pPr>
          </w:p>
        </w:tc>
        <w:tc>
          <w:tcPr>
            <w:tcW w:w="691" w:type="dxa"/>
          </w:tcPr>
          <w:p w14:paraId="5C4B3AA4">
            <w:pPr>
              <w:snapToGrid w:val="0"/>
              <w:jc w:val="center"/>
              <w:rPr>
                <w:rFonts w:ascii="宋体" w:hAnsi="宋体"/>
                <w:color w:val="000000" w:themeColor="text1"/>
                <w:szCs w:val="21"/>
                <w14:textFill>
                  <w14:solidFill>
                    <w14:schemeClr w14:val="tx1"/>
                  </w14:solidFill>
                </w14:textFill>
              </w:rPr>
            </w:pPr>
          </w:p>
        </w:tc>
      </w:tr>
      <w:tr w14:paraId="553E2A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2DE364A5">
            <w:pPr>
              <w:snapToGrid w:val="0"/>
              <w:jc w:val="center"/>
              <w:rPr>
                <w:rFonts w:ascii="宋体" w:hAnsi="宋体"/>
                <w:color w:val="000000" w:themeColor="text1"/>
                <w:szCs w:val="21"/>
                <w14:textFill>
                  <w14:solidFill>
                    <w14:schemeClr w14:val="tx1"/>
                  </w14:solidFill>
                </w14:textFill>
              </w:rPr>
            </w:pPr>
          </w:p>
        </w:tc>
        <w:tc>
          <w:tcPr>
            <w:tcW w:w="1674" w:type="dxa"/>
          </w:tcPr>
          <w:p w14:paraId="526A7545">
            <w:pPr>
              <w:snapToGrid w:val="0"/>
              <w:jc w:val="center"/>
              <w:rPr>
                <w:rFonts w:ascii="宋体" w:hAnsi="宋体"/>
                <w:color w:val="000000" w:themeColor="text1"/>
                <w:szCs w:val="21"/>
                <w14:textFill>
                  <w14:solidFill>
                    <w14:schemeClr w14:val="tx1"/>
                  </w14:solidFill>
                </w14:textFill>
              </w:rPr>
            </w:pPr>
          </w:p>
        </w:tc>
        <w:tc>
          <w:tcPr>
            <w:tcW w:w="761" w:type="dxa"/>
          </w:tcPr>
          <w:p w14:paraId="1B79A7FB">
            <w:pPr>
              <w:snapToGrid w:val="0"/>
              <w:jc w:val="center"/>
              <w:rPr>
                <w:rFonts w:ascii="宋体" w:hAnsi="宋体"/>
                <w:color w:val="000000" w:themeColor="text1"/>
                <w:szCs w:val="21"/>
                <w14:textFill>
                  <w14:solidFill>
                    <w14:schemeClr w14:val="tx1"/>
                  </w14:solidFill>
                </w14:textFill>
              </w:rPr>
            </w:pPr>
          </w:p>
        </w:tc>
        <w:tc>
          <w:tcPr>
            <w:tcW w:w="990" w:type="dxa"/>
          </w:tcPr>
          <w:p w14:paraId="44D1A79D">
            <w:pPr>
              <w:snapToGrid w:val="0"/>
              <w:jc w:val="center"/>
              <w:rPr>
                <w:rFonts w:ascii="宋体" w:hAnsi="宋体"/>
                <w:color w:val="000000" w:themeColor="text1"/>
                <w:szCs w:val="21"/>
                <w14:textFill>
                  <w14:solidFill>
                    <w14:schemeClr w14:val="tx1"/>
                  </w14:solidFill>
                </w14:textFill>
              </w:rPr>
            </w:pPr>
          </w:p>
        </w:tc>
        <w:tc>
          <w:tcPr>
            <w:tcW w:w="672" w:type="dxa"/>
          </w:tcPr>
          <w:p w14:paraId="46DA0254">
            <w:pPr>
              <w:snapToGrid w:val="0"/>
              <w:jc w:val="center"/>
              <w:rPr>
                <w:rFonts w:ascii="宋体" w:hAnsi="宋体"/>
                <w:color w:val="000000" w:themeColor="text1"/>
                <w:szCs w:val="21"/>
                <w14:textFill>
                  <w14:solidFill>
                    <w14:schemeClr w14:val="tx1"/>
                  </w14:solidFill>
                </w14:textFill>
              </w:rPr>
            </w:pPr>
          </w:p>
        </w:tc>
        <w:tc>
          <w:tcPr>
            <w:tcW w:w="738" w:type="dxa"/>
          </w:tcPr>
          <w:p w14:paraId="79E09C0C">
            <w:pPr>
              <w:snapToGrid w:val="0"/>
              <w:jc w:val="center"/>
              <w:rPr>
                <w:rFonts w:ascii="宋体" w:hAnsi="宋体"/>
                <w:color w:val="000000" w:themeColor="text1"/>
                <w:szCs w:val="21"/>
                <w14:textFill>
                  <w14:solidFill>
                    <w14:schemeClr w14:val="tx1"/>
                  </w14:solidFill>
                </w14:textFill>
              </w:rPr>
            </w:pPr>
          </w:p>
        </w:tc>
        <w:tc>
          <w:tcPr>
            <w:tcW w:w="1212" w:type="dxa"/>
          </w:tcPr>
          <w:p w14:paraId="31A8F0D2">
            <w:pPr>
              <w:snapToGrid w:val="0"/>
              <w:jc w:val="center"/>
              <w:rPr>
                <w:rFonts w:ascii="宋体" w:hAnsi="宋体"/>
                <w:color w:val="000000" w:themeColor="text1"/>
                <w:szCs w:val="21"/>
                <w14:textFill>
                  <w14:solidFill>
                    <w14:schemeClr w14:val="tx1"/>
                  </w14:solidFill>
                </w14:textFill>
              </w:rPr>
            </w:pPr>
          </w:p>
        </w:tc>
        <w:tc>
          <w:tcPr>
            <w:tcW w:w="874" w:type="dxa"/>
          </w:tcPr>
          <w:p w14:paraId="7F08E78C">
            <w:pPr>
              <w:snapToGrid w:val="0"/>
              <w:jc w:val="center"/>
              <w:rPr>
                <w:rFonts w:ascii="宋体" w:hAnsi="宋体"/>
                <w:color w:val="000000" w:themeColor="text1"/>
                <w:szCs w:val="21"/>
                <w14:textFill>
                  <w14:solidFill>
                    <w14:schemeClr w14:val="tx1"/>
                  </w14:solidFill>
                </w14:textFill>
              </w:rPr>
            </w:pPr>
          </w:p>
        </w:tc>
        <w:tc>
          <w:tcPr>
            <w:tcW w:w="1055" w:type="dxa"/>
          </w:tcPr>
          <w:p w14:paraId="58F169D4">
            <w:pPr>
              <w:snapToGrid w:val="0"/>
              <w:jc w:val="center"/>
              <w:rPr>
                <w:rFonts w:ascii="宋体" w:hAnsi="宋体"/>
                <w:color w:val="000000" w:themeColor="text1"/>
                <w:szCs w:val="21"/>
                <w14:textFill>
                  <w14:solidFill>
                    <w14:schemeClr w14:val="tx1"/>
                  </w14:solidFill>
                </w14:textFill>
              </w:rPr>
            </w:pPr>
          </w:p>
        </w:tc>
        <w:tc>
          <w:tcPr>
            <w:tcW w:w="691" w:type="dxa"/>
          </w:tcPr>
          <w:p w14:paraId="1009CA3D">
            <w:pPr>
              <w:snapToGrid w:val="0"/>
              <w:jc w:val="center"/>
              <w:rPr>
                <w:rFonts w:ascii="宋体" w:hAnsi="宋体"/>
                <w:color w:val="000000" w:themeColor="text1"/>
                <w:szCs w:val="21"/>
                <w14:textFill>
                  <w14:solidFill>
                    <w14:schemeClr w14:val="tx1"/>
                  </w14:solidFill>
                </w14:textFill>
              </w:rPr>
            </w:pPr>
          </w:p>
        </w:tc>
      </w:tr>
      <w:tr w14:paraId="3832B7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43CB0409">
            <w:pPr>
              <w:snapToGrid w:val="0"/>
              <w:jc w:val="center"/>
              <w:rPr>
                <w:rFonts w:ascii="宋体" w:hAnsi="宋体"/>
                <w:color w:val="000000" w:themeColor="text1"/>
                <w:szCs w:val="21"/>
                <w14:textFill>
                  <w14:solidFill>
                    <w14:schemeClr w14:val="tx1"/>
                  </w14:solidFill>
                </w14:textFill>
              </w:rPr>
            </w:pPr>
          </w:p>
        </w:tc>
        <w:tc>
          <w:tcPr>
            <w:tcW w:w="1674" w:type="dxa"/>
          </w:tcPr>
          <w:p w14:paraId="74DA71FD">
            <w:pPr>
              <w:snapToGrid w:val="0"/>
              <w:jc w:val="center"/>
              <w:rPr>
                <w:rFonts w:ascii="宋体" w:hAnsi="宋体"/>
                <w:color w:val="000000" w:themeColor="text1"/>
                <w:szCs w:val="21"/>
                <w14:textFill>
                  <w14:solidFill>
                    <w14:schemeClr w14:val="tx1"/>
                  </w14:solidFill>
                </w14:textFill>
              </w:rPr>
            </w:pPr>
          </w:p>
        </w:tc>
        <w:tc>
          <w:tcPr>
            <w:tcW w:w="761" w:type="dxa"/>
          </w:tcPr>
          <w:p w14:paraId="25D07234">
            <w:pPr>
              <w:snapToGrid w:val="0"/>
              <w:jc w:val="center"/>
              <w:rPr>
                <w:rFonts w:ascii="宋体" w:hAnsi="宋体"/>
                <w:color w:val="000000" w:themeColor="text1"/>
                <w:szCs w:val="21"/>
                <w14:textFill>
                  <w14:solidFill>
                    <w14:schemeClr w14:val="tx1"/>
                  </w14:solidFill>
                </w14:textFill>
              </w:rPr>
            </w:pPr>
          </w:p>
        </w:tc>
        <w:tc>
          <w:tcPr>
            <w:tcW w:w="990" w:type="dxa"/>
          </w:tcPr>
          <w:p w14:paraId="54EF1C8E">
            <w:pPr>
              <w:snapToGrid w:val="0"/>
              <w:jc w:val="center"/>
              <w:rPr>
                <w:rFonts w:ascii="宋体" w:hAnsi="宋体"/>
                <w:color w:val="000000" w:themeColor="text1"/>
                <w:szCs w:val="21"/>
                <w14:textFill>
                  <w14:solidFill>
                    <w14:schemeClr w14:val="tx1"/>
                  </w14:solidFill>
                </w14:textFill>
              </w:rPr>
            </w:pPr>
          </w:p>
        </w:tc>
        <w:tc>
          <w:tcPr>
            <w:tcW w:w="672" w:type="dxa"/>
          </w:tcPr>
          <w:p w14:paraId="4CFB0507">
            <w:pPr>
              <w:snapToGrid w:val="0"/>
              <w:jc w:val="center"/>
              <w:rPr>
                <w:rFonts w:ascii="宋体" w:hAnsi="宋体"/>
                <w:color w:val="000000" w:themeColor="text1"/>
                <w:szCs w:val="21"/>
                <w14:textFill>
                  <w14:solidFill>
                    <w14:schemeClr w14:val="tx1"/>
                  </w14:solidFill>
                </w14:textFill>
              </w:rPr>
            </w:pPr>
          </w:p>
        </w:tc>
        <w:tc>
          <w:tcPr>
            <w:tcW w:w="738" w:type="dxa"/>
          </w:tcPr>
          <w:p w14:paraId="0CB6D0C6">
            <w:pPr>
              <w:snapToGrid w:val="0"/>
              <w:jc w:val="center"/>
              <w:rPr>
                <w:rFonts w:ascii="宋体" w:hAnsi="宋体"/>
                <w:color w:val="000000" w:themeColor="text1"/>
                <w:szCs w:val="21"/>
                <w14:textFill>
                  <w14:solidFill>
                    <w14:schemeClr w14:val="tx1"/>
                  </w14:solidFill>
                </w14:textFill>
              </w:rPr>
            </w:pPr>
          </w:p>
        </w:tc>
        <w:tc>
          <w:tcPr>
            <w:tcW w:w="1212" w:type="dxa"/>
          </w:tcPr>
          <w:p w14:paraId="55D98D2C">
            <w:pPr>
              <w:snapToGrid w:val="0"/>
              <w:jc w:val="center"/>
              <w:rPr>
                <w:rFonts w:ascii="宋体" w:hAnsi="宋体"/>
                <w:color w:val="000000" w:themeColor="text1"/>
                <w:szCs w:val="21"/>
                <w14:textFill>
                  <w14:solidFill>
                    <w14:schemeClr w14:val="tx1"/>
                  </w14:solidFill>
                </w14:textFill>
              </w:rPr>
            </w:pPr>
          </w:p>
        </w:tc>
        <w:tc>
          <w:tcPr>
            <w:tcW w:w="874" w:type="dxa"/>
          </w:tcPr>
          <w:p w14:paraId="5F949089">
            <w:pPr>
              <w:snapToGrid w:val="0"/>
              <w:jc w:val="center"/>
              <w:rPr>
                <w:rFonts w:ascii="宋体" w:hAnsi="宋体"/>
                <w:color w:val="000000" w:themeColor="text1"/>
                <w:szCs w:val="21"/>
                <w14:textFill>
                  <w14:solidFill>
                    <w14:schemeClr w14:val="tx1"/>
                  </w14:solidFill>
                </w14:textFill>
              </w:rPr>
            </w:pPr>
          </w:p>
        </w:tc>
        <w:tc>
          <w:tcPr>
            <w:tcW w:w="1055" w:type="dxa"/>
          </w:tcPr>
          <w:p w14:paraId="1B49BBB8">
            <w:pPr>
              <w:snapToGrid w:val="0"/>
              <w:jc w:val="center"/>
              <w:rPr>
                <w:rFonts w:ascii="宋体" w:hAnsi="宋体"/>
                <w:color w:val="000000" w:themeColor="text1"/>
                <w:szCs w:val="21"/>
                <w14:textFill>
                  <w14:solidFill>
                    <w14:schemeClr w14:val="tx1"/>
                  </w14:solidFill>
                </w14:textFill>
              </w:rPr>
            </w:pPr>
          </w:p>
        </w:tc>
        <w:tc>
          <w:tcPr>
            <w:tcW w:w="691" w:type="dxa"/>
          </w:tcPr>
          <w:p w14:paraId="0E87C04A">
            <w:pPr>
              <w:snapToGrid w:val="0"/>
              <w:jc w:val="center"/>
              <w:rPr>
                <w:rFonts w:ascii="宋体" w:hAnsi="宋体"/>
                <w:color w:val="000000" w:themeColor="text1"/>
                <w:szCs w:val="21"/>
                <w14:textFill>
                  <w14:solidFill>
                    <w14:schemeClr w14:val="tx1"/>
                  </w14:solidFill>
                </w14:textFill>
              </w:rPr>
            </w:pPr>
          </w:p>
        </w:tc>
      </w:tr>
      <w:tr w14:paraId="225C63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0EF7AA5D">
            <w:pPr>
              <w:snapToGrid w:val="0"/>
              <w:jc w:val="center"/>
              <w:rPr>
                <w:rFonts w:ascii="宋体" w:hAnsi="宋体"/>
                <w:color w:val="000000" w:themeColor="text1"/>
                <w:szCs w:val="21"/>
                <w14:textFill>
                  <w14:solidFill>
                    <w14:schemeClr w14:val="tx1"/>
                  </w14:solidFill>
                </w14:textFill>
              </w:rPr>
            </w:pPr>
          </w:p>
        </w:tc>
        <w:tc>
          <w:tcPr>
            <w:tcW w:w="1674" w:type="dxa"/>
          </w:tcPr>
          <w:p w14:paraId="4BDBB07D">
            <w:pPr>
              <w:snapToGrid w:val="0"/>
              <w:jc w:val="center"/>
              <w:rPr>
                <w:rFonts w:ascii="宋体" w:hAnsi="宋体"/>
                <w:color w:val="000000" w:themeColor="text1"/>
                <w:szCs w:val="21"/>
                <w14:textFill>
                  <w14:solidFill>
                    <w14:schemeClr w14:val="tx1"/>
                  </w14:solidFill>
                </w14:textFill>
              </w:rPr>
            </w:pPr>
          </w:p>
        </w:tc>
        <w:tc>
          <w:tcPr>
            <w:tcW w:w="761" w:type="dxa"/>
          </w:tcPr>
          <w:p w14:paraId="7174D131">
            <w:pPr>
              <w:snapToGrid w:val="0"/>
              <w:jc w:val="center"/>
              <w:rPr>
                <w:rFonts w:ascii="宋体" w:hAnsi="宋体"/>
                <w:color w:val="000000" w:themeColor="text1"/>
                <w:szCs w:val="21"/>
                <w14:textFill>
                  <w14:solidFill>
                    <w14:schemeClr w14:val="tx1"/>
                  </w14:solidFill>
                </w14:textFill>
              </w:rPr>
            </w:pPr>
          </w:p>
        </w:tc>
        <w:tc>
          <w:tcPr>
            <w:tcW w:w="990" w:type="dxa"/>
          </w:tcPr>
          <w:p w14:paraId="5798D636">
            <w:pPr>
              <w:snapToGrid w:val="0"/>
              <w:jc w:val="center"/>
              <w:rPr>
                <w:rFonts w:ascii="宋体" w:hAnsi="宋体"/>
                <w:color w:val="000000" w:themeColor="text1"/>
                <w:szCs w:val="21"/>
                <w14:textFill>
                  <w14:solidFill>
                    <w14:schemeClr w14:val="tx1"/>
                  </w14:solidFill>
                </w14:textFill>
              </w:rPr>
            </w:pPr>
          </w:p>
        </w:tc>
        <w:tc>
          <w:tcPr>
            <w:tcW w:w="672" w:type="dxa"/>
          </w:tcPr>
          <w:p w14:paraId="64FA4CC8">
            <w:pPr>
              <w:snapToGrid w:val="0"/>
              <w:jc w:val="center"/>
              <w:rPr>
                <w:rFonts w:ascii="宋体" w:hAnsi="宋体"/>
                <w:color w:val="000000" w:themeColor="text1"/>
                <w:szCs w:val="21"/>
                <w14:textFill>
                  <w14:solidFill>
                    <w14:schemeClr w14:val="tx1"/>
                  </w14:solidFill>
                </w14:textFill>
              </w:rPr>
            </w:pPr>
          </w:p>
        </w:tc>
        <w:tc>
          <w:tcPr>
            <w:tcW w:w="738" w:type="dxa"/>
          </w:tcPr>
          <w:p w14:paraId="770DEBE1">
            <w:pPr>
              <w:snapToGrid w:val="0"/>
              <w:jc w:val="center"/>
              <w:rPr>
                <w:rFonts w:ascii="宋体" w:hAnsi="宋体"/>
                <w:color w:val="000000" w:themeColor="text1"/>
                <w:szCs w:val="21"/>
                <w14:textFill>
                  <w14:solidFill>
                    <w14:schemeClr w14:val="tx1"/>
                  </w14:solidFill>
                </w14:textFill>
              </w:rPr>
            </w:pPr>
          </w:p>
        </w:tc>
        <w:tc>
          <w:tcPr>
            <w:tcW w:w="1212" w:type="dxa"/>
          </w:tcPr>
          <w:p w14:paraId="54C2809A">
            <w:pPr>
              <w:snapToGrid w:val="0"/>
              <w:jc w:val="center"/>
              <w:rPr>
                <w:rFonts w:ascii="宋体" w:hAnsi="宋体"/>
                <w:color w:val="000000" w:themeColor="text1"/>
                <w:szCs w:val="21"/>
                <w14:textFill>
                  <w14:solidFill>
                    <w14:schemeClr w14:val="tx1"/>
                  </w14:solidFill>
                </w14:textFill>
              </w:rPr>
            </w:pPr>
          </w:p>
        </w:tc>
        <w:tc>
          <w:tcPr>
            <w:tcW w:w="874" w:type="dxa"/>
          </w:tcPr>
          <w:p w14:paraId="146F6BD3">
            <w:pPr>
              <w:snapToGrid w:val="0"/>
              <w:jc w:val="center"/>
              <w:rPr>
                <w:rFonts w:ascii="宋体" w:hAnsi="宋体"/>
                <w:color w:val="000000" w:themeColor="text1"/>
                <w:szCs w:val="21"/>
                <w14:textFill>
                  <w14:solidFill>
                    <w14:schemeClr w14:val="tx1"/>
                  </w14:solidFill>
                </w14:textFill>
              </w:rPr>
            </w:pPr>
          </w:p>
        </w:tc>
        <w:tc>
          <w:tcPr>
            <w:tcW w:w="1055" w:type="dxa"/>
          </w:tcPr>
          <w:p w14:paraId="55DFB256">
            <w:pPr>
              <w:snapToGrid w:val="0"/>
              <w:jc w:val="center"/>
              <w:rPr>
                <w:rFonts w:ascii="宋体" w:hAnsi="宋体"/>
                <w:color w:val="000000" w:themeColor="text1"/>
                <w:szCs w:val="21"/>
                <w14:textFill>
                  <w14:solidFill>
                    <w14:schemeClr w14:val="tx1"/>
                  </w14:solidFill>
                </w14:textFill>
              </w:rPr>
            </w:pPr>
          </w:p>
        </w:tc>
        <w:tc>
          <w:tcPr>
            <w:tcW w:w="691" w:type="dxa"/>
          </w:tcPr>
          <w:p w14:paraId="54C0AB25">
            <w:pPr>
              <w:snapToGrid w:val="0"/>
              <w:jc w:val="center"/>
              <w:rPr>
                <w:rFonts w:ascii="宋体" w:hAnsi="宋体"/>
                <w:color w:val="000000" w:themeColor="text1"/>
                <w:szCs w:val="21"/>
                <w14:textFill>
                  <w14:solidFill>
                    <w14:schemeClr w14:val="tx1"/>
                  </w14:solidFill>
                </w14:textFill>
              </w:rPr>
            </w:pPr>
          </w:p>
        </w:tc>
      </w:tr>
      <w:tr w14:paraId="766F7A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1C17425E">
            <w:pPr>
              <w:snapToGrid w:val="0"/>
              <w:jc w:val="center"/>
              <w:rPr>
                <w:rFonts w:ascii="宋体" w:hAnsi="宋体"/>
                <w:color w:val="000000" w:themeColor="text1"/>
                <w:szCs w:val="21"/>
                <w14:textFill>
                  <w14:solidFill>
                    <w14:schemeClr w14:val="tx1"/>
                  </w14:solidFill>
                </w14:textFill>
              </w:rPr>
            </w:pPr>
          </w:p>
        </w:tc>
        <w:tc>
          <w:tcPr>
            <w:tcW w:w="1674" w:type="dxa"/>
          </w:tcPr>
          <w:p w14:paraId="28335DF5">
            <w:pPr>
              <w:snapToGrid w:val="0"/>
              <w:jc w:val="center"/>
              <w:rPr>
                <w:rFonts w:ascii="宋体" w:hAnsi="宋体"/>
                <w:color w:val="000000" w:themeColor="text1"/>
                <w:szCs w:val="21"/>
                <w14:textFill>
                  <w14:solidFill>
                    <w14:schemeClr w14:val="tx1"/>
                  </w14:solidFill>
                </w14:textFill>
              </w:rPr>
            </w:pPr>
          </w:p>
        </w:tc>
        <w:tc>
          <w:tcPr>
            <w:tcW w:w="761" w:type="dxa"/>
          </w:tcPr>
          <w:p w14:paraId="38B64391">
            <w:pPr>
              <w:snapToGrid w:val="0"/>
              <w:jc w:val="center"/>
              <w:rPr>
                <w:rFonts w:ascii="宋体" w:hAnsi="宋体"/>
                <w:color w:val="000000" w:themeColor="text1"/>
                <w:szCs w:val="21"/>
                <w14:textFill>
                  <w14:solidFill>
                    <w14:schemeClr w14:val="tx1"/>
                  </w14:solidFill>
                </w14:textFill>
              </w:rPr>
            </w:pPr>
          </w:p>
        </w:tc>
        <w:tc>
          <w:tcPr>
            <w:tcW w:w="990" w:type="dxa"/>
          </w:tcPr>
          <w:p w14:paraId="4DBFA700">
            <w:pPr>
              <w:snapToGrid w:val="0"/>
              <w:jc w:val="center"/>
              <w:rPr>
                <w:rFonts w:ascii="宋体" w:hAnsi="宋体"/>
                <w:color w:val="000000" w:themeColor="text1"/>
                <w:szCs w:val="21"/>
                <w14:textFill>
                  <w14:solidFill>
                    <w14:schemeClr w14:val="tx1"/>
                  </w14:solidFill>
                </w14:textFill>
              </w:rPr>
            </w:pPr>
          </w:p>
        </w:tc>
        <w:tc>
          <w:tcPr>
            <w:tcW w:w="672" w:type="dxa"/>
          </w:tcPr>
          <w:p w14:paraId="596EB83A">
            <w:pPr>
              <w:snapToGrid w:val="0"/>
              <w:jc w:val="center"/>
              <w:rPr>
                <w:rFonts w:ascii="宋体" w:hAnsi="宋体"/>
                <w:color w:val="000000" w:themeColor="text1"/>
                <w:szCs w:val="21"/>
                <w14:textFill>
                  <w14:solidFill>
                    <w14:schemeClr w14:val="tx1"/>
                  </w14:solidFill>
                </w14:textFill>
              </w:rPr>
            </w:pPr>
          </w:p>
        </w:tc>
        <w:tc>
          <w:tcPr>
            <w:tcW w:w="738" w:type="dxa"/>
          </w:tcPr>
          <w:p w14:paraId="00DC35DD">
            <w:pPr>
              <w:snapToGrid w:val="0"/>
              <w:jc w:val="center"/>
              <w:rPr>
                <w:rFonts w:ascii="宋体" w:hAnsi="宋体"/>
                <w:color w:val="000000" w:themeColor="text1"/>
                <w:szCs w:val="21"/>
                <w14:textFill>
                  <w14:solidFill>
                    <w14:schemeClr w14:val="tx1"/>
                  </w14:solidFill>
                </w14:textFill>
              </w:rPr>
            </w:pPr>
          </w:p>
        </w:tc>
        <w:tc>
          <w:tcPr>
            <w:tcW w:w="1212" w:type="dxa"/>
          </w:tcPr>
          <w:p w14:paraId="061CFB82">
            <w:pPr>
              <w:snapToGrid w:val="0"/>
              <w:jc w:val="center"/>
              <w:rPr>
                <w:rFonts w:ascii="宋体" w:hAnsi="宋体"/>
                <w:color w:val="000000" w:themeColor="text1"/>
                <w:szCs w:val="21"/>
                <w14:textFill>
                  <w14:solidFill>
                    <w14:schemeClr w14:val="tx1"/>
                  </w14:solidFill>
                </w14:textFill>
              </w:rPr>
            </w:pPr>
          </w:p>
        </w:tc>
        <w:tc>
          <w:tcPr>
            <w:tcW w:w="874" w:type="dxa"/>
          </w:tcPr>
          <w:p w14:paraId="09E62EFC">
            <w:pPr>
              <w:snapToGrid w:val="0"/>
              <w:jc w:val="center"/>
              <w:rPr>
                <w:rFonts w:ascii="宋体" w:hAnsi="宋体"/>
                <w:color w:val="000000" w:themeColor="text1"/>
                <w:szCs w:val="21"/>
                <w14:textFill>
                  <w14:solidFill>
                    <w14:schemeClr w14:val="tx1"/>
                  </w14:solidFill>
                </w14:textFill>
              </w:rPr>
            </w:pPr>
          </w:p>
        </w:tc>
        <w:tc>
          <w:tcPr>
            <w:tcW w:w="1055" w:type="dxa"/>
          </w:tcPr>
          <w:p w14:paraId="014D4598">
            <w:pPr>
              <w:snapToGrid w:val="0"/>
              <w:jc w:val="center"/>
              <w:rPr>
                <w:rFonts w:ascii="宋体" w:hAnsi="宋体"/>
                <w:color w:val="000000" w:themeColor="text1"/>
                <w:szCs w:val="21"/>
                <w14:textFill>
                  <w14:solidFill>
                    <w14:schemeClr w14:val="tx1"/>
                  </w14:solidFill>
                </w14:textFill>
              </w:rPr>
            </w:pPr>
          </w:p>
        </w:tc>
        <w:tc>
          <w:tcPr>
            <w:tcW w:w="691" w:type="dxa"/>
          </w:tcPr>
          <w:p w14:paraId="3DA64119">
            <w:pPr>
              <w:snapToGrid w:val="0"/>
              <w:jc w:val="center"/>
              <w:rPr>
                <w:rFonts w:ascii="宋体" w:hAnsi="宋体"/>
                <w:color w:val="000000" w:themeColor="text1"/>
                <w:szCs w:val="21"/>
                <w14:textFill>
                  <w14:solidFill>
                    <w14:schemeClr w14:val="tx1"/>
                  </w14:solidFill>
                </w14:textFill>
              </w:rPr>
            </w:pPr>
          </w:p>
        </w:tc>
      </w:tr>
      <w:tr w14:paraId="35089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7F94E15A">
            <w:pPr>
              <w:snapToGrid w:val="0"/>
              <w:jc w:val="center"/>
              <w:rPr>
                <w:rFonts w:ascii="宋体" w:hAnsi="宋体"/>
                <w:color w:val="000000" w:themeColor="text1"/>
                <w:szCs w:val="21"/>
                <w14:textFill>
                  <w14:solidFill>
                    <w14:schemeClr w14:val="tx1"/>
                  </w14:solidFill>
                </w14:textFill>
              </w:rPr>
            </w:pPr>
          </w:p>
        </w:tc>
        <w:tc>
          <w:tcPr>
            <w:tcW w:w="1674" w:type="dxa"/>
          </w:tcPr>
          <w:p w14:paraId="410F0E05">
            <w:pPr>
              <w:snapToGrid w:val="0"/>
              <w:jc w:val="center"/>
              <w:rPr>
                <w:rFonts w:ascii="宋体" w:hAnsi="宋体"/>
                <w:color w:val="000000" w:themeColor="text1"/>
                <w:szCs w:val="21"/>
                <w14:textFill>
                  <w14:solidFill>
                    <w14:schemeClr w14:val="tx1"/>
                  </w14:solidFill>
                </w14:textFill>
              </w:rPr>
            </w:pPr>
          </w:p>
        </w:tc>
        <w:tc>
          <w:tcPr>
            <w:tcW w:w="761" w:type="dxa"/>
          </w:tcPr>
          <w:p w14:paraId="4740692D">
            <w:pPr>
              <w:snapToGrid w:val="0"/>
              <w:jc w:val="center"/>
              <w:rPr>
                <w:rFonts w:ascii="宋体" w:hAnsi="宋体"/>
                <w:color w:val="000000" w:themeColor="text1"/>
                <w:szCs w:val="21"/>
                <w14:textFill>
                  <w14:solidFill>
                    <w14:schemeClr w14:val="tx1"/>
                  </w14:solidFill>
                </w14:textFill>
              </w:rPr>
            </w:pPr>
          </w:p>
        </w:tc>
        <w:tc>
          <w:tcPr>
            <w:tcW w:w="990" w:type="dxa"/>
          </w:tcPr>
          <w:p w14:paraId="3C5ED9CD">
            <w:pPr>
              <w:snapToGrid w:val="0"/>
              <w:jc w:val="center"/>
              <w:rPr>
                <w:rFonts w:ascii="宋体" w:hAnsi="宋体"/>
                <w:color w:val="000000" w:themeColor="text1"/>
                <w:szCs w:val="21"/>
                <w14:textFill>
                  <w14:solidFill>
                    <w14:schemeClr w14:val="tx1"/>
                  </w14:solidFill>
                </w14:textFill>
              </w:rPr>
            </w:pPr>
          </w:p>
        </w:tc>
        <w:tc>
          <w:tcPr>
            <w:tcW w:w="672" w:type="dxa"/>
          </w:tcPr>
          <w:p w14:paraId="4E8ECE72">
            <w:pPr>
              <w:snapToGrid w:val="0"/>
              <w:jc w:val="center"/>
              <w:rPr>
                <w:rFonts w:ascii="宋体" w:hAnsi="宋体"/>
                <w:color w:val="000000" w:themeColor="text1"/>
                <w:szCs w:val="21"/>
                <w14:textFill>
                  <w14:solidFill>
                    <w14:schemeClr w14:val="tx1"/>
                  </w14:solidFill>
                </w14:textFill>
              </w:rPr>
            </w:pPr>
          </w:p>
        </w:tc>
        <w:tc>
          <w:tcPr>
            <w:tcW w:w="738" w:type="dxa"/>
          </w:tcPr>
          <w:p w14:paraId="109A328F">
            <w:pPr>
              <w:snapToGrid w:val="0"/>
              <w:jc w:val="center"/>
              <w:rPr>
                <w:rFonts w:ascii="宋体" w:hAnsi="宋体"/>
                <w:color w:val="000000" w:themeColor="text1"/>
                <w:szCs w:val="21"/>
                <w14:textFill>
                  <w14:solidFill>
                    <w14:schemeClr w14:val="tx1"/>
                  </w14:solidFill>
                </w14:textFill>
              </w:rPr>
            </w:pPr>
          </w:p>
        </w:tc>
        <w:tc>
          <w:tcPr>
            <w:tcW w:w="1212" w:type="dxa"/>
          </w:tcPr>
          <w:p w14:paraId="70CB5E15">
            <w:pPr>
              <w:snapToGrid w:val="0"/>
              <w:jc w:val="center"/>
              <w:rPr>
                <w:rFonts w:ascii="宋体" w:hAnsi="宋体"/>
                <w:color w:val="000000" w:themeColor="text1"/>
                <w:szCs w:val="21"/>
                <w14:textFill>
                  <w14:solidFill>
                    <w14:schemeClr w14:val="tx1"/>
                  </w14:solidFill>
                </w14:textFill>
              </w:rPr>
            </w:pPr>
          </w:p>
        </w:tc>
        <w:tc>
          <w:tcPr>
            <w:tcW w:w="874" w:type="dxa"/>
          </w:tcPr>
          <w:p w14:paraId="0212B576">
            <w:pPr>
              <w:snapToGrid w:val="0"/>
              <w:jc w:val="center"/>
              <w:rPr>
                <w:rFonts w:ascii="宋体" w:hAnsi="宋体"/>
                <w:color w:val="000000" w:themeColor="text1"/>
                <w:szCs w:val="21"/>
                <w14:textFill>
                  <w14:solidFill>
                    <w14:schemeClr w14:val="tx1"/>
                  </w14:solidFill>
                </w14:textFill>
              </w:rPr>
            </w:pPr>
          </w:p>
        </w:tc>
        <w:tc>
          <w:tcPr>
            <w:tcW w:w="1055" w:type="dxa"/>
          </w:tcPr>
          <w:p w14:paraId="6388F007">
            <w:pPr>
              <w:snapToGrid w:val="0"/>
              <w:jc w:val="center"/>
              <w:rPr>
                <w:rFonts w:ascii="宋体" w:hAnsi="宋体"/>
                <w:color w:val="000000" w:themeColor="text1"/>
                <w:szCs w:val="21"/>
                <w14:textFill>
                  <w14:solidFill>
                    <w14:schemeClr w14:val="tx1"/>
                  </w14:solidFill>
                </w14:textFill>
              </w:rPr>
            </w:pPr>
          </w:p>
        </w:tc>
        <w:tc>
          <w:tcPr>
            <w:tcW w:w="691" w:type="dxa"/>
          </w:tcPr>
          <w:p w14:paraId="1E0FE8A9">
            <w:pPr>
              <w:snapToGrid w:val="0"/>
              <w:jc w:val="center"/>
              <w:rPr>
                <w:rFonts w:ascii="宋体" w:hAnsi="宋体"/>
                <w:color w:val="000000" w:themeColor="text1"/>
                <w:szCs w:val="21"/>
                <w14:textFill>
                  <w14:solidFill>
                    <w14:schemeClr w14:val="tx1"/>
                  </w14:solidFill>
                </w14:textFill>
              </w:rPr>
            </w:pPr>
          </w:p>
        </w:tc>
      </w:tr>
    </w:tbl>
    <w:p w14:paraId="594EDBAE">
      <w:pPr>
        <w:spacing w:line="440" w:lineRule="exact"/>
        <w:rPr>
          <w:rFonts w:ascii="宋体" w:hAnsi="宋体"/>
          <w:color w:val="000000" w:themeColor="text1"/>
          <w:szCs w:val="21"/>
          <w14:textFill>
            <w14:solidFill>
              <w14:schemeClr w14:val="tx1"/>
            </w14:solidFill>
          </w14:textFill>
        </w:rPr>
      </w:pPr>
    </w:p>
    <w:p w14:paraId="25A25A77">
      <w:pPr>
        <w:pageBreakBefore/>
        <w:spacing w:line="440" w:lineRule="exact"/>
        <w:rPr>
          <w:rFonts w:ascii="宋体" w:hAnsi="宋体"/>
          <w:color w:val="000000" w:themeColor="text1"/>
          <w:szCs w:val="21"/>
          <w14:textFill>
            <w14:solidFill>
              <w14:schemeClr w14:val="tx1"/>
            </w14:solidFill>
          </w14:textFill>
        </w:rPr>
      </w:pPr>
      <w:bookmarkStart w:id="880" w:name="_Toc152045799"/>
      <w:bookmarkStart w:id="881" w:name="_Toc152042588"/>
      <w:bookmarkStart w:id="882" w:name="_Toc246997109"/>
      <w:bookmarkStart w:id="883" w:name="_Toc296602611"/>
      <w:bookmarkStart w:id="884" w:name="_Toc247085884"/>
      <w:bookmarkStart w:id="885" w:name="_Toc179632819"/>
      <w:bookmarkStart w:id="886" w:name="_Toc246996366"/>
      <w:bookmarkStart w:id="887" w:name="_Toc144974867"/>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二</w:t>
      </w:r>
      <w:r>
        <w:rPr>
          <w:rFonts w:ascii="宋体" w:hAnsi="宋体"/>
          <w:color w:val="000000" w:themeColor="text1"/>
          <w:szCs w:val="21"/>
          <w14:textFill>
            <w14:solidFill>
              <w14:schemeClr w14:val="tx1"/>
            </w14:solidFill>
          </w14:textFill>
        </w:rPr>
        <w:t>：劳动力计划表</w:t>
      </w:r>
      <w:bookmarkEnd w:id="880"/>
      <w:bookmarkEnd w:id="881"/>
      <w:bookmarkEnd w:id="882"/>
      <w:bookmarkEnd w:id="883"/>
      <w:bookmarkEnd w:id="884"/>
      <w:bookmarkEnd w:id="885"/>
      <w:bookmarkEnd w:id="886"/>
      <w:bookmarkEnd w:id="887"/>
    </w:p>
    <w:p w14:paraId="32B87381">
      <w:pPr>
        <w:spacing w:line="440" w:lineRule="exact"/>
        <w:ind w:right="200"/>
        <w:jc w:val="righ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单位：人</w:t>
      </w:r>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58"/>
        <w:gridCol w:w="1304"/>
        <w:gridCol w:w="1065"/>
        <w:gridCol w:w="1065"/>
        <w:gridCol w:w="1065"/>
        <w:gridCol w:w="1065"/>
        <w:gridCol w:w="1065"/>
        <w:gridCol w:w="1064"/>
      </w:tblGrid>
      <w:tr w14:paraId="58D3D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vAlign w:val="center"/>
          </w:tcPr>
          <w:p w14:paraId="76F6522B">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工种</w:t>
            </w:r>
          </w:p>
        </w:tc>
        <w:tc>
          <w:tcPr>
            <w:tcW w:w="7693" w:type="dxa"/>
            <w:gridSpan w:val="7"/>
            <w:vAlign w:val="center"/>
          </w:tcPr>
          <w:p w14:paraId="53F9A5DA">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按工程施工阶段投入劳动力情况</w:t>
            </w:r>
          </w:p>
        </w:tc>
      </w:tr>
      <w:tr w14:paraId="1A62B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vAlign w:val="center"/>
          </w:tcPr>
          <w:p w14:paraId="1F80A571">
            <w:pPr>
              <w:snapToGrid w:val="0"/>
              <w:jc w:val="center"/>
              <w:rPr>
                <w:rFonts w:ascii="宋体" w:hAnsi="宋体"/>
                <w:color w:val="000000" w:themeColor="text1"/>
                <w:szCs w:val="21"/>
                <w14:textFill>
                  <w14:solidFill>
                    <w14:schemeClr w14:val="tx1"/>
                  </w14:solidFill>
                </w14:textFill>
              </w:rPr>
            </w:pPr>
          </w:p>
        </w:tc>
        <w:tc>
          <w:tcPr>
            <w:tcW w:w="1304" w:type="dxa"/>
            <w:vAlign w:val="center"/>
          </w:tcPr>
          <w:p w14:paraId="326010BD">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33247C79">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2EC65F51">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43518390">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64EA2598">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136E33A6">
            <w:pPr>
              <w:snapToGrid w:val="0"/>
              <w:jc w:val="center"/>
              <w:rPr>
                <w:rFonts w:ascii="宋体" w:hAnsi="宋体"/>
                <w:color w:val="000000" w:themeColor="text1"/>
                <w:szCs w:val="21"/>
                <w14:textFill>
                  <w14:solidFill>
                    <w14:schemeClr w14:val="tx1"/>
                  </w14:solidFill>
                </w14:textFill>
              </w:rPr>
            </w:pPr>
          </w:p>
        </w:tc>
        <w:tc>
          <w:tcPr>
            <w:tcW w:w="1064" w:type="dxa"/>
            <w:vAlign w:val="center"/>
          </w:tcPr>
          <w:p w14:paraId="63BAC3D3">
            <w:pPr>
              <w:snapToGrid w:val="0"/>
              <w:jc w:val="center"/>
              <w:rPr>
                <w:rFonts w:ascii="宋体" w:hAnsi="宋体"/>
                <w:color w:val="000000" w:themeColor="text1"/>
                <w:szCs w:val="21"/>
                <w14:textFill>
                  <w14:solidFill>
                    <w14:schemeClr w14:val="tx1"/>
                  </w14:solidFill>
                </w14:textFill>
              </w:rPr>
            </w:pPr>
          </w:p>
        </w:tc>
      </w:tr>
      <w:tr w14:paraId="384316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vAlign w:val="center"/>
          </w:tcPr>
          <w:p w14:paraId="2FF11F64">
            <w:pPr>
              <w:snapToGrid w:val="0"/>
              <w:jc w:val="center"/>
              <w:rPr>
                <w:rFonts w:ascii="宋体" w:hAnsi="宋体"/>
                <w:color w:val="000000" w:themeColor="text1"/>
                <w:szCs w:val="21"/>
                <w14:textFill>
                  <w14:solidFill>
                    <w14:schemeClr w14:val="tx1"/>
                  </w14:solidFill>
                </w14:textFill>
              </w:rPr>
            </w:pPr>
          </w:p>
        </w:tc>
        <w:tc>
          <w:tcPr>
            <w:tcW w:w="1304" w:type="dxa"/>
            <w:vAlign w:val="center"/>
          </w:tcPr>
          <w:p w14:paraId="250F32CD">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74DFA220">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3FEC1859">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716FE2F2">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2577FA8D">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4CC3F35B">
            <w:pPr>
              <w:snapToGrid w:val="0"/>
              <w:jc w:val="center"/>
              <w:rPr>
                <w:rFonts w:ascii="宋体" w:hAnsi="宋体"/>
                <w:color w:val="000000" w:themeColor="text1"/>
                <w:szCs w:val="21"/>
                <w14:textFill>
                  <w14:solidFill>
                    <w14:schemeClr w14:val="tx1"/>
                  </w14:solidFill>
                </w14:textFill>
              </w:rPr>
            </w:pPr>
          </w:p>
        </w:tc>
        <w:tc>
          <w:tcPr>
            <w:tcW w:w="1064" w:type="dxa"/>
            <w:vAlign w:val="center"/>
          </w:tcPr>
          <w:p w14:paraId="39A64DDC">
            <w:pPr>
              <w:snapToGrid w:val="0"/>
              <w:jc w:val="center"/>
              <w:rPr>
                <w:rFonts w:ascii="宋体" w:hAnsi="宋体"/>
                <w:color w:val="000000" w:themeColor="text1"/>
                <w:szCs w:val="21"/>
                <w14:textFill>
                  <w14:solidFill>
                    <w14:schemeClr w14:val="tx1"/>
                  </w14:solidFill>
                </w14:textFill>
              </w:rPr>
            </w:pPr>
          </w:p>
        </w:tc>
      </w:tr>
      <w:tr w14:paraId="384C53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4B226FFE">
            <w:pPr>
              <w:snapToGrid w:val="0"/>
              <w:jc w:val="center"/>
              <w:rPr>
                <w:rFonts w:ascii="宋体" w:hAnsi="宋体"/>
                <w:color w:val="000000" w:themeColor="text1"/>
                <w:szCs w:val="21"/>
                <w14:textFill>
                  <w14:solidFill>
                    <w14:schemeClr w14:val="tx1"/>
                  </w14:solidFill>
                </w14:textFill>
              </w:rPr>
            </w:pPr>
          </w:p>
        </w:tc>
        <w:tc>
          <w:tcPr>
            <w:tcW w:w="1304" w:type="dxa"/>
          </w:tcPr>
          <w:p w14:paraId="76838ECD">
            <w:pPr>
              <w:snapToGrid w:val="0"/>
              <w:jc w:val="center"/>
              <w:rPr>
                <w:rFonts w:ascii="宋体" w:hAnsi="宋体"/>
                <w:color w:val="000000" w:themeColor="text1"/>
                <w:szCs w:val="21"/>
                <w14:textFill>
                  <w14:solidFill>
                    <w14:schemeClr w14:val="tx1"/>
                  </w14:solidFill>
                </w14:textFill>
              </w:rPr>
            </w:pPr>
          </w:p>
        </w:tc>
        <w:tc>
          <w:tcPr>
            <w:tcW w:w="1065" w:type="dxa"/>
          </w:tcPr>
          <w:p w14:paraId="255A52C4">
            <w:pPr>
              <w:snapToGrid w:val="0"/>
              <w:jc w:val="center"/>
              <w:rPr>
                <w:rFonts w:ascii="宋体" w:hAnsi="宋体"/>
                <w:color w:val="000000" w:themeColor="text1"/>
                <w:szCs w:val="21"/>
                <w14:textFill>
                  <w14:solidFill>
                    <w14:schemeClr w14:val="tx1"/>
                  </w14:solidFill>
                </w14:textFill>
              </w:rPr>
            </w:pPr>
          </w:p>
        </w:tc>
        <w:tc>
          <w:tcPr>
            <w:tcW w:w="1065" w:type="dxa"/>
          </w:tcPr>
          <w:p w14:paraId="07CBB958">
            <w:pPr>
              <w:snapToGrid w:val="0"/>
              <w:jc w:val="center"/>
              <w:rPr>
                <w:rFonts w:ascii="宋体" w:hAnsi="宋体"/>
                <w:color w:val="000000" w:themeColor="text1"/>
                <w:szCs w:val="21"/>
                <w14:textFill>
                  <w14:solidFill>
                    <w14:schemeClr w14:val="tx1"/>
                  </w14:solidFill>
                </w14:textFill>
              </w:rPr>
            </w:pPr>
          </w:p>
        </w:tc>
        <w:tc>
          <w:tcPr>
            <w:tcW w:w="1065" w:type="dxa"/>
          </w:tcPr>
          <w:p w14:paraId="19429E33">
            <w:pPr>
              <w:snapToGrid w:val="0"/>
              <w:jc w:val="center"/>
              <w:rPr>
                <w:rFonts w:ascii="宋体" w:hAnsi="宋体"/>
                <w:color w:val="000000" w:themeColor="text1"/>
                <w:szCs w:val="21"/>
                <w14:textFill>
                  <w14:solidFill>
                    <w14:schemeClr w14:val="tx1"/>
                  </w14:solidFill>
                </w14:textFill>
              </w:rPr>
            </w:pPr>
          </w:p>
        </w:tc>
        <w:tc>
          <w:tcPr>
            <w:tcW w:w="1065" w:type="dxa"/>
          </w:tcPr>
          <w:p w14:paraId="0A5AC60B">
            <w:pPr>
              <w:snapToGrid w:val="0"/>
              <w:jc w:val="center"/>
              <w:rPr>
                <w:rFonts w:ascii="宋体" w:hAnsi="宋体"/>
                <w:color w:val="000000" w:themeColor="text1"/>
                <w:szCs w:val="21"/>
                <w14:textFill>
                  <w14:solidFill>
                    <w14:schemeClr w14:val="tx1"/>
                  </w14:solidFill>
                </w14:textFill>
              </w:rPr>
            </w:pPr>
          </w:p>
        </w:tc>
        <w:tc>
          <w:tcPr>
            <w:tcW w:w="1065" w:type="dxa"/>
          </w:tcPr>
          <w:p w14:paraId="1994AF8D">
            <w:pPr>
              <w:snapToGrid w:val="0"/>
              <w:jc w:val="center"/>
              <w:rPr>
                <w:rFonts w:ascii="宋体" w:hAnsi="宋体"/>
                <w:color w:val="000000" w:themeColor="text1"/>
                <w:szCs w:val="21"/>
                <w14:textFill>
                  <w14:solidFill>
                    <w14:schemeClr w14:val="tx1"/>
                  </w14:solidFill>
                </w14:textFill>
              </w:rPr>
            </w:pPr>
          </w:p>
        </w:tc>
        <w:tc>
          <w:tcPr>
            <w:tcW w:w="1064" w:type="dxa"/>
          </w:tcPr>
          <w:p w14:paraId="6130A694">
            <w:pPr>
              <w:snapToGrid w:val="0"/>
              <w:jc w:val="center"/>
              <w:rPr>
                <w:rFonts w:ascii="宋体" w:hAnsi="宋体"/>
                <w:color w:val="000000" w:themeColor="text1"/>
                <w:szCs w:val="21"/>
                <w14:textFill>
                  <w14:solidFill>
                    <w14:schemeClr w14:val="tx1"/>
                  </w14:solidFill>
                </w14:textFill>
              </w:rPr>
            </w:pPr>
          </w:p>
        </w:tc>
      </w:tr>
      <w:tr w14:paraId="6F1D9C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2F37EF7C">
            <w:pPr>
              <w:snapToGrid w:val="0"/>
              <w:jc w:val="center"/>
              <w:rPr>
                <w:rFonts w:ascii="宋体" w:hAnsi="宋体"/>
                <w:color w:val="000000" w:themeColor="text1"/>
                <w:szCs w:val="21"/>
                <w14:textFill>
                  <w14:solidFill>
                    <w14:schemeClr w14:val="tx1"/>
                  </w14:solidFill>
                </w14:textFill>
              </w:rPr>
            </w:pPr>
          </w:p>
        </w:tc>
        <w:tc>
          <w:tcPr>
            <w:tcW w:w="1304" w:type="dxa"/>
          </w:tcPr>
          <w:p w14:paraId="1C436DFF">
            <w:pPr>
              <w:snapToGrid w:val="0"/>
              <w:jc w:val="center"/>
              <w:rPr>
                <w:rFonts w:ascii="宋体" w:hAnsi="宋体"/>
                <w:color w:val="000000" w:themeColor="text1"/>
                <w:szCs w:val="21"/>
                <w14:textFill>
                  <w14:solidFill>
                    <w14:schemeClr w14:val="tx1"/>
                  </w14:solidFill>
                </w14:textFill>
              </w:rPr>
            </w:pPr>
          </w:p>
        </w:tc>
        <w:tc>
          <w:tcPr>
            <w:tcW w:w="1065" w:type="dxa"/>
          </w:tcPr>
          <w:p w14:paraId="7DED204C">
            <w:pPr>
              <w:snapToGrid w:val="0"/>
              <w:jc w:val="center"/>
              <w:rPr>
                <w:rFonts w:ascii="宋体" w:hAnsi="宋体"/>
                <w:color w:val="000000" w:themeColor="text1"/>
                <w:szCs w:val="21"/>
                <w14:textFill>
                  <w14:solidFill>
                    <w14:schemeClr w14:val="tx1"/>
                  </w14:solidFill>
                </w14:textFill>
              </w:rPr>
            </w:pPr>
          </w:p>
        </w:tc>
        <w:tc>
          <w:tcPr>
            <w:tcW w:w="1065" w:type="dxa"/>
          </w:tcPr>
          <w:p w14:paraId="76D17CDC">
            <w:pPr>
              <w:snapToGrid w:val="0"/>
              <w:jc w:val="center"/>
              <w:rPr>
                <w:rFonts w:ascii="宋体" w:hAnsi="宋体"/>
                <w:color w:val="000000" w:themeColor="text1"/>
                <w:szCs w:val="21"/>
                <w14:textFill>
                  <w14:solidFill>
                    <w14:schemeClr w14:val="tx1"/>
                  </w14:solidFill>
                </w14:textFill>
              </w:rPr>
            </w:pPr>
          </w:p>
        </w:tc>
        <w:tc>
          <w:tcPr>
            <w:tcW w:w="1065" w:type="dxa"/>
          </w:tcPr>
          <w:p w14:paraId="64E89CE1">
            <w:pPr>
              <w:snapToGrid w:val="0"/>
              <w:jc w:val="center"/>
              <w:rPr>
                <w:rFonts w:ascii="宋体" w:hAnsi="宋体"/>
                <w:color w:val="000000" w:themeColor="text1"/>
                <w:szCs w:val="21"/>
                <w14:textFill>
                  <w14:solidFill>
                    <w14:schemeClr w14:val="tx1"/>
                  </w14:solidFill>
                </w14:textFill>
              </w:rPr>
            </w:pPr>
          </w:p>
        </w:tc>
        <w:tc>
          <w:tcPr>
            <w:tcW w:w="1065" w:type="dxa"/>
          </w:tcPr>
          <w:p w14:paraId="4B7A61E5">
            <w:pPr>
              <w:snapToGrid w:val="0"/>
              <w:jc w:val="center"/>
              <w:rPr>
                <w:rFonts w:ascii="宋体" w:hAnsi="宋体"/>
                <w:color w:val="000000" w:themeColor="text1"/>
                <w:szCs w:val="21"/>
                <w14:textFill>
                  <w14:solidFill>
                    <w14:schemeClr w14:val="tx1"/>
                  </w14:solidFill>
                </w14:textFill>
              </w:rPr>
            </w:pPr>
          </w:p>
        </w:tc>
        <w:tc>
          <w:tcPr>
            <w:tcW w:w="1065" w:type="dxa"/>
          </w:tcPr>
          <w:p w14:paraId="410139EE">
            <w:pPr>
              <w:snapToGrid w:val="0"/>
              <w:jc w:val="center"/>
              <w:rPr>
                <w:rFonts w:ascii="宋体" w:hAnsi="宋体"/>
                <w:color w:val="000000" w:themeColor="text1"/>
                <w:szCs w:val="21"/>
                <w14:textFill>
                  <w14:solidFill>
                    <w14:schemeClr w14:val="tx1"/>
                  </w14:solidFill>
                </w14:textFill>
              </w:rPr>
            </w:pPr>
          </w:p>
        </w:tc>
        <w:tc>
          <w:tcPr>
            <w:tcW w:w="1064" w:type="dxa"/>
          </w:tcPr>
          <w:p w14:paraId="70261ED0">
            <w:pPr>
              <w:snapToGrid w:val="0"/>
              <w:jc w:val="center"/>
              <w:rPr>
                <w:rFonts w:ascii="宋体" w:hAnsi="宋体"/>
                <w:color w:val="000000" w:themeColor="text1"/>
                <w:szCs w:val="21"/>
                <w14:textFill>
                  <w14:solidFill>
                    <w14:schemeClr w14:val="tx1"/>
                  </w14:solidFill>
                </w14:textFill>
              </w:rPr>
            </w:pPr>
          </w:p>
        </w:tc>
      </w:tr>
      <w:tr w14:paraId="1FF822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6AFEBB37">
            <w:pPr>
              <w:snapToGrid w:val="0"/>
              <w:jc w:val="center"/>
              <w:rPr>
                <w:rFonts w:ascii="宋体" w:hAnsi="宋体"/>
                <w:color w:val="000000" w:themeColor="text1"/>
                <w:szCs w:val="21"/>
                <w14:textFill>
                  <w14:solidFill>
                    <w14:schemeClr w14:val="tx1"/>
                  </w14:solidFill>
                </w14:textFill>
              </w:rPr>
            </w:pPr>
          </w:p>
        </w:tc>
        <w:tc>
          <w:tcPr>
            <w:tcW w:w="1304" w:type="dxa"/>
          </w:tcPr>
          <w:p w14:paraId="4860ECCB">
            <w:pPr>
              <w:snapToGrid w:val="0"/>
              <w:jc w:val="center"/>
              <w:rPr>
                <w:rFonts w:ascii="宋体" w:hAnsi="宋体"/>
                <w:color w:val="000000" w:themeColor="text1"/>
                <w:szCs w:val="21"/>
                <w14:textFill>
                  <w14:solidFill>
                    <w14:schemeClr w14:val="tx1"/>
                  </w14:solidFill>
                </w14:textFill>
              </w:rPr>
            </w:pPr>
          </w:p>
        </w:tc>
        <w:tc>
          <w:tcPr>
            <w:tcW w:w="1065" w:type="dxa"/>
          </w:tcPr>
          <w:p w14:paraId="2BCB8181">
            <w:pPr>
              <w:snapToGrid w:val="0"/>
              <w:jc w:val="center"/>
              <w:rPr>
                <w:rFonts w:ascii="宋体" w:hAnsi="宋体"/>
                <w:color w:val="000000" w:themeColor="text1"/>
                <w:szCs w:val="21"/>
                <w14:textFill>
                  <w14:solidFill>
                    <w14:schemeClr w14:val="tx1"/>
                  </w14:solidFill>
                </w14:textFill>
              </w:rPr>
            </w:pPr>
          </w:p>
        </w:tc>
        <w:tc>
          <w:tcPr>
            <w:tcW w:w="1065" w:type="dxa"/>
          </w:tcPr>
          <w:p w14:paraId="3DCF8DEA">
            <w:pPr>
              <w:snapToGrid w:val="0"/>
              <w:jc w:val="center"/>
              <w:rPr>
                <w:rFonts w:ascii="宋体" w:hAnsi="宋体"/>
                <w:color w:val="000000" w:themeColor="text1"/>
                <w:szCs w:val="21"/>
                <w14:textFill>
                  <w14:solidFill>
                    <w14:schemeClr w14:val="tx1"/>
                  </w14:solidFill>
                </w14:textFill>
              </w:rPr>
            </w:pPr>
          </w:p>
        </w:tc>
        <w:tc>
          <w:tcPr>
            <w:tcW w:w="1065" w:type="dxa"/>
          </w:tcPr>
          <w:p w14:paraId="5D80AA84">
            <w:pPr>
              <w:snapToGrid w:val="0"/>
              <w:jc w:val="center"/>
              <w:rPr>
                <w:rFonts w:ascii="宋体" w:hAnsi="宋体"/>
                <w:color w:val="000000" w:themeColor="text1"/>
                <w:szCs w:val="21"/>
                <w14:textFill>
                  <w14:solidFill>
                    <w14:schemeClr w14:val="tx1"/>
                  </w14:solidFill>
                </w14:textFill>
              </w:rPr>
            </w:pPr>
          </w:p>
        </w:tc>
        <w:tc>
          <w:tcPr>
            <w:tcW w:w="1065" w:type="dxa"/>
          </w:tcPr>
          <w:p w14:paraId="0F3C3E42">
            <w:pPr>
              <w:snapToGrid w:val="0"/>
              <w:jc w:val="center"/>
              <w:rPr>
                <w:rFonts w:ascii="宋体" w:hAnsi="宋体"/>
                <w:color w:val="000000" w:themeColor="text1"/>
                <w:szCs w:val="21"/>
                <w14:textFill>
                  <w14:solidFill>
                    <w14:schemeClr w14:val="tx1"/>
                  </w14:solidFill>
                </w14:textFill>
              </w:rPr>
            </w:pPr>
          </w:p>
        </w:tc>
        <w:tc>
          <w:tcPr>
            <w:tcW w:w="1065" w:type="dxa"/>
          </w:tcPr>
          <w:p w14:paraId="581CA228">
            <w:pPr>
              <w:snapToGrid w:val="0"/>
              <w:jc w:val="center"/>
              <w:rPr>
                <w:rFonts w:ascii="宋体" w:hAnsi="宋体"/>
                <w:color w:val="000000" w:themeColor="text1"/>
                <w:szCs w:val="21"/>
                <w14:textFill>
                  <w14:solidFill>
                    <w14:schemeClr w14:val="tx1"/>
                  </w14:solidFill>
                </w14:textFill>
              </w:rPr>
            </w:pPr>
          </w:p>
        </w:tc>
        <w:tc>
          <w:tcPr>
            <w:tcW w:w="1064" w:type="dxa"/>
          </w:tcPr>
          <w:p w14:paraId="3B3AA270">
            <w:pPr>
              <w:snapToGrid w:val="0"/>
              <w:jc w:val="center"/>
              <w:rPr>
                <w:rFonts w:ascii="宋体" w:hAnsi="宋体"/>
                <w:color w:val="000000" w:themeColor="text1"/>
                <w:szCs w:val="21"/>
                <w14:textFill>
                  <w14:solidFill>
                    <w14:schemeClr w14:val="tx1"/>
                  </w14:solidFill>
                </w14:textFill>
              </w:rPr>
            </w:pPr>
          </w:p>
        </w:tc>
      </w:tr>
      <w:tr w14:paraId="6E5E9E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4269F37B">
            <w:pPr>
              <w:snapToGrid w:val="0"/>
              <w:jc w:val="center"/>
              <w:rPr>
                <w:rFonts w:ascii="宋体" w:hAnsi="宋体"/>
                <w:color w:val="000000" w:themeColor="text1"/>
                <w:szCs w:val="21"/>
                <w14:textFill>
                  <w14:solidFill>
                    <w14:schemeClr w14:val="tx1"/>
                  </w14:solidFill>
                </w14:textFill>
              </w:rPr>
            </w:pPr>
          </w:p>
        </w:tc>
        <w:tc>
          <w:tcPr>
            <w:tcW w:w="1304" w:type="dxa"/>
          </w:tcPr>
          <w:p w14:paraId="75E7F88A">
            <w:pPr>
              <w:snapToGrid w:val="0"/>
              <w:jc w:val="center"/>
              <w:rPr>
                <w:rFonts w:ascii="宋体" w:hAnsi="宋体"/>
                <w:color w:val="000000" w:themeColor="text1"/>
                <w:szCs w:val="21"/>
                <w14:textFill>
                  <w14:solidFill>
                    <w14:schemeClr w14:val="tx1"/>
                  </w14:solidFill>
                </w14:textFill>
              </w:rPr>
            </w:pPr>
          </w:p>
        </w:tc>
        <w:tc>
          <w:tcPr>
            <w:tcW w:w="1065" w:type="dxa"/>
          </w:tcPr>
          <w:p w14:paraId="7A05490A">
            <w:pPr>
              <w:snapToGrid w:val="0"/>
              <w:jc w:val="center"/>
              <w:rPr>
                <w:rFonts w:ascii="宋体" w:hAnsi="宋体"/>
                <w:color w:val="000000" w:themeColor="text1"/>
                <w:szCs w:val="21"/>
                <w14:textFill>
                  <w14:solidFill>
                    <w14:schemeClr w14:val="tx1"/>
                  </w14:solidFill>
                </w14:textFill>
              </w:rPr>
            </w:pPr>
          </w:p>
        </w:tc>
        <w:tc>
          <w:tcPr>
            <w:tcW w:w="1065" w:type="dxa"/>
          </w:tcPr>
          <w:p w14:paraId="5DC2755F">
            <w:pPr>
              <w:snapToGrid w:val="0"/>
              <w:jc w:val="center"/>
              <w:rPr>
                <w:rFonts w:ascii="宋体" w:hAnsi="宋体"/>
                <w:color w:val="000000" w:themeColor="text1"/>
                <w:szCs w:val="21"/>
                <w14:textFill>
                  <w14:solidFill>
                    <w14:schemeClr w14:val="tx1"/>
                  </w14:solidFill>
                </w14:textFill>
              </w:rPr>
            </w:pPr>
          </w:p>
        </w:tc>
        <w:tc>
          <w:tcPr>
            <w:tcW w:w="1065" w:type="dxa"/>
          </w:tcPr>
          <w:p w14:paraId="258DDB00">
            <w:pPr>
              <w:snapToGrid w:val="0"/>
              <w:jc w:val="center"/>
              <w:rPr>
                <w:rFonts w:ascii="宋体" w:hAnsi="宋体"/>
                <w:color w:val="000000" w:themeColor="text1"/>
                <w:szCs w:val="21"/>
                <w14:textFill>
                  <w14:solidFill>
                    <w14:schemeClr w14:val="tx1"/>
                  </w14:solidFill>
                </w14:textFill>
              </w:rPr>
            </w:pPr>
          </w:p>
        </w:tc>
        <w:tc>
          <w:tcPr>
            <w:tcW w:w="1065" w:type="dxa"/>
          </w:tcPr>
          <w:p w14:paraId="52A197CD">
            <w:pPr>
              <w:snapToGrid w:val="0"/>
              <w:jc w:val="center"/>
              <w:rPr>
                <w:rFonts w:ascii="宋体" w:hAnsi="宋体"/>
                <w:color w:val="000000" w:themeColor="text1"/>
                <w:szCs w:val="21"/>
                <w14:textFill>
                  <w14:solidFill>
                    <w14:schemeClr w14:val="tx1"/>
                  </w14:solidFill>
                </w14:textFill>
              </w:rPr>
            </w:pPr>
          </w:p>
        </w:tc>
        <w:tc>
          <w:tcPr>
            <w:tcW w:w="1065" w:type="dxa"/>
          </w:tcPr>
          <w:p w14:paraId="74ED0C3C">
            <w:pPr>
              <w:snapToGrid w:val="0"/>
              <w:jc w:val="center"/>
              <w:rPr>
                <w:rFonts w:ascii="宋体" w:hAnsi="宋体"/>
                <w:color w:val="000000" w:themeColor="text1"/>
                <w:szCs w:val="21"/>
                <w14:textFill>
                  <w14:solidFill>
                    <w14:schemeClr w14:val="tx1"/>
                  </w14:solidFill>
                </w14:textFill>
              </w:rPr>
            </w:pPr>
          </w:p>
        </w:tc>
        <w:tc>
          <w:tcPr>
            <w:tcW w:w="1064" w:type="dxa"/>
          </w:tcPr>
          <w:p w14:paraId="7EADD484">
            <w:pPr>
              <w:snapToGrid w:val="0"/>
              <w:jc w:val="center"/>
              <w:rPr>
                <w:rFonts w:ascii="宋体" w:hAnsi="宋体"/>
                <w:color w:val="000000" w:themeColor="text1"/>
                <w:szCs w:val="21"/>
                <w14:textFill>
                  <w14:solidFill>
                    <w14:schemeClr w14:val="tx1"/>
                  </w14:solidFill>
                </w14:textFill>
              </w:rPr>
            </w:pPr>
          </w:p>
        </w:tc>
      </w:tr>
      <w:tr w14:paraId="258914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72B39AA">
            <w:pPr>
              <w:snapToGrid w:val="0"/>
              <w:jc w:val="center"/>
              <w:rPr>
                <w:rFonts w:ascii="宋体" w:hAnsi="宋体"/>
                <w:color w:val="000000" w:themeColor="text1"/>
                <w:szCs w:val="21"/>
                <w14:textFill>
                  <w14:solidFill>
                    <w14:schemeClr w14:val="tx1"/>
                  </w14:solidFill>
                </w14:textFill>
              </w:rPr>
            </w:pPr>
          </w:p>
        </w:tc>
        <w:tc>
          <w:tcPr>
            <w:tcW w:w="1304" w:type="dxa"/>
          </w:tcPr>
          <w:p w14:paraId="40E42BDA">
            <w:pPr>
              <w:snapToGrid w:val="0"/>
              <w:jc w:val="center"/>
              <w:rPr>
                <w:rFonts w:ascii="宋体" w:hAnsi="宋体"/>
                <w:color w:val="000000" w:themeColor="text1"/>
                <w:szCs w:val="21"/>
                <w14:textFill>
                  <w14:solidFill>
                    <w14:schemeClr w14:val="tx1"/>
                  </w14:solidFill>
                </w14:textFill>
              </w:rPr>
            </w:pPr>
          </w:p>
        </w:tc>
        <w:tc>
          <w:tcPr>
            <w:tcW w:w="1065" w:type="dxa"/>
          </w:tcPr>
          <w:p w14:paraId="659ADFCC">
            <w:pPr>
              <w:snapToGrid w:val="0"/>
              <w:jc w:val="center"/>
              <w:rPr>
                <w:rFonts w:ascii="宋体" w:hAnsi="宋体"/>
                <w:color w:val="000000" w:themeColor="text1"/>
                <w:szCs w:val="21"/>
                <w14:textFill>
                  <w14:solidFill>
                    <w14:schemeClr w14:val="tx1"/>
                  </w14:solidFill>
                </w14:textFill>
              </w:rPr>
            </w:pPr>
          </w:p>
        </w:tc>
        <w:tc>
          <w:tcPr>
            <w:tcW w:w="1065" w:type="dxa"/>
          </w:tcPr>
          <w:p w14:paraId="68E3058F">
            <w:pPr>
              <w:snapToGrid w:val="0"/>
              <w:jc w:val="center"/>
              <w:rPr>
                <w:rFonts w:ascii="宋体" w:hAnsi="宋体"/>
                <w:color w:val="000000" w:themeColor="text1"/>
                <w:szCs w:val="21"/>
                <w14:textFill>
                  <w14:solidFill>
                    <w14:schemeClr w14:val="tx1"/>
                  </w14:solidFill>
                </w14:textFill>
              </w:rPr>
            </w:pPr>
          </w:p>
        </w:tc>
        <w:tc>
          <w:tcPr>
            <w:tcW w:w="1065" w:type="dxa"/>
          </w:tcPr>
          <w:p w14:paraId="584911F4">
            <w:pPr>
              <w:snapToGrid w:val="0"/>
              <w:jc w:val="center"/>
              <w:rPr>
                <w:rFonts w:ascii="宋体" w:hAnsi="宋体"/>
                <w:color w:val="000000" w:themeColor="text1"/>
                <w:szCs w:val="21"/>
                <w14:textFill>
                  <w14:solidFill>
                    <w14:schemeClr w14:val="tx1"/>
                  </w14:solidFill>
                </w14:textFill>
              </w:rPr>
            </w:pPr>
          </w:p>
        </w:tc>
        <w:tc>
          <w:tcPr>
            <w:tcW w:w="1065" w:type="dxa"/>
          </w:tcPr>
          <w:p w14:paraId="6FB39A40">
            <w:pPr>
              <w:snapToGrid w:val="0"/>
              <w:jc w:val="center"/>
              <w:rPr>
                <w:rFonts w:ascii="宋体" w:hAnsi="宋体"/>
                <w:color w:val="000000" w:themeColor="text1"/>
                <w:szCs w:val="21"/>
                <w14:textFill>
                  <w14:solidFill>
                    <w14:schemeClr w14:val="tx1"/>
                  </w14:solidFill>
                </w14:textFill>
              </w:rPr>
            </w:pPr>
          </w:p>
        </w:tc>
        <w:tc>
          <w:tcPr>
            <w:tcW w:w="1065" w:type="dxa"/>
          </w:tcPr>
          <w:p w14:paraId="3F48F23B">
            <w:pPr>
              <w:snapToGrid w:val="0"/>
              <w:jc w:val="center"/>
              <w:rPr>
                <w:rFonts w:ascii="宋体" w:hAnsi="宋体"/>
                <w:color w:val="000000" w:themeColor="text1"/>
                <w:szCs w:val="21"/>
                <w14:textFill>
                  <w14:solidFill>
                    <w14:schemeClr w14:val="tx1"/>
                  </w14:solidFill>
                </w14:textFill>
              </w:rPr>
            </w:pPr>
          </w:p>
        </w:tc>
        <w:tc>
          <w:tcPr>
            <w:tcW w:w="1064" w:type="dxa"/>
          </w:tcPr>
          <w:p w14:paraId="0DFB4F14">
            <w:pPr>
              <w:snapToGrid w:val="0"/>
              <w:jc w:val="center"/>
              <w:rPr>
                <w:rFonts w:ascii="宋体" w:hAnsi="宋体"/>
                <w:color w:val="000000" w:themeColor="text1"/>
                <w:szCs w:val="21"/>
                <w14:textFill>
                  <w14:solidFill>
                    <w14:schemeClr w14:val="tx1"/>
                  </w14:solidFill>
                </w14:textFill>
              </w:rPr>
            </w:pPr>
          </w:p>
        </w:tc>
      </w:tr>
      <w:tr w14:paraId="50F8C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6E7D14A8">
            <w:pPr>
              <w:snapToGrid w:val="0"/>
              <w:jc w:val="center"/>
              <w:rPr>
                <w:rFonts w:ascii="宋体" w:hAnsi="宋体"/>
                <w:color w:val="000000" w:themeColor="text1"/>
                <w:szCs w:val="21"/>
                <w14:textFill>
                  <w14:solidFill>
                    <w14:schemeClr w14:val="tx1"/>
                  </w14:solidFill>
                </w14:textFill>
              </w:rPr>
            </w:pPr>
          </w:p>
        </w:tc>
        <w:tc>
          <w:tcPr>
            <w:tcW w:w="1304" w:type="dxa"/>
          </w:tcPr>
          <w:p w14:paraId="12E1F5D6">
            <w:pPr>
              <w:snapToGrid w:val="0"/>
              <w:jc w:val="center"/>
              <w:rPr>
                <w:rFonts w:ascii="宋体" w:hAnsi="宋体"/>
                <w:color w:val="000000" w:themeColor="text1"/>
                <w:szCs w:val="21"/>
                <w14:textFill>
                  <w14:solidFill>
                    <w14:schemeClr w14:val="tx1"/>
                  </w14:solidFill>
                </w14:textFill>
              </w:rPr>
            </w:pPr>
          </w:p>
        </w:tc>
        <w:tc>
          <w:tcPr>
            <w:tcW w:w="1065" w:type="dxa"/>
          </w:tcPr>
          <w:p w14:paraId="69010C53">
            <w:pPr>
              <w:snapToGrid w:val="0"/>
              <w:jc w:val="center"/>
              <w:rPr>
                <w:rFonts w:ascii="宋体" w:hAnsi="宋体"/>
                <w:color w:val="000000" w:themeColor="text1"/>
                <w:szCs w:val="21"/>
                <w14:textFill>
                  <w14:solidFill>
                    <w14:schemeClr w14:val="tx1"/>
                  </w14:solidFill>
                </w14:textFill>
              </w:rPr>
            </w:pPr>
          </w:p>
        </w:tc>
        <w:tc>
          <w:tcPr>
            <w:tcW w:w="1065" w:type="dxa"/>
          </w:tcPr>
          <w:p w14:paraId="6CDCAF9A">
            <w:pPr>
              <w:snapToGrid w:val="0"/>
              <w:jc w:val="center"/>
              <w:rPr>
                <w:rFonts w:ascii="宋体" w:hAnsi="宋体"/>
                <w:color w:val="000000" w:themeColor="text1"/>
                <w:szCs w:val="21"/>
                <w14:textFill>
                  <w14:solidFill>
                    <w14:schemeClr w14:val="tx1"/>
                  </w14:solidFill>
                </w14:textFill>
              </w:rPr>
            </w:pPr>
          </w:p>
        </w:tc>
        <w:tc>
          <w:tcPr>
            <w:tcW w:w="1065" w:type="dxa"/>
          </w:tcPr>
          <w:p w14:paraId="2EC7A316">
            <w:pPr>
              <w:snapToGrid w:val="0"/>
              <w:jc w:val="center"/>
              <w:rPr>
                <w:rFonts w:ascii="宋体" w:hAnsi="宋体"/>
                <w:color w:val="000000" w:themeColor="text1"/>
                <w:szCs w:val="21"/>
                <w14:textFill>
                  <w14:solidFill>
                    <w14:schemeClr w14:val="tx1"/>
                  </w14:solidFill>
                </w14:textFill>
              </w:rPr>
            </w:pPr>
          </w:p>
        </w:tc>
        <w:tc>
          <w:tcPr>
            <w:tcW w:w="1065" w:type="dxa"/>
          </w:tcPr>
          <w:p w14:paraId="1FAEC9B9">
            <w:pPr>
              <w:snapToGrid w:val="0"/>
              <w:jc w:val="center"/>
              <w:rPr>
                <w:rFonts w:ascii="宋体" w:hAnsi="宋体"/>
                <w:color w:val="000000" w:themeColor="text1"/>
                <w:szCs w:val="21"/>
                <w14:textFill>
                  <w14:solidFill>
                    <w14:schemeClr w14:val="tx1"/>
                  </w14:solidFill>
                </w14:textFill>
              </w:rPr>
            </w:pPr>
          </w:p>
        </w:tc>
        <w:tc>
          <w:tcPr>
            <w:tcW w:w="1065" w:type="dxa"/>
          </w:tcPr>
          <w:p w14:paraId="5B1F0154">
            <w:pPr>
              <w:snapToGrid w:val="0"/>
              <w:jc w:val="center"/>
              <w:rPr>
                <w:rFonts w:ascii="宋体" w:hAnsi="宋体"/>
                <w:color w:val="000000" w:themeColor="text1"/>
                <w:szCs w:val="21"/>
                <w14:textFill>
                  <w14:solidFill>
                    <w14:schemeClr w14:val="tx1"/>
                  </w14:solidFill>
                </w14:textFill>
              </w:rPr>
            </w:pPr>
          </w:p>
        </w:tc>
        <w:tc>
          <w:tcPr>
            <w:tcW w:w="1064" w:type="dxa"/>
          </w:tcPr>
          <w:p w14:paraId="31E59606">
            <w:pPr>
              <w:snapToGrid w:val="0"/>
              <w:jc w:val="center"/>
              <w:rPr>
                <w:rFonts w:ascii="宋体" w:hAnsi="宋体"/>
                <w:color w:val="000000" w:themeColor="text1"/>
                <w:szCs w:val="21"/>
                <w14:textFill>
                  <w14:solidFill>
                    <w14:schemeClr w14:val="tx1"/>
                  </w14:solidFill>
                </w14:textFill>
              </w:rPr>
            </w:pPr>
          </w:p>
        </w:tc>
      </w:tr>
      <w:tr w14:paraId="02B5E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1BA00528">
            <w:pPr>
              <w:snapToGrid w:val="0"/>
              <w:jc w:val="center"/>
              <w:rPr>
                <w:rFonts w:ascii="宋体" w:hAnsi="宋体"/>
                <w:color w:val="000000" w:themeColor="text1"/>
                <w:szCs w:val="21"/>
                <w14:textFill>
                  <w14:solidFill>
                    <w14:schemeClr w14:val="tx1"/>
                  </w14:solidFill>
                </w14:textFill>
              </w:rPr>
            </w:pPr>
          </w:p>
        </w:tc>
        <w:tc>
          <w:tcPr>
            <w:tcW w:w="1304" w:type="dxa"/>
          </w:tcPr>
          <w:p w14:paraId="6C3FE2B4">
            <w:pPr>
              <w:snapToGrid w:val="0"/>
              <w:jc w:val="center"/>
              <w:rPr>
                <w:rFonts w:ascii="宋体" w:hAnsi="宋体"/>
                <w:color w:val="000000" w:themeColor="text1"/>
                <w:szCs w:val="21"/>
                <w14:textFill>
                  <w14:solidFill>
                    <w14:schemeClr w14:val="tx1"/>
                  </w14:solidFill>
                </w14:textFill>
              </w:rPr>
            </w:pPr>
          </w:p>
        </w:tc>
        <w:tc>
          <w:tcPr>
            <w:tcW w:w="1065" w:type="dxa"/>
          </w:tcPr>
          <w:p w14:paraId="1E687106">
            <w:pPr>
              <w:snapToGrid w:val="0"/>
              <w:jc w:val="center"/>
              <w:rPr>
                <w:rFonts w:ascii="宋体" w:hAnsi="宋体"/>
                <w:color w:val="000000" w:themeColor="text1"/>
                <w:szCs w:val="21"/>
                <w14:textFill>
                  <w14:solidFill>
                    <w14:schemeClr w14:val="tx1"/>
                  </w14:solidFill>
                </w14:textFill>
              </w:rPr>
            </w:pPr>
          </w:p>
        </w:tc>
        <w:tc>
          <w:tcPr>
            <w:tcW w:w="1065" w:type="dxa"/>
          </w:tcPr>
          <w:p w14:paraId="613A623F">
            <w:pPr>
              <w:snapToGrid w:val="0"/>
              <w:jc w:val="center"/>
              <w:rPr>
                <w:rFonts w:ascii="宋体" w:hAnsi="宋体"/>
                <w:color w:val="000000" w:themeColor="text1"/>
                <w:szCs w:val="21"/>
                <w14:textFill>
                  <w14:solidFill>
                    <w14:schemeClr w14:val="tx1"/>
                  </w14:solidFill>
                </w14:textFill>
              </w:rPr>
            </w:pPr>
          </w:p>
        </w:tc>
        <w:tc>
          <w:tcPr>
            <w:tcW w:w="1065" w:type="dxa"/>
          </w:tcPr>
          <w:p w14:paraId="61EFD499">
            <w:pPr>
              <w:snapToGrid w:val="0"/>
              <w:jc w:val="center"/>
              <w:rPr>
                <w:rFonts w:ascii="宋体" w:hAnsi="宋体"/>
                <w:color w:val="000000" w:themeColor="text1"/>
                <w:szCs w:val="21"/>
                <w14:textFill>
                  <w14:solidFill>
                    <w14:schemeClr w14:val="tx1"/>
                  </w14:solidFill>
                </w14:textFill>
              </w:rPr>
            </w:pPr>
          </w:p>
        </w:tc>
        <w:tc>
          <w:tcPr>
            <w:tcW w:w="1065" w:type="dxa"/>
          </w:tcPr>
          <w:p w14:paraId="1971CB68">
            <w:pPr>
              <w:snapToGrid w:val="0"/>
              <w:jc w:val="center"/>
              <w:rPr>
                <w:rFonts w:ascii="宋体" w:hAnsi="宋体"/>
                <w:color w:val="000000" w:themeColor="text1"/>
                <w:szCs w:val="21"/>
                <w14:textFill>
                  <w14:solidFill>
                    <w14:schemeClr w14:val="tx1"/>
                  </w14:solidFill>
                </w14:textFill>
              </w:rPr>
            </w:pPr>
          </w:p>
        </w:tc>
        <w:tc>
          <w:tcPr>
            <w:tcW w:w="1065" w:type="dxa"/>
          </w:tcPr>
          <w:p w14:paraId="6B57D24B">
            <w:pPr>
              <w:snapToGrid w:val="0"/>
              <w:jc w:val="center"/>
              <w:rPr>
                <w:rFonts w:ascii="宋体" w:hAnsi="宋体"/>
                <w:color w:val="000000" w:themeColor="text1"/>
                <w:szCs w:val="21"/>
                <w14:textFill>
                  <w14:solidFill>
                    <w14:schemeClr w14:val="tx1"/>
                  </w14:solidFill>
                </w14:textFill>
              </w:rPr>
            </w:pPr>
          </w:p>
        </w:tc>
        <w:tc>
          <w:tcPr>
            <w:tcW w:w="1064" w:type="dxa"/>
          </w:tcPr>
          <w:p w14:paraId="05920ECC">
            <w:pPr>
              <w:snapToGrid w:val="0"/>
              <w:jc w:val="center"/>
              <w:rPr>
                <w:rFonts w:ascii="宋体" w:hAnsi="宋体"/>
                <w:color w:val="000000" w:themeColor="text1"/>
                <w:szCs w:val="21"/>
                <w14:textFill>
                  <w14:solidFill>
                    <w14:schemeClr w14:val="tx1"/>
                  </w14:solidFill>
                </w14:textFill>
              </w:rPr>
            </w:pPr>
          </w:p>
        </w:tc>
      </w:tr>
      <w:tr w14:paraId="12A28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16910C1">
            <w:pPr>
              <w:snapToGrid w:val="0"/>
              <w:jc w:val="center"/>
              <w:rPr>
                <w:rFonts w:ascii="宋体" w:hAnsi="宋体"/>
                <w:color w:val="000000" w:themeColor="text1"/>
                <w:szCs w:val="21"/>
                <w14:textFill>
                  <w14:solidFill>
                    <w14:schemeClr w14:val="tx1"/>
                  </w14:solidFill>
                </w14:textFill>
              </w:rPr>
            </w:pPr>
          </w:p>
        </w:tc>
        <w:tc>
          <w:tcPr>
            <w:tcW w:w="1304" w:type="dxa"/>
          </w:tcPr>
          <w:p w14:paraId="08BB9828">
            <w:pPr>
              <w:snapToGrid w:val="0"/>
              <w:jc w:val="center"/>
              <w:rPr>
                <w:rFonts w:ascii="宋体" w:hAnsi="宋体"/>
                <w:color w:val="000000" w:themeColor="text1"/>
                <w:szCs w:val="21"/>
                <w14:textFill>
                  <w14:solidFill>
                    <w14:schemeClr w14:val="tx1"/>
                  </w14:solidFill>
                </w14:textFill>
              </w:rPr>
            </w:pPr>
          </w:p>
        </w:tc>
        <w:tc>
          <w:tcPr>
            <w:tcW w:w="1065" w:type="dxa"/>
          </w:tcPr>
          <w:p w14:paraId="0F0CC144">
            <w:pPr>
              <w:snapToGrid w:val="0"/>
              <w:jc w:val="center"/>
              <w:rPr>
                <w:rFonts w:ascii="宋体" w:hAnsi="宋体"/>
                <w:color w:val="000000" w:themeColor="text1"/>
                <w:szCs w:val="21"/>
                <w14:textFill>
                  <w14:solidFill>
                    <w14:schemeClr w14:val="tx1"/>
                  </w14:solidFill>
                </w14:textFill>
              </w:rPr>
            </w:pPr>
          </w:p>
        </w:tc>
        <w:tc>
          <w:tcPr>
            <w:tcW w:w="1065" w:type="dxa"/>
          </w:tcPr>
          <w:p w14:paraId="7971E790">
            <w:pPr>
              <w:snapToGrid w:val="0"/>
              <w:jc w:val="center"/>
              <w:rPr>
                <w:rFonts w:ascii="宋体" w:hAnsi="宋体"/>
                <w:color w:val="000000" w:themeColor="text1"/>
                <w:szCs w:val="21"/>
                <w14:textFill>
                  <w14:solidFill>
                    <w14:schemeClr w14:val="tx1"/>
                  </w14:solidFill>
                </w14:textFill>
              </w:rPr>
            </w:pPr>
          </w:p>
        </w:tc>
        <w:tc>
          <w:tcPr>
            <w:tcW w:w="1065" w:type="dxa"/>
          </w:tcPr>
          <w:p w14:paraId="4EBDDA37">
            <w:pPr>
              <w:snapToGrid w:val="0"/>
              <w:jc w:val="center"/>
              <w:rPr>
                <w:rFonts w:ascii="宋体" w:hAnsi="宋体"/>
                <w:color w:val="000000" w:themeColor="text1"/>
                <w:szCs w:val="21"/>
                <w14:textFill>
                  <w14:solidFill>
                    <w14:schemeClr w14:val="tx1"/>
                  </w14:solidFill>
                </w14:textFill>
              </w:rPr>
            </w:pPr>
          </w:p>
        </w:tc>
        <w:tc>
          <w:tcPr>
            <w:tcW w:w="1065" w:type="dxa"/>
          </w:tcPr>
          <w:p w14:paraId="1B478326">
            <w:pPr>
              <w:snapToGrid w:val="0"/>
              <w:jc w:val="center"/>
              <w:rPr>
                <w:rFonts w:ascii="宋体" w:hAnsi="宋体"/>
                <w:color w:val="000000" w:themeColor="text1"/>
                <w:szCs w:val="21"/>
                <w14:textFill>
                  <w14:solidFill>
                    <w14:schemeClr w14:val="tx1"/>
                  </w14:solidFill>
                </w14:textFill>
              </w:rPr>
            </w:pPr>
          </w:p>
        </w:tc>
        <w:tc>
          <w:tcPr>
            <w:tcW w:w="1065" w:type="dxa"/>
          </w:tcPr>
          <w:p w14:paraId="195D479E">
            <w:pPr>
              <w:snapToGrid w:val="0"/>
              <w:jc w:val="center"/>
              <w:rPr>
                <w:rFonts w:ascii="宋体" w:hAnsi="宋体"/>
                <w:color w:val="000000" w:themeColor="text1"/>
                <w:szCs w:val="21"/>
                <w14:textFill>
                  <w14:solidFill>
                    <w14:schemeClr w14:val="tx1"/>
                  </w14:solidFill>
                </w14:textFill>
              </w:rPr>
            </w:pPr>
          </w:p>
        </w:tc>
        <w:tc>
          <w:tcPr>
            <w:tcW w:w="1064" w:type="dxa"/>
          </w:tcPr>
          <w:p w14:paraId="0E6CF426">
            <w:pPr>
              <w:snapToGrid w:val="0"/>
              <w:jc w:val="center"/>
              <w:rPr>
                <w:rFonts w:ascii="宋体" w:hAnsi="宋体"/>
                <w:color w:val="000000" w:themeColor="text1"/>
                <w:szCs w:val="21"/>
                <w14:textFill>
                  <w14:solidFill>
                    <w14:schemeClr w14:val="tx1"/>
                  </w14:solidFill>
                </w14:textFill>
              </w:rPr>
            </w:pPr>
          </w:p>
        </w:tc>
      </w:tr>
      <w:tr w14:paraId="05C5B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5C5632E">
            <w:pPr>
              <w:snapToGrid w:val="0"/>
              <w:jc w:val="center"/>
              <w:rPr>
                <w:rFonts w:ascii="宋体" w:hAnsi="宋体"/>
                <w:color w:val="000000" w:themeColor="text1"/>
                <w:szCs w:val="21"/>
                <w14:textFill>
                  <w14:solidFill>
                    <w14:schemeClr w14:val="tx1"/>
                  </w14:solidFill>
                </w14:textFill>
              </w:rPr>
            </w:pPr>
          </w:p>
        </w:tc>
        <w:tc>
          <w:tcPr>
            <w:tcW w:w="1304" w:type="dxa"/>
          </w:tcPr>
          <w:p w14:paraId="2CA83CD1">
            <w:pPr>
              <w:snapToGrid w:val="0"/>
              <w:jc w:val="center"/>
              <w:rPr>
                <w:rFonts w:ascii="宋体" w:hAnsi="宋体"/>
                <w:color w:val="000000" w:themeColor="text1"/>
                <w:szCs w:val="21"/>
                <w14:textFill>
                  <w14:solidFill>
                    <w14:schemeClr w14:val="tx1"/>
                  </w14:solidFill>
                </w14:textFill>
              </w:rPr>
            </w:pPr>
          </w:p>
        </w:tc>
        <w:tc>
          <w:tcPr>
            <w:tcW w:w="1065" w:type="dxa"/>
          </w:tcPr>
          <w:p w14:paraId="712A9BAB">
            <w:pPr>
              <w:snapToGrid w:val="0"/>
              <w:jc w:val="center"/>
              <w:rPr>
                <w:rFonts w:ascii="宋体" w:hAnsi="宋体"/>
                <w:color w:val="000000" w:themeColor="text1"/>
                <w:szCs w:val="21"/>
                <w14:textFill>
                  <w14:solidFill>
                    <w14:schemeClr w14:val="tx1"/>
                  </w14:solidFill>
                </w14:textFill>
              </w:rPr>
            </w:pPr>
          </w:p>
        </w:tc>
        <w:tc>
          <w:tcPr>
            <w:tcW w:w="1065" w:type="dxa"/>
          </w:tcPr>
          <w:p w14:paraId="0F4D01CE">
            <w:pPr>
              <w:snapToGrid w:val="0"/>
              <w:jc w:val="center"/>
              <w:rPr>
                <w:rFonts w:ascii="宋体" w:hAnsi="宋体"/>
                <w:color w:val="000000" w:themeColor="text1"/>
                <w:szCs w:val="21"/>
                <w14:textFill>
                  <w14:solidFill>
                    <w14:schemeClr w14:val="tx1"/>
                  </w14:solidFill>
                </w14:textFill>
              </w:rPr>
            </w:pPr>
          </w:p>
        </w:tc>
        <w:tc>
          <w:tcPr>
            <w:tcW w:w="1065" w:type="dxa"/>
          </w:tcPr>
          <w:p w14:paraId="04EFADD5">
            <w:pPr>
              <w:snapToGrid w:val="0"/>
              <w:jc w:val="center"/>
              <w:rPr>
                <w:rFonts w:ascii="宋体" w:hAnsi="宋体"/>
                <w:color w:val="000000" w:themeColor="text1"/>
                <w:szCs w:val="21"/>
                <w14:textFill>
                  <w14:solidFill>
                    <w14:schemeClr w14:val="tx1"/>
                  </w14:solidFill>
                </w14:textFill>
              </w:rPr>
            </w:pPr>
          </w:p>
        </w:tc>
        <w:tc>
          <w:tcPr>
            <w:tcW w:w="1065" w:type="dxa"/>
          </w:tcPr>
          <w:p w14:paraId="532893D0">
            <w:pPr>
              <w:snapToGrid w:val="0"/>
              <w:jc w:val="center"/>
              <w:rPr>
                <w:rFonts w:ascii="宋体" w:hAnsi="宋体"/>
                <w:color w:val="000000" w:themeColor="text1"/>
                <w:szCs w:val="21"/>
                <w14:textFill>
                  <w14:solidFill>
                    <w14:schemeClr w14:val="tx1"/>
                  </w14:solidFill>
                </w14:textFill>
              </w:rPr>
            </w:pPr>
          </w:p>
        </w:tc>
        <w:tc>
          <w:tcPr>
            <w:tcW w:w="1065" w:type="dxa"/>
          </w:tcPr>
          <w:p w14:paraId="7F4EE79F">
            <w:pPr>
              <w:snapToGrid w:val="0"/>
              <w:jc w:val="center"/>
              <w:rPr>
                <w:rFonts w:ascii="宋体" w:hAnsi="宋体"/>
                <w:color w:val="000000" w:themeColor="text1"/>
                <w:szCs w:val="21"/>
                <w14:textFill>
                  <w14:solidFill>
                    <w14:schemeClr w14:val="tx1"/>
                  </w14:solidFill>
                </w14:textFill>
              </w:rPr>
            </w:pPr>
          </w:p>
        </w:tc>
        <w:tc>
          <w:tcPr>
            <w:tcW w:w="1064" w:type="dxa"/>
          </w:tcPr>
          <w:p w14:paraId="2BD3C6F7">
            <w:pPr>
              <w:snapToGrid w:val="0"/>
              <w:jc w:val="center"/>
              <w:rPr>
                <w:rFonts w:ascii="宋体" w:hAnsi="宋体"/>
                <w:color w:val="000000" w:themeColor="text1"/>
                <w:szCs w:val="21"/>
                <w14:textFill>
                  <w14:solidFill>
                    <w14:schemeClr w14:val="tx1"/>
                  </w14:solidFill>
                </w14:textFill>
              </w:rPr>
            </w:pPr>
          </w:p>
        </w:tc>
      </w:tr>
      <w:tr w14:paraId="40A394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134D9D78">
            <w:pPr>
              <w:snapToGrid w:val="0"/>
              <w:jc w:val="center"/>
              <w:rPr>
                <w:rFonts w:ascii="宋体" w:hAnsi="宋体"/>
                <w:color w:val="000000" w:themeColor="text1"/>
                <w:szCs w:val="21"/>
                <w14:textFill>
                  <w14:solidFill>
                    <w14:schemeClr w14:val="tx1"/>
                  </w14:solidFill>
                </w14:textFill>
              </w:rPr>
            </w:pPr>
          </w:p>
        </w:tc>
        <w:tc>
          <w:tcPr>
            <w:tcW w:w="1304" w:type="dxa"/>
          </w:tcPr>
          <w:p w14:paraId="6FAE189A">
            <w:pPr>
              <w:snapToGrid w:val="0"/>
              <w:jc w:val="center"/>
              <w:rPr>
                <w:rFonts w:ascii="宋体" w:hAnsi="宋体"/>
                <w:color w:val="000000" w:themeColor="text1"/>
                <w:szCs w:val="21"/>
                <w14:textFill>
                  <w14:solidFill>
                    <w14:schemeClr w14:val="tx1"/>
                  </w14:solidFill>
                </w14:textFill>
              </w:rPr>
            </w:pPr>
          </w:p>
        </w:tc>
        <w:tc>
          <w:tcPr>
            <w:tcW w:w="1065" w:type="dxa"/>
          </w:tcPr>
          <w:p w14:paraId="111AD62E">
            <w:pPr>
              <w:snapToGrid w:val="0"/>
              <w:jc w:val="center"/>
              <w:rPr>
                <w:rFonts w:ascii="宋体" w:hAnsi="宋体"/>
                <w:color w:val="000000" w:themeColor="text1"/>
                <w:szCs w:val="21"/>
                <w14:textFill>
                  <w14:solidFill>
                    <w14:schemeClr w14:val="tx1"/>
                  </w14:solidFill>
                </w14:textFill>
              </w:rPr>
            </w:pPr>
          </w:p>
        </w:tc>
        <w:tc>
          <w:tcPr>
            <w:tcW w:w="1065" w:type="dxa"/>
          </w:tcPr>
          <w:p w14:paraId="2DDE0E2A">
            <w:pPr>
              <w:snapToGrid w:val="0"/>
              <w:jc w:val="center"/>
              <w:rPr>
                <w:rFonts w:ascii="宋体" w:hAnsi="宋体"/>
                <w:color w:val="000000" w:themeColor="text1"/>
                <w:szCs w:val="21"/>
                <w14:textFill>
                  <w14:solidFill>
                    <w14:schemeClr w14:val="tx1"/>
                  </w14:solidFill>
                </w14:textFill>
              </w:rPr>
            </w:pPr>
          </w:p>
        </w:tc>
        <w:tc>
          <w:tcPr>
            <w:tcW w:w="1065" w:type="dxa"/>
          </w:tcPr>
          <w:p w14:paraId="0D8FDF32">
            <w:pPr>
              <w:snapToGrid w:val="0"/>
              <w:jc w:val="center"/>
              <w:rPr>
                <w:rFonts w:ascii="宋体" w:hAnsi="宋体"/>
                <w:color w:val="000000" w:themeColor="text1"/>
                <w:szCs w:val="21"/>
                <w14:textFill>
                  <w14:solidFill>
                    <w14:schemeClr w14:val="tx1"/>
                  </w14:solidFill>
                </w14:textFill>
              </w:rPr>
            </w:pPr>
          </w:p>
        </w:tc>
        <w:tc>
          <w:tcPr>
            <w:tcW w:w="1065" w:type="dxa"/>
          </w:tcPr>
          <w:p w14:paraId="3D844B5D">
            <w:pPr>
              <w:snapToGrid w:val="0"/>
              <w:jc w:val="center"/>
              <w:rPr>
                <w:rFonts w:ascii="宋体" w:hAnsi="宋体"/>
                <w:color w:val="000000" w:themeColor="text1"/>
                <w:szCs w:val="21"/>
                <w14:textFill>
                  <w14:solidFill>
                    <w14:schemeClr w14:val="tx1"/>
                  </w14:solidFill>
                </w14:textFill>
              </w:rPr>
            </w:pPr>
          </w:p>
        </w:tc>
        <w:tc>
          <w:tcPr>
            <w:tcW w:w="1065" w:type="dxa"/>
          </w:tcPr>
          <w:p w14:paraId="09E519F1">
            <w:pPr>
              <w:snapToGrid w:val="0"/>
              <w:jc w:val="center"/>
              <w:rPr>
                <w:rFonts w:ascii="宋体" w:hAnsi="宋体"/>
                <w:color w:val="000000" w:themeColor="text1"/>
                <w:szCs w:val="21"/>
                <w14:textFill>
                  <w14:solidFill>
                    <w14:schemeClr w14:val="tx1"/>
                  </w14:solidFill>
                </w14:textFill>
              </w:rPr>
            </w:pPr>
          </w:p>
        </w:tc>
        <w:tc>
          <w:tcPr>
            <w:tcW w:w="1064" w:type="dxa"/>
          </w:tcPr>
          <w:p w14:paraId="173C0D03">
            <w:pPr>
              <w:snapToGrid w:val="0"/>
              <w:jc w:val="center"/>
              <w:rPr>
                <w:rFonts w:ascii="宋体" w:hAnsi="宋体"/>
                <w:color w:val="000000" w:themeColor="text1"/>
                <w:szCs w:val="21"/>
                <w14:textFill>
                  <w14:solidFill>
                    <w14:schemeClr w14:val="tx1"/>
                  </w14:solidFill>
                </w14:textFill>
              </w:rPr>
            </w:pPr>
          </w:p>
        </w:tc>
      </w:tr>
      <w:tr w14:paraId="198D2B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39AD36A2">
            <w:pPr>
              <w:snapToGrid w:val="0"/>
              <w:jc w:val="center"/>
              <w:rPr>
                <w:rFonts w:ascii="宋体" w:hAnsi="宋体"/>
                <w:color w:val="000000" w:themeColor="text1"/>
                <w:szCs w:val="21"/>
                <w14:textFill>
                  <w14:solidFill>
                    <w14:schemeClr w14:val="tx1"/>
                  </w14:solidFill>
                </w14:textFill>
              </w:rPr>
            </w:pPr>
          </w:p>
        </w:tc>
        <w:tc>
          <w:tcPr>
            <w:tcW w:w="1304" w:type="dxa"/>
          </w:tcPr>
          <w:p w14:paraId="59E68C17">
            <w:pPr>
              <w:snapToGrid w:val="0"/>
              <w:jc w:val="center"/>
              <w:rPr>
                <w:rFonts w:ascii="宋体" w:hAnsi="宋体"/>
                <w:color w:val="000000" w:themeColor="text1"/>
                <w:szCs w:val="21"/>
                <w14:textFill>
                  <w14:solidFill>
                    <w14:schemeClr w14:val="tx1"/>
                  </w14:solidFill>
                </w14:textFill>
              </w:rPr>
            </w:pPr>
          </w:p>
        </w:tc>
        <w:tc>
          <w:tcPr>
            <w:tcW w:w="1065" w:type="dxa"/>
          </w:tcPr>
          <w:p w14:paraId="4E72476E">
            <w:pPr>
              <w:snapToGrid w:val="0"/>
              <w:jc w:val="center"/>
              <w:rPr>
                <w:rFonts w:ascii="宋体" w:hAnsi="宋体"/>
                <w:color w:val="000000" w:themeColor="text1"/>
                <w:szCs w:val="21"/>
                <w14:textFill>
                  <w14:solidFill>
                    <w14:schemeClr w14:val="tx1"/>
                  </w14:solidFill>
                </w14:textFill>
              </w:rPr>
            </w:pPr>
          </w:p>
        </w:tc>
        <w:tc>
          <w:tcPr>
            <w:tcW w:w="1065" w:type="dxa"/>
          </w:tcPr>
          <w:p w14:paraId="411B063C">
            <w:pPr>
              <w:snapToGrid w:val="0"/>
              <w:jc w:val="center"/>
              <w:rPr>
                <w:rFonts w:ascii="宋体" w:hAnsi="宋体"/>
                <w:color w:val="000000" w:themeColor="text1"/>
                <w:szCs w:val="21"/>
                <w14:textFill>
                  <w14:solidFill>
                    <w14:schemeClr w14:val="tx1"/>
                  </w14:solidFill>
                </w14:textFill>
              </w:rPr>
            </w:pPr>
          </w:p>
        </w:tc>
        <w:tc>
          <w:tcPr>
            <w:tcW w:w="1065" w:type="dxa"/>
          </w:tcPr>
          <w:p w14:paraId="1C6E885E">
            <w:pPr>
              <w:snapToGrid w:val="0"/>
              <w:jc w:val="center"/>
              <w:rPr>
                <w:rFonts w:ascii="宋体" w:hAnsi="宋体"/>
                <w:color w:val="000000" w:themeColor="text1"/>
                <w:szCs w:val="21"/>
                <w14:textFill>
                  <w14:solidFill>
                    <w14:schemeClr w14:val="tx1"/>
                  </w14:solidFill>
                </w14:textFill>
              </w:rPr>
            </w:pPr>
          </w:p>
        </w:tc>
        <w:tc>
          <w:tcPr>
            <w:tcW w:w="1065" w:type="dxa"/>
          </w:tcPr>
          <w:p w14:paraId="7E3A40A2">
            <w:pPr>
              <w:snapToGrid w:val="0"/>
              <w:jc w:val="center"/>
              <w:rPr>
                <w:rFonts w:ascii="宋体" w:hAnsi="宋体"/>
                <w:color w:val="000000" w:themeColor="text1"/>
                <w:szCs w:val="21"/>
                <w14:textFill>
                  <w14:solidFill>
                    <w14:schemeClr w14:val="tx1"/>
                  </w14:solidFill>
                </w14:textFill>
              </w:rPr>
            </w:pPr>
          </w:p>
        </w:tc>
        <w:tc>
          <w:tcPr>
            <w:tcW w:w="1065" w:type="dxa"/>
          </w:tcPr>
          <w:p w14:paraId="212CC7BE">
            <w:pPr>
              <w:snapToGrid w:val="0"/>
              <w:jc w:val="center"/>
              <w:rPr>
                <w:rFonts w:ascii="宋体" w:hAnsi="宋体"/>
                <w:color w:val="000000" w:themeColor="text1"/>
                <w:szCs w:val="21"/>
                <w14:textFill>
                  <w14:solidFill>
                    <w14:schemeClr w14:val="tx1"/>
                  </w14:solidFill>
                </w14:textFill>
              </w:rPr>
            </w:pPr>
          </w:p>
        </w:tc>
        <w:tc>
          <w:tcPr>
            <w:tcW w:w="1064" w:type="dxa"/>
          </w:tcPr>
          <w:p w14:paraId="36E5C3B0">
            <w:pPr>
              <w:snapToGrid w:val="0"/>
              <w:jc w:val="center"/>
              <w:rPr>
                <w:rFonts w:ascii="宋体" w:hAnsi="宋体"/>
                <w:color w:val="000000" w:themeColor="text1"/>
                <w:szCs w:val="21"/>
                <w14:textFill>
                  <w14:solidFill>
                    <w14:schemeClr w14:val="tx1"/>
                  </w14:solidFill>
                </w14:textFill>
              </w:rPr>
            </w:pPr>
          </w:p>
        </w:tc>
      </w:tr>
      <w:tr w14:paraId="5473EC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30E1BABE">
            <w:pPr>
              <w:snapToGrid w:val="0"/>
              <w:jc w:val="center"/>
              <w:rPr>
                <w:rFonts w:ascii="宋体" w:hAnsi="宋体"/>
                <w:color w:val="000000" w:themeColor="text1"/>
                <w:szCs w:val="21"/>
                <w14:textFill>
                  <w14:solidFill>
                    <w14:schemeClr w14:val="tx1"/>
                  </w14:solidFill>
                </w14:textFill>
              </w:rPr>
            </w:pPr>
          </w:p>
        </w:tc>
        <w:tc>
          <w:tcPr>
            <w:tcW w:w="1304" w:type="dxa"/>
          </w:tcPr>
          <w:p w14:paraId="409D7FF5">
            <w:pPr>
              <w:snapToGrid w:val="0"/>
              <w:jc w:val="center"/>
              <w:rPr>
                <w:rFonts w:ascii="宋体" w:hAnsi="宋体"/>
                <w:color w:val="000000" w:themeColor="text1"/>
                <w:szCs w:val="21"/>
                <w14:textFill>
                  <w14:solidFill>
                    <w14:schemeClr w14:val="tx1"/>
                  </w14:solidFill>
                </w14:textFill>
              </w:rPr>
            </w:pPr>
          </w:p>
        </w:tc>
        <w:tc>
          <w:tcPr>
            <w:tcW w:w="1065" w:type="dxa"/>
          </w:tcPr>
          <w:p w14:paraId="2E9ADBDC">
            <w:pPr>
              <w:snapToGrid w:val="0"/>
              <w:jc w:val="center"/>
              <w:rPr>
                <w:rFonts w:ascii="宋体" w:hAnsi="宋体"/>
                <w:color w:val="000000" w:themeColor="text1"/>
                <w:szCs w:val="21"/>
                <w14:textFill>
                  <w14:solidFill>
                    <w14:schemeClr w14:val="tx1"/>
                  </w14:solidFill>
                </w14:textFill>
              </w:rPr>
            </w:pPr>
          </w:p>
        </w:tc>
        <w:tc>
          <w:tcPr>
            <w:tcW w:w="1065" w:type="dxa"/>
          </w:tcPr>
          <w:p w14:paraId="534B7D9F">
            <w:pPr>
              <w:snapToGrid w:val="0"/>
              <w:jc w:val="center"/>
              <w:rPr>
                <w:rFonts w:ascii="宋体" w:hAnsi="宋体"/>
                <w:color w:val="000000" w:themeColor="text1"/>
                <w:szCs w:val="21"/>
                <w14:textFill>
                  <w14:solidFill>
                    <w14:schemeClr w14:val="tx1"/>
                  </w14:solidFill>
                </w14:textFill>
              </w:rPr>
            </w:pPr>
          </w:p>
        </w:tc>
        <w:tc>
          <w:tcPr>
            <w:tcW w:w="1065" w:type="dxa"/>
          </w:tcPr>
          <w:p w14:paraId="37814324">
            <w:pPr>
              <w:snapToGrid w:val="0"/>
              <w:jc w:val="center"/>
              <w:rPr>
                <w:rFonts w:ascii="宋体" w:hAnsi="宋体"/>
                <w:color w:val="000000" w:themeColor="text1"/>
                <w:szCs w:val="21"/>
                <w14:textFill>
                  <w14:solidFill>
                    <w14:schemeClr w14:val="tx1"/>
                  </w14:solidFill>
                </w14:textFill>
              </w:rPr>
            </w:pPr>
          </w:p>
        </w:tc>
        <w:tc>
          <w:tcPr>
            <w:tcW w:w="1065" w:type="dxa"/>
          </w:tcPr>
          <w:p w14:paraId="53CDABF6">
            <w:pPr>
              <w:snapToGrid w:val="0"/>
              <w:jc w:val="center"/>
              <w:rPr>
                <w:rFonts w:ascii="宋体" w:hAnsi="宋体"/>
                <w:color w:val="000000" w:themeColor="text1"/>
                <w:szCs w:val="21"/>
                <w14:textFill>
                  <w14:solidFill>
                    <w14:schemeClr w14:val="tx1"/>
                  </w14:solidFill>
                </w14:textFill>
              </w:rPr>
            </w:pPr>
          </w:p>
        </w:tc>
        <w:tc>
          <w:tcPr>
            <w:tcW w:w="1065" w:type="dxa"/>
          </w:tcPr>
          <w:p w14:paraId="2A2F2E20">
            <w:pPr>
              <w:snapToGrid w:val="0"/>
              <w:jc w:val="center"/>
              <w:rPr>
                <w:rFonts w:ascii="宋体" w:hAnsi="宋体"/>
                <w:color w:val="000000" w:themeColor="text1"/>
                <w:szCs w:val="21"/>
                <w14:textFill>
                  <w14:solidFill>
                    <w14:schemeClr w14:val="tx1"/>
                  </w14:solidFill>
                </w14:textFill>
              </w:rPr>
            </w:pPr>
          </w:p>
        </w:tc>
        <w:tc>
          <w:tcPr>
            <w:tcW w:w="1064" w:type="dxa"/>
          </w:tcPr>
          <w:p w14:paraId="3AA893F4">
            <w:pPr>
              <w:snapToGrid w:val="0"/>
              <w:jc w:val="center"/>
              <w:rPr>
                <w:rFonts w:ascii="宋体" w:hAnsi="宋体"/>
                <w:color w:val="000000" w:themeColor="text1"/>
                <w:szCs w:val="21"/>
                <w14:textFill>
                  <w14:solidFill>
                    <w14:schemeClr w14:val="tx1"/>
                  </w14:solidFill>
                </w14:textFill>
              </w:rPr>
            </w:pPr>
          </w:p>
        </w:tc>
      </w:tr>
      <w:tr w14:paraId="280DC2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251FE31C">
            <w:pPr>
              <w:snapToGrid w:val="0"/>
              <w:jc w:val="center"/>
              <w:rPr>
                <w:rFonts w:ascii="宋体" w:hAnsi="宋体"/>
                <w:color w:val="000000" w:themeColor="text1"/>
                <w:szCs w:val="21"/>
                <w14:textFill>
                  <w14:solidFill>
                    <w14:schemeClr w14:val="tx1"/>
                  </w14:solidFill>
                </w14:textFill>
              </w:rPr>
            </w:pPr>
          </w:p>
        </w:tc>
        <w:tc>
          <w:tcPr>
            <w:tcW w:w="1304" w:type="dxa"/>
          </w:tcPr>
          <w:p w14:paraId="5B1D4BE8">
            <w:pPr>
              <w:snapToGrid w:val="0"/>
              <w:jc w:val="center"/>
              <w:rPr>
                <w:rFonts w:ascii="宋体" w:hAnsi="宋体"/>
                <w:color w:val="000000" w:themeColor="text1"/>
                <w:szCs w:val="21"/>
                <w14:textFill>
                  <w14:solidFill>
                    <w14:schemeClr w14:val="tx1"/>
                  </w14:solidFill>
                </w14:textFill>
              </w:rPr>
            </w:pPr>
          </w:p>
        </w:tc>
        <w:tc>
          <w:tcPr>
            <w:tcW w:w="1065" w:type="dxa"/>
          </w:tcPr>
          <w:p w14:paraId="7A0511D4">
            <w:pPr>
              <w:snapToGrid w:val="0"/>
              <w:jc w:val="center"/>
              <w:rPr>
                <w:rFonts w:ascii="宋体" w:hAnsi="宋体"/>
                <w:color w:val="000000" w:themeColor="text1"/>
                <w:szCs w:val="21"/>
                <w14:textFill>
                  <w14:solidFill>
                    <w14:schemeClr w14:val="tx1"/>
                  </w14:solidFill>
                </w14:textFill>
              </w:rPr>
            </w:pPr>
          </w:p>
        </w:tc>
        <w:tc>
          <w:tcPr>
            <w:tcW w:w="1065" w:type="dxa"/>
          </w:tcPr>
          <w:p w14:paraId="05A7FC8C">
            <w:pPr>
              <w:snapToGrid w:val="0"/>
              <w:jc w:val="center"/>
              <w:rPr>
                <w:rFonts w:ascii="宋体" w:hAnsi="宋体"/>
                <w:color w:val="000000" w:themeColor="text1"/>
                <w:szCs w:val="21"/>
                <w14:textFill>
                  <w14:solidFill>
                    <w14:schemeClr w14:val="tx1"/>
                  </w14:solidFill>
                </w14:textFill>
              </w:rPr>
            </w:pPr>
          </w:p>
        </w:tc>
        <w:tc>
          <w:tcPr>
            <w:tcW w:w="1065" w:type="dxa"/>
          </w:tcPr>
          <w:p w14:paraId="5743BE35">
            <w:pPr>
              <w:snapToGrid w:val="0"/>
              <w:jc w:val="center"/>
              <w:rPr>
                <w:rFonts w:ascii="宋体" w:hAnsi="宋体"/>
                <w:color w:val="000000" w:themeColor="text1"/>
                <w:szCs w:val="21"/>
                <w14:textFill>
                  <w14:solidFill>
                    <w14:schemeClr w14:val="tx1"/>
                  </w14:solidFill>
                </w14:textFill>
              </w:rPr>
            </w:pPr>
          </w:p>
        </w:tc>
        <w:tc>
          <w:tcPr>
            <w:tcW w:w="1065" w:type="dxa"/>
          </w:tcPr>
          <w:p w14:paraId="0C063FF5">
            <w:pPr>
              <w:snapToGrid w:val="0"/>
              <w:jc w:val="center"/>
              <w:rPr>
                <w:rFonts w:ascii="宋体" w:hAnsi="宋体"/>
                <w:color w:val="000000" w:themeColor="text1"/>
                <w:szCs w:val="21"/>
                <w14:textFill>
                  <w14:solidFill>
                    <w14:schemeClr w14:val="tx1"/>
                  </w14:solidFill>
                </w14:textFill>
              </w:rPr>
            </w:pPr>
          </w:p>
        </w:tc>
        <w:tc>
          <w:tcPr>
            <w:tcW w:w="1065" w:type="dxa"/>
          </w:tcPr>
          <w:p w14:paraId="1E901781">
            <w:pPr>
              <w:snapToGrid w:val="0"/>
              <w:jc w:val="center"/>
              <w:rPr>
                <w:rFonts w:ascii="宋体" w:hAnsi="宋体"/>
                <w:color w:val="000000" w:themeColor="text1"/>
                <w:szCs w:val="21"/>
                <w14:textFill>
                  <w14:solidFill>
                    <w14:schemeClr w14:val="tx1"/>
                  </w14:solidFill>
                </w14:textFill>
              </w:rPr>
            </w:pPr>
          </w:p>
        </w:tc>
        <w:tc>
          <w:tcPr>
            <w:tcW w:w="1064" w:type="dxa"/>
          </w:tcPr>
          <w:p w14:paraId="295261A9">
            <w:pPr>
              <w:snapToGrid w:val="0"/>
              <w:jc w:val="center"/>
              <w:rPr>
                <w:rFonts w:ascii="宋体" w:hAnsi="宋体"/>
                <w:color w:val="000000" w:themeColor="text1"/>
                <w:szCs w:val="21"/>
                <w14:textFill>
                  <w14:solidFill>
                    <w14:schemeClr w14:val="tx1"/>
                  </w14:solidFill>
                </w14:textFill>
              </w:rPr>
            </w:pPr>
          </w:p>
        </w:tc>
      </w:tr>
      <w:tr w14:paraId="20738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3667EF2E">
            <w:pPr>
              <w:snapToGrid w:val="0"/>
              <w:jc w:val="center"/>
              <w:rPr>
                <w:rFonts w:ascii="宋体" w:hAnsi="宋体"/>
                <w:color w:val="000000" w:themeColor="text1"/>
                <w:szCs w:val="21"/>
                <w14:textFill>
                  <w14:solidFill>
                    <w14:schemeClr w14:val="tx1"/>
                  </w14:solidFill>
                </w14:textFill>
              </w:rPr>
            </w:pPr>
          </w:p>
        </w:tc>
        <w:tc>
          <w:tcPr>
            <w:tcW w:w="1304" w:type="dxa"/>
          </w:tcPr>
          <w:p w14:paraId="64BAA636">
            <w:pPr>
              <w:snapToGrid w:val="0"/>
              <w:jc w:val="center"/>
              <w:rPr>
                <w:rFonts w:ascii="宋体" w:hAnsi="宋体"/>
                <w:color w:val="000000" w:themeColor="text1"/>
                <w:szCs w:val="21"/>
                <w14:textFill>
                  <w14:solidFill>
                    <w14:schemeClr w14:val="tx1"/>
                  </w14:solidFill>
                </w14:textFill>
              </w:rPr>
            </w:pPr>
          </w:p>
        </w:tc>
        <w:tc>
          <w:tcPr>
            <w:tcW w:w="1065" w:type="dxa"/>
          </w:tcPr>
          <w:p w14:paraId="51CBCD69">
            <w:pPr>
              <w:snapToGrid w:val="0"/>
              <w:jc w:val="center"/>
              <w:rPr>
                <w:rFonts w:ascii="宋体" w:hAnsi="宋体"/>
                <w:color w:val="000000" w:themeColor="text1"/>
                <w:szCs w:val="21"/>
                <w14:textFill>
                  <w14:solidFill>
                    <w14:schemeClr w14:val="tx1"/>
                  </w14:solidFill>
                </w14:textFill>
              </w:rPr>
            </w:pPr>
          </w:p>
        </w:tc>
        <w:tc>
          <w:tcPr>
            <w:tcW w:w="1065" w:type="dxa"/>
          </w:tcPr>
          <w:p w14:paraId="68DE6903">
            <w:pPr>
              <w:snapToGrid w:val="0"/>
              <w:jc w:val="center"/>
              <w:rPr>
                <w:rFonts w:ascii="宋体" w:hAnsi="宋体"/>
                <w:color w:val="000000" w:themeColor="text1"/>
                <w:szCs w:val="21"/>
                <w14:textFill>
                  <w14:solidFill>
                    <w14:schemeClr w14:val="tx1"/>
                  </w14:solidFill>
                </w14:textFill>
              </w:rPr>
            </w:pPr>
          </w:p>
        </w:tc>
        <w:tc>
          <w:tcPr>
            <w:tcW w:w="1065" w:type="dxa"/>
          </w:tcPr>
          <w:p w14:paraId="73293B23">
            <w:pPr>
              <w:snapToGrid w:val="0"/>
              <w:jc w:val="center"/>
              <w:rPr>
                <w:rFonts w:ascii="宋体" w:hAnsi="宋体"/>
                <w:color w:val="000000" w:themeColor="text1"/>
                <w:szCs w:val="21"/>
                <w14:textFill>
                  <w14:solidFill>
                    <w14:schemeClr w14:val="tx1"/>
                  </w14:solidFill>
                </w14:textFill>
              </w:rPr>
            </w:pPr>
          </w:p>
        </w:tc>
        <w:tc>
          <w:tcPr>
            <w:tcW w:w="1065" w:type="dxa"/>
          </w:tcPr>
          <w:p w14:paraId="08092519">
            <w:pPr>
              <w:snapToGrid w:val="0"/>
              <w:jc w:val="center"/>
              <w:rPr>
                <w:rFonts w:ascii="宋体" w:hAnsi="宋体"/>
                <w:color w:val="000000" w:themeColor="text1"/>
                <w:szCs w:val="21"/>
                <w14:textFill>
                  <w14:solidFill>
                    <w14:schemeClr w14:val="tx1"/>
                  </w14:solidFill>
                </w14:textFill>
              </w:rPr>
            </w:pPr>
          </w:p>
        </w:tc>
        <w:tc>
          <w:tcPr>
            <w:tcW w:w="1065" w:type="dxa"/>
          </w:tcPr>
          <w:p w14:paraId="61AD2393">
            <w:pPr>
              <w:snapToGrid w:val="0"/>
              <w:jc w:val="center"/>
              <w:rPr>
                <w:rFonts w:ascii="宋体" w:hAnsi="宋体"/>
                <w:color w:val="000000" w:themeColor="text1"/>
                <w:szCs w:val="21"/>
                <w14:textFill>
                  <w14:solidFill>
                    <w14:schemeClr w14:val="tx1"/>
                  </w14:solidFill>
                </w14:textFill>
              </w:rPr>
            </w:pPr>
          </w:p>
        </w:tc>
        <w:tc>
          <w:tcPr>
            <w:tcW w:w="1064" w:type="dxa"/>
          </w:tcPr>
          <w:p w14:paraId="365E467B">
            <w:pPr>
              <w:snapToGrid w:val="0"/>
              <w:jc w:val="center"/>
              <w:rPr>
                <w:rFonts w:ascii="宋体" w:hAnsi="宋体"/>
                <w:color w:val="000000" w:themeColor="text1"/>
                <w:szCs w:val="21"/>
                <w14:textFill>
                  <w14:solidFill>
                    <w14:schemeClr w14:val="tx1"/>
                  </w14:solidFill>
                </w14:textFill>
              </w:rPr>
            </w:pPr>
          </w:p>
        </w:tc>
      </w:tr>
      <w:tr w14:paraId="7A2E1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6A0171A1">
            <w:pPr>
              <w:snapToGrid w:val="0"/>
              <w:jc w:val="center"/>
              <w:rPr>
                <w:rFonts w:ascii="宋体" w:hAnsi="宋体"/>
                <w:color w:val="000000" w:themeColor="text1"/>
                <w:szCs w:val="21"/>
                <w14:textFill>
                  <w14:solidFill>
                    <w14:schemeClr w14:val="tx1"/>
                  </w14:solidFill>
                </w14:textFill>
              </w:rPr>
            </w:pPr>
          </w:p>
        </w:tc>
        <w:tc>
          <w:tcPr>
            <w:tcW w:w="1304" w:type="dxa"/>
          </w:tcPr>
          <w:p w14:paraId="1E37D317">
            <w:pPr>
              <w:snapToGrid w:val="0"/>
              <w:jc w:val="center"/>
              <w:rPr>
                <w:rFonts w:ascii="宋体" w:hAnsi="宋体"/>
                <w:color w:val="000000" w:themeColor="text1"/>
                <w:szCs w:val="21"/>
                <w14:textFill>
                  <w14:solidFill>
                    <w14:schemeClr w14:val="tx1"/>
                  </w14:solidFill>
                </w14:textFill>
              </w:rPr>
            </w:pPr>
          </w:p>
        </w:tc>
        <w:tc>
          <w:tcPr>
            <w:tcW w:w="1065" w:type="dxa"/>
          </w:tcPr>
          <w:p w14:paraId="59FBDF4E">
            <w:pPr>
              <w:snapToGrid w:val="0"/>
              <w:jc w:val="center"/>
              <w:rPr>
                <w:rFonts w:ascii="宋体" w:hAnsi="宋体"/>
                <w:color w:val="000000" w:themeColor="text1"/>
                <w:szCs w:val="21"/>
                <w14:textFill>
                  <w14:solidFill>
                    <w14:schemeClr w14:val="tx1"/>
                  </w14:solidFill>
                </w14:textFill>
              </w:rPr>
            </w:pPr>
          </w:p>
        </w:tc>
        <w:tc>
          <w:tcPr>
            <w:tcW w:w="1065" w:type="dxa"/>
          </w:tcPr>
          <w:p w14:paraId="5C115F51">
            <w:pPr>
              <w:snapToGrid w:val="0"/>
              <w:jc w:val="center"/>
              <w:rPr>
                <w:rFonts w:ascii="宋体" w:hAnsi="宋体"/>
                <w:color w:val="000000" w:themeColor="text1"/>
                <w:szCs w:val="21"/>
                <w14:textFill>
                  <w14:solidFill>
                    <w14:schemeClr w14:val="tx1"/>
                  </w14:solidFill>
                </w14:textFill>
              </w:rPr>
            </w:pPr>
          </w:p>
        </w:tc>
        <w:tc>
          <w:tcPr>
            <w:tcW w:w="1065" w:type="dxa"/>
          </w:tcPr>
          <w:p w14:paraId="2F6804BE">
            <w:pPr>
              <w:snapToGrid w:val="0"/>
              <w:jc w:val="center"/>
              <w:rPr>
                <w:rFonts w:ascii="宋体" w:hAnsi="宋体"/>
                <w:color w:val="000000" w:themeColor="text1"/>
                <w:szCs w:val="21"/>
                <w14:textFill>
                  <w14:solidFill>
                    <w14:schemeClr w14:val="tx1"/>
                  </w14:solidFill>
                </w14:textFill>
              </w:rPr>
            </w:pPr>
          </w:p>
        </w:tc>
        <w:tc>
          <w:tcPr>
            <w:tcW w:w="1065" w:type="dxa"/>
          </w:tcPr>
          <w:p w14:paraId="7F714DB1">
            <w:pPr>
              <w:snapToGrid w:val="0"/>
              <w:jc w:val="center"/>
              <w:rPr>
                <w:rFonts w:ascii="宋体" w:hAnsi="宋体"/>
                <w:color w:val="000000" w:themeColor="text1"/>
                <w:szCs w:val="21"/>
                <w14:textFill>
                  <w14:solidFill>
                    <w14:schemeClr w14:val="tx1"/>
                  </w14:solidFill>
                </w14:textFill>
              </w:rPr>
            </w:pPr>
          </w:p>
        </w:tc>
        <w:tc>
          <w:tcPr>
            <w:tcW w:w="1065" w:type="dxa"/>
          </w:tcPr>
          <w:p w14:paraId="6FE81E35">
            <w:pPr>
              <w:snapToGrid w:val="0"/>
              <w:jc w:val="center"/>
              <w:rPr>
                <w:rFonts w:ascii="宋体" w:hAnsi="宋体"/>
                <w:color w:val="000000" w:themeColor="text1"/>
                <w:szCs w:val="21"/>
                <w14:textFill>
                  <w14:solidFill>
                    <w14:schemeClr w14:val="tx1"/>
                  </w14:solidFill>
                </w14:textFill>
              </w:rPr>
            </w:pPr>
          </w:p>
        </w:tc>
        <w:tc>
          <w:tcPr>
            <w:tcW w:w="1064" w:type="dxa"/>
          </w:tcPr>
          <w:p w14:paraId="76970FDE">
            <w:pPr>
              <w:snapToGrid w:val="0"/>
              <w:jc w:val="center"/>
              <w:rPr>
                <w:rFonts w:ascii="宋体" w:hAnsi="宋体"/>
                <w:color w:val="000000" w:themeColor="text1"/>
                <w:szCs w:val="21"/>
                <w14:textFill>
                  <w14:solidFill>
                    <w14:schemeClr w14:val="tx1"/>
                  </w14:solidFill>
                </w14:textFill>
              </w:rPr>
            </w:pPr>
          </w:p>
        </w:tc>
      </w:tr>
      <w:tr w14:paraId="0CE709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70DD90CD">
            <w:pPr>
              <w:snapToGrid w:val="0"/>
              <w:jc w:val="center"/>
              <w:rPr>
                <w:rFonts w:ascii="宋体" w:hAnsi="宋体"/>
                <w:color w:val="000000" w:themeColor="text1"/>
                <w:szCs w:val="21"/>
                <w14:textFill>
                  <w14:solidFill>
                    <w14:schemeClr w14:val="tx1"/>
                  </w14:solidFill>
                </w14:textFill>
              </w:rPr>
            </w:pPr>
          </w:p>
        </w:tc>
        <w:tc>
          <w:tcPr>
            <w:tcW w:w="1304" w:type="dxa"/>
          </w:tcPr>
          <w:p w14:paraId="4A4D87AC">
            <w:pPr>
              <w:snapToGrid w:val="0"/>
              <w:jc w:val="center"/>
              <w:rPr>
                <w:rFonts w:ascii="宋体" w:hAnsi="宋体"/>
                <w:color w:val="000000" w:themeColor="text1"/>
                <w:szCs w:val="21"/>
                <w14:textFill>
                  <w14:solidFill>
                    <w14:schemeClr w14:val="tx1"/>
                  </w14:solidFill>
                </w14:textFill>
              </w:rPr>
            </w:pPr>
          </w:p>
        </w:tc>
        <w:tc>
          <w:tcPr>
            <w:tcW w:w="1065" w:type="dxa"/>
          </w:tcPr>
          <w:p w14:paraId="192B2D1D">
            <w:pPr>
              <w:snapToGrid w:val="0"/>
              <w:jc w:val="center"/>
              <w:rPr>
                <w:rFonts w:ascii="宋体" w:hAnsi="宋体"/>
                <w:color w:val="000000" w:themeColor="text1"/>
                <w:szCs w:val="21"/>
                <w14:textFill>
                  <w14:solidFill>
                    <w14:schemeClr w14:val="tx1"/>
                  </w14:solidFill>
                </w14:textFill>
              </w:rPr>
            </w:pPr>
          </w:p>
        </w:tc>
        <w:tc>
          <w:tcPr>
            <w:tcW w:w="1065" w:type="dxa"/>
          </w:tcPr>
          <w:p w14:paraId="397D0F7C">
            <w:pPr>
              <w:snapToGrid w:val="0"/>
              <w:jc w:val="center"/>
              <w:rPr>
                <w:rFonts w:ascii="宋体" w:hAnsi="宋体"/>
                <w:color w:val="000000" w:themeColor="text1"/>
                <w:szCs w:val="21"/>
                <w14:textFill>
                  <w14:solidFill>
                    <w14:schemeClr w14:val="tx1"/>
                  </w14:solidFill>
                </w14:textFill>
              </w:rPr>
            </w:pPr>
          </w:p>
        </w:tc>
        <w:tc>
          <w:tcPr>
            <w:tcW w:w="1065" w:type="dxa"/>
          </w:tcPr>
          <w:p w14:paraId="560657DB">
            <w:pPr>
              <w:snapToGrid w:val="0"/>
              <w:jc w:val="center"/>
              <w:rPr>
                <w:rFonts w:ascii="宋体" w:hAnsi="宋体"/>
                <w:color w:val="000000" w:themeColor="text1"/>
                <w:szCs w:val="21"/>
                <w14:textFill>
                  <w14:solidFill>
                    <w14:schemeClr w14:val="tx1"/>
                  </w14:solidFill>
                </w14:textFill>
              </w:rPr>
            </w:pPr>
          </w:p>
        </w:tc>
        <w:tc>
          <w:tcPr>
            <w:tcW w:w="1065" w:type="dxa"/>
          </w:tcPr>
          <w:p w14:paraId="1D98D5FC">
            <w:pPr>
              <w:snapToGrid w:val="0"/>
              <w:jc w:val="center"/>
              <w:rPr>
                <w:rFonts w:ascii="宋体" w:hAnsi="宋体"/>
                <w:color w:val="000000" w:themeColor="text1"/>
                <w:szCs w:val="21"/>
                <w14:textFill>
                  <w14:solidFill>
                    <w14:schemeClr w14:val="tx1"/>
                  </w14:solidFill>
                </w14:textFill>
              </w:rPr>
            </w:pPr>
          </w:p>
        </w:tc>
        <w:tc>
          <w:tcPr>
            <w:tcW w:w="1065" w:type="dxa"/>
          </w:tcPr>
          <w:p w14:paraId="30E07564">
            <w:pPr>
              <w:snapToGrid w:val="0"/>
              <w:jc w:val="center"/>
              <w:rPr>
                <w:rFonts w:ascii="宋体" w:hAnsi="宋体"/>
                <w:color w:val="000000" w:themeColor="text1"/>
                <w:szCs w:val="21"/>
                <w14:textFill>
                  <w14:solidFill>
                    <w14:schemeClr w14:val="tx1"/>
                  </w14:solidFill>
                </w14:textFill>
              </w:rPr>
            </w:pPr>
          </w:p>
        </w:tc>
        <w:tc>
          <w:tcPr>
            <w:tcW w:w="1064" w:type="dxa"/>
          </w:tcPr>
          <w:p w14:paraId="14F8AF6B">
            <w:pPr>
              <w:snapToGrid w:val="0"/>
              <w:jc w:val="center"/>
              <w:rPr>
                <w:rFonts w:ascii="宋体" w:hAnsi="宋体"/>
                <w:color w:val="000000" w:themeColor="text1"/>
                <w:szCs w:val="21"/>
                <w14:textFill>
                  <w14:solidFill>
                    <w14:schemeClr w14:val="tx1"/>
                  </w14:solidFill>
                </w14:textFill>
              </w:rPr>
            </w:pPr>
          </w:p>
        </w:tc>
      </w:tr>
      <w:tr w14:paraId="45739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2632705">
            <w:pPr>
              <w:snapToGrid w:val="0"/>
              <w:jc w:val="center"/>
              <w:rPr>
                <w:rFonts w:ascii="宋体" w:hAnsi="宋体"/>
                <w:color w:val="000000" w:themeColor="text1"/>
                <w:szCs w:val="21"/>
                <w14:textFill>
                  <w14:solidFill>
                    <w14:schemeClr w14:val="tx1"/>
                  </w14:solidFill>
                </w14:textFill>
              </w:rPr>
            </w:pPr>
          </w:p>
        </w:tc>
        <w:tc>
          <w:tcPr>
            <w:tcW w:w="1304" w:type="dxa"/>
          </w:tcPr>
          <w:p w14:paraId="5DED253D">
            <w:pPr>
              <w:snapToGrid w:val="0"/>
              <w:jc w:val="center"/>
              <w:rPr>
                <w:rFonts w:ascii="宋体" w:hAnsi="宋体"/>
                <w:color w:val="000000" w:themeColor="text1"/>
                <w:szCs w:val="21"/>
                <w14:textFill>
                  <w14:solidFill>
                    <w14:schemeClr w14:val="tx1"/>
                  </w14:solidFill>
                </w14:textFill>
              </w:rPr>
            </w:pPr>
          </w:p>
        </w:tc>
        <w:tc>
          <w:tcPr>
            <w:tcW w:w="1065" w:type="dxa"/>
          </w:tcPr>
          <w:p w14:paraId="5957ADFD">
            <w:pPr>
              <w:snapToGrid w:val="0"/>
              <w:jc w:val="center"/>
              <w:rPr>
                <w:rFonts w:ascii="宋体" w:hAnsi="宋体"/>
                <w:color w:val="000000" w:themeColor="text1"/>
                <w:szCs w:val="21"/>
                <w14:textFill>
                  <w14:solidFill>
                    <w14:schemeClr w14:val="tx1"/>
                  </w14:solidFill>
                </w14:textFill>
              </w:rPr>
            </w:pPr>
          </w:p>
        </w:tc>
        <w:tc>
          <w:tcPr>
            <w:tcW w:w="1065" w:type="dxa"/>
          </w:tcPr>
          <w:p w14:paraId="2BF52D0F">
            <w:pPr>
              <w:snapToGrid w:val="0"/>
              <w:jc w:val="center"/>
              <w:rPr>
                <w:rFonts w:ascii="宋体" w:hAnsi="宋体"/>
                <w:color w:val="000000" w:themeColor="text1"/>
                <w:szCs w:val="21"/>
                <w14:textFill>
                  <w14:solidFill>
                    <w14:schemeClr w14:val="tx1"/>
                  </w14:solidFill>
                </w14:textFill>
              </w:rPr>
            </w:pPr>
          </w:p>
        </w:tc>
        <w:tc>
          <w:tcPr>
            <w:tcW w:w="1065" w:type="dxa"/>
          </w:tcPr>
          <w:p w14:paraId="70B553AF">
            <w:pPr>
              <w:snapToGrid w:val="0"/>
              <w:jc w:val="center"/>
              <w:rPr>
                <w:rFonts w:ascii="宋体" w:hAnsi="宋体"/>
                <w:color w:val="000000" w:themeColor="text1"/>
                <w:szCs w:val="21"/>
                <w14:textFill>
                  <w14:solidFill>
                    <w14:schemeClr w14:val="tx1"/>
                  </w14:solidFill>
                </w14:textFill>
              </w:rPr>
            </w:pPr>
          </w:p>
        </w:tc>
        <w:tc>
          <w:tcPr>
            <w:tcW w:w="1065" w:type="dxa"/>
          </w:tcPr>
          <w:p w14:paraId="43A7ADB2">
            <w:pPr>
              <w:snapToGrid w:val="0"/>
              <w:jc w:val="center"/>
              <w:rPr>
                <w:rFonts w:ascii="宋体" w:hAnsi="宋体"/>
                <w:color w:val="000000" w:themeColor="text1"/>
                <w:szCs w:val="21"/>
                <w14:textFill>
                  <w14:solidFill>
                    <w14:schemeClr w14:val="tx1"/>
                  </w14:solidFill>
                </w14:textFill>
              </w:rPr>
            </w:pPr>
          </w:p>
        </w:tc>
        <w:tc>
          <w:tcPr>
            <w:tcW w:w="1065" w:type="dxa"/>
          </w:tcPr>
          <w:p w14:paraId="4F36BAF5">
            <w:pPr>
              <w:snapToGrid w:val="0"/>
              <w:jc w:val="center"/>
              <w:rPr>
                <w:rFonts w:ascii="宋体" w:hAnsi="宋体"/>
                <w:color w:val="000000" w:themeColor="text1"/>
                <w:szCs w:val="21"/>
                <w14:textFill>
                  <w14:solidFill>
                    <w14:schemeClr w14:val="tx1"/>
                  </w14:solidFill>
                </w14:textFill>
              </w:rPr>
            </w:pPr>
          </w:p>
        </w:tc>
        <w:tc>
          <w:tcPr>
            <w:tcW w:w="1064" w:type="dxa"/>
          </w:tcPr>
          <w:p w14:paraId="53FC4DBB">
            <w:pPr>
              <w:snapToGrid w:val="0"/>
              <w:jc w:val="center"/>
              <w:rPr>
                <w:rFonts w:ascii="宋体" w:hAnsi="宋体"/>
                <w:color w:val="000000" w:themeColor="text1"/>
                <w:szCs w:val="21"/>
                <w14:textFill>
                  <w14:solidFill>
                    <w14:schemeClr w14:val="tx1"/>
                  </w14:solidFill>
                </w14:textFill>
              </w:rPr>
            </w:pPr>
          </w:p>
        </w:tc>
      </w:tr>
    </w:tbl>
    <w:p w14:paraId="0E9903A9">
      <w:pPr>
        <w:pStyle w:val="45"/>
        <w:rPr>
          <w:rFonts w:hAnsi="宋体"/>
          <w:color w:val="000000" w:themeColor="text1"/>
          <w14:textFill>
            <w14:solidFill>
              <w14:schemeClr w14:val="tx1"/>
            </w14:solidFill>
          </w14:textFill>
        </w:rPr>
      </w:pPr>
      <w:bookmarkStart w:id="888" w:name="_Toc179632820"/>
      <w:bookmarkStart w:id="889" w:name="_Toc152042589"/>
      <w:bookmarkStart w:id="890" w:name="_Toc152045800"/>
      <w:bookmarkStart w:id="891" w:name="_Toc144974868"/>
      <w:bookmarkStart w:id="892" w:name="_Toc246996367"/>
      <w:bookmarkStart w:id="893" w:name="_Toc246997110"/>
    </w:p>
    <w:p w14:paraId="610A078F">
      <w:pPr>
        <w:pStyle w:val="45"/>
        <w:pageBreakBefore/>
        <w:rPr>
          <w:rFonts w:hAnsi="宋体"/>
          <w:color w:val="000000" w:themeColor="text1"/>
          <w14:textFill>
            <w14:solidFill>
              <w14:schemeClr w14:val="tx1"/>
            </w14:solidFill>
          </w14:textFill>
        </w:rPr>
      </w:pPr>
      <w:bookmarkStart w:id="894" w:name="_Toc296602612"/>
      <w:bookmarkStart w:id="895" w:name="_Toc247085885"/>
      <w:r>
        <w:rPr>
          <w:rFonts w:hAnsi="宋体"/>
          <w:color w:val="000000" w:themeColor="text1"/>
          <w14:textFill>
            <w14:solidFill>
              <w14:schemeClr w14:val="tx1"/>
            </w14:solidFill>
          </w14:textFill>
        </w:rPr>
        <w:t>附表</w:t>
      </w:r>
      <w:r>
        <w:rPr>
          <w:rFonts w:hint="eastAsia" w:hAnsi="宋体"/>
          <w:color w:val="000000" w:themeColor="text1"/>
          <w14:textFill>
            <w14:solidFill>
              <w14:schemeClr w14:val="tx1"/>
            </w14:solidFill>
          </w14:textFill>
        </w:rPr>
        <w:t>三</w:t>
      </w:r>
      <w:r>
        <w:rPr>
          <w:rFonts w:hAnsi="宋体"/>
          <w:color w:val="000000" w:themeColor="text1"/>
          <w14:textFill>
            <w14:solidFill>
              <w14:schemeClr w14:val="tx1"/>
            </w14:solidFill>
          </w14:textFill>
        </w:rPr>
        <w:t>：进度</w:t>
      </w:r>
      <w:r>
        <w:rPr>
          <w:rFonts w:hint="eastAsia" w:hAnsi="宋体"/>
          <w:color w:val="000000" w:themeColor="text1"/>
          <w14:textFill>
            <w14:solidFill>
              <w14:schemeClr w14:val="tx1"/>
            </w14:solidFill>
          </w14:textFill>
        </w:rPr>
        <w:t>计划</w:t>
      </w:r>
      <w:bookmarkEnd w:id="888"/>
      <w:bookmarkEnd w:id="889"/>
      <w:bookmarkEnd w:id="890"/>
      <w:bookmarkEnd w:id="891"/>
      <w:bookmarkEnd w:id="892"/>
      <w:bookmarkEnd w:id="893"/>
      <w:bookmarkEnd w:id="894"/>
      <w:bookmarkEnd w:id="895"/>
    </w:p>
    <w:p w14:paraId="210E2438">
      <w:pPr>
        <w:spacing w:line="440" w:lineRule="exact"/>
        <w:rPr>
          <w:rFonts w:ascii="宋体" w:hAnsi="宋体"/>
          <w:color w:val="000000" w:themeColor="text1"/>
          <w:szCs w:val="21"/>
          <w14:textFill>
            <w14:solidFill>
              <w14:schemeClr w14:val="tx1"/>
            </w14:solidFill>
          </w14:textFill>
        </w:rPr>
      </w:pPr>
    </w:p>
    <w:p w14:paraId="7F7D531C">
      <w:pPr>
        <w:spacing w:line="44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 xml:space="preserve">1. </w:t>
      </w: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应递交施工进度网络图或施工进度表，说明按</w:t>
      </w:r>
      <w:r>
        <w:rPr>
          <w:rFonts w:hint="eastAsia" w:ascii="宋体" w:hAnsi="宋体"/>
          <w:color w:val="000000" w:themeColor="text1"/>
          <w:szCs w:val="21"/>
          <w14:textFill>
            <w14:solidFill>
              <w14:schemeClr w14:val="tx1"/>
            </w14:solidFill>
          </w14:textFill>
        </w:rPr>
        <w:t>竞争性磋商文件</w:t>
      </w:r>
      <w:r>
        <w:rPr>
          <w:rFonts w:ascii="宋体" w:hAnsi="宋体"/>
          <w:color w:val="000000" w:themeColor="text1"/>
          <w:szCs w:val="21"/>
          <w14:textFill>
            <w14:solidFill>
              <w14:schemeClr w14:val="tx1"/>
            </w14:solidFill>
          </w14:textFill>
        </w:rPr>
        <w:t>要求的计划工期进行施工的各个关键日期。</w:t>
      </w:r>
    </w:p>
    <w:p w14:paraId="36FEDCEA">
      <w:pPr>
        <w:spacing w:line="44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 施</w:t>
      </w:r>
      <w:r>
        <w:rPr>
          <w:rFonts w:hint="eastAsia" w:ascii="宋体" w:hAnsi="宋体"/>
          <w:color w:val="000000" w:themeColor="text1"/>
          <w:szCs w:val="21"/>
          <w14:textFill>
            <w14:solidFill>
              <w14:schemeClr w14:val="tx1"/>
            </w14:solidFill>
          </w14:textFill>
        </w:rPr>
        <w:t>工</w:t>
      </w:r>
      <w:r>
        <w:rPr>
          <w:rFonts w:ascii="宋体" w:hAnsi="宋体"/>
          <w:color w:val="000000" w:themeColor="text1"/>
          <w:szCs w:val="21"/>
          <w14:textFill>
            <w14:solidFill>
              <w14:schemeClr w14:val="tx1"/>
            </w14:solidFill>
          </w14:textFill>
        </w:rPr>
        <w:t>进度表可采用网络图或横道图表示。</w:t>
      </w:r>
    </w:p>
    <w:p w14:paraId="5133B21D">
      <w:pPr>
        <w:spacing w:line="440" w:lineRule="exact"/>
        <w:rPr>
          <w:rFonts w:ascii="宋体" w:hAnsi="宋体"/>
          <w:color w:val="000000" w:themeColor="text1"/>
          <w:szCs w:val="21"/>
          <w14:textFill>
            <w14:solidFill>
              <w14:schemeClr w14:val="tx1"/>
            </w14:solidFill>
          </w14:textFill>
        </w:rPr>
      </w:pPr>
    </w:p>
    <w:p w14:paraId="7522392B">
      <w:pPr>
        <w:spacing w:line="440" w:lineRule="exact"/>
        <w:rPr>
          <w:rFonts w:ascii="宋体" w:hAnsi="宋体"/>
          <w:color w:val="000000" w:themeColor="text1"/>
          <w:szCs w:val="21"/>
          <w14:textFill>
            <w14:solidFill>
              <w14:schemeClr w14:val="tx1"/>
            </w14:solidFill>
          </w14:textFill>
        </w:rPr>
      </w:pPr>
    </w:p>
    <w:p w14:paraId="27BA9F80">
      <w:pPr>
        <w:spacing w:line="440" w:lineRule="exact"/>
        <w:rPr>
          <w:rFonts w:ascii="宋体" w:hAnsi="宋体"/>
          <w:color w:val="000000" w:themeColor="text1"/>
          <w:szCs w:val="21"/>
          <w14:textFill>
            <w14:solidFill>
              <w14:schemeClr w14:val="tx1"/>
            </w14:solidFill>
          </w14:textFill>
        </w:rPr>
      </w:pPr>
    </w:p>
    <w:p w14:paraId="397E8121">
      <w:pPr>
        <w:spacing w:line="440" w:lineRule="exact"/>
        <w:rPr>
          <w:rFonts w:ascii="宋体" w:hAnsi="宋体"/>
          <w:color w:val="000000" w:themeColor="text1"/>
          <w:szCs w:val="21"/>
          <w14:textFill>
            <w14:solidFill>
              <w14:schemeClr w14:val="tx1"/>
            </w14:solidFill>
          </w14:textFill>
        </w:rPr>
      </w:pPr>
    </w:p>
    <w:p w14:paraId="2303AD59">
      <w:pPr>
        <w:spacing w:line="440" w:lineRule="exact"/>
        <w:rPr>
          <w:rFonts w:ascii="宋体" w:hAnsi="宋体"/>
          <w:color w:val="000000" w:themeColor="text1"/>
          <w:szCs w:val="21"/>
          <w14:textFill>
            <w14:solidFill>
              <w14:schemeClr w14:val="tx1"/>
            </w14:solidFill>
          </w14:textFill>
        </w:rPr>
      </w:pPr>
    </w:p>
    <w:p w14:paraId="41841D8B">
      <w:pPr>
        <w:pageBreakBefore/>
        <w:spacing w:line="440" w:lineRule="exact"/>
        <w:rPr>
          <w:rFonts w:ascii="宋体" w:hAnsi="宋体"/>
          <w:color w:val="000000" w:themeColor="text1"/>
          <w:szCs w:val="21"/>
          <w14:textFill>
            <w14:solidFill>
              <w14:schemeClr w14:val="tx1"/>
            </w14:solidFill>
          </w14:textFill>
        </w:rPr>
      </w:pPr>
      <w:bookmarkStart w:id="896" w:name="_Toc152042590"/>
      <w:bookmarkStart w:id="897" w:name="_Toc246997111"/>
      <w:bookmarkStart w:id="898" w:name="_Toc144974869"/>
      <w:bookmarkStart w:id="899" w:name="_Toc152045801"/>
      <w:bookmarkStart w:id="900" w:name="_Toc296602613"/>
      <w:bookmarkStart w:id="901" w:name="_Toc246996368"/>
      <w:bookmarkStart w:id="902" w:name="_Toc179632821"/>
      <w:bookmarkStart w:id="903" w:name="_Toc247085886"/>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四</w:t>
      </w:r>
      <w:r>
        <w:rPr>
          <w:rFonts w:ascii="宋体" w:hAnsi="宋体"/>
          <w:color w:val="000000" w:themeColor="text1"/>
          <w:szCs w:val="21"/>
          <w14:textFill>
            <w14:solidFill>
              <w14:schemeClr w14:val="tx1"/>
            </w14:solidFill>
          </w14:textFill>
        </w:rPr>
        <w:t>：施工总平面图</w:t>
      </w:r>
      <w:bookmarkEnd w:id="896"/>
      <w:bookmarkEnd w:id="897"/>
      <w:bookmarkEnd w:id="898"/>
      <w:bookmarkEnd w:id="899"/>
      <w:bookmarkEnd w:id="900"/>
      <w:bookmarkEnd w:id="901"/>
      <w:bookmarkEnd w:id="902"/>
      <w:bookmarkEnd w:id="903"/>
    </w:p>
    <w:p w14:paraId="492C741D">
      <w:pPr>
        <w:spacing w:line="440" w:lineRule="exact"/>
        <w:ind w:firstLine="420" w:firstLineChars="200"/>
        <w:rPr>
          <w:rFonts w:ascii="宋体" w:hAnsi="宋体"/>
          <w:color w:val="000000" w:themeColor="text1"/>
          <w:szCs w:val="21"/>
          <w14:textFill>
            <w14:solidFill>
              <w14:schemeClr w14:val="tx1"/>
            </w14:solidFill>
          </w14:textFill>
        </w:rPr>
      </w:pPr>
    </w:p>
    <w:p w14:paraId="77A934C3">
      <w:pPr>
        <w:snapToGrid w:val="0"/>
        <w:spacing w:beforeLines="50"/>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应递交一份施工总平面图，绘出现场临时设施布置图表，</w:t>
      </w:r>
      <w:r>
        <w:rPr>
          <w:rFonts w:hint="eastAsia" w:ascii="宋体" w:hAnsi="宋体"/>
          <w:color w:val="000000" w:themeColor="text1"/>
          <w:szCs w:val="21"/>
          <w14:textFill>
            <w14:solidFill>
              <w14:schemeClr w14:val="tx1"/>
            </w14:solidFill>
          </w14:textFill>
        </w:rPr>
        <w:t>并注</w:t>
      </w:r>
      <w:r>
        <w:rPr>
          <w:rFonts w:ascii="宋体" w:hAnsi="宋体"/>
          <w:color w:val="000000" w:themeColor="text1"/>
          <w:szCs w:val="21"/>
          <w14:textFill>
            <w14:solidFill>
              <w14:schemeClr w14:val="tx1"/>
            </w14:solidFill>
          </w14:textFill>
        </w:rPr>
        <w:t>明临时设施、加工车间、现场办公、设备及仓储、供电、供水、卫生、生活、道路、消防等设施的情况和布置。</w:t>
      </w:r>
    </w:p>
    <w:p w14:paraId="60128527">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904" w:name="_Toc53569425"/>
      <w:bookmarkStart w:id="905" w:name="_Toc54258247"/>
      <w:bookmarkStart w:id="906" w:name="_Toc19021"/>
      <w:bookmarkStart w:id="907" w:name="_Toc469921636"/>
      <w:bookmarkStart w:id="908" w:name="_Toc54097223"/>
      <w:bookmarkStart w:id="909" w:name="_Toc22045"/>
      <w:r>
        <w:rPr>
          <w:rFonts w:hint="eastAsia" w:ascii="宋体" w:hAnsi="宋体" w:eastAsia="宋体"/>
          <w:color w:val="000000" w:themeColor="text1"/>
          <w:sz w:val="28"/>
          <w:szCs w:val="28"/>
          <w14:textFill>
            <w14:solidFill>
              <w14:schemeClr w14:val="tx1"/>
            </w14:solidFill>
          </w14:textFill>
        </w:rPr>
        <w:t>七、</w:t>
      </w:r>
      <w:r>
        <w:rPr>
          <w:rFonts w:ascii="宋体" w:hAnsi="宋体" w:eastAsia="宋体"/>
          <w:color w:val="000000" w:themeColor="text1"/>
          <w:sz w:val="28"/>
          <w:szCs w:val="28"/>
          <w14:textFill>
            <w14:solidFill>
              <w14:schemeClr w14:val="tx1"/>
            </w14:solidFill>
          </w14:textFill>
        </w:rPr>
        <w:t>项目管理机构</w:t>
      </w:r>
      <w:bookmarkEnd w:id="904"/>
      <w:bookmarkEnd w:id="905"/>
      <w:bookmarkEnd w:id="906"/>
      <w:bookmarkEnd w:id="907"/>
      <w:bookmarkEnd w:id="908"/>
      <w:bookmarkEnd w:id="909"/>
    </w:p>
    <w:p w14:paraId="64A4F2AE">
      <w:pPr>
        <w:pStyle w:val="518"/>
        <w:jc w:val="center"/>
        <w:outlineLvl w:val="2"/>
        <w:rPr>
          <w:rFonts w:ascii="宋体" w:hAnsi="宋体"/>
          <w:color w:val="000000" w:themeColor="text1"/>
          <w:sz w:val="21"/>
          <w:szCs w:val="21"/>
          <w14:textFill>
            <w14:solidFill>
              <w14:schemeClr w14:val="tx1"/>
            </w14:solidFill>
          </w14:textFill>
        </w:rPr>
      </w:pPr>
      <w:bookmarkStart w:id="910" w:name="_Toc202062907"/>
      <w:bookmarkStart w:id="911" w:name="_Toc432066485"/>
      <w:bookmarkStart w:id="912" w:name="_Toc469921637"/>
      <w:bookmarkStart w:id="913" w:name="_Toc23733"/>
      <w:bookmarkStart w:id="914" w:name="_Toc54097224"/>
      <w:bookmarkStart w:id="915" w:name="_Toc27233"/>
      <w:bookmarkStart w:id="916" w:name="_Toc201488176"/>
      <w:bookmarkStart w:id="917" w:name="_Toc53569426"/>
      <w:bookmarkStart w:id="918" w:name="_Toc201487554"/>
      <w:bookmarkStart w:id="919" w:name="_Toc414897847"/>
      <w:bookmarkStart w:id="920" w:name="_Toc54258248"/>
      <w:bookmarkStart w:id="921" w:name="_Toc399762139"/>
      <w:bookmarkStart w:id="922" w:name="_Toc414891998"/>
      <w:r>
        <w:rPr>
          <w:rFonts w:hint="eastAsia" w:ascii="宋体" w:hAnsi="宋体"/>
          <w:color w:val="000000" w:themeColor="text1"/>
          <w:sz w:val="21"/>
          <w:szCs w:val="21"/>
          <w14:textFill>
            <w14:solidFill>
              <w14:schemeClr w14:val="tx1"/>
            </w14:solidFill>
          </w14:textFill>
        </w:rPr>
        <w:t>（一）</w:t>
      </w:r>
      <w:r>
        <w:rPr>
          <w:rFonts w:ascii="宋体" w:hAnsi="宋体"/>
          <w:color w:val="000000" w:themeColor="text1"/>
          <w:sz w:val="21"/>
          <w:szCs w:val="21"/>
          <w14:textFill>
            <w14:solidFill>
              <w14:schemeClr w14:val="tx1"/>
            </w14:solidFill>
          </w14:textFill>
        </w:rPr>
        <w:t>项目管理机构组成表</w:t>
      </w:r>
      <w:bookmarkEnd w:id="910"/>
      <w:bookmarkEnd w:id="911"/>
      <w:bookmarkEnd w:id="912"/>
      <w:bookmarkEnd w:id="913"/>
      <w:bookmarkEnd w:id="914"/>
      <w:bookmarkEnd w:id="915"/>
      <w:bookmarkEnd w:id="916"/>
      <w:bookmarkEnd w:id="917"/>
      <w:bookmarkEnd w:id="918"/>
      <w:bookmarkEnd w:id="919"/>
      <w:bookmarkEnd w:id="920"/>
      <w:bookmarkEnd w:id="921"/>
      <w:bookmarkEnd w:id="922"/>
    </w:p>
    <w:p w14:paraId="42B7D415">
      <w:pPr>
        <w:rPr>
          <w:rFonts w:ascii="宋体" w:hAnsi="宋体"/>
          <w:color w:val="000000" w:themeColor="text1"/>
          <w:sz w:val="24"/>
          <w14:textFill>
            <w14:solidFill>
              <w14:schemeClr w14:val="tx1"/>
            </w14:solidFill>
          </w14:textFill>
        </w:rPr>
      </w:pPr>
    </w:p>
    <w:tbl>
      <w:tblPr>
        <w:tblStyle w:val="88"/>
        <w:tblW w:w="0" w:type="auto"/>
        <w:jc w:val="center"/>
        <w:tblLayout w:type="fixed"/>
        <w:tblCellMar>
          <w:top w:w="0" w:type="dxa"/>
          <w:left w:w="0" w:type="dxa"/>
          <w:bottom w:w="0" w:type="dxa"/>
          <w:right w:w="0" w:type="dxa"/>
        </w:tblCellMar>
      </w:tblPr>
      <w:tblGrid>
        <w:gridCol w:w="871"/>
        <w:gridCol w:w="721"/>
        <w:gridCol w:w="719"/>
        <w:gridCol w:w="1081"/>
        <w:gridCol w:w="719"/>
        <w:gridCol w:w="721"/>
        <w:gridCol w:w="719"/>
        <w:gridCol w:w="2524"/>
        <w:gridCol w:w="672"/>
      </w:tblGrid>
      <w:tr w14:paraId="5032C1FC">
        <w:tblPrEx>
          <w:tblCellMar>
            <w:top w:w="0" w:type="dxa"/>
            <w:left w:w="0" w:type="dxa"/>
            <w:bottom w:w="0" w:type="dxa"/>
            <w:right w:w="0" w:type="dxa"/>
          </w:tblCellMar>
        </w:tblPrEx>
        <w:trPr>
          <w:trHeight w:val="450" w:hRule="exact"/>
          <w:jc w:val="center"/>
        </w:trPr>
        <w:tc>
          <w:tcPr>
            <w:tcW w:w="871" w:type="dxa"/>
            <w:vMerge w:val="restart"/>
            <w:tcBorders>
              <w:top w:val="single" w:color="000000" w:sz="12" w:space="0"/>
              <w:left w:val="single" w:color="000000" w:sz="12" w:space="0"/>
              <w:right w:val="single" w:color="000000" w:sz="4" w:space="0"/>
            </w:tcBorders>
            <w:vAlign w:val="center"/>
          </w:tcPr>
          <w:p w14:paraId="0463D95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职务</w:t>
            </w:r>
          </w:p>
        </w:tc>
        <w:tc>
          <w:tcPr>
            <w:tcW w:w="721" w:type="dxa"/>
            <w:vMerge w:val="restart"/>
            <w:tcBorders>
              <w:top w:val="single" w:color="000000" w:sz="12" w:space="0"/>
              <w:left w:val="single" w:color="000000" w:sz="4" w:space="0"/>
              <w:bottom w:val="single" w:color="000000" w:sz="4" w:space="0"/>
              <w:right w:val="single" w:color="000000" w:sz="4" w:space="0"/>
            </w:tcBorders>
            <w:vAlign w:val="center"/>
          </w:tcPr>
          <w:p w14:paraId="589EB8E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719" w:type="dxa"/>
            <w:vMerge w:val="restart"/>
            <w:tcBorders>
              <w:top w:val="single" w:color="000000" w:sz="12" w:space="0"/>
              <w:left w:val="single" w:color="000000" w:sz="4" w:space="0"/>
              <w:bottom w:val="single" w:color="000000" w:sz="4" w:space="0"/>
              <w:right w:val="single" w:color="000000" w:sz="4" w:space="0"/>
            </w:tcBorders>
            <w:vAlign w:val="center"/>
          </w:tcPr>
          <w:p w14:paraId="55A4AAD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职称</w:t>
            </w:r>
          </w:p>
        </w:tc>
        <w:tc>
          <w:tcPr>
            <w:tcW w:w="5764" w:type="dxa"/>
            <w:gridSpan w:val="5"/>
            <w:tcBorders>
              <w:top w:val="single" w:color="000000" w:sz="12" w:space="0"/>
              <w:left w:val="single" w:color="000000" w:sz="4" w:space="0"/>
              <w:bottom w:val="single" w:color="000000" w:sz="4" w:space="0"/>
              <w:right w:val="single" w:color="000000" w:sz="4" w:space="0"/>
            </w:tcBorders>
            <w:vAlign w:val="center"/>
          </w:tcPr>
          <w:p w14:paraId="6ADFA82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执业或职业资格证明</w:t>
            </w:r>
          </w:p>
        </w:tc>
        <w:tc>
          <w:tcPr>
            <w:tcW w:w="672" w:type="dxa"/>
            <w:vMerge w:val="restart"/>
            <w:tcBorders>
              <w:top w:val="single" w:color="000000" w:sz="12" w:space="0"/>
              <w:left w:val="single" w:color="000000" w:sz="4" w:space="0"/>
              <w:right w:val="single" w:color="000000" w:sz="12" w:space="0"/>
            </w:tcBorders>
            <w:vAlign w:val="center"/>
          </w:tcPr>
          <w:p w14:paraId="4FC18E1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r>
      <w:tr w14:paraId="51F52CAC">
        <w:tblPrEx>
          <w:tblCellMar>
            <w:top w:w="0" w:type="dxa"/>
            <w:left w:w="0" w:type="dxa"/>
            <w:bottom w:w="0" w:type="dxa"/>
            <w:right w:w="0" w:type="dxa"/>
          </w:tblCellMar>
        </w:tblPrEx>
        <w:trPr>
          <w:trHeight w:val="450" w:hRule="exact"/>
          <w:jc w:val="center"/>
        </w:trPr>
        <w:tc>
          <w:tcPr>
            <w:tcW w:w="871" w:type="dxa"/>
            <w:vMerge w:val="continue"/>
            <w:tcBorders>
              <w:left w:val="single" w:color="000000" w:sz="12" w:space="0"/>
              <w:bottom w:val="single" w:color="000000" w:sz="4" w:space="0"/>
              <w:right w:val="single" w:color="000000" w:sz="4" w:space="0"/>
            </w:tcBorders>
            <w:vAlign w:val="center"/>
          </w:tcPr>
          <w:p w14:paraId="53C5394B">
            <w:pPr>
              <w:jc w:val="center"/>
              <w:rPr>
                <w:rFonts w:ascii="宋体" w:hAnsi="宋体"/>
                <w:color w:val="000000" w:themeColor="text1"/>
                <w:szCs w:val="21"/>
                <w14:textFill>
                  <w14:solidFill>
                    <w14:schemeClr w14:val="tx1"/>
                  </w14:solidFill>
                </w14:textFill>
              </w:rPr>
            </w:pPr>
          </w:p>
        </w:tc>
        <w:tc>
          <w:tcPr>
            <w:tcW w:w="721" w:type="dxa"/>
            <w:vMerge w:val="continue"/>
            <w:tcBorders>
              <w:top w:val="single" w:color="000000" w:sz="4" w:space="0"/>
              <w:left w:val="single" w:color="000000" w:sz="4" w:space="0"/>
              <w:bottom w:val="single" w:color="000000" w:sz="4" w:space="0"/>
              <w:right w:val="single" w:color="000000" w:sz="4" w:space="0"/>
            </w:tcBorders>
            <w:vAlign w:val="center"/>
          </w:tcPr>
          <w:p w14:paraId="21FB3CA1">
            <w:pPr>
              <w:jc w:val="center"/>
              <w:rPr>
                <w:rFonts w:ascii="宋体" w:hAnsi="宋体"/>
                <w:color w:val="000000" w:themeColor="text1"/>
                <w:szCs w:val="21"/>
                <w14:textFill>
                  <w14:solidFill>
                    <w14:schemeClr w14:val="tx1"/>
                  </w14:solidFill>
                </w14:textFill>
              </w:rPr>
            </w:pPr>
          </w:p>
        </w:tc>
        <w:tc>
          <w:tcPr>
            <w:tcW w:w="719" w:type="dxa"/>
            <w:vMerge w:val="continue"/>
            <w:tcBorders>
              <w:top w:val="single" w:color="000000" w:sz="4" w:space="0"/>
              <w:left w:val="single" w:color="000000" w:sz="4" w:space="0"/>
              <w:bottom w:val="single" w:color="000000" w:sz="4" w:space="0"/>
              <w:right w:val="single" w:color="000000" w:sz="4" w:space="0"/>
            </w:tcBorders>
            <w:vAlign w:val="center"/>
          </w:tcPr>
          <w:p w14:paraId="39547226">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6817205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证书名称</w:t>
            </w:r>
          </w:p>
        </w:tc>
        <w:tc>
          <w:tcPr>
            <w:tcW w:w="719" w:type="dxa"/>
            <w:tcBorders>
              <w:top w:val="single" w:color="000000" w:sz="4" w:space="0"/>
              <w:left w:val="single" w:color="000000" w:sz="4" w:space="0"/>
              <w:bottom w:val="single" w:color="000000" w:sz="4" w:space="0"/>
              <w:right w:val="single" w:color="000000" w:sz="4" w:space="0"/>
            </w:tcBorders>
            <w:vAlign w:val="center"/>
          </w:tcPr>
          <w:p w14:paraId="0D1E540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级别</w:t>
            </w:r>
          </w:p>
        </w:tc>
        <w:tc>
          <w:tcPr>
            <w:tcW w:w="721" w:type="dxa"/>
            <w:tcBorders>
              <w:top w:val="single" w:color="000000" w:sz="4" w:space="0"/>
              <w:left w:val="single" w:color="000000" w:sz="4" w:space="0"/>
              <w:bottom w:val="single" w:color="000000" w:sz="4" w:space="0"/>
              <w:right w:val="single" w:color="000000" w:sz="4" w:space="0"/>
            </w:tcBorders>
            <w:vAlign w:val="center"/>
          </w:tcPr>
          <w:p w14:paraId="460CF27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证号</w:t>
            </w:r>
          </w:p>
        </w:tc>
        <w:tc>
          <w:tcPr>
            <w:tcW w:w="719" w:type="dxa"/>
            <w:tcBorders>
              <w:top w:val="single" w:color="000000" w:sz="4" w:space="0"/>
              <w:left w:val="single" w:color="000000" w:sz="4" w:space="0"/>
              <w:bottom w:val="single" w:color="000000" w:sz="4" w:space="0"/>
              <w:right w:val="single" w:color="000000" w:sz="4" w:space="0"/>
            </w:tcBorders>
            <w:vAlign w:val="center"/>
          </w:tcPr>
          <w:p w14:paraId="6379A2DF">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专业</w:t>
            </w:r>
          </w:p>
        </w:tc>
        <w:tc>
          <w:tcPr>
            <w:tcW w:w="2524" w:type="dxa"/>
            <w:tcBorders>
              <w:top w:val="single" w:color="000000" w:sz="4" w:space="0"/>
              <w:left w:val="single" w:color="000000" w:sz="4" w:space="0"/>
              <w:bottom w:val="single" w:color="000000" w:sz="4" w:space="0"/>
              <w:right w:val="single" w:color="000000" w:sz="4" w:space="0"/>
            </w:tcBorders>
            <w:vAlign w:val="center"/>
          </w:tcPr>
          <w:p w14:paraId="586E5FF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养老保险</w:t>
            </w:r>
          </w:p>
        </w:tc>
        <w:tc>
          <w:tcPr>
            <w:tcW w:w="672" w:type="dxa"/>
            <w:vMerge w:val="continue"/>
            <w:tcBorders>
              <w:left w:val="single" w:color="000000" w:sz="4" w:space="0"/>
              <w:bottom w:val="single" w:color="000000" w:sz="4" w:space="0"/>
              <w:right w:val="single" w:color="000000" w:sz="12" w:space="0"/>
            </w:tcBorders>
            <w:vAlign w:val="center"/>
          </w:tcPr>
          <w:p w14:paraId="262EC61C">
            <w:pPr>
              <w:jc w:val="center"/>
              <w:rPr>
                <w:rFonts w:ascii="宋体" w:hAnsi="宋体"/>
                <w:color w:val="000000" w:themeColor="text1"/>
                <w:szCs w:val="21"/>
                <w14:textFill>
                  <w14:solidFill>
                    <w14:schemeClr w14:val="tx1"/>
                  </w14:solidFill>
                </w14:textFill>
              </w:rPr>
            </w:pPr>
          </w:p>
        </w:tc>
      </w:tr>
      <w:tr w14:paraId="5B8468E7">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16538A69">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3997736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47125B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9F6B89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3E3D91E">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869F9A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D670E60">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0D96436">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296F78E8">
            <w:pPr>
              <w:jc w:val="center"/>
              <w:rPr>
                <w:rFonts w:ascii="宋体" w:hAnsi="宋体"/>
                <w:color w:val="000000" w:themeColor="text1"/>
                <w:szCs w:val="21"/>
                <w14:textFill>
                  <w14:solidFill>
                    <w14:schemeClr w14:val="tx1"/>
                  </w14:solidFill>
                </w14:textFill>
              </w:rPr>
            </w:pPr>
          </w:p>
        </w:tc>
      </w:tr>
      <w:tr w14:paraId="34AE6686">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16EBA7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5D3053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2E514A8">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3936C4D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E871499">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7389AC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0853CE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6BB5B2C">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CB73929">
            <w:pPr>
              <w:jc w:val="center"/>
              <w:rPr>
                <w:rFonts w:ascii="宋体" w:hAnsi="宋体"/>
                <w:color w:val="000000" w:themeColor="text1"/>
                <w:szCs w:val="21"/>
                <w14:textFill>
                  <w14:solidFill>
                    <w14:schemeClr w14:val="tx1"/>
                  </w14:solidFill>
                </w14:textFill>
              </w:rPr>
            </w:pPr>
          </w:p>
        </w:tc>
      </w:tr>
      <w:tr w14:paraId="6EE57B53">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37A3C7D">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AE9C01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E63C071">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ACE951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D31888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1813F7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755C74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60B865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4C561872">
            <w:pPr>
              <w:jc w:val="center"/>
              <w:rPr>
                <w:rFonts w:ascii="宋体" w:hAnsi="宋体"/>
                <w:color w:val="000000" w:themeColor="text1"/>
                <w:szCs w:val="21"/>
                <w14:textFill>
                  <w14:solidFill>
                    <w14:schemeClr w14:val="tx1"/>
                  </w14:solidFill>
                </w14:textFill>
              </w:rPr>
            </w:pPr>
          </w:p>
        </w:tc>
      </w:tr>
      <w:tr w14:paraId="1E90ECF2">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3550215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84E668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E79344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5FB05D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A6E7A9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BCFAD3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677C63A">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7D182170">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5C8B96CE">
            <w:pPr>
              <w:jc w:val="center"/>
              <w:rPr>
                <w:rFonts w:ascii="宋体" w:hAnsi="宋体"/>
                <w:color w:val="000000" w:themeColor="text1"/>
                <w:szCs w:val="21"/>
                <w14:textFill>
                  <w14:solidFill>
                    <w14:schemeClr w14:val="tx1"/>
                  </w14:solidFill>
                </w14:textFill>
              </w:rPr>
            </w:pPr>
          </w:p>
        </w:tc>
      </w:tr>
      <w:tr w14:paraId="01A1706F">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6338AC6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240592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16BFF00">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62D6B1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D1406A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960CD1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B74F4F2">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CF8AA85">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1D016317">
            <w:pPr>
              <w:jc w:val="center"/>
              <w:rPr>
                <w:rFonts w:ascii="宋体" w:hAnsi="宋体"/>
                <w:color w:val="000000" w:themeColor="text1"/>
                <w:szCs w:val="21"/>
                <w14:textFill>
                  <w14:solidFill>
                    <w14:schemeClr w14:val="tx1"/>
                  </w14:solidFill>
                </w14:textFill>
              </w:rPr>
            </w:pPr>
          </w:p>
        </w:tc>
      </w:tr>
      <w:tr w14:paraId="4D5FB438">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619E131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ED0635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25CF698">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67050B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BDD31FE">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048C85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8E21CB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A3BAFB9">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2B54EBC2">
            <w:pPr>
              <w:jc w:val="center"/>
              <w:rPr>
                <w:rFonts w:ascii="宋体" w:hAnsi="宋体"/>
                <w:color w:val="000000" w:themeColor="text1"/>
                <w:szCs w:val="21"/>
                <w14:textFill>
                  <w14:solidFill>
                    <w14:schemeClr w14:val="tx1"/>
                  </w14:solidFill>
                </w14:textFill>
              </w:rPr>
            </w:pPr>
          </w:p>
        </w:tc>
      </w:tr>
      <w:tr w14:paraId="5F354D90">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B9C429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8BD34B9">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6447F41">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2E031BD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02BBB21">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8B2BAD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66BAA3B">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D132292">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EB87F90">
            <w:pPr>
              <w:jc w:val="center"/>
              <w:rPr>
                <w:rFonts w:ascii="宋体" w:hAnsi="宋体"/>
                <w:color w:val="000000" w:themeColor="text1"/>
                <w:szCs w:val="21"/>
                <w14:textFill>
                  <w14:solidFill>
                    <w14:schemeClr w14:val="tx1"/>
                  </w14:solidFill>
                </w14:textFill>
              </w:rPr>
            </w:pPr>
          </w:p>
        </w:tc>
      </w:tr>
      <w:tr w14:paraId="2AE8F62D">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870D636">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067EA89">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114201B">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7CEECC9">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126010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2D73FA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4CEDF39">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0AF1C964">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4B26511">
            <w:pPr>
              <w:jc w:val="center"/>
              <w:rPr>
                <w:rFonts w:ascii="宋体" w:hAnsi="宋体"/>
                <w:color w:val="000000" w:themeColor="text1"/>
                <w:szCs w:val="21"/>
                <w14:textFill>
                  <w14:solidFill>
                    <w14:schemeClr w14:val="tx1"/>
                  </w14:solidFill>
                </w14:textFill>
              </w:rPr>
            </w:pPr>
          </w:p>
        </w:tc>
      </w:tr>
      <w:tr w14:paraId="72A99465">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2954D2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2D711AC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25CE217">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27F2C84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B599E6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55AF12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F3E282D">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70A43802">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ED76F1B">
            <w:pPr>
              <w:jc w:val="center"/>
              <w:rPr>
                <w:rFonts w:ascii="宋体" w:hAnsi="宋体"/>
                <w:color w:val="000000" w:themeColor="text1"/>
                <w:szCs w:val="21"/>
                <w14:textFill>
                  <w14:solidFill>
                    <w14:schemeClr w14:val="tx1"/>
                  </w14:solidFill>
                </w14:textFill>
              </w:rPr>
            </w:pPr>
          </w:p>
        </w:tc>
      </w:tr>
      <w:tr w14:paraId="77487F5A">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1177593F">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744EB8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EED6EC1">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71D219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BE4153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6C1BC3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67E6C88">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C102FA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5D59EBA">
            <w:pPr>
              <w:jc w:val="center"/>
              <w:rPr>
                <w:rFonts w:ascii="宋体" w:hAnsi="宋体"/>
                <w:color w:val="000000" w:themeColor="text1"/>
                <w:szCs w:val="21"/>
                <w14:textFill>
                  <w14:solidFill>
                    <w14:schemeClr w14:val="tx1"/>
                  </w14:solidFill>
                </w14:textFill>
              </w:rPr>
            </w:pPr>
          </w:p>
        </w:tc>
      </w:tr>
      <w:tr w14:paraId="6A6A4CFA">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A6185FE">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DF2826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6EC3B50">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E5B4AB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7F025F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2A4E095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8E68F84">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9D78290">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2CE3EFD">
            <w:pPr>
              <w:jc w:val="center"/>
              <w:rPr>
                <w:rFonts w:ascii="宋体" w:hAnsi="宋体"/>
                <w:color w:val="000000" w:themeColor="text1"/>
                <w:szCs w:val="21"/>
                <w14:textFill>
                  <w14:solidFill>
                    <w14:schemeClr w14:val="tx1"/>
                  </w14:solidFill>
                </w14:textFill>
              </w:rPr>
            </w:pPr>
          </w:p>
        </w:tc>
      </w:tr>
      <w:tr w14:paraId="28C7F575">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2570081">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D404F0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0AC877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88CC112">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12B5DA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87ECC0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9CF7A28">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73347168">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1DD3E74B">
            <w:pPr>
              <w:jc w:val="center"/>
              <w:rPr>
                <w:rFonts w:ascii="宋体" w:hAnsi="宋体"/>
                <w:color w:val="000000" w:themeColor="text1"/>
                <w:szCs w:val="21"/>
                <w14:textFill>
                  <w14:solidFill>
                    <w14:schemeClr w14:val="tx1"/>
                  </w14:solidFill>
                </w14:textFill>
              </w:rPr>
            </w:pPr>
          </w:p>
        </w:tc>
      </w:tr>
      <w:tr w14:paraId="0810B49C">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2928F034">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71ADD2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30C2FE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615E4B6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759ECF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F15D0F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9DAF5B4">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E8BB68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4F43F07F">
            <w:pPr>
              <w:jc w:val="center"/>
              <w:rPr>
                <w:rFonts w:ascii="宋体" w:hAnsi="宋体"/>
                <w:color w:val="000000" w:themeColor="text1"/>
                <w:szCs w:val="21"/>
                <w14:textFill>
                  <w14:solidFill>
                    <w14:schemeClr w14:val="tx1"/>
                  </w14:solidFill>
                </w14:textFill>
              </w:rPr>
            </w:pPr>
          </w:p>
        </w:tc>
      </w:tr>
      <w:tr w14:paraId="74C7F211">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53C811C">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26E2E8F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641A7DB">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7F7484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ED976C4">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8CB5B8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C43527E">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0B0FF684">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59891EA">
            <w:pPr>
              <w:jc w:val="center"/>
              <w:rPr>
                <w:rFonts w:ascii="宋体" w:hAnsi="宋体"/>
                <w:color w:val="000000" w:themeColor="text1"/>
                <w:szCs w:val="21"/>
                <w14:textFill>
                  <w14:solidFill>
                    <w14:schemeClr w14:val="tx1"/>
                  </w14:solidFill>
                </w14:textFill>
              </w:rPr>
            </w:pPr>
          </w:p>
        </w:tc>
      </w:tr>
      <w:tr w14:paraId="121D855C">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575F60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3B475A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5302394">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3A08BF7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8FDFAD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849953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BEC5F01">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1E708D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B26E2C5">
            <w:pPr>
              <w:jc w:val="center"/>
              <w:rPr>
                <w:rFonts w:ascii="宋体" w:hAnsi="宋体"/>
                <w:color w:val="000000" w:themeColor="text1"/>
                <w:szCs w:val="21"/>
                <w14:textFill>
                  <w14:solidFill>
                    <w14:schemeClr w14:val="tx1"/>
                  </w14:solidFill>
                </w14:textFill>
              </w:rPr>
            </w:pPr>
          </w:p>
        </w:tc>
      </w:tr>
      <w:tr w14:paraId="6C876A0B">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4293AE0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999441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BBF8328">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A868D8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BCBE686">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BCDD0A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77808DA">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FC9C73F">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1EB1C813">
            <w:pPr>
              <w:jc w:val="center"/>
              <w:rPr>
                <w:rFonts w:ascii="宋体" w:hAnsi="宋体"/>
                <w:color w:val="000000" w:themeColor="text1"/>
                <w:szCs w:val="21"/>
                <w14:textFill>
                  <w14:solidFill>
                    <w14:schemeClr w14:val="tx1"/>
                  </w14:solidFill>
                </w14:textFill>
              </w:rPr>
            </w:pPr>
          </w:p>
        </w:tc>
      </w:tr>
      <w:tr w14:paraId="3A560527">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2F77994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B5B22A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4E7AC83">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8CE111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35CDB8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247163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9B7A98E">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59E8337D">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45DD9580">
            <w:pPr>
              <w:jc w:val="center"/>
              <w:rPr>
                <w:rFonts w:ascii="宋体" w:hAnsi="宋体"/>
                <w:color w:val="000000" w:themeColor="text1"/>
                <w:szCs w:val="21"/>
                <w14:textFill>
                  <w14:solidFill>
                    <w14:schemeClr w14:val="tx1"/>
                  </w14:solidFill>
                </w14:textFill>
              </w:rPr>
            </w:pPr>
          </w:p>
        </w:tc>
      </w:tr>
      <w:tr w14:paraId="71E2AF7A">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11BB78C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62ECA8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12CDAB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6588932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5F7AF9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62B9D9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F455AE8">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0EDF26F8">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359618A">
            <w:pPr>
              <w:jc w:val="center"/>
              <w:rPr>
                <w:rFonts w:ascii="宋体" w:hAnsi="宋体"/>
                <w:color w:val="000000" w:themeColor="text1"/>
                <w:szCs w:val="21"/>
                <w14:textFill>
                  <w14:solidFill>
                    <w14:schemeClr w14:val="tx1"/>
                  </w14:solidFill>
                </w14:textFill>
              </w:rPr>
            </w:pPr>
          </w:p>
        </w:tc>
      </w:tr>
      <w:tr w14:paraId="3C85428B">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618750E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0F1D8F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47AAD0B">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16B1EC5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C45E92F">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7346CE2">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9561B69">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F1795E5">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043C237">
            <w:pPr>
              <w:jc w:val="center"/>
              <w:rPr>
                <w:rFonts w:ascii="宋体" w:hAnsi="宋体"/>
                <w:color w:val="000000" w:themeColor="text1"/>
                <w:szCs w:val="21"/>
                <w14:textFill>
                  <w14:solidFill>
                    <w14:schemeClr w14:val="tx1"/>
                  </w14:solidFill>
                </w14:textFill>
              </w:rPr>
            </w:pPr>
          </w:p>
        </w:tc>
      </w:tr>
      <w:tr w14:paraId="440F6057">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5BBB37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38B2982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1277DF0">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08EDE03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FE97E8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ACEBED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67373BA">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505AF603">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BC579A8">
            <w:pPr>
              <w:jc w:val="center"/>
              <w:rPr>
                <w:rFonts w:ascii="宋体" w:hAnsi="宋体"/>
                <w:color w:val="000000" w:themeColor="text1"/>
                <w:szCs w:val="21"/>
                <w14:textFill>
                  <w14:solidFill>
                    <w14:schemeClr w14:val="tx1"/>
                  </w14:solidFill>
                </w14:textFill>
              </w:rPr>
            </w:pPr>
          </w:p>
        </w:tc>
      </w:tr>
      <w:tr w14:paraId="6DAC8AB2">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68F0BE2">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7807C6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38DF76E">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89F4DF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8543FD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1BB843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72D6D13">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5C012985">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75A8DCDE">
            <w:pPr>
              <w:jc w:val="center"/>
              <w:rPr>
                <w:rFonts w:ascii="宋体" w:hAnsi="宋体"/>
                <w:color w:val="000000" w:themeColor="text1"/>
                <w:szCs w:val="21"/>
                <w14:textFill>
                  <w14:solidFill>
                    <w14:schemeClr w14:val="tx1"/>
                  </w14:solidFill>
                </w14:textFill>
              </w:rPr>
            </w:pPr>
          </w:p>
        </w:tc>
      </w:tr>
      <w:tr w14:paraId="159FEDA9">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32F1CF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3C718AD7">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24A3E9C">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AFE6582">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583027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DB4560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2E0F8F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73830F3">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72CA0C1">
            <w:pPr>
              <w:jc w:val="center"/>
              <w:rPr>
                <w:rFonts w:ascii="宋体" w:hAnsi="宋体"/>
                <w:color w:val="000000" w:themeColor="text1"/>
                <w:szCs w:val="21"/>
                <w14:textFill>
                  <w14:solidFill>
                    <w14:schemeClr w14:val="tx1"/>
                  </w14:solidFill>
                </w14:textFill>
              </w:rPr>
            </w:pPr>
          </w:p>
        </w:tc>
      </w:tr>
    </w:tbl>
    <w:p w14:paraId="472A77F6">
      <w:pPr>
        <w:spacing w:line="400" w:lineRule="exact"/>
        <w:ind w:firstLine="420" w:firstLineChars="200"/>
        <w:rPr>
          <w:rFonts w:hint="eastAsia" w:ascii="宋体" w:hAnsi="宋体"/>
          <w:color w:val="000000" w:themeColor="text1"/>
          <w:szCs w:val="21"/>
          <w:lang w:eastAsia="zh-CN"/>
          <w14:textFill>
            <w14:solidFill>
              <w14:schemeClr w14:val="tx1"/>
            </w14:solidFill>
          </w14:textFill>
        </w:rPr>
      </w:pPr>
      <w:bookmarkStart w:id="923" w:name="_Toc201487555"/>
      <w:bookmarkStart w:id="924" w:name="_Toc399762140"/>
      <w:bookmarkStart w:id="925" w:name="_Toc469921638"/>
      <w:bookmarkStart w:id="926" w:name="_Toc414897848"/>
      <w:bookmarkStart w:id="927" w:name="_Toc201488177"/>
      <w:bookmarkStart w:id="928" w:name="_Toc432066486"/>
      <w:bookmarkStart w:id="929" w:name="_Toc202062908"/>
      <w:bookmarkStart w:id="930" w:name="_Toc54097225"/>
      <w:bookmarkStart w:id="931" w:name="_Toc54258249"/>
      <w:bookmarkStart w:id="932" w:name="_Toc53569427"/>
      <w:bookmarkStart w:id="933" w:name="_Toc414891999"/>
    </w:p>
    <w:p w14:paraId="1EEBAA69">
      <w:pPr>
        <w:pStyle w:val="5"/>
        <w:ind w:left="420"/>
        <w:rPr>
          <w:b/>
          <w:color w:val="000000" w:themeColor="text1"/>
          <w:sz w:val="28"/>
          <w:szCs w:val="28"/>
          <w14:textFill>
            <w14:solidFill>
              <w14:schemeClr w14:val="tx1"/>
            </w14:solidFill>
          </w14:textFill>
        </w:rPr>
      </w:pPr>
      <w:r>
        <w:rPr>
          <w:rFonts w:hint="eastAsia"/>
          <w:b/>
          <w:color w:val="000000" w:themeColor="text1"/>
          <w:sz w:val="28"/>
          <w:szCs w:val="28"/>
          <w14:textFill>
            <w14:solidFill>
              <w14:schemeClr w14:val="tx1"/>
            </w14:solidFill>
          </w14:textFill>
        </w:rPr>
        <w:t>（二）</w:t>
      </w:r>
      <w:r>
        <w:rPr>
          <w:b/>
          <w:color w:val="000000" w:themeColor="text1"/>
          <w:sz w:val="28"/>
          <w:szCs w:val="28"/>
          <w14:textFill>
            <w14:solidFill>
              <w14:schemeClr w14:val="tx1"/>
            </w14:solidFill>
          </w14:textFill>
        </w:rPr>
        <w:t>主要人员简历表</w:t>
      </w:r>
      <w:bookmarkEnd w:id="923"/>
      <w:bookmarkEnd w:id="924"/>
      <w:bookmarkEnd w:id="925"/>
      <w:bookmarkEnd w:id="926"/>
      <w:bookmarkEnd w:id="927"/>
      <w:bookmarkEnd w:id="928"/>
      <w:bookmarkEnd w:id="929"/>
      <w:bookmarkEnd w:id="930"/>
      <w:bookmarkEnd w:id="931"/>
      <w:bookmarkEnd w:id="932"/>
      <w:bookmarkEnd w:id="933"/>
    </w:p>
    <w:p w14:paraId="19196976">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“主要人员简历表”中的项目经理应附、身份证、职称证、</w:t>
      </w:r>
      <w:r>
        <w:rPr>
          <w:rFonts w:hint="eastAsia" w:ascii="宋体" w:hAnsi="宋体"/>
          <w:color w:val="000000" w:themeColor="text1"/>
          <w:szCs w:val="21"/>
          <w:lang w:eastAsia="zh-CN"/>
          <w14:textFill>
            <w14:solidFill>
              <w14:schemeClr w14:val="tx1"/>
            </w14:solidFill>
          </w14:textFill>
        </w:rPr>
        <w:t>资格证、</w:t>
      </w:r>
      <w:r>
        <w:rPr>
          <w:rFonts w:ascii="宋体" w:hAnsi="宋体"/>
          <w:color w:val="000000" w:themeColor="text1"/>
          <w:szCs w:val="21"/>
          <w14:textFill>
            <w14:solidFill>
              <w14:schemeClr w14:val="tx1"/>
            </w14:solidFill>
          </w14:textFill>
        </w:rPr>
        <w:t>学历证、养老保险复印件，管理过的项目业绩须附合同协议书复印件；技术负责人应附身份证、职称证、学历证、养老保险复印件，管理过的项目业绩须附证明其所任技术职务的企业文件或用户证明；其他主要人员应附职称证（执业证或上岗证书）、养老保险复印件。</w:t>
      </w:r>
    </w:p>
    <w:p w14:paraId="1CE7CCE1">
      <w:pPr>
        <w:rPr>
          <w:rFonts w:ascii="宋体" w:hAnsi="宋体"/>
          <w:color w:val="000000" w:themeColor="text1"/>
          <w:sz w:val="24"/>
          <w14:textFill>
            <w14:solidFill>
              <w14:schemeClr w14:val="tx1"/>
            </w14:solidFill>
          </w14:textFill>
        </w:rPr>
      </w:pPr>
    </w:p>
    <w:tbl>
      <w:tblPr>
        <w:tblStyle w:val="88"/>
        <w:tblW w:w="9384" w:type="dxa"/>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1579"/>
        <w:gridCol w:w="360"/>
        <w:gridCol w:w="720"/>
        <w:gridCol w:w="926"/>
        <w:gridCol w:w="1066"/>
        <w:gridCol w:w="708"/>
        <w:gridCol w:w="1260"/>
        <w:gridCol w:w="162"/>
        <w:gridCol w:w="2603"/>
      </w:tblGrid>
      <w:tr w14:paraId="2254913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1FE478B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1080" w:type="dxa"/>
            <w:gridSpan w:val="2"/>
            <w:vAlign w:val="center"/>
          </w:tcPr>
          <w:p w14:paraId="01C81A57">
            <w:pPr>
              <w:jc w:val="center"/>
              <w:rPr>
                <w:rFonts w:ascii="宋体" w:hAnsi="宋体"/>
                <w:color w:val="000000" w:themeColor="text1"/>
                <w:szCs w:val="21"/>
                <w14:textFill>
                  <w14:solidFill>
                    <w14:schemeClr w14:val="tx1"/>
                  </w14:solidFill>
                </w14:textFill>
              </w:rPr>
            </w:pPr>
          </w:p>
        </w:tc>
        <w:tc>
          <w:tcPr>
            <w:tcW w:w="926" w:type="dxa"/>
            <w:vAlign w:val="center"/>
          </w:tcPr>
          <w:p w14:paraId="78EAF53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年龄</w:t>
            </w:r>
          </w:p>
        </w:tc>
        <w:tc>
          <w:tcPr>
            <w:tcW w:w="1066" w:type="dxa"/>
            <w:vAlign w:val="center"/>
          </w:tcPr>
          <w:p w14:paraId="66E9F7C0">
            <w:pPr>
              <w:jc w:val="center"/>
              <w:rPr>
                <w:rFonts w:ascii="宋体" w:hAnsi="宋体"/>
                <w:color w:val="000000" w:themeColor="text1"/>
                <w:szCs w:val="21"/>
                <w14:textFill>
                  <w14:solidFill>
                    <w14:schemeClr w14:val="tx1"/>
                  </w14:solidFill>
                </w14:textFill>
              </w:rPr>
            </w:pPr>
          </w:p>
        </w:tc>
        <w:tc>
          <w:tcPr>
            <w:tcW w:w="2130" w:type="dxa"/>
            <w:gridSpan w:val="3"/>
            <w:vAlign w:val="center"/>
          </w:tcPr>
          <w:p w14:paraId="6253ECA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学历</w:t>
            </w:r>
          </w:p>
        </w:tc>
        <w:tc>
          <w:tcPr>
            <w:tcW w:w="2603" w:type="dxa"/>
            <w:vAlign w:val="center"/>
          </w:tcPr>
          <w:p w14:paraId="68D6411B">
            <w:pPr>
              <w:jc w:val="center"/>
              <w:rPr>
                <w:rFonts w:ascii="宋体" w:hAnsi="宋体"/>
                <w:color w:val="000000" w:themeColor="text1"/>
                <w:szCs w:val="21"/>
                <w14:textFill>
                  <w14:solidFill>
                    <w14:schemeClr w14:val="tx1"/>
                  </w14:solidFill>
                </w14:textFill>
              </w:rPr>
            </w:pPr>
          </w:p>
        </w:tc>
      </w:tr>
      <w:tr w14:paraId="004D848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170D435B">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职称</w:t>
            </w:r>
          </w:p>
        </w:tc>
        <w:tc>
          <w:tcPr>
            <w:tcW w:w="1080" w:type="dxa"/>
            <w:gridSpan w:val="2"/>
            <w:vAlign w:val="center"/>
          </w:tcPr>
          <w:p w14:paraId="608DC103">
            <w:pPr>
              <w:jc w:val="center"/>
              <w:rPr>
                <w:rFonts w:ascii="宋体" w:hAnsi="宋体"/>
                <w:color w:val="000000" w:themeColor="text1"/>
                <w:szCs w:val="21"/>
                <w14:textFill>
                  <w14:solidFill>
                    <w14:schemeClr w14:val="tx1"/>
                  </w14:solidFill>
                </w14:textFill>
              </w:rPr>
            </w:pPr>
          </w:p>
        </w:tc>
        <w:tc>
          <w:tcPr>
            <w:tcW w:w="926" w:type="dxa"/>
            <w:vAlign w:val="center"/>
          </w:tcPr>
          <w:p w14:paraId="19C7D3F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职务</w:t>
            </w:r>
          </w:p>
        </w:tc>
        <w:tc>
          <w:tcPr>
            <w:tcW w:w="1066" w:type="dxa"/>
            <w:vAlign w:val="center"/>
          </w:tcPr>
          <w:p w14:paraId="6A1D5792">
            <w:pPr>
              <w:jc w:val="center"/>
              <w:rPr>
                <w:rFonts w:ascii="宋体" w:hAnsi="宋体"/>
                <w:color w:val="000000" w:themeColor="text1"/>
                <w:szCs w:val="21"/>
                <w14:textFill>
                  <w14:solidFill>
                    <w14:schemeClr w14:val="tx1"/>
                  </w14:solidFill>
                </w14:textFill>
              </w:rPr>
            </w:pPr>
          </w:p>
        </w:tc>
        <w:tc>
          <w:tcPr>
            <w:tcW w:w="2130" w:type="dxa"/>
            <w:gridSpan w:val="3"/>
            <w:vAlign w:val="center"/>
          </w:tcPr>
          <w:p w14:paraId="7AECC40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拟在本合同任职</w:t>
            </w:r>
          </w:p>
        </w:tc>
        <w:tc>
          <w:tcPr>
            <w:tcW w:w="2603" w:type="dxa"/>
            <w:vAlign w:val="center"/>
          </w:tcPr>
          <w:p w14:paraId="70F507C7">
            <w:pPr>
              <w:jc w:val="center"/>
              <w:rPr>
                <w:rFonts w:ascii="宋体" w:hAnsi="宋体"/>
                <w:color w:val="000000" w:themeColor="text1"/>
                <w:szCs w:val="21"/>
                <w14:textFill>
                  <w14:solidFill>
                    <w14:schemeClr w14:val="tx1"/>
                  </w14:solidFill>
                </w14:textFill>
              </w:rPr>
            </w:pPr>
          </w:p>
        </w:tc>
      </w:tr>
      <w:tr w14:paraId="263ECA5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62C490AA">
            <w:pPr>
              <w:jc w:val="center"/>
              <w:rPr>
                <w:rFonts w:ascii="宋体" w:hAnsi="宋体"/>
                <w:color w:val="000000" w:themeColor="text1"/>
                <w:szCs w:val="21"/>
                <w14:textFill>
                  <w14:solidFill>
                    <w14:schemeClr w14:val="tx1"/>
                  </w14:solidFill>
                </w14:textFill>
              </w:rPr>
            </w:pPr>
            <w:r>
              <w:rPr>
                <w:rFonts w:hint="eastAsia" w:ascii="宋体" w:hAnsi="宋体"/>
                <w:szCs w:val="21"/>
                <w:highlight w:val="none"/>
              </w:rPr>
              <w:t>注册建造师执业资格等级</w:t>
            </w:r>
          </w:p>
        </w:tc>
        <w:tc>
          <w:tcPr>
            <w:tcW w:w="3072" w:type="dxa"/>
            <w:gridSpan w:val="4"/>
            <w:vAlign w:val="center"/>
          </w:tcPr>
          <w:p w14:paraId="7E8D5C2C">
            <w:pPr>
              <w:jc w:val="center"/>
              <w:rPr>
                <w:rFonts w:ascii="宋体" w:hAnsi="宋体"/>
                <w:color w:val="000000" w:themeColor="text1"/>
                <w:szCs w:val="21"/>
                <w14:textFill>
                  <w14:solidFill>
                    <w14:schemeClr w14:val="tx1"/>
                  </w14:solidFill>
                </w14:textFill>
              </w:rPr>
            </w:pPr>
          </w:p>
        </w:tc>
        <w:tc>
          <w:tcPr>
            <w:tcW w:w="2130" w:type="dxa"/>
            <w:gridSpan w:val="3"/>
            <w:vAlign w:val="center"/>
          </w:tcPr>
          <w:p w14:paraId="60882F98">
            <w:pPr>
              <w:jc w:val="center"/>
              <w:rPr>
                <w:rFonts w:ascii="宋体" w:hAnsi="宋体"/>
                <w:color w:val="000000" w:themeColor="text1"/>
                <w:szCs w:val="21"/>
                <w14:textFill>
                  <w14:solidFill>
                    <w14:schemeClr w14:val="tx1"/>
                  </w14:solidFill>
                </w14:textFill>
              </w:rPr>
            </w:pPr>
            <w:r>
              <w:rPr>
                <w:rFonts w:hint="eastAsia" w:ascii="宋体" w:hAnsi="宋体"/>
                <w:szCs w:val="21"/>
                <w:highlight w:val="none"/>
              </w:rPr>
              <w:t>建造师专业</w:t>
            </w:r>
          </w:p>
        </w:tc>
        <w:tc>
          <w:tcPr>
            <w:tcW w:w="2603" w:type="dxa"/>
            <w:vAlign w:val="center"/>
          </w:tcPr>
          <w:p w14:paraId="0E54A011">
            <w:pPr>
              <w:jc w:val="center"/>
              <w:rPr>
                <w:rFonts w:ascii="宋体" w:hAnsi="宋体"/>
                <w:color w:val="000000" w:themeColor="text1"/>
                <w:szCs w:val="21"/>
                <w14:textFill>
                  <w14:solidFill>
                    <w14:schemeClr w14:val="tx1"/>
                  </w14:solidFill>
                </w14:textFill>
              </w:rPr>
            </w:pPr>
          </w:p>
        </w:tc>
      </w:tr>
      <w:tr w14:paraId="410DEDA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59CFE84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毕业学校</w:t>
            </w:r>
          </w:p>
        </w:tc>
        <w:tc>
          <w:tcPr>
            <w:tcW w:w="7805" w:type="dxa"/>
            <w:gridSpan w:val="8"/>
            <w:vAlign w:val="center"/>
          </w:tcPr>
          <w:p w14:paraId="3757A34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年毕业于</w:t>
            </w:r>
            <w:r>
              <w:rPr>
                <w:rFonts w:ascii="宋体" w:hAnsi="宋体"/>
                <w:color w:val="000000" w:themeColor="text1"/>
                <w:szCs w:val="21"/>
                <w14:textFill>
                  <w14:solidFill>
                    <w14:schemeClr w14:val="tx1"/>
                  </w14:solidFill>
                </w14:textFill>
              </w:rPr>
              <w:tab/>
            </w:r>
            <w:r>
              <w:rPr>
                <w:rFonts w:ascii="宋体" w:hAnsi="宋体"/>
                <w:color w:val="000000" w:themeColor="text1"/>
                <w:szCs w:val="21"/>
                <w14:textFill>
                  <w14:solidFill>
                    <w14:schemeClr w14:val="tx1"/>
                  </w14:solidFill>
                </w14:textFill>
              </w:rPr>
              <w:t>学校</w:t>
            </w:r>
            <w:r>
              <w:rPr>
                <w:rFonts w:ascii="宋体" w:hAnsi="宋体"/>
                <w:color w:val="000000" w:themeColor="text1"/>
                <w:szCs w:val="21"/>
                <w14:textFill>
                  <w14:solidFill>
                    <w14:schemeClr w14:val="tx1"/>
                  </w14:solidFill>
                </w14:textFill>
              </w:rPr>
              <w:tab/>
            </w:r>
            <w:r>
              <w:rPr>
                <w:rFonts w:ascii="宋体" w:hAnsi="宋体"/>
                <w:color w:val="000000" w:themeColor="text1"/>
                <w:szCs w:val="21"/>
                <w14:textFill>
                  <w14:solidFill>
                    <w14:schemeClr w14:val="tx1"/>
                  </w14:solidFill>
                </w14:textFill>
              </w:rPr>
              <w:t>专业</w:t>
            </w:r>
          </w:p>
        </w:tc>
      </w:tr>
      <w:tr w14:paraId="2B6DC92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9384" w:type="dxa"/>
            <w:gridSpan w:val="9"/>
            <w:vAlign w:val="center"/>
          </w:tcPr>
          <w:p w14:paraId="4E51284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主要工作经历</w:t>
            </w:r>
          </w:p>
        </w:tc>
      </w:tr>
      <w:tr w14:paraId="7CD9C77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2EB6D57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时</w:t>
            </w:r>
            <w:r>
              <w:rPr>
                <w:rFonts w:ascii="宋体" w:hAnsi="宋体"/>
                <w:color w:val="000000" w:themeColor="text1"/>
                <w:szCs w:val="21"/>
                <w14:textFill>
                  <w14:solidFill>
                    <w14:schemeClr w14:val="tx1"/>
                  </w14:solidFill>
                </w14:textFill>
              </w:rPr>
              <w:tab/>
            </w:r>
            <w:r>
              <w:rPr>
                <w:rFonts w:ascii="宋体" w:hAnsi="宋体"/>
                <w:color w:val="000000" w:themeColor="text1"/>
                <w:szCs w:val="21"/>
                <w14:textFill>
                  <w14:solidFill>
                    <w14:schemeClr w14:val="tx1"/>
                  </w14:solidFill>
                </w14:textFill>
              </w:rPr>
              <w:t>间</w:t>
            </w:r>
          </w:p>
        </w:tc>
        <w:tc>
          <w:tcPr>
            <w:tcW w:w="3420" w:type="dxa"/>
            <w:gridSpan w:val="4"/>
            <w:vAlign w:val="center"/>
          </w:tcPr>
          <w:p w14:paraId="6996078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参加过的类似项目</w:t>
            </w:r>
          </w:p>
        </w:tc>
        <w:tc>
          <w:tcPr>
            <w:tcW w:w="1260" w:type="dxa"/>
            <w:vAlign w:val="center"/>
          </w:tcPr>
          <w:p w14:paraId="6FC0F3B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担任职务</w:t>
            </w:r>
          </w:p>
        </w:tc>
        <w:tc>
          <w:tcPr>
            <w:tcW w:w="2765" w:type="dxa"/>
            <w:gridSpan w:val="2"/>
            <w:vAlign w:val="center"/>
          </w:tcPr>
          <w:p w14:paraId="42C4F49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发包人及联系电话</w:t>
            </w:r>
          </w:p>
        </w:tc>
      </w:tr>
      <w:tr w14:paraId="57064F9E">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47318C74">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53EB3966">
            <w:pPr>
              <w:jc w:val="center"/>
              <w:rPr>
                <w:rFonts w:ascii="宋体" w:hAnsi="宋体"/>
                <w:color w:val="000000" w:themeColor="text1"/>
                <w:szCs w:val="21"/>
                <w14:textFill>
                  <w14:solidFill>
                    <w14:schemeClr w14:val="tx1"/>
                  </w14:solidFill>
                </w14:textFill>
              </w:rPr>
            </w:pPr>
          </w:p>
        </w:tc>
        <w:tc>
          <w:tcPr>
            <w:tcW w:w="1260" w:type="dxa"/>
            <w:vAlign w:val="center"/>
          </w:tcPr>
          <w:p w14:paraId="19EADE02">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20FBCA4B">
            <w:pPr>
              <w:jc w:val="center"/>
              <w:rPr>
                <w:rFonts w:ascii="宋体" w:hAnsi="宋体"/>
                <w:color w:val="000000" w:themeColor="text1"/>
                <w:szCs w:val="21"/>
                <w14:textFill>
                  <w14:solidFill>
                    <w14:schemeClr w14:val="tx1"/>
                  </w14:solidFill>
                </w14:textFill>
              </w:rPr>
            </w:pPr>
          </w:p>
        </w:tc>
      </w:tr>
      <w:tr w14:paraId="727140E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78CB56A3">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3C95FF41">
            <w:pPr>
              <w:jc w:val="center"/>
              <w:rPr>
                <w:rFonts w:ascii="宋体" w:hAnsi="宋体"/>
                <w:color w:val="000000" w:themeColor="text1"/>
                <w:szCs w:val="21"/>
                <w14:textFill>
                  <w14:solidFill>
                    <w14:schemeClr w14:val="tx1"/>
                  </w14:solidFill>
                </w14:textFill>
              </w:rPr>
            </w:pPr>
          </w:p>
        </w:tc>
        <w:tc>
          <w:tcPr>
            <w:tcW w:w="1260" w:type="dxa"/>
            <w:vAlign w:val="center"/>
          </w:tcPr>
          <w:p w14:paraId="342F3C3B">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23E3A9DC">
            <w:pPr>
              <w:jc w:val="center"/>
              <w:rPr>
                <w:rFonts w:ascii="宋体" w:hAnsi="宋体"/>
                <w:color w:val="000000" w:themeColor="text1"/>
                <w:szCs w:val="21"/>
                <w14:textFill>
                  <w14:solidFill>
                    <w14:schemeClr w14:val="tx1"/>
                  </w14:solidFill>
                </w14:textFill>
              </w:rPr>
            </w:pPr>
          </w:p>
        </w:tc>
      </w:tr>
      <w:tr w14:paraId="08F63C5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430903DF">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194B49A8">
            <w:pPr>
              <w:jc w:val="center"/>
              <w:rPr>
                <w:rFonts w:ascii="宋体" w:hAnsi="宋体"/>
                <w:color w:val="000000" w:themeColor="text1"/>
                <w:szCs w:val="21"/>
                <w14:textFill>
                  <w14:solidFill>
                    <w14:schemeClr w14:val="tx1"/>
                  </w14:solidFill>
                </w14:textFill>
              </w:rPr>
            </w:pPr>
          </w:p>
        </w:tc>
        <w:tc>
          <w:tcPr>
            <w:tcW w:w="1260" w:type="dxa"/>
            <w:vAlign w:val="center"/>
          </w:tcPr>
          <w:p w14:paraId="1173536E">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3333FCD9">
            <w:pPr>
              <w:jc w:val="center"/>
              <w:rPr>
                <w:rFonts w:ascii="宋体" w:hAnsi="宋体"/>
                <w:color w:val="000000" w:themeColor="text1"/>
                <w:szCs w:val="21"/>
                <w14:textFill>
                  <w14:solidFill>
                    <w14:schemeClr w14:val="tx1"/>
                  </w14:solidFill>
                </w14:textFill>
              </w:rPr>
            </w:pPr>
          </w:p>
        </w:tc>
      </w:tr>
      <w:tr w14:paraId="5357BAB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7F3AD6A0">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1338722A">
            <w:pPr>
              <w:jc w:val="center"/>
              <w:rPr>
                <w:rFonts w:ascii="宋体" w:hAnsi="宋体"/>
                <w:color w:val="000000" w:themeColor="text1"/>
                <w:szCs w:val="21"/>
                <w14:textFill>
                  <w14:solidFill>
                    <w14:schemeClr w14:val="tx1"/>
                  </w14:solidFill>
                </w14:textFill>
              </w:rPr>
            </w:pPr>
          </w:p>
        </w:tc>
        <w:tc>
          <w:tcPr>
            <w:tcW w:w="1260" w:type="dxa"/>
            <w:vAlign w:val="center"/>
          </w:tcPr>
          <w:p w14:paraId="73CCE052">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75238C31">
            <w:pPr>
              <w:jc w:val="center"/>
              <w:rPr>
                <w:rFonts w:ascii="宋体" w:hAnsi="宋体"/>
                <w:color w:val="000000" w:themeColor="text1"/>
                <w:szCs w:val="21"/>
                <w14:textFill>
                  <w14:solidFill>
                    <w14:schemeClr w14:val="tx1"/>
                  </w14:solidFill>
                </w14:textFill>
              </w:rPr>
            </w:pPr>
          </w:p>
        </w:tc>
      </w:tr>
      <w:tr w14:paraId="243EDAE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3BFE2354">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6D2FE003">
            <w:pPr>
              <w:jc w:val="center"/>
              <w:rPr>
                <w:rFonts w:ascii="宋体" w:hAnsi="宋体"/>
                <w:color w:val="000000" w:themeColor="text1"/>
                <w:szCs w:val="21"/>
                <w14:textFill>
                  <w14:solidFill>
                    <w14:schemeClr w14:val="tx1"/>
                  </w14:solidFill>
                </w14:textFill>
              </w:rPr>
            </w:pPr>
          </w:p>
        </w:tc>
        <w:tc>
          <w:tcPr>
            <w:tcW w:w="1260" w:type="dxa"/>
            <w:vAlign w:val="center"/>
          </w:tcPr>
          <w:p w14:paraId="3D6FD0EE">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3857DD1F">
            <w:pPr>
              <w:jc w:val="center"/>
              <w:rPr>
                <w:rFonts w:ascii="宋体" w:hAnsi="宋体"/>
                <w:color w:val="000000" w:themeColor="text1"/>
                <w:szCs w:val="21"/>
                <w14:textFill>
                  <w14:solidFill>
                    <w14:schemeClr w14:val="tx1"/>
                  </w14:solidFill>
                </w14:textFill>
              </w:rPr>
            </w:pPr>
          </w:p>
        </w:tc>
      </w:tr>
      <w:tr w14:paraId="3C8962C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054F1AA3">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6431091F">
            <w:pPr>
              <w:jc w:val="center"/>
              <w:rPr>
                <w:rFonts w:ascii="宋体" w:hAnsi="宋体"/>
                <w:color w:val="000000" w:themeColor="text1"/>
                <w:szCs w:val="21"/>
                <w14:textFill>
                  <w14:solidFill>
                    <w14:schemeClr w14:val="tx1"/>
                  </w14:solidFill>
                </w14:textFill>
              </w:rPr>
            </w:pPr>
          </w:p>
        </w:tc>
        <w:tc>
          <w:tcPr>
            <w:tcW w:w="1260" w:type="dxa"/>
            <w:vAlign w:val="center"/>
          </w:tcPr>
          <w:p w14:paraId="7C51A747">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4F82C390">
            <w:pPr>
              <w:jc w:val="center"/>
              <w:rPr>
                <w:rFonts w:ascii="宋体" w:hAnsi="宋体"/>
                <w:color w:val="000000" w:themeColor="text1"/>
                <w:szCs w:val="21"/>
                <w14:textFill>
                  <w14:solidFill>
                    <w14:schemeClr w14:val="tx1"/>
                  </w14:solidFill>
                </w14:textFill>
              </w:rPr>
            </w:pPr>
          </w:p>
        </w:tc>
      </w:tr>
      <w:tr w14:paraId="031EA49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0B34FB6A">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264F80EF">
            <w:pPr>
              <w:jc w:val="center"/>
              <w:rPr>
                <w:rFonts w:ascii="宋体" w:hAnsi="宋体"/>
                <w:color w:val="000000" w:themeColor="text1"/>
                <w:szCs w:val="21"/>
                <w14:textFill>
                  <w14:solidFill>
                    <w14:schemeClr w14:val="tx1"/>
                  </w14:solidFill>
                </w14:textFill>
              </w:rPr>
            </w:pPr>
          </w:p>
        </w:tc>
        <w:tc>
          <w:tcPr>
            <w:tcW w:w="1260" w:type="dxa"/>
            <w:vAlign w:val="center"/>
          </w:tcPr>
          <w:p w14:paraId="03498258">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1F400466">
            <w:pPr>
              <w:jc w:val="center"/>
              <w:rPr>
                <w:rFonts w:ascii="宋体" w:hAnsi="宋体"/>
                <w:color w:val="000000" w:themeColor="text1"/>
                <w:szCs w:val="21"/>
                <w14:textFill>
                  <w14:solidFill>
                    <w14:schemeClr w14:val="tx1"/>
                  </w14:solidFill>
                </w14:textFill>
              </w:rPr>
            </w:pPr>
          </w:p>
        </w:tc>
      </w:tr>
      <w:tr w14:paraId="6A661D9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56696FD4">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42F90C96">
            <w:pPr>
              <w:jc w:val="center"/>
              <w:rPr>
                <w:rFonts w:ascii="宋体" w:hAnsi="宋体"/>
                <w:color w:val="000000" w:themeColor="text1"/>
                <w:szCs w:val="21"/>
                <w14:textFill>
                  <w14:solidFill>
                    <w14:schemeClr w14:val="tx1"/>
                  </w14:solidFill>
                </w14:textFill>
              </w:rPr>
            </w:pPr>
          </w:p>
        </w:tc>
        <w:tc>
          <w:tcPr>
            <w:tcW w:w="1260" w:type="dxa"/>
            <w:vAlign w:val="center"/>
          </w:tcPr>
          <w:p w14:paraId="38B42B80">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5AEA9DBA">
            <w:pPr>
              <w:jc w:val="center"/>
              <w:rPr>
                <w:rFonts w:ascii="宋体" w:hAnsi="宋体"/>
                <w:color w:val="000000" w:themeColor="text1"/>
                <w:szCs w:val="21"/>
                <w14:textFill>
                  <w14:solidFill>
                    <w14:schemeClr w14:val="tx1"/>
                  </w14:solidFill>
                </w14:textFill>
              </w:rPr>
            </w:pPr>
          </w:p>
        </w:tc>
      </w:tr>
      <w:tr w14:paraId="1793A13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6C2B8B02">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63AF7024">
            <w:pPr>
              <w:jc w:val="center"/>
              <w:rPr>
                <w:rFonts w:ascii="宋体" w:hAnsi="宋体"/>
                <w:color w:val="000000" w:themeColor="text1"/>
                <w:szCs w:val="21"/>
                <w14:textFill>
                  <w14:solidFill>
                    <w14:schemeClr w14:val="tx1"/>
                  </w14:solidFill>
                </w14:textFill>
              </w:rPr>
            </w:pPr>
          </w:p>
        </w:tc>
        <w:tc>
          <w:tcPr>
            <w:tcW w:w="1260" w:type="dxa"/>
            <w:vAlign w:val="center"/>
          </w:tcPr>
          <w:p w14:paraId="775A70B0">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69FEF73B">
            <w:pPr>
              <w:jc w:val="center"/>
              <w:rPr>
                <w:rFonts w:ascii="宋体" w:hAnsi="宋体"/>
                <w:color w:val="000000" w:themeColor="text1"/>
                <w:szCs w:val="21"/>
                <w14:textFill>
                  <w14:solidFill>
                    <w14:schemeClr w14:val="tx1"/>
                  </w14:solidFill>
                </w14:textFill>
              </w:rPr>
            </w:pPr>
          </w:p>
        </w:tc>
      </w:tr>
      <w:tr w14:paraId="71356F4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259FD753">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19E5F432">
            <w:pPr>
              <w:jc w:val="center"/>
              <w:rPr>
                <w:rFonts w:ascii="宋体" w:hAnsi="宋体"/>
                <w:color w:val="000000" w:themeColor="text1"/>
                <w:szCs w:val="21"/>
                <w14:textFill>
                  <w14:solidFill>
                    <w14:schemeClr w14:val="tx1"/>
                  </w14:solidFill>
                </w14:textFill>
              </w:rPr>
            </w:pPr>
          </w:p>
        </w:tc>
        <w:tc>
          <w:tcPr>
            <w:tcW w:w="1260" w:type="dxa"/>
            <w:vAlign w:val="center"/>
          </w:tcPr>
          <w:p w14:paraId="75D84CD8">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5F44F127">
            <w:pPr>
              <w:jc w:val="center"/>
              <w:rPr>
                <w:rFonts w:ascii="宋体" w:hAnsi="宋体"/>
                <w:color w:val="000000" w:themeColor="text1"/>
                <w:szCs w:val="21"/>
                <w14:textFill>
                  <w14:solidFill>
                    <w14:schemeClr w14:val="tx1"/>
                  </w14:solidFill>
                </w14:textFill>
              </w:rPr>
            </w:pPr>
          </w:p>
        </w:tc>
      </w:tr>
    </w:tbl>
    <w:p w14:paraId="51395876">
      <w:pPr>
        <w:rPr>
          <w:rFonts w:ascii="宋体" w:hAnsi="宋体"/>
          <w:color w:val="000000" w:themeColor="text1"/>
          <w:sz w:val="24"/>
          <w14:textFill>
            <w14:solidFill>
              <w14:schemeClr w14:val="tx1"/>
            </w14:solidFill>
          </w14:textFill>
        </w:rPr>
      </w:pPr>
    </w:p>
    <w:p w14:paraId="32867685">
      <w:pPr>
        <w:rPr>
          <w:rFonts w:ascii="宋体" w:hAnsi="宋体"/>
          <w:color w:val="000000" w:themeColor="text1"/>
          <w:sz w:val="24"/>
          <w14:textFill>
            <w14:solidFill>
              <w14:schemeClr w14:val="tx1"/>
            </w14:solidFill>
          </w14:textFill>
        </w:rPr>
      </w:pPr>
    </w:p>
    <w:p w14:paraId="21545750">
      <w:pPr>
        <w:autoSpaceDE w:val="0"/>
        <w:autoSpaceDN w:val="0"/>
        <w:adjustRightInd w:val="0"/>
        <w:snapToGrid w:val="0"/>
        <w:jc w:val="left"/>
        <w:rPr>
          <w:rFonts w:ascii="宋体" w:hAnsi="宋体" w:cs="黑体"/>
          <w:b/>
          <w:color w:val="000000" w:themeColor="text1"/>
          <w:kern w:val="0"/>
          <w:szCs w:val="21"/>
          <w14:textFill>
            <w14:solidFill>
              <w14:schemeClr w14:val="tx1"/>
            </w14:solidFill>
          </w14:textFill>
        </w:rPr>
      </w:pPr>
    </w:p>
    <w:p w14:paraId="490AED0F">
      <w:pPr>
        <w:autoSpaceDE w:val="0"/>
        <w:autoSpaceDN w:val="0"/>
        <w:adjustRightInd w:val="0"/>
        <w:snapToGrid w:val="0"/>
        <w:jc w:val="left"/>
        <w:rPr>
          <w:rFonts w:ascii="宋体" w:hAnsi="宋体" w:cs="黑体"/>
          <w:b/>
          <w:color w:val="000000" w:themeColor="text1"/>
          <w:kern w:val="0"/>
          <w:szCs w:val="21"/>
          <w14:textFill>
            <w14:solidFill>
              <w14:schemeClr w14:val="tx1"/>
            </w14:solidFill>
          </w14:textFill>
        </w:rPr>
      </w:pPr>
    </w:p>
    <w:p w14:paraId="09CF1512">
      <w:pPr>
        <w:autoSpaceDE w:val="0"/>
        <w:autoSpaceDN w:val="0"/>
        <w:adjustRightInd w:val="0"/>
        <w:snapToGrid w:val="0"/>
        <w:jc w:val="left"/>
        <w:rPr>
          <w:rFonts w:ascii="宋体" w:hAnsi="宋体" w:cs="黑体"/>
          <w:b/>
          <w:color w:val="000000" w:themeColor="text1"/>
          <w:kern w:val="0"/>
          <w:szCs w:val="21"/>
          <w14:textFill>
            <w14:solidFill>
              <w14:schemeClr w14:val="tx1"/>
            </w14:solidFill>
          </w14:textFill>
        </w:rPr>
      </w:pPr>
    </w:p>
    <w:p w14:paraId="37A6B174">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934" w:name="_Toc432066487"/>
      <w:bookmarkStart w:id="935" w:name="_Toc201487557"/>
      <w:bookmarkStart w:id="936" w:name="_Toc414897850"/>
      <w:bookmarkStart w:id="937" w:name="_Toc53569428"/>
      <w:bookmarkStart w:id="938" w:name="_Toc414892001"/>
      <w:bookmarkStart w:id="939" w:name="_Toc399762142"/>
      <w:bookmarkStart w:id="940" w:name="_Toc54258250"/>
      <w:bookmarkStart w:id="941" w:name="_Toc202062910"/>
      <w:bookmarkStart w:id="942" w:name="_Toc15058"/>
      <w:bookmarkStart w:id="943" w:name="_Toc54097226"/>
      <w:bookmarkStart w:id="944" w:name="_Toc14490"/>
      <w:bookmarkStart w:id="945" w:name="_Toc469921639"/>
      <w:bookmarkStart w:id="946" w:name="_Toc201488179"/>
      <w:r>
        <w:rPr>
          <w:rFonts w:hint="eastAsia" w:ascii="宋体" w:hAnsi="宋体" w:eastAsia="宋体"/>
          <w:color w:val="000000" w:themeColor="text1"/>
          <w:sz w:val="28"/>
          <w:szCs w:val="28"/>
          <w14:textFill>
            <w14:solidFill>
              <w14:schemeClr w14:val="tx1"/>
            </w14:solidFill>
          </w14:textFill>
        </w:rPr>
        <w:t xml:space="preserve">八、  </w:t>
      </w:r>
      <w:r>
        <w:rPr>
          <w:rFonts w:ascii="宋体" w:hAnsi="宋体" w:eastAsia="宋体"/>
          <w:color w:val="000000" w:themeColor="text1"/>
          <w:sz w:val="28"/>
          <w:szCs w:val="28"/>
          <w14:textFill>
            <w14:solidFill>
              <w14:schemeClr w14:val="tx1"/>
            </w14:solidFill>
          </w14:textFill>
        </w:rPr>
        <w:t>资格审查资料</w:t>
      </w:r>
      <w:bookmarkEnd w:id="934"/>
      <w:bookmarkEnd w:id="935"/>
      <w:bookmarkEnd w:id="936"/>
      <w:bookmarkEnd w:id="937"/>
      <w:bookmarkEnd w:id="938"/>
      <w:bookmarkEnd w:id="939"/>
      <w:bookmarkEnd w:id="940"/>
      <w:bookmarkEnd w:id="941"/>
      <w:bookmarkEnd w:id="942"/>
      <w:bookmarkEnd w:id="943"/>
      <w:bookmarkEnd w:id="944"/>
      <w:bookmarkEnd w:id="945"/>
      <w:bookmarkEnd w:id="946"/>
    </w:p>
    <w:p w14:paraId="08A3D67E">
      <w:pPr>
        <w:pStyle w:val="518"/>
        <w:jc w:val="center"/>
        <w:outlineLvl w:val="2"/>
        <w:rPr>
          <w:rFonts w:ascii="宋体" w:hAnsi="宋体"/>
          <w:color w:val="000000" w:themeColor="text1"/>
          <w:sz w:val="21"/>
          <w:szCs w:val="21"/>
          <w14:textFill>
            <w14:solidFill>
              <w14:schemeClr w14:val="tx1"/>
            </w14:solidFill>
          </w14:textFill>
        </w:rPr>
      </w:pPr>
      <w:bookmarkStart w:id="947" w:name="_Toc54258251"/>
      <w:bookmarkStart w:id="948" w:name="_Toc53569429"/>
      <w:bookmarkStart w:id="949" w:name="_Toc201487558"/>
      <w:bookmarkStart w:id="950" w:name="_Toc414897851"/>
      <w:bookmarkStart w:id="951" w:name="_Toc202062911"/>
      <w:bookmarkStart w:id="952" w:name="_Toc469921640"/>
      <w:bookmarkStart w:id="953" w:name="_Toc54097227"/>
      <w:bookmarkStart w:id="954" w:name="_Toc399762143"/>
      <w:bookmarkStart w:id="955" w:name="_Toc14531"/>
      <w:bookmarkStart w:id="956" w:name="_Toc414892002"/>
      <w:bookmarkStart w:id="957" w:name="_Toc201488180"/>
      <w:bookmarkStart w:id="958" w:name="_Toc6785"/>
      <w:bookmarkStart w:id="959" w:name="_Toc432066488"/>
      <w:r>
        <w:rPr>
          <w:rFonts w:hint="eastAsia" w:ascii="宋体" w:hAnsi="宋体"/>
          <w:color w:val="000000" w:themeColor="text1"/>
          <w:sz w:val="21"/>
          <w:szCs w:val="21"/>
          <w14:textFill>
            <w14:solidFill>
              <w14:schemeClr w14:val="tx1"/>
            </w14:solidFill>
          </w14:textFill>
        </w:rPr>
        <w:t>（一）</w:t>
      </w:r>
      <w:r>
        <w:rPr>
          <w:rFonts w:hint="eastAsia" w:ascii="宋体" w:hAnsi="宋体"/>
          <w:color w:val="000000" w:themeColor="text1"/>
          <w:sz w:val="21"/>
          <w:szCs w:val="21"/>
          <w:lang w:eastAsia="zh-CN"/>
          <w14:textFill>
            <w14:solidFill>
              <w14:schemeClr w14:val="tx1"/>
            </w14:solidFill>
          </w14:textFill>
        </w:rPr>
        <w:t>供应商</w:t>
      </w:r>
      <w:r>
        <w:rPr>
          <w:rFonts w:ascii="宋体" w:hAnsi="宋体"/>
          <w:color w:val="000000" w:themeColor="text1"/>
          <w:sz w:val="21"/>
          <w:szCs w:val="21"/>
          <w14:textFill>
            <w14:solidFill>
              <w14:schemeClr w14:val="tx1"/>
            </w14:solidFill>
          </w14:textFill>
        </w:rPr>
        <w:t>基本情况表</w:t>
      </w:r>
      <w:bookmarkEnd w:id="947"/>
      <w:bookmarkEnd w:id="948"/>
      <w:bookmarkEnd w:id="949"/>
      <w:bookmarkEnd w:id="950"/>
      <w:bookmarkEnd w:id="951"/>
      <w:bookmarkEnd w:id="952"/>
      <w:bookmarkEnd w:id="953"/>
      <w:bookmarkEnd w:id="954"/>
      <w:bookmarkEnd w:id="955"/>
      <w:bookmarkEnd w:id="956"/>
      <w:bookmarkEnd w:id="957"/>
      <w:bookmarkEnd w:id="958"/>
      <w:bookmarkEnd w:id="959"/>
    </w:p>
    <w:p w14:paraId="5562BA90">
      <w:pPr>
        <w:rPr>
          <w:rFonts w:ascii="宋体" w:hAnsi="宋体"/>
          <w:color w:val="000000" w:themeColor="text1"/>
          <w:sz w:val="24"/>
          <w14:textFill>
            <w14:solidFill>
              <w14:schemeClr w14:val="tx1"/>
            </w14:solidFill>
          </w14:textFill>
        </w:rPr>
      </w:pPr>
    </w:p>
    <w:tbl>
      <w:tblPr>
        <w:tblStyle w:val="88"/>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1728"/>
        <w:gridCol w:w="898"/>
        <w:gridCol w:w="951"/>
        <w:gridCol w:w="840"/>
        <w:gridCol w:w="420"/>
        <w:gridCol w:w="311"/>
        <w:gridCol w:w="1078"/>
        <w:gridCol w:w="491"/>
        <w:gridCol w:w="859"/>
        <w:gridCol w:w="992"/>
      </w:tblGrid>
      <w:tr w14:paraId="6BCCC3D2">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71" w:hRule="exact"/>
          <w:jc w:val="center"/>
        </w:trPr>
        <w:tc>
          <w:tcPr>
            <w:tcW w:w="1728" w:type="dxa"/>
            <w:vAlign w:val="center"/>
          </w:tcPr>
          <w:p w14:paraId="226D01EC">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名称</w:t>
            </w:r>
          </w:p>
        </w:tc>
        <w:tc>
          <w:tcPr>
            <w:tcW w:w="6840" w:type="dxa"/>
            <w:gridSpan w:val="9"/>
            <w:vAlign w:val="center"/>
          </w:tcPr>
          <w:p w14:paraId="434CD63B">
            <w:pPr>
              <w:jc w:val="center"/>
              <w:rPr>
                <w:rFonts w:ascii="宋体" w:hAnsi="宋体"/>
                <w:color w:val="000000" w:themeColor="text1"/>
                <w:szCs w:val="21"/>
                <w14:textFill>
                  <w14:solidFill>
                    <w14:schemeClr w14:val="tx1"/>
                  </w14:solidFill>
                </w14:textFill>
              </w:rPr>
            </w:pPr>
          </w:p>
        </w:tc>
      </w:tr>
      <w:tr w14:paraId="492A243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0" w:hRule="exact"/>
          <w:jc w:val="center"/>
        </w:trPr>
        <w:tc>
          <w:tcPr>
            <w:tcW w:w="1728" w:type="dxa"/>
            <w:vAlign w:val="center"/>
          </w:tcPr>
          <w:p w14:paraId="061F60A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注册地址</w:t>
            </w:r>
          </w:p>
        </w:tc>
        <w:tc>
          <w:tcPr>
            <w:tcW w:w="3420" w:type="dxa"/>
            <w:gridSpan w:val="5"/>
            <w:vAlign w:val="center"/>
          </w:tcPr>
          <w:p w14:paraId="4CDBFAC1">
            <w:pPr>
              <w:jc w:val="center"/>
              <w:rPr>
                <w:rFonts w:ascii="宋体" w:hAnsi="宋体"/>
                <w:color w:val="000000" w:themeColor="text1"/>
                <w:szCs w:val="21"/>
                <w14:textFill>
                  <w14:solidFill>
                    <w14:schemeClr w14:val="tx1"/>
                  </w14:solidFill>
                </w14:textFill>
              </w:rPr>
            </w:pPr>
          </w:p>
        </w:tc>
        <w:tc>
          <w:tcPr>
            <w:tcW w:w="1078" w:type="dxa"/>
            <w:vAlign w:val="center"/>
          </w:tcPr>
          <w:p w14:paraId="21D3DB4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邮政编码</w:t>
            </w:r>
          </w:p>
        </w:tc>
        <w:tc>
          <w:tcPr>
            <w:tcW w:w="2342" w:type="dxa"/>
            <w:gridSpan w:val="3"/>
            <w:vAlign w:val="center"/>
          </w:tcPr>
          <w:p w14:paraId="66D3AF1A">
            <w:pPr>
              <w:jc w:val="center"/>
              <w:rPr>
                <w:rFonts w:ascii="宋体" w:hAnsi="宋体"/>
                <w:color w:val="000000" w:themeColor="text1"/>
                <w:szCs w:val="21"/>
                <w14:textFill>
                  <w14:solidFill>
                    <w14:schemeClr w14:val="tx1"/>
                  </w14:solidFill>
                </w14:textFill>
              </w:rPr>
            </w:pPr>
          </w:p>
        </w:tc>
      </w:tr>
      <w:tr w14:paraId="25B0350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6" w:hRule="exact"/>
          <w:jc w:val="center"/>
        </w:trPr>
        <w:tc>
          <w:tcPr>
            <w:tcW w:w="1728" w:type="dxa"/>
            <w:vMerge w:val="restart"/>
            <w:vAlign w:val="center"/>
          </w:tcPr>
          <w:p w14:paraId="16B685F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联系方式</w:t>
            </w:r>
          </w:p>
        </w:tc>
        <w:tc>
          <w:tcPr>
            <w:tcW w:w="898" w:type="dxa"/>
            <w:vAlign w:val="center"/>
          </w:tcPr>
          <w:p w14:paraId="362317B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联系人</w:t>
            </w:r>
          </w:p>
        </w:tc>
        <w:tc>
          <w:tcPr>
            <w:tcW w:w="2522" w:type="dxa"/>
            <w:gridSpan w:val="4"/>
            <w:vAlign w:val="center"/>
          </w:tcPr>
          <w:p w14:paraId="531177AC">
            <w:pPr>
              <w:jc w:val="center"/>
              <w:rPr>
                <w:rFonts w:ascii="宋体" w:hAnsi="宋体"/>
                <w:color w:val="000000" w:themeColor="text1"/>
                <w:szCs w:val="21"/>
                <w14:textFill>
                  <w14:solidFill>
                    <w14:schemeClr w14:val="tx1"/>
                  </w14:solidFill>
                </w14:textFill>
              </w:rPr>
            </w:pPr>
          </w:p>
        </w:tc>
        <w:tc>
          <w:tcPr>
            <w:tcW w:w="1078" w:type="dxa"/>
            <w:vAlign w:val="center"/>
          </w:tcPr>
          <w:p w14:paraId="654D663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电  话</w:t>
            </w:r>
          </w:p>
        </w:tc>
        <w:tc>
          <w:tcPr>
            <w:tcW w:w="2342" w:type="dxa"/>
            <w:gridSpan w:val="3"/>
            <w:vAlign w:val="center"/>
          </w:tcPr>
          <w:p w14:paraId="38A75F83">
            <w:pPr>
              <w:jc w:val="center"/>
              <w:rPr>
                <w:rFonts w:ascii="宋体" w:hAnsi="宋体"/>
                <w:color w:val="000000" w:themeColor="text1"/>
                <w:szCs w:val="21"/>
                <w14:textFill>
                  <w14:solidFill>
                    <w14:schemeClr w14:val="tx1"/>
                  </w14:solidFill>
                </w14:textFill>
              </w:rPr>
            </w:pPr>
          </w:p>
        </w:tc>
      </w:tr>
      <w:tr w14:paraId="19B34B3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3" w:hRule="exact"/>
          <w:jc w:val="center"/>
        </w:trPr>
        <w:tc>
          <w:tcPr>
            <w:tcW w:w="1728" w:type="dxa"/>
            <w:vMerge w:val="continue"/>
            <w:vAlign w:val="center"/>
          </w:tcPr>
          <w:p w14:paraId="4A8D4564">
            <w:pPr>
              <w:jc w:val="center"/>
              <w:rPr>
                <w:rFonts w:ascii="宋体" w:hAnsi="宋体"/>
                <w:color w:val="000000" w:themeColor="text1"/>
                <w:szCs w:val="21"/>
                <w14:textFill>
                  <w14:solidFill>
                    <w14:schemeClr w14:val="tx1"/>
                  </w14:solidFill>
                </w14:textFill>
              </w:rPr>
            </w:pPr>
          </w:p>
        </w:tc>
        <w:tc>
          <w:tcPr>
            <w:tcW w:w="898" w:type="dxa"/>
            <w:vAlign w:val="center"/>
          </w:tcPr>
          <w:p w14:paraId="6749D7D9">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传真</w:t>
            </w:r>
          </w:p>
        </w:tc>
        <w:tc>
          <w:tcPr>
            <w:tcW w:w="2522" w:type="dxa"/>
            <w:gridSpan w:val="4"/>
            <w:vAlign w:val="center"/>
          </w:tcPr>
          <w:p w14:paraId="0EC68174">
            <w:pPr>
              <w:jc w:val="center"/>
              <w:rPr>
                <w:rFonts w:ascii="宋体" w:hAnsi="宋体"/>
                <w:color w:val="000000" w:themeColor="text1"/>
                <w:szCs w:val="21"/>
                <w14:textFill>
                  <w14:solidFill>
                    <w14:schemeClr w14:val="tx1"/>
                  </w14:solidFill>
                </w14:textFill>
              </w:rPr>
            </w:pPr>
          </w:p>
        </w:tc>
        <w:tc>
          <w:tcPr>
            <w:tcW w:w="1078" w:type="dxa"/>
            <w:vAlign w:val="center"/>
          </w:tcPr>
          <w:p w14:paraId="487E14A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网  址</w:t>
            </w:r>
          </w:p>
        </w:tc>
        <w:tc>
          <w:tcPr>
            <w:tcW w:w="2342" w:type="dxa"/>
            <w:gridSpan w:val="3"/>
            <w:vAlign w:val="center"/>
          </w:tcPr>
          <w:p w14:paraId="06D81B1C">
            <w:pPr>
              <w:jc w:val="center"/>
              <w:rPr>
                <w:rFonts w:ascii="宋体" w:hAnsi="宋体"/>
                <w:color w:val="000000" w:themeColor="text1"/>
                <w:szCs w:val="21"/>
                <w14:textFill>
                  <w14:solidFill>
                    <w14:schemeClr w14:val="tx1"/>
                  </w14:solidFill>
                </w14:textFill>
              </w:rPr>
            </w:pPr>
          </w:p>
        </w:tc>
      </w:tr>
      <w:tr w14:paraId="3F0F559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4" w:hRule="exact"/>
          <w:jc w:val="center"/>
        </w:trPr>
        <w:tc>
          <w:tcPr>
            <w:tcW w:w="1728" w:type="dxa"/>
            <w:vAlign w:val="center"/>
          </w:tcPr>
          <w:p w14:paraId="6338068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组织结构</w:t>
            </w:r>
          </w:p>
        </w:tc>
        <w:tc>
          <w:tcPr>
            <w:tcW w:w="6840" w:type="dxa"/>
            <w:gridSpan w:val="9"/>
            <w:vAlign w:val="center"/>
          </w:tcPr>
          <w:p w14:paraId="3C572AF2">
            <w:pPr>
              <w:jc w:val="center"/>
              <w:rPr>
                <w:rFonts w:ascii="宋体" w:hAnsi="宋体"/>
                <w:color w:val="000000" w:themeColor="text1"/>
                <w:szCs w:val="21"/>
                <w14:textFill>
                  <w14:solidFill>
                    <w14:schemeClr w14:val="tx1"/>
                  </w14:solidFill>
                </w14:textFill>
              </w:rPr>
            </w:pPr>
          </w:p>
        </w:tc>
      </w:tr>
      <w:tr w14:paraId="02EB05B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8" w:hRule="exact"/>
          <w:jc w:val="center"/>
        </w:trPr>
        <w:tc>
          <w:tcPr>
            <w:tcW w:w="1728" w:type="dxa"/>
            <w:vAlign w:val="center"/>
          </w:tcPr>
          <w:p w14:paraId="2F2D14D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法定代表人</w:t>
            </w:r>
          </w:p>
        </w:tc>
        <w:tc>
          <w:tcPr>
            <w:tcW w:w="898" w:type="dxa"/>
            <w:vAlign w:val="center"/>
          </w:tcPr>
          <w:p w14:paraId="33CED94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951" w:type="dxa"/>
            <w:vAlign w:val="center"/>
          </w:tcPr>
          <w:p w14:paraId="165E1D13">
            <w:pPr>
              <w:jc w:val="center"/>
              <w:rPr>
                <w:rFonts w:ascii="宋体" w:hAnsi="宋体"/>
                <w:color w:val="000000" w:themeColor="text1"/>
                <w:szCs w:val="21"/>
                <w14:textFill>
                  <w14:solidFill>
                    <w14:schemeClr w14:val="tx1"/>
                  </w14:solidFill>
                </w14:textFill>
              </w:rPr>
            </w:pPr>
          </w:p>
        </w:tc>
        <w:tc>
          <w:tcPr>
            <w:tcW w:w="1260" w:type="dxa"/>
            <w:gridSpan w:val="2"/>
            <w:vAlign w:val="center"/>
          </w:tcPr>
          <w:p w14:paraId="273CCBB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技术职称</w:t>
            </w:r>
          </w:p>
        </w:tc>
        <w:tc>
          <w:tcPr>
            <w:tcW w:w="1880" w:type="dxa"/>
            <w:gridSpan w:val="3"/>
            <w:vAlign w:val="center"/>
          </w:tcPr>
          <w:p w14:paraId="77C51D64">
            <w:pPr>
              <w:jc w:val="center"/>
              <w:rPr>
                <w:rFonts w:ascii="宋体" w:hAnsi="宋体"/>
                <w:color w:val="000000" w:themeColor="text1"/>
                <w:szCs w:val="21"/>
                <w14:textFill>
                  <w14:solidFill>
                    <w14:schemeClr w14:val="tx1"/>
                  </w14:solidFill>
                </w14:textFill>
              </w:rPr>
            </w:pPr>
          </w:p>
        </w:tc>
        <w:tc>
          <w:tcPr>
            <w:tcW w:w="859" w:type="dxa"/>
            <w:vAlign w:val="center"/>
          </w:tcPr>
          <w:p w14:paraId="45932F8F">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电话</w:t>
            </w:r>
          </w:p>
        </w:tc>
        <w:tc>
          <w:tcPr>
            <w:tcW w:w="992" w:type="dxa"/>
            <w:vAlign w:val="center"/>
          </w:tcPr>
          <w:p w14:paraId="7CCA2F44">
            <w:pPr>
              <w:jc w:val="center"/>
              <w:rPr>
                <w:rFonts w:ascii="宋体" w:hAnsi="宋体"/>
                <w:color w:val="000000" w:themeColor="text1"/>
                <w:szCs w:val="21"/>
                <w14:textFill>
                  <w14:solidFill>
                    <w14:schemeClr w14:val="tx1"/>
                  </w14:solidFill>
                </w14:textFill>
              </w:rPr>
            </w:pPr>
          </w:p>
        </w:tc>
      </w:tr>
      <w:tr w14:paraId="13442BD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2" w:hRule="exact"/>
          <w:jc w:val="center"/>
        </w:trPr>
        <w:tc>
          <w:tcPr>
            <w:tcW w:w="1728" w:type="dxa"/>
            <w:vAlign w:val="center"/>
          </w:tcPr>
          <w:p w14:paraId="69E01B4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技术负责人</w:t>
            </w:r>
          </w:p>
        </w:tc>
        <w:tc>
          <w:tcPr>
            <w:tcW w:w="898" w:type="dxa"/>
            <w:vAlign w:val="center"/>
          </w:tcPr>
          <w:p w14:paraId="10C57E5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951" w:type="dxa"/>
            <w:vAlign w:val="center"/>
          </w:tcPr>
          <w:p w14:paraId="3E02B2D6">
            <w:pPr>
              <w:jc w:val="center"/>
              <w:rPr>
                <w:rFonts w:ascii="宋体" w:hAnsi="宋体"/>
                <w:color w:val="000000" w:themeColor="text1"/>
                <w:szCs w:val="21"/>
                <w14:textFill>
                  <w14:solidFill>
                    <w14:schemeClr w14:val="tx1"/>
                  </w14:solidFill>
                </w14:textFill>
              </w:rPr>
            </w:pPr>
          </w:p>
        </w:tc>
        <w:tc>
          <w:tcPr>
            <w:tcW w:w="1260" w:type="dxa"/>
            <w:gridSpan w:val="2"/>
            <w:vAlign w:val="center"/>
          </w:tcPr>
          <w:p w14:paraId="425527B9">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技术职称</w:t>
            </w:r>
          </w:p>
        </w:tc>
        <w:tc>
          <w:tcPr>
            <w:tcW w:w="1880" w:type="dxa"/>
            <w:gridSpan w:val="3"/>
            <w:vAlign w:val="center"/>
          </w:tcPr>
          <w:p w14:paraId="0E6FE8D7">
            <w:pPr>
              <w:jc w:val="center"/>
              <w:rPr>
                <w:rFonts w:ascii="宋体" w:hAnsi="宋体"/>
                <w:color w:val="000000" w:themeColor="text1"/>
                <w:szCs w:val="21"/>
                <w14:textFill>
                  <w14:solidFill>
                    <w14:schemeClr w14:val="tx1"/>
                  </w14:solidFill>
                </w14:textFill>
              </w:rPr>
            </w:pPr>
          </w:p>
        </w:tc>
        <w:tc>
          <w:tcPr>
            <w:tcW w:w="859" w:type="dxa"/>
            <w:vAlign w:val="center"/>
          </w:tcPr>
          <w:p w14:paraId="2850FB7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电话</w:t>
            </w:r>
          </w:p>
        </w:tc>
        <w:tc>
          <w:tcPr>
            <w:tcW w:w="992" w:type="dxa"/>
            <w:vAlign w:val="center"/>
          </w:tcPr>
          <w:p w14:paraId="4C482D4F">
            <w:pPr>
              <w:jc w:val="center"/>
              <w:rPr>
                <w:rFonts w:ascii="宋体" w:hAnsi="宋体"/>
                <w:color w:val="000000" w:themeColor="text1"/>
                <w:szCs w:val="21"/>
                <w14:textFill>
                  <w14:solidFill>
                    <w14:schemeClr w14:val="tx1"/>
                  </w14:solidFill>
                </w14:textFill>
              </w:rPr>
            </w:pPr>
          </w:p>
        </w:tc>
      </w:tr>
      <w:tr w14:paraId="7A31DB9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4" w:hRule="exact"/>
          <w:jc w:val="center"/>
        </w:trPr>
        <w:tc>
          <w:tcPr>
            <w:tcW w:w="1728" w:type="dxa"/>
            <w:vAlign w:val="center"/>
          </w:tcPr>
          <w:p w14:paraId="386D662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成立时间</w:t>
            </w:r>
          </w:p>
        </w:tc>
        <w:tc>
          <w:tcPr>
            <w:tcW w:w="1849" w:type="dxa"/>
            <w:gridSpan w:val="2"/>
            <w:vAlign w:val="center"/>
          </w:tcPr>
          <w:p w14:paraId="0B03D6E0">
            <w:pPr>
              <w:jc w:val="center"/>
              <w:rPr>
                <w:rFonts w:ascii="宋体" w:hAnsi="宋体"/>
                <w:color w:val="000000" w:themeColor="text1"/>
                <w:szCs w:val="21"/>
                <w14:textFill>
                  <w14:solidFill>
                    <w14:schemeClr w14:val="tx1"/>
                  </w14:solidFill>
                </w14:textFill>
              </w:rPr>
            </w:pPr>
          </w:p>
        </w:tc>
        <w:tc>
          <w:tcPr>
            <w:tcW w:w="4991" w:type="dxa"/>
            <w:gridSpan w:val="7"/>
            <w:vAlign w:val="center"/>
          </w:tcPr>
          <w:p w14:paraId="1C1C38E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员工总人数：</w:t>
            </w:r>
          </w:p>
        </w:tc>
      </w:tr>
      <w:tr w14:paraId="5A32D8F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68" w:hRule="exact"/>
          <w:jc w:val="center"/>
        </w:trPr>
        <w:tc>
          <w:tcPr>
            <w:tcW w:w="1728" w:type="dxa"/>
            <w:vAlign w:val="center"/>
          </w:tcPr>
          <w:p w14:paraId="0667D9D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企业资质等级</w:t>
            </w:r>
          </w:p>
        </w:tc>
        <w:tc>
          <w:tcPr>
            <w:tcW w:w="1849" w:type="dxa"/>
            <w:gridSpan w:val="2"/>
            <w:vAlign w:val="center"/>
          </w:tcPr>
          <w:p w14:paraId="701F2A31">
            <w:pPr>
              <w:jc w:val="center"/>
              <w:rPr>
                <w:rFonts w:ascii="宋体" w:hAnsi="宋体"/>
                <w:color w:val="000000" w:themeColor="text1"/>
                <w:szCs w:val="21"/>
                <w14:textFill>
                  <w14:solidFill>
                    <w14:schemeClr w14:val="tx1"/>
                  </w14:solidFill>
                </w14:textFill>
              </w:rPr>
            </w:pPr>
          </w:p>
        </w:tc>
        <w:tc>
          <w:tcPr>
            <w:tcW w:w="840" w:type="dxa"/>
            <w:vMerge w:val="restart"/>
            <w:vAlign w:val="center"/>
          </w:tcPr>
          <w:p w14:paraId="1CB9CC3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其中</w:t>
            </w:r>
          </w:p>
        </w:tc>
        <w:tc>
          <w:tcPr>
            <w:tcW w:w="2300" w:type="dxa"/>
            <w:gridSpan w:val="4"/>
            <w:vAlign w:val="center"/>
          </w:tcPr>
          <w:p w14:paraId="2E5D134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项目经理</w:t>
            </w:r>
          </w:p>
        </w:tc>
        <w:tc>
          <w:tcPr>
            <w:tcW w:w="1851" w:type="dxa"/>
            <w:gridSpan w:val="2"/>
            <w:vAlign w:val="center"/>
          </w:tcPr>
          <w:p w14:paraId="521BAF12">
            <w:pPr>
              <w:jc w:val="center"/>
              <w:rPr>
                <w:rFonts w:ascii="宋体" w:hAnsi="宋体"/>
                <w:color w:val="000000" w:themeColor="text1"/>
                <w:szCs w:val="21"/>
                <w14:textFill>
                  <w14:solidFill>
                    <w14:schemeClr w14:val="tx1"/>
                  </w14:solidFill>
                </w14:textFill>
              </w:rPr>
            </w:pPr>
          </w:p>
        </w:tc>
      </w:tr>
      <w:tr w14:paraId="47B1D9E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0" w:hRule="exact"/>
          <w:jc w:val="center"/>
        </w:trPr>
        <w:tc>
          <w:tcPr>
            <w:tcW w:w="1728" w:type="dxa"/>
            <w:vAlign w:val="center"/>
          </w:tcPr>
          <w:p w14:paraId="176861AB">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营业执照号</w:t>
            </w:r>
          </w:p>
        </w:tc>
        <w:tc>
          <w:tcPr>
            <w:tcW w:w="1849" w:type="dxa"/>
            <w:gridSpan w:val="2"/>
            <w:vAlign w:val="center"/>
          </w:tcPr>
          <w:p w14:paraId="3A6E5948">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242B2DD2">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4018828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高级职称人员</w:t>
            </w:r>
          </w:p>
        </w:tc>
        <w:tc>
          <w:tcPr>
            <w:tcW w:w="1851" w:type="dxa"/>
            <w:gridSpan w:val="2"/>
            <w:vAlign w:val="center"/>
          </w:tcPr>
          <w:p w14:paraId="44BB9354">
            <w:pPr>
              <w:jc w:val="center"/>
              <w:rPr>
                <w:rFonts w:ascii="宋体" w:hAnsi="宋体"/>
                <w:color w:val="000000" w:themeColor="text1"/>
                <w:szCs w:val="21"/>
                <w14:textFill>
                  <w14:solidFill>
                    <w14:schemeClr w14:val="tx1"/>
                  </w14:solidFill>
                </w14:textFill>
              </w:rPr>
            </w:pPr>
          </w:p>
        </w:tc>
      </w:tr>
      <w:tr w14:paraId="7C09614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3" w:hRule="exact"/>
          <w:jc w:val="center"/>
        </w:trPr>
        <w:tc>
          <w:tcPr>
            <w:tcW w:w="1728" w:type="dxa"/>
            <w:vAlign w:val="center"/>
          </w:tcPr>
          <w:p w14:paraId="512852B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注册资金</w:t>
            </w:r>
          </w:p>
        </w:tc>
        <w:tc>
          <w:tcPr>
            <w:tcW w:w="1849" w:type="dxa"/>
            <w:gridSpan w:val="2"/>
            <w:vAlign w:val="center"/>
          </w:tcPr>
          <w:p w14:paraId="59C98EF1">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4132F8DA">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7BD1364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中级职称人员</w:t>
            </w:r>
          </w:p>
        </w:tc>
        <w:tc>
          <w:tcPr>
            <w:tcW w:w="1851" w:type="dxa"/>
            <w:gridSpan w:val="2"/>
            <w:vAlign w:val="center"/>
          </w:tcPr>
          <w:p w14:paraId="1047F40E">
            <w:pPr>
              <w:jc w:val="center"/>
              <w:rPr>
                <w:rFonts w:ascii="宋体" w:hAnsi="宋体"/>
                <w:color w:val="000000" w:themeColor="text1"/>
                <w:szCs w:val="21"/>
                <w14:textFill>
                  <w14:solidFill>
                    <w14:schemeClr w14:val="tx1"/>
                  </w14:solidFill>
                </w14:textFill>
              </w:rPr>
            </w:pPr>
          </w:p>
        </w:tc>
      </w:tr>
      <w:tr w14:paraId="273DAD8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6" w:hRule="exact"/>
          <w:jc w:val="center"/>
        </w:trPr>
        <w:tc>
          <w:tcPr>
            <w:tcW w:w="1728" w:type="dxa"/>
            <w:vAlign w:val="center"/>
          </w:tcPr>
          <w:p w14:paraId="6E62B15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开户银行</w:t>
            </w:r>
          </w:p>
        </w:tc>
        <w:tc>
          <w:tcPr>
            <w:tcW w:w="1849" w:type="dxa"/>
            <w:gridSpan w:val="2"/>
            <w:vAlign w:val="center"/>
          </w:tcPr>
          <w:p w14:paraId="75DAA81C">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4EE041D6">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3982641B">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初级职称人员</w:t>
            </w:r>
          </w:p>
        </w:tc>
        <w:tc>
          <w:tcPr>
            <w:tcW w:w="1851" w:type="dxa"/>
            <w:gridSpan w:val="2"/>
            <w:vAlign w:val="center"/>
          </w:tcPr>
          <w:p w14:paraId="265E3D25">
            <w:pPr>
              <w:jc w:val="center"/>
              <w:rPr>
                <w:rFonts w:ascii="宋体" w:hAnsi="宋体"/>
                <w:color w:val="000000" w:themeColor="text1"/>
                <w:szCs w:val="21"/>
                <w14:textFill>
                  <w14:solidFill>
                    <w14:schemeClr w14:val="tx1"/>
                  </w14:solidFill>
                </w14:textFill>
              </w:rPr>
            </w:pPr>
          </w:p>
        </w:tc>
      </w:tr>
      <w:tr w14:paraId="62252B5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7" w:hRule="exact"/>
          <w:jc w:val="center"/>
        </w:trPr>
        <w:tc>
          <w:tcPr>
            <w:tcW w:w="1728" w:type="dxa"/>
            <w:vAlign w:val="center"/>
          </w:tcPr>
          <w:p w14:paraId="4A020C7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账号</w:t>
            </w:r>
          </w:p>
        </w:tc>
        <w:tc>
          <w:tcPr>
            <w:tcW w:w="1849" w:type="dxa"/>
            <w:gridSpan w:val="2"/>
            <w:vAlign w:val="center"/>
          </w:tcPr>
          <w:p w14:paraId="686DC5C1">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29030839">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53DA454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技工</w:t>
            </w:r>
          </w:p>
        </w:tc>
        <w:tc>
          <w:tcPr>
            <w:tcW w:w="1851" w:type="dxa"/>
            <w:gridSpan w:val="2"/>
            <w:vAlign w:val="center"/>
          </w:tcPr>
          <w:p w14:paraId="1D24A540">
            <w:pPr>
              <w:jc w:val="center"/>
              <w:rPr>
                <w:rFonts w:ascii="宋体" w:hAnsi="宋体"/>
                <w:color w:val="000000" w:themeColor="text1"/>
                <w:szCs w:val="21"/>
                <w14:textFill>
                  <w14:solidFill>
                    <w14:schemeClr w14:val="tx1"/>
                  </w14:solidFill>
                </w14:textFill>
              </w:rPr>
            </w:pPr>
          </w:p>
        </w:tc>
      </w:tr>
      <w:tr w14:paraId="43D5010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2245" w:hRule="exact"/>
          <w:jc w:val="center"/>
        </w:trPr>
        <w:tc>
          <w:tcPr>
            <w:tcW w:w="1728" w:type="dxa"/>
            <w:vAlign w:val="center"/>
          </w:tcPr>
          <w:p w14:paraId="4BFAF6B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经营范围</w:t>
            </w:r>
          </w:p>
        </w:tc>
        <w:tc>
          <w:tcPr>
            <w:tcW w:w="6840" w:type="dxa"/>
            <w:gridSpan w:val="9"/>
            <w:vAlign w:val="center"/>
          </w:tcPr>
          <w:p w14:paraId="6842A51B">
            <w:pPr>
              <w:jc w:val="center"/>
              <w:rPr>
                <w:rFonts w:ascii="宋体" w:hAnsi="宋体"/>
                <w:color w:val="000000" w:themeColor="text1"/>
                <w:szCs w:val="21"/>
                <w14:textFill>
                  <w14:solidFill>
                    <w14:schemeClr w14:val="tx1"/>
                  </w14:solidFill>
                </w14:textFill>
              </w:rPr>
            </w:pPr>
          </w:p>
        </w:tc>
      </w:tr>
      <w:tr w14:paraId="26752B2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5" w:hRule="exact"/>
          <w:jc w:val="center"/>
        </w:trPr>
        <w:tc>
          <w:tcPr>
            <w:tcW w:w="1728" w:type="dxa"/>
            <w:vAlign w:val="center"/>
          </w:tcPr>
          <w:p w14:paraId="6C717C8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c>
          <w:tcPr>
            <w:tcW w:w="6840" w:type="dxa"/>
            <w:gridSpan w:val="9"/>
            <w:vAlign w:val="center"/>
          </w:tcPr>
          <w:p w14:paraId="3026E32B">
            <w:pPr>
              <w:jc w:val="center"/>
              <w:rPr>
                <w:rFonts w:ascii="宋体" w:hAnsi="宋体"/>
                <w:color w:val="000000" w:themeColor="text1"/>
                <w:szCs w:val="21"/>
                <w14:textFill>
                  <w14:solidFill>
                    <w14:schemeClr w14:val="tx1"/>
                  </w14:solidFill>
                </w14:textFill>
              </w:rPr>
            </w:pPr>
          </w:p>
        </w:tc>
      </w:tr>
    </w:tbl>
    <w:p w14:paraId="0E1A522B">
      <w:pPr>
        <w:rPr>
          <w:rFonts w:ascii="宋体" w:hAnsi="宋体"/>
          <w:color w:val="000000" w:themeColor="text1"/>
          <w:sz w:val="24"/>
          <w14:textFill>
            <w14:solidFill>
              <w14:schemeClr w14:val="tx1"/>
            </w14:solidFill>
          </w14:textFill>
        </w:rPr>
      </w:pPr>
      <w:r>
        <w:rPr>
          <w:rFonts w:hint="eastAsia" w:ascii="宋体" w:hAnsi="宋体"/>
          <w:color w:val="000000" w:themeColor="text1"/>
          <w:szCs w:val="21"/>
          <w14:textFill>
            <w14:solidFill>
              <w14:schemeClr w14:val="tx1"/>
            </w14:solidFill>
          </w14:textFill>
        </w:rPr>
        <w:t>备注：本表后应附企业法人营业执照等材料的复印件。</w:t>
      </w:r>
    </w:p>
    <w:p w14:paraId="5A257E2B">
      <w:pPr>
        <w:widowControl/>
        <w:jc w:val="left"/>
        <w:rPr>
          <w:rFonts w:ascii="宋体" w:hAnsi="宋体"/>
          <w:b/>
          <w:bCs/>
          <w:color w:val="000000" w:themeColor="text1"/>
          <w:szCs w:val="21"/>
          <w14:textFill>
            <w14:solidFill>
              <w14:schemeClr w14:val="tx1"/>
            </w14:solidFill>
          </w14:textFill>
        </w:rPr>
      </w:pPr>
      <w:bookmarkStart w:id="960" w:name="_Toc414892003"/>
      <w:bookmarkStart w:id="961" w:name="_Toc202062912"/>
      <w:bookmarkStart w:id="962" w:name="_Toc201488181"/>
      <w:bookmarkStart w:id="963" w:name="_Toc399762144"/>
      <w:bookmarkStart w:id="964" w:name="_Toc414897852"/>
      <w:bookmarkStart w:id="965" w:name="_Toc201487559"/>
    </w:p>
    <w:p w14:paraId="4D626BF6">
      <w:pPr>
        <w:pStyle w:val="518"/>
        <w:pageBreakBefore/>
        <w:jc w:val="center"/>
        <w:outlineLvl w:val="2"/>
        <w:rPr>
          <w:rFonts w:ascii="宋体" w:hAnsi="宋体"/>
          <w:color w:val="000000" w:themeColor="text1"/>
          <w:sz w:val="21"/>
          <w:szCs w:val="21"/>
          <w14:textFill>
            <w14:solidFill>
              <w14:schemeClr w14:val="tx1"/>
            </w14:solidFill>
          </w14:textFill>
        </w:rPr>
      </w:pPr>
      <w:bookmarkStart w:id="966" w:name="_Toc54258252"/>
      <w:bookmarkStart w:id="967" w:name="_Toc54097228"/>
      <w:bookmarkStart w:id="968" w:name="_Toc27721"/>
      <w:bookmarkStart w:id="969" w:name="_Toc432066489"/>
      <w:bookmarkStart w:id="970" w:name="_Toc53569430"/>
      <w:bookmarkStart w:id="971" w:name="_Toc18251"/>
      <w:bookmarkStart w:id="972" w:name="_Toc469921641"/>
      <w:r>
        <w:rPr>
          <w:rFonts w:hint="eastAsia" w:ascii="宋体" w:hAnsi="宋体"/>
          <w:color w:val="000000" w:themeColor="text1"/>
          <w:sz w:val="21"/>
          <w:szCs w:val="21"/>
          <w14:textFill>
            <w14:solidFill>
              <w14:schemeClr w14:val="tx1"/>
            </w14:solidFill>
          </w14:textFill>
        </w:rPr>
        <w:t>（二）</w:t>
      </w:r>
      <w:r>
        <w:rPr>
          <w:rFonts w:ascii="宋体" w:hAnsi="宋体"/>
          <w:color w:val="000000" w:themeColor="text1"/>
          <w:sz w:val="21"/>
          <w:szCs w:val="21"/>
          <w14:textFill>
            <w14:solidFill>
              <w14:schemeClr w14:val="tx1"/>
            </w14:solidFill>
          </w14:textFill>
        </w:rPr>
        <w:t>近年财务状况</w:t>
      </w:r>
      <w:bookmarkEnd w:id="960"/>
      <w:bookmarkEnd w:id="961"/>
      <w:bookmarkEnd w:id="962"/>
      <w:bookmarkEnd w:id="963"/>
      <w:bookmarkEnd w:id="964"/>
      <w:bookmarkEnd w:id="965"/>
      <w:bookmarkEnd w:id="966"/>
      <w:bookmarkEnd w:id="967"/>
      <w:bookmarkEnd w:id="968"/>
      <w:bookmarkEnd w:id="969"/>
      <w:bookmarkEnd w:id="970"/>
      <w:bookmarkEnd w:id="971"/>
      <w:bookmarkEnd w:id="972"/>
    </w:p>
    <w:p w14:paraId="42C1938E">
      <w:pPr>
        <w:rPr>
          <w:rFonts w:ascii="宋体" w:hAnsi="宋体"/>
          <w:color w:val="000000" w:themeColor="text1"/>
          <w:sz w:val="24"/>
          <w14:textFill>
            <w14:solidFill>
              <w14:schemeClr w14:val="tx1"/>
            </w14:solidFill>
          </w14:textFill>
        </w:rPr>
      </w:pPr>
    </w:p>
    <w:p w14:paraId="0CB4F00D">
      <w:pPr>
        <w:rPr>
          <w:rFonts w:ascii="宋体" w:hAnsi="宋体"/>
          <w:color w:val="000000" w:themeColor="text1"/>
          <w:sz w:val="24"/>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备注：提供近三年（2021-2023年）经会计师事务所或审计机构审计的财务会计报表，包括资产负债表、现金流量表、利润表和财务情况说明书的复印件；供应商成立不足三年的，提供自成立年份-2023年的财务报告或财务报表，供应商在2024年之后成立的，无财务状况报告的，提供基本账户开户银行的资信证明</w:t>
      </w:r>
    </w:p>
    <w:p w14:paraId="4023D98D">
      <w:pPr>
        <w:rPr>
          <w:rFonts w:ascii="宋体" w:hAnsi="宋体"/>
          <w:color w:val="000000" w:themeColor="text1"/>
          <w:sz w:val="24"/>
          <w14:textFill>
            <w14:solidFill>
              <w14:schemeClr w14:val="tx1"/>
            </w14:solidFill>
          </w14:textFill>
        </w:rPr>
      </w:pPr>
    </w:p>
    <w:p w14:paraId="403616C4">
      <w:pPr>
        <w:rPr>
          <w:rFonts w:ascii="宋体" w:hAnsi="宋体"/>
          <w:color w:val="000000" w:themeColor="text1"/>
          <w:sz w:val="24"/>
          <w14:textFill>
            <w14:solidFill>
              <w14:schemeClr w14:val="tx1"/>
            </w14:solidFill>
          </w14:textFill>
        </w:rPr>
      </w:pPr>
    </w:p>
    <w:p w14:paraId="535446EF">
      <w:pPr>
        <w:rPr>
          <w:rFonts w:ascii="宋体" w:hAnsi="宋体"/>
          <w:color w:val="000000" w:themeColor="text1"/>
          <w:sz w:val="24"/>
          <w14:textFill>
            <w14:solidFill>
              <w14:schemeClr w14:val="tx1"/>
            </w14:solidFill>
          </w14:textFill>
        </w:rPr>
      </w:pPr>
    </w:p>
    <w:p w14:paraId="377D2DC6">
      <w:pPr>
        <w:rPr>
          <w:rFonts w:ascii="宋体" w:hAnsi="宋体"/>
          <w:color w:val="000000" w:themeColor="text1"/>
          <w:sz w:val="24"/>
          <w14:textFill>
            <w14:solidFill>
              <w14:schemeClr w14:val="tx1"/>
            </w14:solidFill>
          </w14:textFill>
        </w:rPr>
      </w:pPr>
    </w:p>
    <w:p w14:paraId="2EECBFE0">
      <w:pPr>
        <w:rPr>
          <w:rFonts w:ascii="宋体" w:hAnsi="宋体"/>
          <w:color w:val="000000" w:themeColor="text1"/>
          <w:sz w:val="24"/>
          <w14:textFill>
            <w14:solidFill>
              <w14:schemeClr w14:val="tx1"/>
            </w14:solidFill>
          </w14:textFill>
        </w:rPr>
      </w:pPr>
    </w:p>
    <w:p w14:paraId="38264453">
      <w:pPr>
        <w:rPr>
          <w:rFonts w:ascii="宋体" w:hAnsi="宋体"/>
          <w:color w:val="000000" w:themeColor="text1"/>
          <w:sz w:val="24"/>
          <w14:textFill>
            <w14:solidFill>
              <w14:schemeClr w14:val="tx1"/>
            </w14:solidFill>
          </w14:textFill>
        </w:rPr>
      </w:pPr>
    </w:p>
    <w:p w14:paraId="23CF6175">
      <w:pPr>
        <w:rPr>
          <w:rFonts w:ascii="宋体" w:hAnsi="宋体"/>
          <w:color w:val="000000" w:themeColor="text1"/>
          <w:sz w:val="24"/>
          <w14:textFill>
            <w14:solidFill>
              <w14:schemeClr w14:val="tx1"/>
            </w14:solidFill>
          </w14:textFill>
        </w:rPr>
      </w:pPr>
    </w:p>
    <w:p w14:paraId="63F6B575">
      <w:pPr>
        <w:rPr>
          <w:rFonts w:ascii="宋体" w:hAnsi="宋体"/>
          <w:color w:val="000000" w:themeColor="text1"/>
          <w:sz w:val="24"/>
          <w14:textFill>
            <w14:solidFill>
              <w14:schemeClr w14:val="tx1"/>
            </w14:solidFill>
          </w14:textFill>
        </w:rPr>
      </w:pPr>
    </w:p>
    <w:p w14:paraId="7BCD6F21">
      <w:pPr>
        <w:rPr>
          <w:rFonts w:ascii="宋体" w:hAnsi="宋体"/>
          <w:color w:val="000000" w:themeColor="text1"/>
          <w:sz w:val="24"/>
          <w14:textFill>
            <w14:solidFill>
              <w14:schemeClr w14:val="tx1"/>
            </w14:solidFill>
          </w14:textFill>
        </w:rPr>
      </w:pPr>
    </w:p>
    <w:p w14:paraId="5A507FF6">
      <w:pPr>
        <w:rPr>
          <w:rFonts w:ascii="宋体" w:hAnsi="宋体"/>
          <w:color w:val="000000" w:themeColor="text1"/>
          <w:sz w:val="24"/>
          <w14:textFill>
            <w14:solidFill>
              <w14:schemeClr w14:val="tx1"/>
            </w14:solidFill>
          </w14:textFill>
        </w:rPr>
      </w:pPr>
    </w:p>
    <w:p w14:paraId="485F6FCE">
      <w:pPr>
        <w:rPr>
          <w:rFonts w:ascii="宋体" w:hAnsi="宋体"/>
          <w:color w:val="000000" w:themeColor="text1"/>
          <w:sz w:val="24"/>
          <w14:textFill>
            <w14:solidFill>
              <w14:schemeClr w14:val="tx1"/>
            </w14:solidFill>
          </w14:textFill>
        </w:rPr>
      </w:pPr>
    </w:p>
    <w:p w14:paraId="4C4C04B4">
      <w:pPr>
        <w:rPr>
          <w:rFonts w:ascii="宋体" w:hAnsi="宋体"/>
          <w:color w:val="000000" w:themeColor="text1"/>
          <w:sz w:val="24"/>
          <w14:textFill>
            <w14:solidFill>
              <w14:schemeClr w14:val="tx1"/>
            </w14:solidFill>
          </w14:textFill>
        </w:rPr>
      </w:pPr>
    </w:p>
    <w:p w14:paraId="66556C36">
      <w:pPr>
        <w:rPr>
          <w:rFonts w:ascii="宋体" w:hAnsi="宋体"/>
          <w:color w:val="000000" w:themeColor="text1"/>
          <w:sz w:val="24"/>
          <w14:textFill>
            <w14:solidFill>
              <w14:schemeClr w14:val="tx1"/>
            </w14:solidFill>
          </w14:textFill>
        </w:rPr>
      </w:pPr>
    </w:p>
    <w:p w14:paraId="7AA82433">
      <w:pPr>
        <w:rPr>
          <w:rFonts w:ascii="宋体" w:hAnsi="宋体"/>
          <w:color w:val="000000" w:themeColor="text1"/>
          <w:sz w:val="24"/>
          <w14:textFill>
            <w14:solidFill>
              <w14:schemeClr w14:val="tx1"/>
            </w14:solidFill>
          </w14:textFill>
        </w:rPr>
      </w:pPr>
    </w:p>
    <w:p w14:paraId="67BFF298">
      <w:pPr>
        <w:rPr>
          <w:rFonts w:ascii="宋体" w:hAnsi="宋体"/>
          <w:color w:val="000000" w:themeColor="text1"/>
          <w:sz w:val="24"/>
          <w14:textFill>
            <w14:solidFill>
              <w14:schemeClr w14:val="tx1"/>
            </w14:solidFill>
          </w14:textFill>
        </w:rPr>
      </w:pPr>
    </w:p>
    <w:p w14:paraId="737BD5BC">
      <w:pPr>
        <w:rPr>
          <w:rFonts w:ascii="宋体" w:hAnsi="宋体"/>
          <w:color w:val="000000" w:themeColor="text1"/>
          <w:sz w:val="24"/>
          <w14:textFill>
            <w14:solidFill>
              <w14:schemeClr w14:val="tx1"/>
            </w14:solidFill>
          </w14:textFill>
        </w:rPr>
      </w:pPr>
    </w:p>
    <w:p w14:paraId="29BDDC1B">
      <w:pPr>
        <w:rPr>
          <w:rFonts w:ascii="宋体" w:hAnsi="宋体"/>
          <w:color w:val="000000" w:themeColor="text1"/>
          <w:sz w:val="24"/>
          <w14:textFill>
            <w14:solidFill>
              <w14:schemeClr w14:val="tx1"/>
            </w14:solidFill>
          </w14:textFill>
        </w:rPr>
      </w:pPr>
    </w:p>
    <w:p w14:paraId="06407DD9">
      <w:pPr>
        <w:rPr>
          <w:rFonts w:ascii="宋体" w:hAnsi="宋体"/>
          <w:color w:val="000000" w:themeColor="text1"/>
          <w:sz w:val="24"/>
          <w14:textFill>
            <w14:solidFill>
              <w14:schemeClr w14:val="tx1"/>
            </w14:solidFill>
          </w14:textFill>
        </w:rPr>
      </w:pPr>
    </w:p>
    <w:p w14:paraId="387EF83F">
      <w:pPr>
        <w:rPr>
          <w:rFonts w:ascii="宋体" w:hAnsi="宋体"/>
          <w:color w:val="000000" w:themeColor="text1"/>
          <w:sz w:val="24"/>
          <w14:textFill>
            <w14:solidFill>
              <w14:schemeClr w14:val="tx1"/>
            </w14:solidFill>
          </w14:textFill>
        </w:rPr>
      </w:pPr>
    </w:p>
    <w:p w14:paraId="3C0F3EE4">
      <w:pPr>
        <w:rPr>
          <w:rFonts w:ascii="宋体" w:hAnsi="宋体"/>
          <w:color w:val="000000" w:themeColor="text1"/>
          <w:sz w:val="24"/>
          <w14:textFill>
            <w14:solidFill>
              <w14:schemeClr w14:val="tx1"/>
            </w14:solidFill>
          </w14:textFill>
        </w:rPr>
      </w:pPr>
    </w:p>
    <w:p w14:paraId="13DA6F60">
      <w:pPr>
        <w:rPr>
          <w:rFonts w:ascii="宋体" w:hAnsi="宋体"/>
          <w:color w:val="000000" w:themeColor="text1"/>
          <w:sz w:val="24"/>
          <w14:textFill>
            <w14:solidFill>
              <w14:schemeClr w14:val="tx1"/>
            </w14:solidFill>
          </w14:textFill>
        </w:rPr>
      </w:pPr>
    </w:p>
    <w:p w14:paraId="73F0EEFE">
      <w:pPr>
        <w:rPr>
          <w:rFonts w:ascii="宋体" w:hAnsi="宋体"/>
          <w:color w:val="000000" w:themeColor="text1"/>
          <w:sz w:val="24"/>
          <w14:textFill>
            <w14:solidFill>
              <w14:schemeClr w14:val="tx1"/>
            </w14:solidFill>
          </w14:textFill>
        </w:rPr>
      </w:pPr>
    </w:p>
    <w:p w14:paraId="7598C10A">
      <w:pPr>
        <w:rPr>
          <w:rFonts w:ascii="宋体" w:hAnsi="宋体"/>
          <w:color w:val="000000" w:themeColor="text1"/>
          <w:sz w:val="24"/>
          <w14:textFill>
            <w14:solidFill>
              <w14:schemeClr w14:val="tx1"/>
            </w14:solidFill>
          </w14:textFill>
        </w:rPr>
      </w:pPr>
    </w:p>
    <w:p w14:paraId="5FA27F70">
      <w:pPr>
        <w:rPr>
          <w:rFonts w:ascii="宋体" w:hAnsi="宋体"/>
          <w:color w:val="000000" w:themeColor="text1"/>
          <w:sz w:val="24"/>
          <w14:textFill>
            <w14:solidFill>
              <w14:schemeClr w14:val="tx1"/>
            </w14:solidFill>
          </w14:textFill>
        </w:rPr>
      </w:pPr>
    </w:p>
    <w:p w14:paraId="213D7524">
      <w:pPr>
        <w:rPr>
          <w:rFonts w:ascii="宋体" w:hAnsi="宋体"/>
          <w:color w:val="000000" w:themeColor="text1"/>
          <w:sz w:val="24"/>
          <w14:textFill>
            <w14:solidFill>
              <w14:schemeClr w14:val="tx1"/>
            </w14:solidFill>
          </w14:textFill>
        </w:rPr>
      </w:pPr>
    </w:p>
    <w:p w14:paraId="49B6EE0E">
      <w:pPr>
        <w:rPr>
          <w:rFonts w:ascii="宋体" w:hAnsi="宋体"/>
          <w:color w:val="000000" w:themeColor="text1"/>
          <w:sz w:val="24"/>
          <w14:textFill>
            <w14:solidFill>
              <w14:schemeClr w14:val="tx1"/>
            </w14:solidFill>
          </w14:textFill>
        </w:rPr>
      </w:pPr>
    </w:p>
    <w:p w14:paraId="5534D8AD">
      <w:pPr>
        <w:rPr>
          <w:rFonts w:ascii="宋体" w:hAnsi="宋体"/>
          <w:color w:val="000000" w:themeColor="text1"/>
          <w:sz w:val="24"/>
          <w14:textFill>
            <w14:solidFill>
              <w14:schemeClr w14:val="tx1"/>
            </w14:solidFill>
          </w14:textFill>
        </w:rPr>
      </w:pPr>
    </w:p>
    <w:p w14:paraId="1194D897">
      <w:pPr>
        <w:rPr>
          <w:rFonts w:ascii="宋体" w:hAnsi="宋体"/>
          <w:color w:val="000000" w:themeColor="text1"/>
          <w:sz w:val="24"/>
          <w14:textFill>
            <w14:solidFill>
              <w14:schemeClr w14:val="tx1"/>
            </w14:solidFill>
          </w14:textFill>
        </w:rPr>
      </w:pPr>
    </w:p>
    <w:p w14:paraId="1C09CCC5">
      <w:pPr>
        <w:rPr>
          <w:rFonts w:ascii="宋体" w:hAnsi="宋体"/>
          <w:color w:val="000000" w:themeColor="text1"/>
          <w:sz w:val="24"/>
          <w14:textFill>
            <w14:solidFill>
              <w14:schemeClr w14:val="tx1"/>
            </w14:solidFill>
          </w14:textFill>
        </w:rPr>
      </w:pPr>
    </w:p>
    <w:p w14:paraId="00AC1212">
      <w:pPr>
        <w:rPr>
          <w:rFonts w:ascii="宋体" w:hAnsi="宋体"/>
          <w:color w:val="000000" w:themeColor="text1"/>
          <w:sz w:val="24"/>
          <w14:textFill>
            <w14:solidFill>
              <w14:schemeClr w14:val="tx1"/>
            </w14:solidFill>
          </w14:textFill>
        </w:rPr>
      </w:pPr>
    </w:p>
    <w:p w14:paraId="643F0177">
      <w:pPr>
        <w:rPr>
          <w:rFonts w:ascii="宋体" w:hAnsi="宋体"/>
          <w:color w:val="000000" w:themeColor="text1"/>
          <w:sz w:val="24"/>
          <w14:textFill>
            <w14:solidFill>
              <w14:schemeClr w14:val="tx1"/>
            </w14:solidFill>
          </w14:textFill>
        </w:rPr>
      </w:pPr>
    </w:p>
    <w:p w14:paraId="25C94148">
      <w:pPr>
        <w:pStyle w:val="518"/>
        <w:pageBreakBefore/>
        <w:jc w:val="center"/>
        <w:outlineLvl w:val="2"/>
        <w:rPr>
          <w:rFonts w:ascii="宋体" w:hAnsi="宋体"/>
          <w:color w:val="000000" w:themeColor="text1"/>
          <w:sz w:val="28"/>
          <w:szCs w:val="28"/>
          <w14:textFill>
            <w14:solidFill>
              <w14:schemeClr w14:val="tx1"/>
            </w14:solidFill>
          </w14:textFill>
        </w:rPr>
      </w:pPr>
      <w:bookmarkStart w:id="973" w:name="_Toc24799"/>
      <w:bookmarkStart w:id="974" w:name="_Toc201488182"/>
      <w:bookmarkStart w:id="975" w:name="_Toc202062913"/>
      <w:bookmarkStart w:id="976" w:name="_Toc201487560"/>
      <w:bookmarkStart w:id="977" w:name="_Toc469921642"/>
      <w:bookmarkStart w:id="978" w:name="_Toc414897853"/>
      <w:bookmarkStart w:id="979" w:name="_Toc414892004"/>
      <w:bookmarkStart w:id="980" w:name="_Toc53569431"/>
      <w:bookmarkStart w:id="981" w:name="_Toc399762145"/>
      <w:bookmarkStart w:id="982" w:name="_Toc54258253"/>
      <w:bookmarkStart w:id="983" w:name="_Toc10013"/>
      <w:bookmarkStart w:id="984" w:name="_Toc54097229"/>
      <w:bookmarkStart w:id="985" w:name="_Toc432066490"/>
      <w:r>
        <w:rPr>
          <w:rFonts w:hint="eastAsia" w:ascii="宋体" w:hAnsi="宋体"/>
          <w:color w:val="000000" w:themeColor="text1"/>
          <w:sz w:val="28"/>
          <w:szCs w:val="28"/>
          <w14:textFill>
            <w14:solidFill>
              <w14:schemeClr w14:val="tx1"/>
            </w14:solidFill>
          </w14:textFill>
        </w:rPr>
        <w:t>（三）</w:t>
      </w:r>
      <w:r>
        <w:rPr>
          <w:rFonts w:ascii="宋体" w:hAnsi="宋体"/>
          <w:color w:val="000000" w:themeColor="text1"/>
          <w:sz w:val="28"/>
          <w:szCs w:val="28"/>
          <w14:textFill>
            <w14:solidFill>
              <w14:schemeClr w14:val="tx1"/>
            </w14:solidFill>
          </w14:textFill>
        </w:rPr>
        <w:t>近年完成的类似项目情况表</w:t>
      </w:r>
      <w:bookmarkEnd w:id="973"/>
      <w:bookmarkEnd w:id="974"/>
      <w:bookmarkEnd w:id="975"/>
      <w:bookmarkEnd w:id="976"/>
      <w:bookmarkEnd w:id="977"/>
      <w:bookmarkEnd w:id="978"/>
      <w:bookmarkEnd w:id="979"/>
      <w:bookmarkEnd w:id="980"/>
      <w:bookmarkEnd w:id="981"/>
      <w:bookmarkEnd w:id="982"/>
      <w:bookmarkEnd w:id="983"/>
      <w:bookmarkEnd w:id="984"/>
      <w:bookmarkEnd w:id="985"/>
    </w:p>
    <w:p w14:paraId="356175DB">
      <w:pPr>
        <w:rPr>
          <w:rFonts w:ascii="宋体" w:hAnsi="宋体"/>
          <w:color w:val="000000" w:themeColor="text1"/>
          <w:sz w:val="24"/>
          <w14:textFill>
            <w14:solidFill>
              <w14:schemeClr w14:val="tx1"/>
            </w14:solidFill>
          </w14:textFill>
        </w:rPr>
      </w:pPr>
    </w:p>
    <w:tbl>
      <w:tblPr>
        <w:tblStyle w:val="88"/>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2635"/>
        <w:gridCol w:w="6254"/>
      </w:tblGrid>
      <w:tr w14:paraId="161A146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2F742BC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项目名称</w:t>
            </w:r>
          </w:p>
        </w:tc>
        <w:tc>
          <w:tcPr>
            <w:tcW w:w="6254" w:type="dxa"/>
            <w:vAlign w:val="center"/>
          </w:tcPr>
          <w:p w14:paraId="3684E32E">
            <w:pPr>
              <w:jc w:val="center"/>
              <w:rPr>
                <w:rFonts w:ascii="宋体" w:hAnsi="宋体"/>
                <w:color w:val="000000" w:themeColor="text1"/>
                <w:szCs w:val="21"/>
                <w14:textFill>
                  <w14:solidFill>
                    <w14:schemeClr w14:val="tx1"/>
                  </w14:solidFill>
                </w14:textFill>
              </w:rPr>
            </w:pPr>
          </w:p>
        </w:tc>
      </w:tr>
      <w:tr w14:paraId="71B5870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464F3BA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项目所在地</w:t>
            </w:r>
          </w:p>
        </w:tc>
        <w:tc>
          <w:tcPr>
            <w:tcW w:w="6254" w:type="dxa"/>
            <w:vAlign w:val="center"/>
          </w:tcPr>
          <w:p w14:paraId="0CEFCF02">
            <w:pPr>
              <w:jc w:val="center"/>
              <w:rPr>
                <w:rFonts w:ascii="宋体" w:hAnsi="宋体"/>
                <w:color w:val="000000" w:themeColor="text1"/>
                <w:szCs w:val="21"/>
                <w14:textFill>
                  <w14:solidFill>
                    <w14:schemeClr w14:val="tx1"/>
                  </w14:solidFill>
                </w14:textFill>
              </w:rPr>
            </w:pPr>
          </w:p>
        </w:tc>
      </w:tr>
      <w:tr w14:paraId="19BED0D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2C29458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发包人名称</w:t>
            </w:r>
          </w:p>
        </w:tc>
        <w:tc>
          <w:tcPr>
            <w:tcW w:w="6254" w:type="dxa"/>
            <w:vAlign w:val="center"/>
          </w:tcPr>
          <w:p w14:paraId="78288829">
            <w:pPr>
              <w:jc w:val="center"/>
              <w:rPr>
                <w:rFonts w:ascii="宋体" w:hAnsi="宋体"/>
                <w:color w:val="000000" w:themeColor="text1"/>
                <w:szCs w:val="21"/>
                <w14:textFill>
                  <w14:solidFill>
                    <w14:schemeClr w14:val="tx1"/>
                  </w14:solidFill>
                </w14:textFill>
              </w:rPr>
            </w:pPr>
          </w:p>
        </w:tc>
      </w:tr>
      <w:tr w14:paraId="2696AE9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7CC9645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发包人地址</w:t>
            </w:r>
          </w:p>
        </w:tc>
        <w:tc>
          <w:tcPr>
            <w:tcW w:w="6254" w:type="dxa"/>
            <w:vAlign w:val="center"/>
          </w:tcPr>
          <w:p w14:paraId="613F64DF">
            <w:pPr>
              <w:jc w:val="center"/>
              <w:rPr>
                <w:rFonts w:ascii="宋体" w:hAnsi="宋体"/>
                <w:color w:val="000000" w:themeColor="text1"/>
                <w:szCs w:val="21"/>
                <w14:textFill>
                  <w14:solidFill>
                    <w14:schemeClr w14:val="tx1"/>
                  </w14:solidFill>
                </w14:textFill>
              </w:rPr>
            </w:pPr>
          </w:p>
        </w:tc>
      </w:tr>
      <w:tr w14:paraId="115A29F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13B4595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发包人电话</w:t>
            </w:r>
          </w:p>
        </w:tc>
        <w:tc>
          <w:tcPr>
            <w:tcW w:w="6254" w:type="dxa"/>
            <w:vAlign w:val="center"/>
          </w:tcPr>
          <w:p w14:paraId="175372F9">
            <w:pPr>
              <w:jc w:val="center"/>
              <w:rPr>
                <w:rFonts w:ascii="宋体" w:hAnsi="宋体"/>
                <w:color w:val="000000" w:themeColor="text1"/>
                <w:szCs w:val="21"/>
                <w14:textFill>
                  <w14:solidFill>
                    <w14:schemeClr w14:val="tx1"/>
                  </w14:solidFill>
                </w14:textFill>
              </w:rPr>
            </w:pPr>
          </w:p>
        </w:tc>
      </w:tr>
      <w:tr w14:paraId="33BDFDC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140F6F4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合同价格</w:t>
            </w:r>
          </w:p>
        </w:tc>
        <w:tc>
          <w:tcPr>
            <w:tcW w:w="6254" w:type="dxa"/>
            <w:vAlign w:val="center"/>
          </w:tcPr>
          <w:p w14:paraId="598331E1">
            <w:pPr>
              <w:jc w:val="center"/>
              <w:rPr>
                <w:rFonts w:ascii="宋体" w:hAnsi="宋体"/>
                <w:color w:val="000000" w:themeColor="text1"/>
                <w:szCs w:val="21"/>
                <w14:textFill>
                  <w14:solidFill>
                    <w14:schemeClr w14:val="tx1"/>
                  </w14:solidFill>
                </w14:textFill>
              </w:rPr>
            </w:pPr>
          </w:p>
        </w:tc>
      </w:tr>
      <w:tr w14:paraId="087A9A8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7031861D">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合同签订日期</w:t>
            </w:r>
          </w:p>
        </w:tc>
        <w:tc>
          <w:tcPr>
            <w:tcW w:w="6254" w:type="dxa"/>
            <w:vAlign w:val="center"/>
          </w:tcPr>
          <w:p w14:paraId="65605B33">
            <w:pPr>
              <w:jc w:val="center"/>
              <w:rPr>
                <w:rFonts w:ascii="宋体" w:hAnsi="宋体"/>
                <w:color w:val="000000" w:themeColor="text1"/>
                <w:szCs w:val="21"/>
                <w14:textFill>
                  <w14:solidFill>
                    <w14:schemeClr w14:val="tx1"/>
                  </w14:solidFill>
                </w14:textFill>
              </w:rPr>
            </w:pPr>
          </w:p>
        </w:tc>
      </w:tr>
      <w:tr w14:paraId="79F1D45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27E6446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开工日期</w:t>
            </w:r>
          </w:p>
        </w:tc>
        <w:tc>
          <w:tcPr>
            <w:tcW w:w="6254" w:type="dxa"/>
            <w:vAlign w:val="center"/>
          </w:tcPr>
          <w:p w14:paraId="6F965187">
            <w:pPr>
              <w:jc w:val="center"/>
              <w:rPr>
                <w:rFonts w:ascii="宋体" w:hAnsi="宋体"/>
                <w:color w:val="000000" w:themeColor="text1"/>
                <w:szCs w:val="21"/>
                <w14:textFill>
                  <w14:solidFill>
                    <w14:schemeClr w14:val="tx1"/>
                  </w14:solidFill>
                </w14:textFill>
              </w:rPr>
            </w:pPr>
          </w:p>
        </w:tc>
      </w:tr>
      <w:tr w14:paraId="4502167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344BEEB9">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竣工日期</w:t>
            </w:r>
          </w:p>
        </w:tc>
        <w:tc>
          <w:tcPr>
            <w:tcW w:w="6254" w:type="dxa"/>
            <w:vAlign w:val="center"/>
          </w:tcPr>
          <w:p w14:paraId="45DBB7BC">
            <w:pPr>
              <w:jc w:val="center"/>
              <w:rPr>
                <w:rFonts w:ascii="宋体" w:hAnsi="宋体"/>
                <w:color w:val="000000" w:themeColor="text1"/>
                <w:szCs w:val="21"/>
                <w14:textFill>
                  <w14:solidFill>
                    <w14:schemeClr w14:val="tx1"/>
                  </w14:solidFill>
                </w14:textFill>
              </w:rPr>
            </w:pPr>
          </w:p>
        </w:tc>
      </w:tr>
      <w:tr w14:paraId="081B6A0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3E74BD55">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承担的工作</w:t>
            </w:r>
          </w:p>
        </w:tc>
        <w:tc>
          <w:tcPr>
            <w:tcW w:w="6254" w:type="dxa"/>
            <w:vAlign w:val="center"/>
          </w:tcPr>
          <w:p w14:paraId="17F62995">
            <w:pPr>
              <w:jc w:val="center"/>
              <w:rPr>
                <w:rFonts w:ascii="宋体" w:hAnsi="宋体"/>
                <w:color w:val="000000" w:themeColor="text1"/>
                <w:szCs w:val="21"/>
                <w14:textFill>
                  <w14:solidFill>
                    <w14:schemeClr w14:val="tx1"/>
                  </w14:solidFill>
                </w14:textFill>
              </w:rPr>
            </w:pPr>
          </w:p>
        </w:tc>
      </w:tr>
      <w:tr w14:paraId="46429B6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530DC05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工程质量</w:t>
            </w:r>
          </w:p>
        </w:tc>
        <w:tc>
          <w:tcPr>
            <w:tcW w:w="6254" w:type="dxa"/>
            <w:vAlign w:val="center"/>
          </w:tcPr>
          <w:p w14:paraId="16EEA20F">
            <w:pPr>
              <w:jc w:val="center"/>
              <w:rPr>
                <w:rFonts w:ascii="宋体" w:hAnsi="宋体"/>
                <w:color w:val="000000" w:themeColor="text1"/>
                <w:szCs w:val="21"/>
                <w14:textFill>
                  <w14:solidFill>
                    <w14:schemeClr w14:val="tx1"/>
                  </w14:solidFill>
                </w14:textFill>
              </w:rPr>
            </w:pPr>
          </w:p>
        </w:tc>
      </w:tr>
      <w:tr w14:paraId="3ACD040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0ADAF17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项目经理</w:t>
            </w:r>
          </w:p>
        </w:tc>
        <w:tc>
          <w:tcPr>
            <w:tcW w:w="6254" w:type="dxa"/>
            <w:vAlign w:val="center"/>
          </w:tcPr>
          <w:p w14:paraId="08FF12D4">
            <w:pPr>
              <w:jc w:val="center"/>
              <w:rPr>
                <w:rFonts w:ascii="宋体" w:hAnsi="宋体"/>
                <w:color w:val="000000" w:themeColor="text1"/>
                <w:szCs w:val="21"/>
                <w14:textFill>
                  <w14:solidFill>
                    <w14:schemeClr w14:val="tx1"/>
                  </w14:solidFill>
                </w14:textFill>
              </w:rPr>
            </w:pPr>
          </w:p>
        </w:tc>
      </w:tr>
      <w:tr w14:paraId="3668335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34007E9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技术负责人</w:t>
            </w:r>
          </w:p>
        </w:tc>
        <w:tc>
          <w:tcPr>
            <w:tcW w:w="6254" w:type="dxa"/>
            <w:vAlign w:val="center"/>
          </w:tcPr>
          <w:p w14:paraId="7790DD4B">
            <w:pPr>
              <w:jc w:val="center"/>
              <w:rPr>
                <w:rFonts w:ascii="宋体" w:hAnsi="宋体"/>
                <w:color w:val="000000" w:themeColor="text1"/>
                <w:szCs w:val="21"/>
                <w14:textFill>
                  <w14:solidFill>
                    <w14:schemeClr w14:val="tx1"/>
                  </w14:solidFill>
                </w14:textFill>
              </w:rPr>
            </w:pPr>
          </w:p>
        </w:tc>
      </w:tr>
      <w:tr w14:paraId="788993E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06AE668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总监理工程师及电话</w:t>
            </w:r>
          </w:p>
        </w:tc>
        <w:tc>
          <w:tcPr>
            <w:tcW w:w="6254" w:type="dxa"/>
            <w:vAlign w:val="center"/>
          </w:tcPr>
          <w:p w14:paraId="3F1FBA4A">
            <w:pPr>
              <w:jc w:val="center"/>
              <w:rPr>
                <w:rFonts w:ascii="宋体" w:hAnsi="宋体"/>
                <w:color w:val="000000" w:themeColor="text1"/>
                <w:szCs w:val="21"/>
                <w14:textFill>
                  <w14:solidFill>
                    <w14:schemeClr w14:val="tx1"/>
                  </w14:solidFill>
                </w14:textFill>
              </w:rPr>
            </w:pPr>
          </w:p>
        </w:tc>
      </w:tr>
      <w:tr w14:paraId="131525E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1479" w:hRule="exact"/>
          <w:jc w:val="center"/>
        </w:trPr>
        <w:tc>
          <w:tcPr>
            <w:tcW w:w="2635" w:type="dxa"/>
            <w:vAlign w:val="center"/>
          </w:tcPr>
          <w:p w14:paraId="4642D3B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项目描述</w:t>
            </w:r>
          </w:p>
        </w:tc>
        <w:tc>
          <w:tcPr>
            <w:tcW w:w="6254" w:type="dxa"/>
            <w:vAlign w:val="center"/>
          </w:tcPr>
          <w:p w14:paraId="53F7BB9B">
            <w:pPr>
              <w:jc w:val="center"/>
              <w:rPr>
                <w:rFonts w:ascii="宋体" w:hAnsi="宋体"/>
                <w:color w:val="000000" w:themeColor="text1"/>
                <w:szCs w:val="21"/>
                <w14:textFill>
                  <w14:solidFill>
                    <w14:schemeClr w14:val="tx1"/>
                  </w14:solidFill>
                </w14:textFill>
              </w:rPr>
            </w:pPr>
          </w:p>
        </w:tc>
      </w:tr>
      <w:tr w14:paraId="65778C8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4" w:hRule="exact"/>
          <w:jc w:val="center"/>
        </w:trPr>
        <w:tc>
          <w:tcPr>
            <w:tcW w:w="2635" w:type="dxa"/>
            <w:vAlign w:val="center"/>
          </w:tcPr>
          <w:p w14:paraId="6FD5F27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c>
          <w:tcPr>
            <w:tcW w:w="6254" w:type="dxa"/>
            <w:vAlign w:val="center"/>
          </w:tcPr>
          <w:p w14:paraId="6DD80A73">
            <w:pPr>
              <w:jc w:val="center"/>
              <w:rPr>
                <w:rFonts w:ascii="宋体" w:hAnsi="宋体"/>
                <w:color w:val="000000" w:themeColor="text1"/>
                <w:szCs w:val="21"/>
                <w14:textFill>
                  <w14:solidFill>
                    <w14:schemeClr w14:val="tx1"/>
                  </w14:solidFill>
                </w14:textFill>
              </w:rPr>
            </w:pPr>
          </w:p>
        </w:tc>
      </w:tr>
    </w:tbl>
    <w:p w14:paraId="6B1471C1">
      <w:pPr>
        <w:spacing w:line="440" w:lineRule="exact"/>
        <w:ind w:left="630" w:leftChars="300"/>
        <w:rPr>
          <w:rFonts w:ascii="宋体" w:hAnsi="宋体"/>
          <w:color w:val="000000" w:themeColor="text1"/>
          <w:szCs w:val="21"/>
          <w14:textFill>
            <w14:solidFill>
              <w14:schemeClr w14:val="tx1"/>
            </w14:solidFill>
          </w14:textFill>
        </w:rPr>
      </w:pPr>
      <w:bookmarkStart w:id="986" w:name="_Toc202062914"/>
      <w:bookmarkStart w:id="987" w:name="_Toc399762146"/>
      <w:bookmarkStart w:id="988" w:name="_Toc201487561"/>
      <w:bookmarkStart w:id="989" w:name="_Toc414897854"/>
      <w:bookmarkStart w:id="990" w:name="_Toc201488183"/>
      <w:bookmarkStart w:id="991" w:name="_Toc414892005"/>
      <w:bookmarkStart w:id="992" w:name="_Toc432066491"/>
      <w:r>
        <w:rPr>
          <w:rFonts w:hint="eastAsia" w:ascii="宋体" w:hAnsi="宋体"/>
          <w:color w:val="000000" w:themeColor="text1"/>
          <w:szCs w:val="21"/>
          <w14:textFill>
            <w14:solidFill>
              <w14:schemeClr w14:val="tx1"/>
            </w14:solidFill>
          </w14:textFill>
        </w:rPr>
        <w:t>备注：本表后附</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通知书和（或）合同协议书复印件</w:t>
      </w:r>
      <w:r>
        <w:rPr>
          <w:rFonts w:hint="eastAsia"/>
        </w:rPr>
        <w:t>，</w:t>
      </w:r>
      <w:r>
        <w:rPr>
          <w:rFonts w:hint="eastAsia" w:ascii="宋体" w:hAnsi="宋体"/>
          <w:color w:val="000000" w:themeColor="text1"/>
          <w:szCs w:val="21"/>
          <w14:textFill>
            <w14:solidFill>
              <w14:schemeClr w14:val="tx1"/>
            </w14:solidFill>
          </w14:textFill>
        </w:rPr>
        <w:t>具体年份要求见</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须知前附表。每张表格只填写一个项目，并标明序号。</w:t>
      </w:r>
    </w:p>
    <w:p w14:paraId="28D0CCE8">
      <w:pPr>
        <w:pStyle w:val="518"/>
        <w:pageBreakBefore/>
        <w:jc w:val="center"/>
        <w:outlineLvl w:val="2"/>
        <w:rPr>
          <w:rFonts w:ascii="宋体" w:hAnsi="宋体"/>
          <w:color w:val="000000" w:themeColor="text1"/>
          <w:sz w:val="28"/>
          <w:szCs w:val="28"/>
          <w14:textFill>
            <w14:solidFill>
              <w14:schemeClr w14:val="tx1"/>
            </w14:solidFill>
          </w14:textFill>
        </w:rPr>
      </w:pPr>
      <w:bookmarkStart w:id="993" w:name="_Toc53569432"/>
      <w:bookmarkStart w:id="994" w:name="_Toc54258254"/>
      <w:bookmarkStart w:id="995" w:name="_Toc7709"/>
      <w:bookmarkStart w:id="996" w:name="_Toc11770"/>
      <w:bookmarkStart w:id="997" w:name="_Toc54097230"/>
      <w:bookmarkStart w:id="998" w:name="_Toc469921643"/>
      <w:r>
        <w:rPr>
          <w:rFonts w:hint="eastAsia" w:ascii="宋体" w:hAnsi="宋体"/>
          <w:color w:val="000000" w:themeColor="text1"/>
          <w:sz w:val="28"/>
          <w:szCs w:val="28"/>
          <w14:textFill>
            <w14:solidFill>
              <w14:schemeClr w14:val="tx1"/>
            </w14:solidFill>
          </w14:textFill>
        </w:rPr>
        <w:t>（四）</w:t>
      </w:r>
      <w:r>
        <w:rPr>
          <w:rFonts w:ascii="宋体" w:hAnsi="宋体"/>
          <w:color w:val="000000" w:themeColor="text1"/>
          <w:sz w:val="28"/>
          <w:szCs w:val="28"/>
          <w14:textFill>
            <w14:solidFill>
              <w14:schemeClr w14:val="tx1"/>
            </w14:solidFill>
          </w14:textFill>
        </w:rPr>
        <w:t>正在施工的和新承接的项目情况表</w:t>
      </w:r>
      <w:bookmarkEnd w:id="986"/>
      <w:bookmarkEnd w:id="987"/>
      <w:bookmarkEnd w:id="988"/>
      <w:bookmarkEnd w:id="989"/>
      <w:bookmarkEnd w:id="990"/>
      <w:bookmarkEnd w:id="991"/>
      <w:bookmarkEnd w:id="992"/>
      <w:bookmarkEnd w:id="993"/>
      <w:bookmarkEnd w:id="994"/>
      <w:bookmarkEnd w:id="995"/>
      <w:bookmarkEnd w:id="996"/>
      <w:bookmarkEnd w:id="997"/>
      <w:bookmarkEnd w:id="998"/>
    </w:p>
    <w:p w14:paraId="5E1BA03F">
      <w:pPr>
        <w:rPr>
          <w:rFonts w:ascii="宋体" w:hAnsi="宋体"/>
          <w:color w:val="000000" w:themeColor="text1"/>
          <w14:textFill>
            <w14:solidFill>
              <w14:schemeClr w14:val="tx1"/>
            </w14:solidFill>
          </w14:textFill>
        </w:rPr>
      </w:pPr>
    </w:p>
    <w:tbl>
      <w:tblPr>
        <w:tblStyle w:val="88"/>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3119"/>
        <w:gridCol w:w="5628"/>
      </w:tblGrid>
      <w:tr w14:paraId="1C00215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79" w:hRule="exact"/>
          <w:jc w:val="center"/>
        </w:trPr>
        <w:tc>
          <w:tcPr>
            <w:tcW w:w="3119" w:type="dxa"/>
            <w:vAlign w:val="center"/>
          </w:tcPr>
          <w:p w14:paraId="6142B7A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项目名称</w:t>
            </w:r>
          </w:p>
        </w:tc>
        <w:tc>
          <w:tcPr>
            <w:tcW w:w="5628" w:type="dxa"/>
            <w:vAlign w:val="center"/>
          </w:tcPr>
          <w:p w14:paraId="27B5A6F7">
            <w:pPr>
              <w:jc w:val="center"/>
              <w:rPr>
                <w:rFonts w:ascii="宋体" w:hAnsi="宋体"/>
                <w:color w:val="000000" w:themeColor="text1"/>
                <w:szCs w:val="21"/>
                <w14:textFill>
                  <w14:solidFill>
                    <w14:schemeClr w14:val="tx1"/>
                  </w14:solidFill>
                </w14:textFill>
              </w:rPr>
            </w:pPr>
          </w:p>
        </w:tc>
      </w:tr>
      <w:tr w14:paraId="4836ACE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7" w:hRule="exact"/>
          <w:jc w:val="center"/>
        </w:trPr>
        <w:tc>
          <w:tcPr>
            <w:tcW w:w="3119" w:type="dxa"/>
            <w:vAlign w:val="center"/>
          </w:tcPr>
          <w:p w14:paraId="228AFF0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项目所在地</w:t>
            </w:r>
          </w:p>
        </w:tc>
        <w:tc>
          <w:tcPr>
            <w:tcW w:w="5628" w:type="dxa"/>
            <w:vAlign w:val="center"/>
          </w:tcPr>
          <w:p w14:paraId="14CBBBDE">
            <w:pPr>
              <w:jc w:val="center"/>
              <w:rPr>
                <w:rFonts w:ascii="宋体" w:hAnsi="宋体"/>
                <w:color w:val="000000" w:themeColor="text1"/>
                <w:szCs w:val="21"/>
                <w14:textFill>
                  <w14:solidFill>
                    <w14:schemeClr w14:val="tx1"/>
                  </w14:solidFill>
                </w14:textFill>
              </w:rPr>
            </w:pPr>
          </w:p>
        </w:tc>
      </w:tr>
      <w:tr w14:paraId="0380D39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4" w:hRule="exact"/>
          <w:jc w:val="center"/>
        </w:trPr>
        <w:tc>
          <w:tcPr>
            <w:tcW w:w="3119" w:type="dxa"/>
            <w:vAlign w:val="center"/>
          </w:tcPr>
          <w:p w14:paraId="0F4E816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发包人名称</w:t>
            </w:r>
          </w:p>
        </w:tc>
        <w:tc>
          <w:tcPr>
            <w:tcW w:w="5628" w:type="dxa"/>
            <w:vAlign w:val="center"/>
          </w:tcPr>
          <w:p w14:paraId="2E2AF775">
            <w:pPr>
              <w:jc w:val="center"/>
              <w:rPr>
                <w:rFonts w:ascii="宋体" w:hAnsi="宋体"/>
                <w:color w:val="000000" w:themeColor="text1"/>
                <w:szCs w:val="21"/>
                <w14:textFill>
                  <w14:solidFill>
                    <w14:schemeClr w14:val="tx1"/>
                  </w14:solidFill>
                </w14:textFill>
              </w:rPr>
            </w:pPr>
          </w:p>
        </w:tc>
      </w:tr>
      <w:tr w14:paraId="5265DAF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8" w:hRule="exact"/>
          <w:jc w:val="center"/>
        </w:trPr>
        <w:tc>
          <w:tcPr>
            <w:tcW w:w="3119" w:type="dxa"/>
            <w:vAlign w:val="center"/>
          </w:tcPr>
          <w:p w14:paraId="15DD403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发包人地址</w:t>
            </w:r>
          </w:p>
        </w:tc>
        <w:tc>
          <w:tcPr>
            <w:tcW w:w="5628" w:type="dxa"/>
            <w:vAlign w:val="center"/>
          </w:tcPr>
          <w:p w14:paraId="4159EBBD">
            <w:pPr>
              <w:jc w:val="center"/>
              <w:rPr>
                <w:rFonts w:ascii="宋体" w:hAnsi="宋体"/>
                <w:color w:val="000000" w:themeColor="text1"/>
                <w:szCs w:val="21"/>
                <w14:textFill>
                  <w14:solidFill>
                    <w14:schemeClr w14:val="tx1"/>
                  </w14:solidFill>
                </w14:textFill>
              </w:rPr>
            </w:pPr>
          </w:p>
        </w:tc>
      </w:tr>
      <w:tr w14:paraId="6E2421C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5" w:hRule="exact"/>
          <w:jc w:val="center"/>
        </w:trPr>
        <w:tc>
          <w:tcPr>
            <w:tcW w:w="3119" w:type="dxa"/>
            <w:vAlign w:val="center"/>
          </w:tcPr>
          <w:p w14:paraId="7F0ACAD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发包人电话</w:t>
            </w:r>
          </w:p>
        </w:tc>
        <w:tc>
          <w:tcPr>
            <w:tcW w:w="5628" w:type="dxa"/>
            <w:vAlign w:val="center"/>
          </w:tcPr>
          <w:p w14:paraId="0D05E793">
            <w:pPr>
              <w:jc w:val="center"/>
              <w:rPr>
                <w:rFonts w:ascii="宋体" w:hAnsi="宋体"/>
                <w:color w:val="000000" w:themeColor="text1"/>
                <w:szCs w:val="21"/>
                <w14:textFill>
                  <w14:solidFill>
                    <w14:schemeClr w14:val="tx1"/>
                  </w14:solidFill>
                </w14:textFill>
              </w:rPr>
            </w:pPr>
          </w:p>
        </w:tc>
      </w:tr>
      <w:tr w14:paraId="285FEFBA">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0" w:hRule="exact"/>
          <w:jc w:val="center"/>
        </w:trPr>
        <w:tc>
          <w:tcPr>
            <w:tcW w:w="3119" w:type="dxa"/>
            <w:vAlign w:val="center"/>
          </w:tcPr>
          <w:p w14:paraId="5F26DED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签约合同价</w:t>
            </w:r>
          </w:p>
        </w:tc>
        <w:tc>
          <w:tcPr>
            <w:tcW w:w="5628" w:type="dxa"/>
            <w:vAlign w:val="center"/>
          </w:tcPr>
          <w:p w14:paraId="5FCF7E09">
            <w:pPr>
              <w:jc w:val="center"/>
              <w:rPr>
                <w:rFonts w:ascii="宋体" w:hAnsi="宋体"/>
                <w:color w:val="000000" w:themeColor="text1"/>
                <w:szCs w:val="21"/>
                <w14:textFill>
                  <w14:solidFill>
                    <w14:schemeClr w14:val="tx1"/>
                  </w14:solidFill>
                </w14:textFill>
              </w:rPr>
            </w:pPr>
          </w:p>
        </w:tc>
      </w:tr>
      <w:tr w14:paraId="7B56570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4" w:hRule="exact"/>
          <w:jc w:val="center"/>
        </w:trPr>
        <w:tc>
          <w:tcPr>
            <w:tcW w:w="3119" w:type="dxa"/>
            <w:vAlign w:val="center"/>
          </w:tcPr>
          <w:p w14:paraId="74CFDE6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开工日期</w:t>
            </w:r>
          </w:p>
        </w:tc>
        <w:tc>
          <w:tcPr>
            <w:tcW w:w="5628" w:type="dxa"/>
            <w:vAlign w:val="center"/>
          </w:tcPr>
          <w:p w14:paraId="3BFFD813">
            <w:pPr>
              <w:jc w:val="center"/>
              <w:rPr>
                <w:rFonts w:ascii="宋体" w:hAnsi="宋体"/>
                <w:color w:val="000000" w:themeColor="text1"/>
                <w:szCs w:val="21"/>
                <w14:textFill>
                  <w14:solidFill>
                    <w14:schemeClr w14:val="tx1"/>
                  </w14:solidFill>
                </w14:textFill>
              </w:rPr>
            </w:pPr>
          </w:p>
        </w:tc>
      </w:tr>
      <w:tr w14:paraId="08C72E1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7" w:hRule="exact"/>
          <w:jc w:val="center"/>
        </w:trPr>
        <w:tc>
          <w:tcPr>
            <w:tcW w:w="3119" w:type="dxa"/>
            <w:vAlign w:val="center"/>
          </w:tcPr>
          <w:p w14:paraId="1329477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计划竣工日期</w:t>
            </w:r>
          </w:p>
        </w:tc>
        <w:tc>
          <w:tcPr>
            <w:tcW w:w="5628" w:type="dxa"/>
            <w:vAlign w:val="center"/>
          </w:tcPr>
          <w:p w14:paraId="44632D8C">
            <w:pPr>
              <w:jc w:val="center"/>
              <w:rPr>
                <w:rFonts w:ascii="宋体" w:hAnsi="宋体"/>
                <w:color w:val="000000" w:themeColor="text1"/>
                <w:szCs w:val="21"/>
                <w14:textFill>
                  <w14:solidFill>
                    <w14:schemeClr w14:val="tx1"/>
                  </w14:solidFill>
                </w14:textFill>
              </w:rPr>
            </w:pPr>
          </w:p>
        </w:tc>
      </w:tr>
      <w:tr w14:paraId="3722894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7" w:hRule="exact"/>
          <w:jc w:val="center"/>
        </w:trPr>
        <w:tc>
          <w:tcPr>
            <w:tcW w:w="3119" w:type="dxa"/>
            <w:vAlign w:val="center"/>
          </w:tcPr>
          <w:p w14:paraId="7922CF45">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承担的工作</w:t>
            </w:r>
          </w:p>
        </w:tc>
        <w:tc>
          <w:tcPr>
            <w:tcW w:w="5628" w:type="dxa"/>
            <w:vAlign w:val="center"/>
          </w:tcPr>
          <w:p w14:paraId="703E2E0B">
            <w:pPr>
              <w:jc w:val="center"/>
              <w:rPr>
                <w:rFonts w:ascii="宋体" w:hAnsi="宋体"/>
                <w:color w:val="000000" w:themeColor="text1"/>
                <w:szCs w:val="21"/>
                <w14:textFill>
                  <w14:solidFill>
                    <w14:schemeClr w14:val="tx1"/>
                  </w14:solidFill>
                </w14:textFill>
              </w:rPr>
            </w:pPr>
          </w:p>
        </w:tc>
      </w:tr>
      <w:tr w14:paraId="2C6F975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5" w:hRule="exact"/>
          <w:jc w:val="center"/>
        </w:trPr>
        <w:tc>
          <w:tcPr>
            <w:tcW w:w="3119" w:type="dxa"/>
            <w:vAlign w:val="center"/>
          </w:tcPr>
          <w:p w14:paraId="29BB91B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工程质量</w:t>
            </w:r>
          </w:p>
        </w:tc>
        <w:tc>
          <w:tcPr>
            <w:tcW w:w="5628" w:type="dxa"/>
            <w:vAlign w:val="center"/>
          </w:tcPr>
          <w:p w14:paraId="7250EF46">
            <w:pPr>
              <w:jc w:val="center"/>
              <w:rPr>
                <w:rFonts w:ascii="宋体" w:hAnsi="宋体"/>
                <w:color w:val="000000" w:themeColor="text1"/>
                <w:szCs w:val="21"/>
                <w14:textFill>
                  <w14:solidFill>
                    <w14:schemeClr w14:val="tx1"/>
                  </w14:solidFill>
                </w14:textFill>
              </w:rPr>
            </w:pPr>
          </w:p>
        </w:tc>
      </w:tr>
      <w:tr w14:paraId="192E1EC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8" w:hRule="exact"/>
          <w:jc w:val="center"/>
        </w:trPr>
        <w:tc>
          <w:tcPr>
            <w:tcW w:w="3119" w:type="dxa"/>
            <w:vAlign w:val="center"/>
          </w:tcPr>
          <w:p w14:paraId="7B95AB6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项目经理</w:t>
            </w:r>
          </w:p>
        </w:tc>
        <w:tc>
          <w:tcPr>
            <w:tcW w:w="5628" w:type="dxa"/>
            <w:vAlign w:val="center"/>
          </w:tcPr>
          <w:p w14:paraId="2ACF5A56">
            <w:pPr>
              <w:jc w:val="center"/>
              <w:rPr>
                <w:rFonts w:ascii="宋体" w:hAnsi="宋体"/>
                <w:color w:val="000000" w:themeColor="text1"/>
                <w:szCs w:val="21"/>
                <w14:textFill>
                  <w14:solidFill>
                    <w14:schemeClr w14:val="tx1"/>
                  </w14:solidFill>
                </w14:textFill>
              </w:rPr>
            </w:pPr>
          </w:p>
        </w:tc>
      </w:tr>
      <w:tr w14:paraId="6B163FB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8" w:hRule="exact"/>
          <w:jc w:val="center"/>
        </w:trPr>
        <w:tc>
          <w:tcPr>
            <w:tcW w:w="3119" w:type="dxa"/>
            <w:vAlign w:val="center"/>
          </w:tcPr>
          <w:p w14:paraId="0F36342F">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技术负责人</w:t>
            </w:r>
          </w:p>
        </w:tc>
        <w:tc>
          <w:tcPr>
            <w:tcW w:w="5628" w:type="dxa"/>
            <w:vAlign w:val="center"/>
          </w:tcPr>
          <w:p w14:paraId="2A731A02">
            <w:pPr>
              <w:jc w:val="center"/>
              <w:rPr>
                <w:rFonts w:ascii="宋体" w:hAnsi="宋体"/>
                <w:color w:val="000000" w:themeColor="text1"/>
                <w:szCs w:val="21"/>
                <w14:textFill>
                  <w14:solidFill>
                    <w14:schemeClr w14:val="tx1"/>
                  </w14:solidFill>
                </w14:textFill>
              </w:rPr>
            </w:pPr>
          </w:p>
        </w:tc>
      </w:tr>
      <w:tr w14:paraId="7BCB389E">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24" w:hRule="exact"/>
          <w:jc w:val="center"/>
        </w:trPr>
        <w:tc>
          <w:tcPr>
            <w:tcW w:w="3119" w:type="dxa"/>
            <w:vAlign w:val="center"/>
          </w:tcPr>
          <w:p w14:paraId="1E7657E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总监理工程师及电话</w:t>
            </w:r>
          </w:p>
        </w:tc>
        <w:tc>
          <w:tcPr>
            <w:tcW w:w="5628" w:type="dxa"/>
            <w:vAlign w:val="center"/>
          </w:tcPr>
          <w:p w14:paraId="3AE9979C">
            <w:pPr>
              <w:jc w:val="center"/>
              <w:rPr>
                <w:rFonts w:ascii="宋体" w:hAnsi="宋体"/>
                <w:color w:val="000000" w:themeColor="text1"/>
                <w:szCs w:val="21"/>
                <w14:textFill>
                  <w14:solidFill>
                    <w14:schemeClr w14:val="tx1"/>
                  </w14:solidFill>
                </w14:textFill>
              </w:rPr>
            </w:pPr>
          </w:p>
        </w:tc>
      </w:tr>
      <w:tr w14:paraId="08FCBBFA">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2317" w:hRule="exact"/>
          <w:jc w:val="center"/>
        </w:trPr>
        <w:tc>
          <w:tcPr>
            <w:tcW w:w="3119" w:type="dxa"/>
            <w:vAlign w:val="center"/>
          </w:tcPr>
          <w:p w14:paraId="6988B0B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项目描述</w:t>
            </w:r>
          </w:p>
        </w:tc>
        <w:tc>
          <w:tcPr>
            <w:tcW w:w="5628" w:type="dxa"/>
            <w:vAlign w:val="center"/>
          </w:tcPr>
          <w:p w14:paraId="35FAAB87">
            <w:pPr>
              <w:jc w:val="center"/>
              <w:rPr>
                <w:rFonts w:ascii="宋体" w:hAnsi="宋体"/>
                <w:color w:val="000000" w:themeColor="text1"/>
                <w:szCs w:val="21"/>
                <w14:textFill>
                  <w14:solidFill>
                    <w14:schemeClr w14:val="tx1"/>
                  </w14:solidFill>
                </w14:textFill>
              </w:rPr>
            </w:pPr>
          </w:p>
        </w:tc>
      </w:tr>
      <w:tr w14:paraId="7554080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1626" w:hRule="exact"/>
          <w:jc w:val="center"/>
        </w:trPr>
        <w:tc>
          <w:tcPr>
            <w:tcW w:w="3119" w:type="dxa"/>
            <w:vAlign w:val="center"/>
          </w:tcPr>
          <w:p w14:paraId="6B137FB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c>
          <w:tcPr>
            <w:tcW w:w="5628" w:type="dxa"/>
            <w:vAlign w:val="center"/>
          </w:tcPr>
          <w:p w14:paraId="4BC04B12">
            <w:pPr>
              <w:jc w:val="center"/>
              <w:rPr>
                <w:rFonts w:ascii="宋体" w:hAnsi="宋体"/>
                <w:color w:val="000000" w:themeColor="text1"/>
                <w:szCs w:val="21"/>
                <w14:textFill>
                  <w14:solidFill>
                    <w14:schemeClr w14:val="tx1"/>
                  </w14:solidFill>
                </w14:textFill>
              </w:rPr>
            </w:pPr>
          </w:p>
        </w:tc>
      </w:tr>
    </w:tbl>
    <w:p w14:paraId="3C541688">
      <w:pPr>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备注：本表后附</w:t>
      </w:r>
      <w:r>
        <w:rPr>
          <w:rFonts w:hint="eastAsia" w:ascii="宋体" w:hAnsi="宋体"/>
          <w:color w:val="000000" w:themeColor="text1"/>
          <w:lang w:eastAsia="zh-CN"/>
          <w14:textFill>
            <w14:solidFill>
              <w14:schemeClr w14:val="tx1"/>
            </w14:solidFill>
          </w14:textFill>
        </w:rPr>
        <w:t>成交</w:t>
      </w:r>
      <w:r>
        <w:rPr>
          <w:rFonts w:hint="eastAsia" w:ascii="宋体" w:hAnsi="宋体"/>
          <w:color w:val="000000" w:themeColor="text1"/>
          <w14:textFill>
            <w14:solidFill>
              <w14:schemeClr w14:val="tx1"/>
            </w14:solidFill>
          </w14:textFill>
        </w:rPr>
        <w:t>通知书和（或）合同协议书复印件。每张表格只填写一个项目，并标明序号。</w:t>
      </w:r>
    </w:p>
    <w:p w14:paraId="2FA5327E">
      <w:pPr>
        <w:widowControl/>
        <w:jc w:val="left"/>
        <w:rPr>
          <w:rFonts w:ascii="宋体" w:hAnsi="宋体"/>
          <w:b/>
          <w:bCs/>
          <w:color w:val="000000" w:themeColor="text1"/>
          <w:szCs w:val="21"/>
          <w14:textFill>
            <w14:solidFill>
              <w14:schemeClr w14:val="tx1"/>
            </w14:solidFill>
          </w14:textFill>
        </w:rPr>
      </w:pPr>
      <w:bookmarkStart w:id="999" w:name="_Toc201487562"/>
      <w:bookmarkStart w:id="1000" w:name="_Toc201488184"/>
      <w:bookmarkStart w:id="1001" w:name="_Toc399762147"/>
      <w:bookmarkStart w:id="1002" w:name="_Toc414892006"/>
      <w:bookmarkStart w:id="1003" w:name="_Toc202062915"/>
      <w:bookmarkStart w:id="1004" w:name="_Toc414897855"/>
    </w:p>
    <w:p w14:paraId="0B4792A0">
      <w:pPr>
        <w:pStyle w:val="518"/>
        <w:pageBreakBefore/>
        <w:jc w:val="center"/>
        <w:outlineLvl w:val="2"/>
        <w:rPr>
          <w:rFonts w:ascii="宋体" w:hAnsi="宋体"/>
          <w:color w:val="000000" w:themeColor="text1"/>
          <w:sz w:val="28"/>
          <w:szCs w:val="28"/>
          <w14:textFill>
            <w14:solidFill>
              <w14:schemeClr w14:val="tx1"/>
            </w14:solidFill>
          </w14:textFill>
        </w:rPr>
      </w:pPr>
      <w:bookmarkStart w:id="1005" w:name="_Toc432066492"/>
      <w:bookmarkStart w:id="1006" w:name="_Toc19473"/>
      <w:bookmarkStart w:id="1007" w:name="_Toc2964"/>
      <w:bookmarkStart w:id="1008" w:name="_Toc54258255"/>
      <w:bookmarkStart w:id="1009" w:name="_Toc54097231"/>
      <w:bookmarkStart w:id="1010" w:name="_Toc53569433"/>
      <w:bookmarkStart w:id="1011" w:name="_Toc469921644"/>
      <w:r>
        <w:rPr>
          <w:rFonts w:hint="eastAsia" w:ascii="宋体" w:hAnsi="宋体"/>
          <w:color w:val="000000" w:themeColor="text1"/>
          <w:sz w:val="28"/>
          <w:szCs w:val="28"/>
          <w14:textFill>
            <w14:solidFill>
              <w14:schemeClr w14:val="tx1"/>
            </w14:solidFill>
          </w14:textFill>
        </w:rPr>
        <w:t>（五）</w:t>
      </w:r>
      <w:r>
        <w:rPr>
          <w:rFonts w:ascii="宋体" w:hAnsi="宋体"/>
          <w:color w:val="000000" w:themeColor="text1"/>
          <w:sz w:val="28"/>
          <w:szCs w:val="28"/>
          <w14:textFill>
            <w14:solidFill>
              <w14:schemeClr w14:val="tx1"/>
            </w14:solidFill>
          </w14:textFill>
        </w:rPr>
        <w:t>近年发生的诉讼及仲裁情况</w:t>
      </w:r>
      <w:bookmarkEnd w:id="999"/>
      <w:bookmarkEnd w:id="1000"/>
      <w:bookmarkEnd w:id="1001"/>
      <w:bookmarkEnd w:id="1002"/>
      <w:bookmarkEnd w:id="1003"/>
      <w:bookmarkEnd w:id="1004"/>
      <w:bookmarkEnd w:id="1005"/>
      <w:bookmarkEnd w:id="1006"/>
      <w:bookmarkEnd w:id="1007"/>
      <w:bookmarkEnd w:id="1008"/>
      <w:bookmarkEnd w:id="1009"/>
      <w:bookmarkEnd w:id="1010"/>
      <w:bookmarkEnd w:id="1011"/>
    </w:p>
    <w:p w14:paraId="1F83507E">
      <w:pPr>
        <w:rPr>
          <w:rFonts w:ascii="宋体" w:hAnsi="宋体"/>
          <w:color w:val="000000" w:themeColor="text1"/>
          <w:sz w:val="24"/>
          <w14:textFill>
            <w14:solidFill>
              <w14:schemeClr w14:val="tx1"/>
            </w14:solidFill>
          </w14:textFill>
        </w:rPr>
      </w:pPr>
    </w:p>
    <w:p w14:paraId="3745ACAF">
      <w:pPr>
        <w:spacing w:line="440" w:lineRule="exact"/>
        <w:ind w:left="630" w:hanging="630" w:hangingChars="3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说明：近年发生的诉讼和仲裁情况仅限于</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败诉的，且与履行施工承包合同有关的案件，不包括调解结案以及未裁决的仲裁或未终审判决的诉讼。</w:t>
      </w:r>
    </w:p>
    <w:p w14:paraId="6614514E">
      <w:pPr>
        <w:rPr>
          <w:rFonts w:ascii="宋体" w:hAnsi="宋体"/>
          <w:color w:val="000000" w:themeColor="text1"/>
          <w:sz w:val="24"/>
          <w14:textFill>
            <w14:solidFill>
              <w14:schemeClr w14:val="tx1"/>
            </w14:solidFill>
          </w14:textFill>
        </w:rPr>
      </w:pPr>
    </w:p>
    <w:p w14:paraId="42688B8A">
      <w:pPr>
        <w:rPr>
          <w:rFonts w:ascii="宋体" w:hAnsi="宋体"/>
          <w:color w:val="000000" w:themeColor="text1"/>
          <w:sz w:val="24"/>
          <w14:textFill>
            <w14:solidFill>
              <w14:schemeClr w14:val="tx1"/>
            </w14:solidFill>
          </w14:textFill>
        </w:rPr>
      </w:pPr>
    </w:p>
    <w:p w14:paraId="68988455">
      <w:pPr>
        <w:rPr>
          <w:rFonts w:ascii="宋体" w:hAnsi="宋体"/>
          <w:color w:val="000000" w:themeColor="text1"/>
          <w:sz w:val="24"/>
          <w14:textFill>
            <w14:solidFill>
              <w14:schemeClr w14:val="tx1"/>
            </w14:solidFill>
          </w14:textFill>
        </w:rPr>
      </w:pPr>
    </w:p>
    <w:p w14:paraId="4616CBB0">
      <w:pPr>
        <w:rPr>
          <w:rFonts w:ascii="宋体" w:hAnsi="宋体"/>
          <w:color w:val="000000" w:themeColor="text1"/>
          <w:sz w:val="24"/>
          <w14:textFill>
            <w14:solidFill>
              <w14:schemeClr w14:val="tx1"/>
            </w14:solidFill>
          </w14:textFill>
        </w:rPr>
      </w:pPr>
    </w:p>
    <w:p w14:paraId="03A53917">
      <w:pPr>
        <w:rPr>
          <w:rFonts w:ascii="宋体" w:hAnsi="宋体"/>
          <w:color w:val="000000" w:themeColor="text1"/>
          <w:sz w:val="24"/>
          <w14:textFill>
            <w14:solidFill>
              <w14:schemeClr w14:val="tx1"/>
            </w14:solidFill>
          </w14:textFill>
        </w:rPr>
      </w:pPr>
    </w:p>
    <w:p w14:paraId="640D5F40">
      <w:pPr>
        <w:rPr>
          <w:rFonts w:ascii="宋体" w:hAnsi="宋体"/>
          <w:color w:val="000000" w:themeColor="text1"/>
          <w:sz w:val="24"/>
          <w14:textFill>
            <w14:solidFill>
              <w14:schemeClr w14:val="tx1"/>
            </w14:solidFill>
          </w14:textFill>
        </w:rPr>
      </w:pPr>
    </w:p>
    <w:p w14:paraId="1E34BDFD">
      <w:pPr>
        <w:rPr>
          <w:rFonts w:ascii="宋体" w:hAnsi="宋体"/>
          <w:color w:val="000000" w:themeColor="text1"/>
          <w:sz w:val="24"/>
          <w14:textFill>
            <w14:solidFill>
              <w14:schemeClr w14:val="tx1"/>
            </w14:solidFill>
          </w14:textFill>
        </w:rPr>
      </w:pPr>
    </w:p>
    <w:p w14:paraId="2741E6DA">
      <w:pPr>
        <w:rPr>
          <w:rFonts w:ascii="宋体" w:hAnsi="宋体"/>
          <w:color w:val="000000" w:themeColor="text1"/>
          <w:sz w:val="24"/>
          <w14:textFill>
            <w14:solidFill>
              <w14:schemeClr w14:val="tx1"/>
            </w14:solidFill>
          </w14:textFill>
        </w:rPr>
      </w:pPr>
    </w:p>
    <w:p w14:paraId="2DEA99C9">
      <w:pPr>
        <w:rPr>
          <w:rFonts w:ascii="宋体" w:hAnsi="宋体"/>
          <w:color w:val="000000" w:themeColor="text1"/>
          <w:sz w:val="24"/>
          <w14:textFill>
            <w14:solidFill>
              <w14:schemeClr w14:val="tx1"/>
            </w14:solidFill>
          </w14:textFill>
        </w:rPr>
      </w:pPr>
    </w:p>
    <w:p w14:paraId="413B54E2">
      <w:pPr>
        <w:rPr>
          <w:rFonts w:ascii="宋体" w:hAnsi="宋体"/>
          <w:color w:val="000000" w:themeColor="text1"/>
          <w:sz w:val="24"/>
          <w14:textFill>
            <w14:solidFill>
              <w14:schemeClr w14:val="tx1"/>
            </w14:solidFill>
          </w14:textFill>
        </w:rPr>
      </w:pPr>
    </w:p>
    <w:p w14:paraId="76BDB88D">
      <w:pPr>
        <w:rPr>
          <w:rFonts w:ascii="宋体" w:hAnsi="宋体"/>
          <w:color w:val="000000" w:themeColor="text1"/>
          <w:sz w:val="24"/>
          <w14:textFill>
            <w14:solidFill>
              <w14:schemeClr w14:val="tx1"/>
            </w14:solidFill>
          </w14:textFill>
        </w:rPr>
      </w:pPr>
    </w:p>
    <w:p w14:paraId="7D2879F0">
      <w:pPr>
        <w:rPr>
          <w:rFonts w:ascii="宋体" w:hAnsi="宋体"/>
          <w:color w:val="000000" w:themeColor="text1"/>
          <w:sz w:val="24"/>
          <w14:textFill>
            <w14:solidFill>
              <w14:schemeClr w14:val="tx1"/>
            </w14:solidFill>
          </w14:textFill>
        </w:rPr>
      </w:pPr>
    </w:p>
    <w:p w14:paraId="46004B5F">
      <w:pPr>
        <w:rPr>
          <w:rFonts w:ascii="宋体" w:hAnsi="宋体"/>
          <w:color w:val="000000" w:themeColor="text1"/>
          <w:sz w:val="24"/>
          <w14:textFill>
            <w14:solidFill>
              <w14:schemeClr w14:val="tx1"/>
            </w14:solidFill>
          </w14:textFill>
        </w:rPr>
      </w:pPr>
    </w:p>
    <w:p w14:paraId="46150D10">
      <w:pPr>
        <w:rPr>
          <w:rFonts w:ascii="宋体" w:hAnsi="宋体"/>
          <w:color w:val="000000" w:themeColor="text1"/>
          <w:sz w:val="24"/>
          <w14:textFill>
            <w14:solidFill>
              <w14:schemeClr w14:val="tx1"/>
            </w14:solidFill>
          </w14:textFill>
        </w:rPr>
      </w:pPr>
    </w:p>
    <w:p w14:paraId="551A525F">
      <w:pPr>
        <w:rPr>
          <w:rFonts w:ascii="宋体" w:hAnsi="宋体"/>
          <w:color w:val="000000" w:themeColor="text1"/>
          <w:sz w:val="24"/>
          <w14:textFill>
            <w14:solidFill>
              <w14:schemeClr w14:val="tx1"/>
            </w14:solidFill>
          </w14:textFill>
        </w:rPr>
      </w:pPr>
    </w:p>
    <w:p w14:paraId="1BD9241D">
      <w:pPr>
        <w:rPr>
          <w:rFonts w:ascii="宋体" w:hAnsi="宋体"/>
          <w:color w:val="000000" w:themeColor="text1"/>
          <w:sz w:val="24"/>
          <w14:textFill>
            <w14:solidFill>
              <w14:schemeClr w14:val="tx1"/>
            </w14:solidFill>
          </w14:textFill>
        </w:rPr>
      </w:pPr>
    </w:p>
    <w:p w14:paraId="0C9A2CE2">
      <w:pPr>
        <w:rPr>
          <w:rFonts w:ascii="宋体" w:hAnsi="宋体"/>
          <w:color w:val="000000" w:themeColor="text1"/>
          <w:sz w:val="24"/>
          <w14:textFill>
            <w14:solidFill>
              <w14:schemeClr w14:val="tx1"/>
            </w14:solidFill>
          </w14:textFill>
        </w:rPr>
      </w:pPr>
    </w:p>
    <w:p w14:paraId="11F92E95">
      <w:pPr>
        <w:rPr>
          <w:rFonts w:ascii="宋体" w:hAnsi="宋体"/>
          <w:color w:val="000000" w:themeColor="text1"/>
          <w:sz w:val="24"/>
          <w14:textFill>
            <w14:solidFill>
              <w14:schemeClr w14:val="tx1"/>
            </w14:solidFill>
          </w14:textFill>
        </w:rPr>
      </w:pPr>
    </w:p>
    <w:p w14:paraId="77EB7F71">
      <w:pPr>
        <w:rPr>
          <w:rFonts w:ascii="宋体" w:hAnsi="宋体"/>
          <w:color w:val="000000" w:themeColor="text1"/>
          <w:sz w:val="24"/>
          <w14:textFill>
            <w14:solidFill>
              <w14:schemeClr w14:val="tx1"/>
            </w14:solidFill>
          </w14:textFill>
        </w:rPr>
      </w:pPr>
    </w:p>
    <w:p w14:paraId="189F5534">
      <w:pPr>
        <w:rPr>
          <w:rFonts w:ascii="宋体" w:hAnsi="宋体"/>
          <w:color w:val="000000" w:themeColor="text1"/>
          <w:sz w:val="24"/>
          <w14:textFill>
            <w14:solidFill>
              <w14:schemeClr w14:val="tx1"/>
            </w14:solidFill>
          </w14:textFill>
        </w:rPr>
      </w:pPr>
    </w:p>
    <w:p w14:paraId="14D2E51D">
      <w:pPr>
        <w:rPr>
          <w:rFonts w:ascii="宋体" w:hAnsi="宋体"/>
          <w:color w:val="000000" w:themeColor="text1"/>
          <w:sz w:val="24"/>
          <w14:textFill>
            <w14:solidFill>
              <w14:schemeClr w14:val="tx1"/>
            </w14:solidFill>
          </w14:textFill>
        </w:rPr>
      </w:pPr>
    </w:p>
    <w:p w14:paraId="5E8E6753">
      <w:pPr>
        <w:rPr>
          <w:rFonts w:ascii="宋体" w:hAnsi="宋体"/>
          <w:color w:val="000000" w:themeColor="text1"/>
          <w:sz w:val="24"/>
          <w14:textFill>
            <w14:solidFill>
              <w14:schemeClr w14:val="tx1"/>
            </w14:solidFill>
          </w14:textFill>
        </w:rPr>
      </w:pPr>
    </w:p>
    <w:p w14:paraId="67AC1DB6">
      <w:pPr>
        <w:rPr>
          <w:rFonts w:ascii="宋体" w:hAnsi="宋体"/>
          <w:color w:val="000000" w:themeColor="text1"/>
          <w:sz w:val="24"/>
          <w14:textFill>
            <w14:solidFill>
              <w14:schemeClr w14:val="tx1"/>
            </w14:solidFill>
          </w14:textFill>
        </w:rPr>
      </w:pPr>
    </w:p>
    <w:p w14:paraId="03EEC8C9">
      <w:pPr>
        <w:rPr>
          <w:rFonts w:ascii="宋体" w:hAnsi="宋体"/>
          <w:color w:val="000000" w:themeColor="text1"/>
          <w:sz w:val="24"/>
          <w14:textFill>
            <w14:solidFill>
              <w14:schemeClr w14:val="tx1"/>
            </w14:solidFill>
          </w14:textFill>
        </w:rPr>
      </w:pPr>
    </w:p>
    <w:p w14:paraId="38E94304">
      <w:pPr>
        <w:rPr>
          <w:rFonts w:ascii="宋体" w:hAnsi="宋体"/>
          <w:color w:val="000000" w:themeColor="text1"/>
          <w:sz w:val="24"/>
          <w14:textFill>
            <w14:solidFill>
              <w14:schemeClr w14:val="tx1"/>
            </w14:solidFill>
          </w14:textFill>
        </w:rPr>
      </w:pPr>
    </w:p>
    <w:p w14:paraId="66486439">
      <w:pPr>
        <w:rPr>
          <w:rFonts w:ascii="宋体" w:hAnsi="宋体"/>
          <w:color w:val="000000" w:themeColor="text1"/>
          <w:sz w:val="24"/>
          <w14:textFill>
            <w14:solidFill>
              <w14:schemeClr w14:val="tx1"/>
            </w14:solidFill>
          </w14:textFill>
        </w:rPr>
      </w:pPr>
    </w:p>
    <w:p w14:paraId="24511C90">
      <w:pPr>
        <w:rPr>
          <w:rFonts w:ascii="宋体" w:hAnsi="宋体"/>
          <w:color w:val="000000" w:themeColor="text1"/>
          <w:sz w:val="24"/>
          <w14:textFill>
            <w14:solidFill>
              <w14:schemeClr w14:val="tx1"/>
            </w14:solidFill>
          </w14:textFill>
        </w:rPr>
      </w:pPr>
    </w:p>
    <w:p w14:paraId="2ABE7336">
      <w:pPr>
        <w:rPr>
          <w:rFonts w:ascii="宋体" w:hAnsi="宋体"/>
          <w:color w:val="000000" w:themeColor="text1"/>
          <w:sz w:val="24"/>
          <w14:textFill>
            <w14:solidFill>
              <w14:schemeClr w14:val="tx1"/>
            </w14:solidFill>
          </w14:textFill>
        </w:rPr>
      </w:pPr>
    </w:p>
    <w:p w14:paraId="54095CD7">
      <w:pPr>
        <w:rPr>
          <w:rFonts w:ascii="宋体" w:hAnsi="宋体"/>
          <w:color w:val="000000" w:themeColor="text1"/>
          <w:sz w:val="24"/>
          <w14:textFill>
            <w14:solidFill>
              <w14:schemeClr w14:val="tx1"/>
            </w14:solidFill>
          </w14:textFill>
        </w:rPr>
      </w:pPr>
    </w:p>
    <w:p w14:paraId="37B3C53B">
      <w:pPr>
        <w:rPr>
          <w:rFonts w:ascii="宋体" w:hAnsi="宋体"/>
          <w:color w:val="000000" w:themeColor="text1"/>
          <w:sz w:val="24"/>
          <w14:textFill>
            <w14:solidFill>
              <w14:schemeClr w14:val="tx1"/>
            </w14:solidFill>
          </w14:textFill>
        </w:rPr>
      </w:pPr>
    </w:p>
    <w:p w14:paraId="5819AF15">
      <w:pPr>
        <w:rPr>
          <w:rFonts w:ascii="宋体" w:hAnsi="宋体"/>
          <w:color w:val="000000" w:themeColor="text1"/>
          <w:sz w:val="24"/>
          <w14:textFill>
            <w14:solidFill>
              <w14:schemeClr w14:val="tx1"/>
            </w14:solidFill>
          </w14:textFill>
        </w:rPr>
      </w:pPr>
    </w:p>
    <w:p w14:paraId="39F2736D">
      <w:pPr>
        <w:rPr>
          <w:rFonts w:ascii="宋体" w:hAnsi="宋体"/>
          <w:color w:val="000000" w:themeColor="text1"/>
          <w:sz w:val="24"/>
          <w14:textFill>
            <w14:solidFill>
              <w14:schemeClr w14:val="tx1"/>
            </w14:solidFill>
          </w14:textFill>
        </w:rPr>
      </w:pPr>
    </w:p>
    <w:p w14:paraId="08225F5D">
      <w:pPr>
        <w:rPr>
          <w:rFonts w:ascii="宋体" w:hAnsi="宋体"/>
          <w:color w:val="000000" w:themeColor="text1"/>
          <w:sz w:val="24"/>
          <w14:textFill>
            <w14:solidFill>
              <w14:schemeClr w14:val="tx1"/>
            </w14:solidFill>
          </w14:textFill>
        </w:rPr>
      </w:pPr>
    </w:p>
    <w:p w14:paraId="01242494">
      <w:pPr>
        <w:rPr>
          <w:rFonts w:ascii="宋体" w:hAnsi="宋体"/>
          <w:color w:val="000000" w:themeColor="text1"/>
          <w:sz w:val="24"/>
          <w14:textFill>
            <w14:solidFill>
              <w14:schemeClr w14:val="tx1"/>
            </w14:solidFill>
          </w14:textFill>
        </w:rPr>
      </w:pPr>
    </w:p>
    <w:p w14:paraId="33CD603F">
      <w:pPr>
        <w:rPr>
          <w:rFonts w:ascii="宋体" w:hAnsi="宋体"/>
          <w:color w:val="000000" w:themeColor="text1"/>
          <w:sz w:val="24"/>
          <w14:textFill>
            <w14:solidFill>
              <w14:schemeClr w14:val="tx1"/>
            </w14:solidFill>
          </w14:textFill>
        </w:rPr>
      </w:pPr>
    </w:p>
    <w:p w14:paraId="4A8EA974">
      <w:pPr>
        <w:rPr>
          <w:rFonts w:ascii="宋体" w:hAnsi="宋体"/>
          <w:color w:val="000000" w:themeColor="text1"/>
          <w:sz w:val="24"/>
          <w14:textFill>
            <w14:solidFill>
              <w14:schemeClr w14:val="tx1"/>
            </w14:solidFill>
          </w14:textFill>
        </w:rPr>
      </w:pPr>
    </w:p>
    <w:p w14:paraId="2C3ABF43">
      <w:pPr>
        <w:rPr>
          <w:rFonts w:ascii="宋体" w:hAnsi="宋体"/>
          <w:color w:val="000000" w:themeColor="text1"/>
          <w:sz w:val="24"/>
          <w14:textFill>
            <w14:solidFill>
              <w14:schemeClr w14:val="tx1"/>
            </w14:solidFill>
          </w14:textFill>
        </w:rPr>
      </w:pPr>
    </w:p>
    <w:p w14:paraId="00805133">
      <w:pPr>
        <w:widowControl/>
        <w:jc w:val="left"/>
        <w:rPr>
          <w:rFonts w:ascii="宋体" w:hAnsi="宋体"/>
          <w:b/>
          <w:bCs/>
          <w:color w:val="000000" w:themeColor="text1"/>
          <w:szCs w:val="21"/>
          <w14:textFill>
            <w14:solidFill>
              <w14:schemeClr w14:val="tx1"/>
            </w14:solidFill>
          </w14:textFill>
        </w:rPr>
      </w:pPr>
      <w:bookmarkStart w:id="1012" w:name="_Toc414892007"/>
      <w:bookmarkStart w:id="1013" w:name="_Toc414897856"/>
    </w:p>
    <w:bookmarkEnd w:id="1012"/>
    <w:bookmarkEnd w:id="1013"/>
    <w:p w14:paraId="5BFFE421">
      <w:pPr>
        <w:pStyle w:val="518"/>
        <w:pageBreakBefore/>
        <w:jc w:val="center"/>
        <w:outlineLvl w:val="2"/>
        <w:rPr>
          <w:rFonts w:ascii="宋体" w:hAnsi="宋体"/>
          <w:color w:val="000000" w:themeColor="text1"/>
          <w:sz w:val="28"/>
          <w:szCs w:val="28"/>
          <w14:textFill>
            <w14:solidFill>
              <w14:schemeClr w14:val="tx1"/>
            </w14:solidFill>
          </w14:textFill>
        </w:rPr>
      </w:pPr>
      <w:bookmarkStart w:id="1014" w:name="_Toc12537"/>
      <w:r>
        <w:rPr>
          <w:rFonts w:hint="eastAsia" w:ascii="宋体" w:hAnsi="宋体"/>
          <w:color w:val="000000" w:themeColor="text1"/>
          <w:sz w:val="28"/>
          <w:szCs w:val="28"/>
          <w14:textFill>
            <w14:solidFill>
              <w14:schemeClr w14:val="tx1"/>
            </w14:solidFill>
          </w14:textFill>
        </w:rPr>
        <w:t>（六）</w:t>
      </w:r>
      <w:r>
        <w:rPr>
          <w:rFonts w:hint="eastAsia" w:ascii="宋体" w:hAnsi="宋体"/>
          <w:color w:val="000000" w:themeColor="text1"/>
          <w:sz w:val="28"/>
          <w:szCs w:val="28"/>
          <w:lang w:eastAsia="zh-CN"/>
          <w14:textFill>
            <w14:solidFill>
              <w14:schemeClr w14:val="tx1"/>
            </w14:solidFill>
          </w14:textFill>
        </w:rPr>
        <w:t>供应商</w:t>
      </w:r>
      <w:r>
        <w:rPr>
          <w:rFonts w:hint="eastAsia" w:ascii="宋体" w:hAnsi="宋体"/>
          <w:color w:val="000000" w:themeColor="text1"/>
          <w:sz w:val="28"/>
          <w:szCs w:val="28"/>
          <w14:textFill>
            <w14:solidFill>
              <w14:schemeClr w14:val="tx1"/>
            </w14:solidFill>
          </w14:textFill>
        </w:rPr>
        <w:t>不参与涉黑涉恶承诺书</w:t>
      </w:r>
      <w:bookmarkEnd w:id="1014"/>
    </w:p>
    <w:p w14:paraId="42C6F5B2">
      <w:pPr>
        <w:adjustRightInd w:val="0"/>
        <w:spacing w:line="360" w:lineRule="auto"/>
        <w:rPr>
          <w:rFonts w:ascii="宋体" w:hAnsi="宋体" w:cs="FangSong_GB2312"/>
          <w:szCs w:val="21"/>
          <w:u w:val="single"/>
        </w:rPr>
      </w:pPr>
    </w:p>
    <w:p w14:paraId="0EB6783E">
      <w:pPr>
        <w:adjustRightInd w:val="0"/>
        <w:spacing w:line="360" w:lineRule="auto"/>
        <w:rPr>
          <w:rFonts w:ascii="宋体" w:hAnsi="宋体" w:cs="FangSong_GB2312"/>
          <w:szCs w:val="21"/>
        </w:rPr>
      </w:pPr>
      <w:r>
        <w:rPr>
          <w:rFonts w:hint="eastAsia" w:ascii="宋体" w:hAnsi="宋体" w:cs="FangSong_GB2312"/>
          <w:szCs w:val="21"/>
        </w:rPr>
        <w:t>（</w:t>
      </w:r>
      <w:r>
        <w:rPr>
          <w:rFonts w:hint="eastAsia" w:ascii="宋体" w:hAnsi="宋体" w:cs="FangSong_GB2312"/>
          <w:szCs w:val="21"/>
          <w:lang w:eastAsia="zh-CN"/>
        </w:rPr>
        <w:t>采购人</w:t>
      </w:r>
      <w:r>
        <w:rPr>
          <w:rFonts w:hint="eastAsia" w:ascii="宋体" w:hAnsi="宋体" w:cs="FangSong_GB2312"/>
          <w:szCs w:val="21"/>
        </w:rPr>
        <w:t>名称）：</w:t>
      </w:r>
    </w:p>
    <w:p w14:paraId="1C028E5A">
      <w:pPr>
        <w:adjustRightInd w:val="0"/>
        <w:spacing w:line="360" w:lineRule="auto"/>
        <w:ind w:right="420" w:firstLine="420" w:firstLineChars="200"/>
        <w:rPr>
          <w:rFonts w:ascii="宋体" w:hAnsi="宋体" w:cs="FangSong_GB2312"/>
          <w:szCs w:val="21"/>
        </w:rPr>
      </w:pPr>
      <w:r>
        <w:rPr>
          <w:rFonts w:hint="eastAsia" w:ascii="宋体" w:hAnsi="宋体" w:cs="FangSong_GB2312"/>
          <w:szCs w:val="21"/>
        </w:rPr>
        <w:t>我方承诺，在参与（项目名称）标段施工</w:t>
      </w:r>
      <w:r>
        <w:rPr>
          <w:rFonts w:hint="eastAsia" w:ascii="宋体" w:hAnsi="宋体" w:cs="FangSong_GB2312"/>
          <w:szCs w:val="21"/>
          <w:lang w:eastAsia="zh-CN"/>
        </w:rPr>
        <w:t>磋商</w:t>
      </w:r>
      <w:r>
        <w:rPr>
          <w:rFonts w:hint="eastAsia" w:ascii="宋体" w:hAnsi="宋体" w:cs="FangSong_GB2312"/>
          <w:szCs w:val="21"/>
        </w:rPr>
        <w:t>、投标以及如果</w:t>
      </w:r>
      <w:r>
        <w:rPr>
          <w:rFonts w:hint="eastAsia" w:ascii="宋体" w:hAnsi="宋体" w:cs="FangSong_GB2312"/>
          <w:szCs w:val="21"/>
          <w:lang w:eastAsia="zh-CN"/>
        </w:rPr>
        <w:t>成交</w:t>
      </w:r>
      <w:r>
        <w:rPr>
          <w:rFonts w:hint="eastAsia" w:ascii="宋体" w:hAnsi="宋体" w:cs="FangSong_GB2312"/>
          <w:szCs w:val="21"/>
        </w:rPr>
        <w:t>的后续工作中，我方不存在下列任何情形之一:</w:t>
      </w:r>
    </w:p>
    <w:p w14:paraId="0C08019F">
      <w:pPr>
        <w:adjustRightInd w:val="0"/>
        <w:spacing w:line="360" w:lineRule="auto"/>
        <w:ind w:firstLine="420" w:firstLineChars="200"/>
        <w:rPr>
          <w:rFonts w:ascii="宋体" w:hAnsi="宋体" w:cs="FangSong_GB2312"/>
          <w:szCs w:val="21"/>
        </w:rPr>
      </w:pPr>
      <w:r>
        <w:rPr>
          <w:rFonts w:hint="eastAsia" w:ascii="宋体" w:hAnsi="宋体" w:cs="FangSong_GB2312"/>
          <w:kern w:val="0"/>
          <w:szCs w:val="21"/>
          <w:lang w:val="zh-CN"/>
        </w:rPr>
        <w:t>（</w:t>
      </w:r>
      <w:r>
        <w:rPr>
          <w:rFonts w:hint="eastAsia" w:ascii="宋体" w:hAnsi="宋体" w:cs="FangSong_GB2312"/>
          <w:kern w:val="0"/>
          <w:szCs w:val="21"/>
        </w:rPr>
        <w:t>1</w:t>
      </w:r>
      <w:r>
        <w:rPr>
          <w:rFonts w:hint="eastAsia" w:ascii="宋体" w:hAnsi="宋体" w:cs="FangSong_GB2312"/>
          <w:kern w:val="0"/>
          <w:szCs w:val="21"/>
          <w:lang w:val="zh-CN"/>
        </w:rPr>
        <w:t>）强揽工程：</w:t>
      </w:r>
      <w:r>
        <w:rPr>
          <w:rFonts w:hint="eastAsia" w:ascii="宋体" w:hAnsi="宋体" w:cs="FangSong_GB2312"/>
          <w:kern w:val="0"/>
          <w:szCs w:val="21"/>
        </w:rPr>
        <w:t>以黑恶势力承包工程；强迫他人接受限定条件或退出竞争；强迫</w:t>
      </w:r>
      <w:r>
        <w:rPr>
          <w:rFonts w:hint="eastAsia" w:ascii="宋体" w:hAnsi="宋体" w:cs="FangSong_GB2312"/>
          <w:kern w:val="0"/>
          <w:szCs w:val="21"/>
          <w:lang w:eastAsia="zh-CN"/>
        </w:rPr>
        <w:t>成交</w:t>
      </w:r>
      <w:r>
        <w:rPr>
          <w:rFonts w:hint="eastAsia" w:ascii="宋体" w:hAnsi="宋体" w:cs="FangSong_GB2312"/>
          <w:kern w:val="0"/>
          <w:szCs w:val="21"/>
        </w:rPr>
        <w:t>人放弃</w:t>
      </w:r>
      <w:r>
        <w:rPr>
          <w:rFonts w:hint="eastAsia" w:ascii="宋体" w:hAnsi="宋体" w:cs="FangSong_GB2312"/>
          <w:kern w:val="0"/>
          <w:szCs w:val="21"/>
          <w:lang w:eastAsia="zh-CN"/>
        </w:rPr>
        <w:t>成交</w:t>
      </w:r>
      <w:r>
        <w:rPr>
          <w:rFonts w:hint="eastAsia" w:ascii="宋体" w:hAnsi="宋体" w:cs="FangSong_GB2312"/>
          <w:kern w:val="0"/>
          <w:szCs w:val="21"/>
        </w:rPr>
        <w:t>或转包；</w:t>
      </w:r>
      <w:r>
        <w:rPr>
          <w:rFonts w:hint="eastAsia" w:ascii="宋体" w:hAnsi="宋体" w:cs="FangSong_GB2312"/>
          <w:szCs w:val="21"/>
        </w:rPr>
        <w:t>以暴力、威胁、利诱等手段强迫他人参与或者退出投标等。</w:t>
      </w:r>
    </w:p>
    <w:p w14:paraId="003E2A49">
      <w:pPr>
        <w:adjustRightInd w:val="0"/>
        <w:spacing w:line="360" w:lineRule="auto"/>
        <w:ind w:firstLine="570"/>
        <w:rPr>
          <w:rFonts w:ascii="宋体" w:hAnsi="宋体" w:cs="FangSong_GB2312"/>
          <w:szCs w:val="21"/>
        </w:rPr>
      </w:pPr>
      <w:r>
        <w:rPr>
          <w:rFonts w:hint="eastAsia" w:ascii="宋体" w:hAnsi="宋体" w:cs="FangSong_GB2312"/>
          <w:szCs w:val="21"/>
        </w:rPr>
        <w:t>（2）恶意竞标：以黑恶势力用明显低于建安成本价格</w:t>
      </w:r>
      <w:r>
        <w:rPr>
          <w:rFonts w:hint="eastAsia" w:ascii="宋体" w:hAnsi="宋体" w:cs="FangSong_GB2312"/>
          <w:szCs w:val="21"/>
          <w:lang w:eastAsia="zh-CN"/>
        </w:rPr>
        <w:t>成交</w:t>
      </w:r>
      <w:r>
        <w:rPr>
          <w:rFonts w:hint="eastAsia" w:ascii="宋体" w:hAnsi="宋体" w:cs="FangSong_GB2312"/>
          <w:szCs w:val="21"/>
        </w:rPr>
        <w:t>；利用围标、串标、虚假投标及威胁手段等方式骗取</w:t>
      </w:r>
      <w:r>
        <w:rPr>
          <w:rFonts w:hint="eastAsia" w:ascii="宋体" w:hAnsi="宋体" w:cs="FangSong_GB2312"/>
          <w:szCs w:val="21"/>
          <w:lang w:eastAsia="zh-CN"/>
        </w:rPr>
        <w:t>成交</w:t>
      </w:r>
      <w:r>
        <w:rPr>
          <w:rFonts w:hint="eastAsia" w:ascii="宋体" w:hAnsi="宋体" w:cs="FangSong_GB2312"/>
          <w:szCs w:val="21"/>
        </w:rPr>
        <w:t>；以黑恶势力使得工程的实际造价远远高于</w:t>
      </w:r>
      <w:r>
        <w:rPr>
          <w:rFonts w:hint="eastAsia" w:ascii="宋体" w:hAnsi="宋体" w:cs="FangSong_GB2312"/>
          <w:szCs w:val="21"/>
          <w:lang w:eastAsia="zh-CN"/>
        </w:rPr>
        <w:t>成交</w:t>
      </w:r>
      <w:r>
        <w:rPr>
          <w:rFonts w:hint="eastAsia" w:ascii="宋体" w:hAnsi="宋体" w:cs="FangSong_GB2312"/>
          <w:szCs w:val="21"/>
        </w:rPr>
        <w:t>价格，造成国有资产流失;伪造资质证书、证件、提供虚假材料进行恶意投标，谋取不正当利益等违法犯罪行为。</w:t>
      </w:r>
    </w:p>
    <w:p w14:paraId="7B20F10D">
      <w:pPr>
        <w:adjustRightInd w:val="0"/>
        <w:spacing w:line="360" w:lineRule="auto"/>
        <w:ind w:firstLine="570"/>
        <w:rPr>
          <w:rFonts w:ascii="宋体" w:hAnsi="宋体" w:cs="FangSong_GB2312"/>
          <w:szCs w:val="21"/>
        </w:rPr>
      </w:pPr>
      <w:r>
        <w:rPr>
          <w:rFonts w:hint="eastAsia" w:ascii="宋体" w:hAnsi="宋体" w:cs="FangSong_GB2312"/>
          <w:szCs w:val="21"/>
        </w:rPr>
        <w:t>（3）扰乱工程招投标活动：以黑恶势力在评标现场聚众闹事、寻衅滋事，冲击评标现场，打砸破坏评标现场办公设施；用威胁等手段恐吓评标专家、工作人员等行为；捏造事实、恶意投诉、无理取闹，扰乱招投标正常秩序。</w:t>
      </w:r>
    </w:p>
    <w:p w14:paraId="63FA257F">
      <w:pPr>
        <w:adjustRightInd w:val="0"/>
        <w:spacing w:line="360" w:lineRule="auto"/>
        <w:ind w:firstLine="570"/>
        <w:rPr>
          <w:rFonts w:ascii="宋体" w:hAnsi="宋体" w:cs="FangSong_GB2312"/>
          <w:szCs w:val="21"/>
        </w:rPr>
      </w:pPr>
      <w:r>
        <w:rPr>
          <w:rFonts w:hint="eastAsia" w:ascii="宋体" w:hAnsi="宋体" w:cs="FangSong_GB2312"/>
          <w:szCs w:val="21"/>
        </w:rPr>
        <w:t>（4）其他任何涉黑涉恶的行为。</w:t>
      </w:r>
    </w:p>
    <w:p w14:paraId="30AE267A">
      <w:pPr>
        <w:adjustRightInd w:val="0"/>
        <w:spacing w:line="360" w:lineRule="auto"/>
        <w:ind w:firstLine="420" w:firstLineChars="200"/>
        <w:rPr>
          <w:rFonts w:ascii="宋体" w:hAnsi="宋体" w:cs="FangSong_GB2312"/>
          <w:szCs w:val="21"/>
        </w:rPr>
      </w:pPr>
      <w:r>
        <w:rPr>
          <w:rFonts w:hint="eastAsia" w:ascii="宋体" w:hAnsi="宋体" w:cs="FangSong_GB2312"/>
          <w:szCs w:val="21"/>
        </w:rPr>
        <w:t>我方承诺上述内容的真实和准确，并愿意承担因我方存在上述情形所引起的一切法律后果。同时，我方承诺在整个招投标过程中，一旦发现涉黑涉恶线索及时向监管部门及有关部门举报，并积极协助有关部门进行调查取证。</w:t>
      </w:r>
    </w:p>
    <w:p w14:paraId="349DDB52">
      <w:pPr>
        <w:adjustRightInd w:val="0"/>
        <w:spacing w:line="360" w:lineRule="auto"/>
        <w:ind w:firstLine="420" w:firstLineChars="200"/>
        <w:rPr>
          <w:rFonts w:ascii="宋体" w:hAnsi="宋体" w:cs="FangSong_GB2312"/>
          <w:szCs w:val="21"/>
        </w:rPr>
      </w:pPr>
      <w:r>
        <w:rPr>
          <w:rFonts w:hint="eastAsia" w:ascii="宋体" w:hAnsi="宋体" w:cs="FangSong_GB2312"/>
          <w:szCs w:val="21"/>
        </w:rPr>
        <w:t>特此承诺</w:t>
      </w:r>
    </w:p>
    <w:p w14:paraId="72A90CB8">
      <w:pPr>
        <w:adjustRightInd w:val="0"/>
        <w:spacing w:line="360" w:lineRule="auto"/>
        <w:ind w:firstLine="420" w:firstLineChars="200"/>
        <w:jc w:val="right"/>
        <w:rPr>
          <w:rFonts w:hint="eastAsia" w:ascii="宋体" w:hAnsi="宋体" w:cs="FangSong_GB2312"/>
          <w:szCs w:val="21"/>
        </w:rPr>
      </w:pPr>
    </w:p>
    <w:p w14:paraId="0B16BB25">
      <w:pPr>
        <w:adjustRightInd w:val="0"/>
        <w:spacing w:line="360" w:lineRule="auto"/>
        <w:ind w:firstLine="420" w:firstLineChars="200"/>
        <w:jc w:val="right"/>
        <w:rPr>
          <w:rFonts w:hint="eastAsia" w:ascii="宋体" w:hAnsi="宋体" w:cs="FangSong_GB2312"/>
          <w:szCs w:val="21"/>
        </w:rPr>
      </w:pPr>
    </w:p>
    <w:p w14:paraId="488FF57D">
      <w:pPr>
        <w:adjustRightInd w:val="0"/>
        <w:spacing w:line="360" w:lineRule="auto"/>
        <w:ind w:firstLine="420" w:firstLineChars="200"/>
        <w:jc w:val="right"/>
        <w:rPr>
          <w:rFonts w:ascii="宋体" w:hAnsi="宋体" w:cs="FangSong_GB2312"/>
          <w:szCs w:val="21"/>
        </w:rPr>
      </w:pPr>
      <w:r>
        <w:rPr>
          <w:rFonts w:hint="eastAsia" w:ascii="宋体" w:hAnsi="宋体" w:cs="FangSong_GB2312"/>
          <w:szCs w:val="21"/>
        </w:rPr>
        <w:t>申请人：</w:t>
      </w:r>
      <w:r>
        <w:rPr>
          <w:rFonts w:hint="eastAsia" w:ascii="宋体" w:hAnsi="宋体" w:cs="FangSong_GB2312"/>
          <w:szCs w:val="21"/>
          <w:u w:val="single"/>
          <w:lang w:val="en-US" w:eastAsia="zh-CN"/>
        </w:rPr>
        <w:t xml:space="preserve">                        </w:t>
      </w:r>
      <w:r>
        <w:rPr>
          <w:rFonts w:hint="eastAsia" w:ascii="宋体" w:hAnsi="宋体" w:cs="FangSong_GB2312"/>
          <w:szCs w:val="21"/>
        </w:rPr>
        <w:t>（盖单位章）</w:t>
      </w:r>
    </w:p>
    <w:p w14:paraId="1C39CB1E">
      <w:pPr>
        <w:adjustRightInd w:val="0"/>
        <w:spacing w:line="360" w:lineRule="auto"/>
        <w:ind w:firstLine="420" w:firstLineChars="200"/>
        <w:jc w:val="right"/>
        <w:rPr>
          <w:rFonts w:hint="eastAsia" w:ascii="宋体" w:hAnsi="宋体" w:eastAsia="宋体" w:cs="FangSong_GB2312"/>
          <w:szCs w:val="21"/>
        </w:rPr>
      </w:pPr>
    </w:p>
    <w:p w14:paraId="5EE38BB5">
      <w:pPr>
        <w:adjustRightInd w:val="0"/>
        <w:spacing w:line="360" w:lineRule="auto"/>
        <w:ind w:firstLine="420" w:firstLineChars="200"/>
        <w:jc w:val="right"/>
        <w:rPr>
          <w:rFonts w:hint="eastAsia" w:ascii="宋体" w:hAnsi="宋体" w:eastAsia="宋体" w:cs="FangSong_GB2312"/>
          <w:szCs w:val="21"/>
        </w:rPr>
      </w:pPr>
      <w:r>
        <w:rPr>
          <w:rFonts w:hint="eastAsia" w:ascii="宋体" w:hAnsi="宋体" w:eastAsia="宋体" w:cs="FangSong_GB2312"/>
          <w:szCs w:val="21"/>
        </w:rPr>
        <w:t>法定代表人或其委托代理人：</w:t>
      </w:r>
      <w:r>
        <w:rPr>
          <w:rFonts w:hint="eastAsia" w:ascii="宋体" w:hAnsi="宋体" w:eastAsia="宋体" w:cs="FangSong_GB2312"/>
          <w:szCs w:val="21"/>
          <w:u w:val="single"/>
          <w:lang w:val="en-US" w:eastAsia="zh-CN"/>
        </w:rPr>
        <w:t xml:space="preserve">          </w:t>
      </w:r>
      <w:r>
        <w:rPr>
          <w:rFonts w:hint="eastAsia" w:ascii="宋体" w:hAnsi="宋体" w:eastAsia="宋体" w:cs="FangSong_GB2312"/>
          <w:szCs w:val="21"/>
        </w:rPr>
        <w:t>（签字）</w:t>
      </w:r>
    </w:p>
    <w:p w14:paraId="427E89C5">
      <w:pPr>
        <w:adjustRightInd w:val="0"/>
        <w:spacing w:line="360" w:lineRule="auto"/>
        <w:ind w:firstLine="420" w:firstLineChars="200"/>
        <w:jc w:val="center"/>
        <w:rPr>
          <w:rFonts w:hint="eastAsia" w:ascii="宋体" w:hAnsi="宋体" w:eastAsia="宋体" w:cs="FangSong_GB2312"/>
          <w:szCs w:val="21"/>
        </w:rPr>
      </w:pPr>
    </w:p>
    <w:p w14:paraId="3573CC8B">
      <w:pPr>
        <w:rPr>
          <w:rFonts w:ascii="宋体" w:hAnsi="宋体" w:cs="FangSong_GB2312"/>
          <w:szCs w:val="21"/>
        </w:rPr>
      </w:pPr>
      <w:r>
        <w:rPr>
          <w:rFonts w:hint="eastAsia" w:ascii="宋体" w:hAnsi="宋体" w:cs="FangSong_GB2312"/>
          <w:szCs w:val="21"/>
        </w:rPr>
        <w:br w:type="page"/>
      </w:r>
    </w:p>
    <w:p w14:paraId="6CAE261A">
      <w:pPr>
        <w:spacing w:line="312" w:lineRule="auto"/>
        <w:jc w:val="center"/>
        <w:rPr>
          <w:rFonts w:ascii="宋体" w:hAnsi="宋体"/>
          <w:b/>
          <w:sz w:val="28"/>
          <w:szCs w:val="28"/>
        </w:rPr>
      </w:pPr>
      <w:bookmarkStart w:id="1015" w:name="_Toc2014"/>
      <w:r>
        <w:rPr>
          <w:rFonts w:hint="eastAsia" w:ascii="宋体" w:hAnsi="宋体" w:cs="宋体"/>
          <w:b/>
          <w:sz w:val="28"/>
          <w:szCs w:val="28"/>
        </w:rPr>
        <w:t>（七）</w:t>
      </w:r>
      <w:bookmarkEnd w:id="1015"/>
      <w:r>
        <w:rPr>
          <w:rFonts w:hint="eastAsia" w:ascii="宋体" w:hAnsi="宋体"/>
          <w:b/>
          <w:sz w:val="28"/>
          <w:szCs w:val="28"/>
        </w:rPr>
        <w:t>中小企业声明函</w:t>
      </w:r>
    </w:p>
    <w:p w14:paraId="6F414A4C">
      <w:pPr>
        <w:spacing w:line="312" w:lineRule="auto"/>
        <w:jc w:val="center"/>
        <w:rPr>
          <w:rFonts w:ascii="宋体" w:hAnsi="宋体"/>
          <w:b/>
          <w:sz w:val="28"/>
          <w:szCs w:val="28"/>
        </w:rPr>
      </w:pPr>
    </w:p>
    <w:p w14:paraId="60894D71">
      <w:pPr>
        <w:rPr>
          <w:rFonts w:ascii="宋体" w:hAnsi="宋体"/>
          <w:szCs w:val="21"/>
        </w:rPr>
      </w:pPr>
      <w:r>
        <w:rPr>
          <w:rFonts w:hint="eastAsia" w:ascii="宋体" w:hAnsi="宋体"/>
          <w:szCs w:val="21"/>
        </w:rPr>
        <w:t>　　本公司（联合体）郑重声明，根据《政府采购促进中小企业发展管理办法》（财库﹝2020﹞46 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14:paraId="18C0FE72">
      <w:pPr>
        <w:rPr>
          <w:rFonts w:ascii="宋体" w:hAnsi="宋体"/>
          <w:szCs w:val="21"/>
        </w:rPr>
      </w:pPr>
      <w:r>
        <w:rPr>
          <w:rFonts w:hint="eastAsia" w:ascii="宋体" w:hAnsi="宋体"/>
          <w:szCs w:val="21"/>
        </w:rPr>
        <w:t xml:space="preserve">        （标的名称），属于     （采购文件中明确的所属行业）；承建（承接）企业为    （企业名称），从业人员    人，营业收入为      万元，资产总额为     万元</w:t>
      </w:r>
      <w:r>
        <w:rPr>
          <w:rFonts w:hint="eastAsia" w:ascii="宋体" w:hAnsi="宋体"/>
          <w:szCs w:val="21"/>
          <w:vertAlign w:val="superscript"/>
        </w:rPr>
        <w:t>1</w:t>
      </w:r>
      <w:r>
        <w:rPr>
          <w:rFonts w:hint="eastAsia" w:ascii="宋体" w:hAnsi="宋体"/>
          <w:szCs w:val="21"/>
        </w:rPr>
        <w:t>，属于  （中型企业、小型企业、微型企业）；</w:t>
      </w:r>
    </w:p>
    <w:p w14:paraId="3E1DE740">
      <w:pPr>
        <w:rPr>
          <w:rFonts w:ascii="宋体" w:hAnsi="宋体"/>
          <w:szCs w:val="21"/>
        </w:rPr>
      </w:pPr>
      <w:r>
        <w:rPr>
          <w:rFonts w:hint="eastAsia" w:ascii="宋体" w:hAnsi="宋体"/>
          <w:szCs w:val="21"/>
        </w:rPr>
        <w:t xml:space="preserve">        （标的名称），属于     （采购文件中明确的所属行业）；承建（承接）企业为    （企业名称），从业人员    人，营业收入为      万元，资产总额为     万元，属于  （中型企业、小型企业、微型企业）；</w:t>
      </w:r>
    </w:p>
    <w:p w14:paraId="3A388C2C">
      <w:pPr>
        <w:rPr>
          <w:rFonts w:ascii="宋体" w:hAnsi="宋体"/>
          <w:szCs w:val="21"/>
        </w:rPr>
      </w:pPr>
      <w:r>
        <w:rPr>
          <w:rFonts w:hint="eastAsia" w:ascii="宋体" w:hAnsi="宋体"/>
          <w:szCs w:val="21"/>
        </w:rPr>
        <w:t>……</w:t>
      </w:r>
    </w:p>
    <w:p w14:paraId="22A79384">
      <w:pPr>
        <w:rPr>
          <w:rFonts w:ascii="宋体" w:hAnsi="宋体"/>
          <w:szCs w:val="21"/>
        </w:rPr>
      </w:pPr>
      <w:r>
        <w:rPr>
          <w:rFonts w:hint="eastAsia" w:ascii="宋体" w:hAnsi="宋体"/>
          <w:szCs w:val="21"/>
        </w:rPr>
        <w:t>以上企业，不属于大企业的分支机构，不存在控股股东为大企业的情形，也不存在与大企业的负责人为同一人的情形。</w:t>
      </w:r>
    </w:p>
    <w:p w14:paraId="1870540D">
      <w:pPr>
        <w:rPr>
          <w:rFonts w:ascii="宋体" w:hAnsi="宋体"/>
          <w:szCs w:val="21"/>
        </w:rPr>
      </w:pPr>
      <w:r>
        <w:rPr>
          <w:rFonts w:hint="eastAsia" w:ascii="宋体" w:hAnsi="宋体"/>
          <w:szCs w:val="21"/>
        </w:rPr>
        <w:t>本企业对上述声明内容的真实性负责。如有虚假，将依法承担相应责任。</w:t>
      </w:r>
    </w:p>
    <w:p w14:paraId="41D07ABD">
      <w:pPr>
        <w:rPr>
          <w:rFonts w:ascii="宋体" w:hAnsi="宋体"/>
          <w:szCs w:val="21"/>
        </w:rPr>
      </w:pPr>
    </w:p>
    <w:p w14:paraId="6369FA85">
      <w:pPr>
        <w:rPr>
          <w:rFonts w:ascii="宋体" w:hAnsi="宋体"/>
          <w:szCs w:val="21"/>
        </w:rPr>
      </w:pPr>
    </w:p>
    <w:p w14:paraId="67D02D7A">
      <w:pPr>
        <w:rPr>
          <w:rFonts w:ascii="宋体" w:hAnsi="宋体"/>
          <w:szCs w:val="21"/>
        </w:rPr>
      </w:pPr>
    </w:p>
    <w:p w14:paraId="380306E8">
      <w:pPr>
        <w:rPr>
          <w:rFonts w:ascii="宋体" w:hAnsi="宋体"/>
          <w:szCs w:val="21"/>
        </w:rPr>
      </w:pPr>
    </w:p>
    <w:p w14:paraId="7B7A4C5B">
      <w:pPr>
        <w:rPr>
          <w:rFonts w:ascii="宋体" w:hAnsi="宋体"/>
          <w:szCs w:val="21"/>
        </w:rPr>
      </w:pPr>
    </w:p>
    <w:p w14:paraId="38136B84">
      <w:pPr>
        <w:jc w:val="right"/>
        <w:rPr>
          <w:rFonts w:ascii="宋体" w:hAnsi="宋体"/>
          <w:szCs w:val="21"/>
        </w:rPr>
      </w:pPr>
      <w:r>
        <w:rPr>
          <w:rFonts w:hint="eastAsia" w:ascii="宋体" w:hAnsi="宋体"/>
          <w:szCs w:val="21"/>
        </w:rPr>
        <w:t>企业名称（盖章）：</w:t>
      </w:r>
      <w:r>
        <w:rPr>
          <w:rFonts w:hint="eastAsia" w:ascii="宋体" w:hAnsi="宋体"/>
          <w:szCs w:val="21"/>
          <w:lang w:val="en-US" w:eastAsia="zh-CN"/>
        </w:rPr>
        <w:t xml:space="preserve">    </w:t>
      </w:r>
      <w:r>
        <w:rPr>
          <w:rFonts w:hint="eastAsia" w:ascii="宋体" w:hAnsi="宋体"/>
          <w:szCs w:val="21"/>
        </w:rPr>
        <w:t xml:space="preserve"> </w:t>
      </w:r>
    </w:p>
    <w:p w14:paraId="0AF54A97">
      <w:pPr>
        <w:jc w:val="right"/>
        <w:rPr>
          <w:rFonts w:ascii="宋体" w:hAnsi="宋体"/>
          <w:szCs w:val="21"/>
        </w:rPr>
      </w:pPr>
    </w:p>
    <w:p w14:paraId="19154BCB">
      <w:pPr>
        <w:jc w:val="right"/>
        <w:rPr>
          <w:rFonts w:ascii="宋体" w:hAnsi="宋体"/>
          <w:szCs w:val="21"/>
        </w:rPr>
      </w:pPr>
    </w:p>
    <w:p w14:paraId="707190E0">
      <w:pPr>
        <w:jc w:val="right"/>
        <w:rPr>
          <w:rFonts w:ascii="宋体" w:hAnsi="宋体"/>
          <w:szCs w:val="21"/>
        </w:rPr>
      </w:pPr>
      <w:r>
        <w:rPr>
          <w:rFonts w:hint="eastAsia" w:ascii="宋体" w:hAnsi="宋体"/>
          <w:szCs w:val="21"/>
        </w:rPr>
        <w:t>日 期：　</w:t>
      </w:r>
    </w:p>
    <w:p w14:paraId="06868D7D">
      <w:pPr>
        <w:rPr>
          <w:rFonts w:ascii="宋体" w:hAnsi="宋体"/>
          <w:szCs w:val="21"/>
        </w:rPr>
      </w:pPr>
    </w:p>
    <w:p w14:paraId="27F8571B">
      <w:pPr>
        <w:spacing w:line="225" w:lineRule="exact"/>
        <w:ind w:left="20"/>
        <w:jc w:val="left"/>
        <w:rPr>
          <w:rFonts w:ascii="宋体"/>
          <w:sz w:val="18"/>
        </w:rPr>
      </w:pPr>
      <w:r>
        <w:rPr>
          <w:rFonts w:hint="eastAsia" w:ascii="宋体" w:hAnsi="宋体"/>
          <w:szCs w:val="21"/>
        </w:rPr>
        <w:t>注：从业人员、营业收入、资产总额填报上一年度数据，无上一年度数据的新成立企业可不填报</w:t>
      </w:r>
    </w:p>
    <w:p w14:paraId="232095F5">
      <w:pPr>
        <w:autoSpaceDE w:val="0"/>
        <w:autoSpaceDN w:val="0"/>
        <w:adjustRightInd w:val="0"/>
        <w:ind w:firstLine="6160" w:firstLineChars="2200"/>
        <w:rPr>
          <w:rFonts w:ascii="黑体" w:eastAsia="黑体" w:cs="黑体"/>
          <w:kern w:val="0"/>
          <w:sz w:val="28"/>
          <w:szCs w:val="28"/>
        </w:rPr>
      </w:pPr>
    </w:p>
    <w:p w14:paraId="639801B7">
      <w:pPr>
        <w:rPr>
          <w:rFonts w:hint="eastAsia" w:hAnsi="宋体"/>
          <w:b/>
          <w:sz w:val="28"/>
          <w:szCs w:val="28"/>
        </w:rPr>
      </w:pPr>
      <w:r>
        <w:rPr>
          <w:rFonts w:hint="eastAsia" w:hAnsi="宋体"/>
          <w:b/>
          <w:sz w:val="28"/>
          <w:szCs w:val="28"/>
        </w:rPr>
        <w:br w:type="page"/>
      </w:r>
    </w:p>
    <w:p w14:paraId="1B5CC0B2">
      <w:pPr>
        <w:pStyle w:val="146"/>
        <w:jc w:val="center"/>
        <w:rPr>
          <w:rFonts w:hAnsi="宋体" w:cs="FangSong_GB2312"/>
          <w:szCs w:val="21"/>
        </w:rPr>
      </w:pPr>
      <w:r>
        <w:rPr>
          <w:rFonts w:hint="eastAsia" w:hAnsi="宋体"/>
          <w:b/>
          <w:sz w:val="28"/>
          <w:szCs w:val="28"/>
        </w:rPr>
        <w:t>九、</w:t>
      </w:r>
      <w:r>
        <w:rPr>
          <w:rFonts w:hint="eastAsia" w:hAnsi="宋体"/>
          <w:b/>
          <w:sz w:val="28"/>
          <w:szCs w:val="28"/>
          <w:lang w:eastAsia="zh-CN"/>
        </w:rPr>
        <w:t>供应商</w:t>
      </w:r>
      <w:r>
        <w:rPr>
          <w:rFonts w:hint="eastAsia" w:hAnsi="宋体"/>
          <w:b/>
          <w:sz w:val="28"/>
          <w:szCs w:val="28"/>
        </w:rPr>
        <w:t>须知前附表规定的其他材料</w:t>
      </w:r>
    </w:p>
    <w:p w14:paraId="2E5BD12B">
      <w:pPr>
        <w:pStyle w:val="146"/>
        <w:rPr>
          <w:rFonts w:hAnsi="宋体" w:cs="FangSong_GB2312"/>
          <w:szCs w:val="21"/>
        </w:rPr>
      </w:pPr>
    </w:p>
    <w:p w14:paraId="62F737FB">
      <w:pPr>
        <w:pStyle w:val="146"/>
        <w:rPr>
          <w:rFonts w:hAnsi="宋体" w:cs="FangSong_GB2312"/>
          <w:szCs w:val="21"/>
        </w:rPr>
      </w:pPr>
    </w:p>
    <w:p w14:paraId="7DD970FD">
      <w:pPr>
        <w:pStyle w:val="146"/>
        <w:rPr>
          <w:rFonts w:hAnsi="宋体" w:cs="FangSong_GB2312"/>
          <w:szCs w:val="21"/>
        </w:rPr>
      </w:pPr>
    </w:p>
    <w:p w14:paraId="3C57880F">
      <w:pPr>
        <w:pStyle w:val="146"/>
        <w:rPr>
          <w:rFonts w:hAnsi="宋体" w:cs="FangSong_GB2312"/>
          <w:szCs w:val="21"/>
        </w:rPr>
      </w:pPr>
    </w:p>
    <w:p w14:paraId="3A6B5360">
      <w:pPr>
        <w:pStyle w:val="146"/>
        <w:rPr>
          <w:rFonts w:hAnsi="宋体" w:cs="FangSong_GB2312"/>
          <w:szCs w:val="21"/>
        </w:rPr>
      </w:pPr>
    </w:p>
    <w:p w14:paraId="16DAE7D0">
      <w:pPr>
        <w:pStyle w:val="146"/>
        <w:rPr>
          <w:rFonts w:hAnsi="宋体" w:cs="FangSong_GB2312"/>
          <w:szCs w:val="21"/>
        </w:rPr>
      </w:pPr>
    </w:p>
    <w:p w14:paraId="781CE3CC">
      <w:pPr>
        <w:pStyle w:val="146"/>
        <w:rPr>
          <w:rFonts w:hAnsi="宋体" w:cs="FangSong_GB2312"/>
          <w:szCs w:val="21"/>
        </w:rPr>
      </w:pPr>
    </w:p>
    <w:p w14:paraId="6585D8EB">
      <w:pPr>
        <w:pStyle w:val="146"/>
        <w:rPr>
          <w:rFonts w:hAnsi="宋体" w:cs="FangSong_GB2312"/>
          <w:szCs w:val="21"/>
        </w:rPr>
      </w:pPr>
    </w:p>
    <w:p w14:paraId="29D93387">
      <w:pPr>
        <w:pStyle w:val="146"/>
        <w:rPr>
          <w:rFonts w:hAnsi="宋体" w:cs="FangSong_GB2312"/>
          <w:szCs w:val="21"/>
        </w:rPr>
      </w:pPr>
    </w:p>
    <w:p w14:paraId="25108B0C">
      <w:pPr>
        <w:pStyle w:val="146"/>
        <w:rPr>
          <w:rFonts w:hAnsi="宋体" w:cs="FangSong_GB2312"/>
          <w:szCs w:val="21"/>
        </w:rPr>
      </w:pPr>
    </w:p>
    <w:p w14:paraId="78FD0AA7">
      <w:pPr>
        <w:pStyle w:val="146"/>
        <w:rPr>
          <w:rFonts w:hAnsi="宋体" w:cs="FangSong_GB2312"/>
          <w:szCs w:val="21"/>
        </w:rPr>
      </w:pPr>
    </w:p>
    <w:p w14:paraId="52E8E34F">
      <w:pPr>
        <w:pStyle w:val="146"/>
        <w:rPr>
          <w:rFonts w:hAnsi="宋体" w:cs="FangSong_GB2312"/>
          <w:szCs w:val="21"/>
        </w:rPr>
      </w:pPr>
    </w:p>
    <w:p w14:paraId="5FB4E723">
      <w:pPr>
        <w:pStyle w:val="146"/>
        <w:rPr>
          <w:rFonts w:hAnsi="宋体" w:cs="FangSong_GB2312"/>
          <w:szCs w:val="21"/>
        </w:rPr>
      </w:pPr>
    </w:p>
    <w:p w14:paraId="6ABBC291">
      <w:pPr>
        <w:pStyle w:val="146"/>
        <w:rPr>
          <w:rFonts w:hAnsi="宋体" w:cs="FangSong_GB2312"/>
          <w:szCs w:val="21"/>
        </w:rPr>
      </w:pPr>
    </w:p>
    <w:p w14:paraId="6FAAFE78">
      <w:pPr>
        <w:pStyle w:val="146"/>
        <w:rPr>
          <w:rFonts w:hAnsi="宋体" w:cs="FangSong_GB2312"/>
          <w:szCs w:val="21"/>
        </w:rPr>
      </w:pPr>
    </w:p>
    <w:p w14:paraId="5B35252D">
      <w:pPr>
        <w:pStyle w:val="146"/>
        <w:rPr>
          <w:rFonts w:hAnsi="宋体" w:cs="FangSong_GB2312"/>
          <w:szCs w:val="21"/>
        </w:rPr>
      </w:pPr>
    </w:p>
    <w:p w14:paraId="57BC9223">
      <w:pPr>
        <w:pStyle w:val="146"/>
        <w:rPr>
          <w:rFonts w:hAnsi="宋体" w:cs="FangSong_GB2312"/>
          <w:szCs w:val="21"/>
        </w:rPr>
      </w:pPr>
    </w:p>
    <w:p w14:paraId="7D2A079A">
      <w:pPr>
        <w:pStyle w:val="146"/>
        <w:rPr>
          <w:rFonts w:hAnsi="宋体" w:cs="FangSong_GB2312"/>
          <w:szCs w:val="21"/>
        </w:rPr>
      </w:pPr>
    </w:p>
    <w:p w14:paraId="1029C87C">
      <w:pPr>
        <w:pStyle w:val="146"/>
        <w:rPr>
          <w:rFonts w:hAnsi="宋体" w:cs="FangSong_GB2312"/>
          <w:szCs w:val="21"/>
        </w:rPr>
      </w:pPr>
    </w:p>
    <w:p w14:paraId="6E2BEFB9">
      <w:pPr>
        <w:pStyle w:val="146"/>
        <w:rPr>
          <w:rFonts w:hAnsi="宋体" w:cs="FangSong_GB2312"/>
          <w:szCs w:val="21"/>
        </w:rPr>
      </w:pPr>
    </w:p>
    <w:p w14:paraId="0BE018FA">
      <w:pPr>
        <w:pStyle w:val="146"/>
        <w:rPr>
          <w:rFonts w:hAnsi="宋体" w:cs="FangSong_GB2312"/>
          <w:szCs w:val="21"/>
        </w:rPr>
      </w:pPr>
    </w:p>
    <w:p w14:paraId="1190D918">
      <w:pPr>
        <w:pStyle w:val="146"/>
        <w:rPr>
          <w:rFonts w:hAnsi="宋体" w:cs="FangSong_GB2312"/>
          <w:szCs w:val="21"/>
        </w:rPr>
      </w:pPr>
    </w:p>
    <w:p w14:paraId="3DABAECF">
      <w:pPr>
        <w:pStyle w:val="146"/>
        <w:rPr>
          <w:rFonts w:hAnsi="宋体" w:cs="FangSong_GB2312"/>
          <w:szCs w:val="21"/>
        </w:rPr>
      </w:pPr>
    </w:p>
    <w:p w14:paraId="7416F73A">
      <w:pPr>
        <w:pStyle w:val="146"/>
        <w:rPr>
          <w:rFonts w:hAnsi="宋体" w:cs="FangSong_GB2312"/>
          <w:szCs w:val="21"/>
        </w:rPr>
      </w:pPr>
    </w:p>
    <w:p w14:paraId="38D0D263">
      <w:pPr>
        <w:pStyle w:val="146"/>
        <w:rPr>
          <w:rFonts w:hAnsi="宋体" w:cs="FangSong_GB2312"/>
          <w:szCs w:val="21"/>
        </w:rPr>
      </w:pPr>
    </w:p>
    <w:p w14:paraId="2234FD05">
      <w:pPr>
        <w:pStyle w:val="146"/>
        <w:rPr>
          <w:rFonts w:hAnsi="宋体" w:cs="FangSong_GB2312"/>
          <w:szCs w:val="21"/>
        </w:rPr>
      </w:pPr>
    </w:p>
    <w:p w14:paraId="6DC9C8C8">
      <w:pPr>
        <w:pStyle w:val="146"/>
        <w:rPr>
          <w:rFonts w:hAnsi="宋体" w:cs="FangSong_GB2312"/>
          <w:szCs w:val="21"/>
        </w:rPr>
      </w:pPr>
    </w:p>
    <w:p w14:paraId="3DE3ABDD">
      <w:pPr>
        <w:pStyle w:val="146"/>
        <w:rPr>
          <w:rFonts w:hAnsi="宋体" w:cs="FangSong_GB2312"/>
          <w:szCs w:val="21"/>
        </w:rPr>
      </w:pPr>
    </w:p>
    <w:p w14:paraId="21C46F08">
      <w:pPr>
        <w:pStyle w:val="146"/>
        <w:rPr>
          <w:rFonts w:hAnsi="宋体" w:cs="FangSong_GB2312"/>
          <w:szCs w:val="21"/>
        </w:rPr>
      </w:pPr>
    </w:p>
    <w:p w14:paraId="3C9BE3DB">
      <w:pPr>
        <w:pStyle w:val="146"/>
        <w:rPr>
          <w:rFonts w:hAnsi="宋体" w:cs="FangSong_GB2312"/>
          <w:szCs w:val="21"/>
        </w:rPr>
      </w:pPr>
    </w:p>
    <w:p w14:paraId="56C222A0">
      <w:pPr>
        <w:pStyle w:val="146"/>
        <w:rPr>
          <w:rFonts w:hAnsi="宋体" w:cs="FangSong_GB2312"/>
          <w:szCs w:val="21"/>
        </w:rPr>
      </w:pPr>
    </w:p>
    <w:p w14:paraId="7D563131">
      <w:pPr>
        <w:pStyle w:val="146"/>
        <w:rPr>
          <w:rFonts w:hAnsi="宋体" w:cs="FangSong_GB2312"/>
          <w:szCs w:val="21"/>
        </w:rPr>
      </w:pPr>
    </w:p>
    <w:p w14:paraId="26183648">
      <w:pPr>
        <w:jc w:val="left"/>
        <w:rPr>
          <w:rFonts w:ascii="宋体" w:hAnsi="宋体" w:cs="宋体"/>
          <w:b/>
          <w:szCs w:val="21"/>
        </w:rPr>
      </w:pPr>
    </w:p>
    <w:p w14:paraId="3DF677CF">
      <w:pPr>
        <w:jc w:val="left"/>
        <w:rPr>
          <w:rFonts w:ascii="宋体" w:hAnsi="宋体" w:cs="宋体"/>
          <w:b/>
          <w:szCs w:val="21"/>
        </w:rPr>
      </w:pPr>
    </w:p>
    <w:p w14:paraId="5E3C5DC9">
      <w:pPr>
        <w:jc w:val="left"/>
        <w:rPr>
          <w:rFonts w:ascii="宋体" w:hAnsi="宋体" w:cs="宋体"/>
          <w:b/>
          <w:szCs w:val="21"/>
        </w:rPr>
      </w:pPr>
    </w:p>
    <w:p w14:paraId="06C05727">
      <w:pPr>
        <w:jc w:val="left"/>
        <w:rPr>
          <w:rFonts w:ascii="宋体" w:hAnsi="宋体" w:cs="宋体"/>
          <w:b/>
          <w:szCs w:val="21"/>
        </w:rPr>
      </w:pPr>
    </w:p>
    <w:p w14:paraId="6AD16969">
      <w:pPr>
        <w:jc w:val="left"/>
        <w:rPr>
          <w:rFonts w:ascii="宋体" w:hAnsi="宋体" w:cs="宋体"/>
          <w:b/>
          <w:szCs w:val="21"/>
        </w:rPr>
      </w:pPr>
    </w:p>
    <w:p w14:paraId="14A11D12">
      <w:pPr>
        <w:jc w:val="left"/>
        <w:rPr>
          <w:rFonts w:ascii="宋体" w:hAnsi="宋体" w:cs="宋体"/>
          <w:b/>
          <w:szCs w:val="21"/>
        </w:rPr>
      </w:pPr>
    </w:p>
    <w:p w14:paraId="7228084C">
      <w:pPr>
        <w:jc w:val="left"/>
        <w:rPr>
          <w:rFonts w:ascii="宋体" w:hAnsi="宋体" w:cs="宋体"/>
          <w:b/>
          <w:szCs w:val="21"/>
        </w:rPr>
      </w:pPr>
    </w:p>
    <w:p w14:paraId="6E136C22">
      <w:pPr>
        <w:jc w:val="left"/>
        <w:rPr>
          <w:rFonts w:ascii="宋体" w:hAnsi="宋体" w:cs="宋体"/>
          <w:b/>
          <w:szCs w:val="21"/>
        </w:rPr>
      </w:pPr>
    </w:p>
    <w:p w14:paraId="7C792526">
      <w:pPr>
        <w:jc w:val="left"/>
        <w:rPr>
          <w:rFonts w:ascii="宋体" w:hAnsi="宋体" w:cs="宋体"/>
          <w:b/>
          <w:szCs w:val="21"/>
        </w:rPr>
      </w:pPr>
    </w:p>
    <w:p w14:paraId="5F480D11">
      <w:pPr>
        <w:jc w:val="left"/>
        <w:rPr>
          <w:rFonts w:ascii="宋体" w:hAnsi="宋体" w:cs="宋体"/>
          <w:b/>
          <w:szCs w:val="21"/>
        </w:rPr>
      </w:pPr>
    </w:p>
    <w:p w14:paraId="131930DD">
      <w:pPr>
        <w:jc w:val="left"/>
        <w:rPr>
          <w:rFonts w:ascii="宋体" w:hAnsi="宋体" w:cs="宋体"/>
          <w:b/>
          <w:szCs w:val="21"/>
        </w:rPr>
      </w:pPr>
    </w:p>
    <w:p w14:paraId="11CBE657">
      <w:pPr>
        <w:jc w:val="left"/>
        <w:rPr>
          <w:rFonts w:ascii="宋体" w:hAnsi="宋体" w:cs="宋体"/>
          <w:b/>
          <w:szCs w:val="21"/>
        </w:rPr>
      </w:pPr>
    </w:p>
    <w:p w14:paraId="763F0FB3">
      <w:pPr>
        <w:spacing w:line="312" w:lineRule="auto"/>
        <w:jc w:val="center"/>
        <w:rPr>
          <w:rFonts w:hint="eastAsia" w:ascii="宋体" w:hAnsi="宋体" w:cs="宋体"/>
          <w:b/>
          <w:sz w:val="28"/>
          <w:szCs w:val="28"/>
        </w:rPr>
      </w:pPr>
    </w:p>
    <w:p w14:paraId="6264543F">
      <w:pPr>
        <w:jc w:val="left"/>
        <w:rPr>
          <w:rFonts w:ascii="宋体" w:hAnsi="宋体" w:cs="宋体"/>
          <w:b/>
          <w:szCs w:val="21"/>
        </w:rPr>
      </w:pPr>
      <w:r>
        <w:rPr>
          <w:rFonts w:hint="eastAsia" w:ascii="宋体" w:hAnsi="宋体" w:cs="宋体"/>
          <w:b/>
          <w:szCs w:val="21"/>
        </w:rPr>
        <w:t>附件：</w:t>
      </w:r>
    </w:p>
    <w:p w14:paraId="7BCF0219">
      <w:pPr>
        <w:spacing w:line="312" w:lineRule="auto"/>
        <w:jc w:val="center"/>
        <w:rPr>
          <w:rFonts w:ascii="宋体" w:hAnsi="宋体" w:cs="宋体"/>
          <w:szCs w:val="21"/>
        </w:rPr>
      </w:pPr>
    </w:p>
    <w:p w14:paraId="703B5144">
      <w:pPr>
        <w:spacing w:line="312" w:lineRule="auto"/>
        <w:jc w:val="center"/>
        <w:rPr>
          <w:rFonts w:ascii="宋体" w:hAnsi="宋体" w:cs="宋体"/>
          <w:b/>
          <w:szCs w:val="21"/>
        </w:rPr>
      </w:pPr>
      <w:r>
        <w:rPr>
          <w:rFonts w:hint="eastAsia" w:ascii="宋体" w:hAnsi="宋体" w:cs="宋体"/>
          <w:b/>
          <w:szCs w:val="21"/>
        </w:rPr>
        <w:t>政府采购促进中小企业发展管理办法</w:t>
      </w:r>
    </w:p>
    <w:p w14:paraId="3EE3F61D">
      <w:pPr>
        <w:spacing w:line="312" w:lineRule="auto"/>
        <w:jc w:val="center"/>
        <w:rPr>
          <w:rFonts w:ascii="宋体" w:hAnsi="宋体" w:cs="宋体"/>
          <w:b/>
          <w:szCs w:val="21"/>
        </w:rPr>
      </w:pPr>
      <w:r>
        <w:rPr>
          <w:rFonts w:hint="eastAsia" w:ascii="宋体" w:hAnsi="宋体" w:cs="宋体"/>
          <w:b/>
          <w:szCs w:val="21"/>
        </w:rPr>
        <w:t>财库〔2020〕46号</w:t>
      </w:r>
    </w:p>
    <w:p w14:paraId="00753576">
      <w:pPr>
        <w:spacing w:line="312" w:lineRule="auto"/>
        <w:rPr>
          <w:rFonts w:ascii="宋体" w:hAnsi="宋体" w:cs="宋体"/>
          <w:szCs w:val="21"/>
        </w:rPr>
      </w:pPr>
      <w:r>
        <w:rPr>
          <w:rFonts w:hint="eastAsia" w:ascii="宋体" w:hAnsi="宋体" w:cs="宋体"/>
          <w:szCs w:val="21"/>
        </w:rPr>
        <w:t>　　第一条 为了发挥政府采购的政策功能，促进中小企业健康发展，根据《中华人民共和国政府采购法》、《中华人民共和国中小企业促进法》等有关法律法规，制定本办法。</w:t>
      </w:r>
    </w:p>
    <w:p w14:paraId="38DCBFB9">
      <w:pPr>
        <w:spacing w:line="312" w:lineRule="auto"/>
        <w:rPr>
          <w:rFonts w:ascii="宋体" w:hAnsi="宋体" w:cs="宋体"/>
          <w:szCs w:val="21"/>
        </w:rPr>
      </w:pPr>
      <w:r>
        <w:rPr>
          <w:rFonts w:hint="eastAsia" w:ascii="宋体" w:hAnsi="宋体" w:cs="宋体"/>
          <w:szCs w:val="21"/>
        </w:rPr>
        <w:t>　  第二条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57CEC109">
      <w:pPr>
        <w:spacing w:line="312" w:lineRule="auto"/>
        <w:ind w:firstLine="420" w:firstLineChars="200"/>
        <w:rPr>
          <w:rFonts w:ascii="宋体" w:hAnsi="宋体" w:cs="宋体"/>
          <w:szCs w:val="21"/>
        </w:rPr>
      </w:pPr>
      <w:r>
        <w:rPr>
          <w:rFonts w:hint="eastAsia" w:ascii="宋体" w:hAnsi="宋体" w:cs="宋体"/>
          <w:szCs w:val="21"/>
        </w:rPr>
        <w:t>符合中小企业划分标准的个体工商户，在政府采购活动中视同中小企业。</w:t>
      </w:r>
    </w:p>
    <w:p w14:paraId="3ADEA249">
      <w:pPr>
        <w:spacing w:line="312" w:lineRule="auto"/>
        <w:rPr>
          <w:rFonts w:ascii="宋体" w:hAnsi="宋体" w:cs="宋体"/>
          <w:szCs w:val="21"/>
        </w:rPr>
      </w:pPr>
      <w:r>
        <w:rPr>
          <w:rFonts w:hint="eastAsia" w:ascii="宋体" w:hAnsi="宋体" w:cs="宋体"/>
          <w:szCs w:val="21"/>
        </w:rPr>
        <w:t>　  第三条 采购人在政府采购活动中应当通过加强采购需求管理，落实预留采购份额、价格评审优惠、优先采购等措施，提高中小企业在政府采购中的份额，支持中小企业发展。</w:t>
      </w:r>
    </w:p>
    <w:p w14:paraId="7B98A7B9">
      <w:pPr>
        <w:spacing w:line="312" w:lineRule="auto"/>
        <w:rPr>
          <w:rFonts w:ascii="宋体" w:hAnsi="宋体" w:cs="宋体"/>
          <w:szCs w:val="21"/>
        </w:rPr>
      </w:pPr>
      <w:r>
        <w:rPr>
          <w:rFonts w:hint="eastAsia" w:ascii="宋体" w:hAnsi="宋体" w:cs="宋体"/>
          <w:szCs w:val="21"/>
        </w:rPr>
        <w:t>　　第四条 在政府采购活动中，供应商提供的货物、工程或者服务符合下列情形的，享受本办法规定的中小企业扶持政策：</w:t>
      </w:r>
    </w:p>
    <w:p w14:paraId="0BA6AE35">
      <w:pPr>
        <w:spacing w:line="312" w:lineRule="auto"/>
        <w:ind w:firstLine="420" w:firstLineChars="200"/>
        <w:rPr>
          <w:rFonts w:ascii="宋体" w:hAnsi="宋体" w:cs="宋体"/>
          <w:szCs w:val="21"/>
        </w:rPr>
      </w:pPr>
      <w:r>
        <w:rPr>
          <w:rFonts w:hint="eastAsia" w:ascii="宋体" w:hAnsi="宋体" w:cs="宋体"/>
          <w:szCs w:val="21"/>
        </w:rPr>
        <w:t>（一）在货物采购项目中，货物由中小企业制造，即货物由中小企业生产且使用该中小企业商号或者注册商标；</w:t>
      </w:r>
    </w:p>
    <w:p w14:paraId="27F8C761">
      <w:pPr>
        <w:spacing w:line="312" w:lineRule="auto"/>
        <w:ind w:firstLine="420" w:firstLineChars="200"/>
        <w:rPr>
          <w:rFonts w:ascii="宋体" w:hAnsi="宋体" w:cs="宋体"/>
          <w:szCs w:val="21"/>
        </w:rPr>
      </w:pPr>
      <w:r>
        <w:rPr>
          <w:rFonts w:hint="eastAsia" w:ascii="宋体" w:hAnsi="宋体" w:cs="宋体"/>
          <w:szCs w:val="21"/>
        </w:rPr>
        <w:t>（二）在工程采购项目中，工程由中小企业承建，即工程施工单位为中小企业；</w:t>
      </w:r>
    </w:p>
    <w:p w14:paraId="0B326316">
      <w:pPr>
        <w:spacing w:line="312" w:lineRule="auto"/>
        <w:ind w:firstLine="420" w:firstLineChars="200"/>
        <w:rPr>
          <w:rFonts w:ascii="宋体" w:hAnsi="宋体" w:cs="宋体"/>
          <w:szCs w:val="21"/>
        </w:rPr>
      </w:pPr>
      <w:r>
        <w:rPr>
          <w:rFonts w:hint="eastAsia" w:ascii="宋体" w:hAnsi="宋体" w:cs="宋体"/>
          <w:szCs w:val="21"/>
        </w:rPr>
        <w:t>（三）在服务采购项目中，服务由中小企业承接，即提供服务的人员为中小企业依照《中华人民共和国劳动合同法》订立劳动合同的从业人员。</w:t>
      </w:r>
    </w:p>
    <w:p w14:paraId="11D0DB6E">
      <w:pPr>
        <w:spacing w:line="312" w:lineRule="auto"/>
        <w:ind w:firstLine="420" w:firstLineChars="200"/>
        <w:rPr>
          <w:rFonts w:ascii="宋体" w:hAnsi="宋体" w:cs="宋体"/>
          <w:szCs w:val="21"/>
        </w:rPr>
      </w:pPr>
      <w:r>
        <w:rPr>
          <w:rFonts w:hint="eastAsia" w:ascii="宋体" w:hAnsi="宋体" w:cs="宋体"/>
          <w:szCs w:val="21"/>
        </w:rPr>
        <w:t>在货物采购项目中，供应商提供的货物既有中小企业制造货物，也有大型企业制造货物的，不享受本办法规定的中小企业扶持政策。</w:t>
      </w:r>
    </w:p>
    <w:p w14:paraId="4C31756A">
      <w:pPr>
        <w:spacing w:line="312" w:lineRule="auto"/>
        <w:ind w:firstLine="420" w:firstLineChars="200"/>
        <w:rPr>
          <w:rFonts w:ascii="宋体" w:hAnsi="宋体" w:cs="宋体"/>
          <w:szCs w:val="21"/>
        </w:rPr>
      </w:pPr>
      <w:r>
        <w:rPr>
          <w:rFonts w:hint="eastAsia" w:ascii="宋体" w:hAnsi="宋体" w:cs="宋体"/>
          <w:szCs w:val="21"/>
        </w:rPr>
        <w:t>以联合体形式参加政府采购活动，联合体各方均为中小企业的，联合体视同中小企业。其中，联合体各方均为小微企业的，联合体视同小微企业。</w:t>
      </w:r>
    </w:p>
    <w:p w14:paraId="0E20A454">
      <w:pPr>
        <w:spacing w:line="312" w:lineRule="auto"/>
        <w:ind w:firstLine="420" w:firstLineChars="200"/>
        <w:rPr>
          <w:rFonts w:ascii="宋体" w:hAnsi="宋体" w:cs="宋体"/>
          <w:szCs w:val="21"/>
        </w:rPr>
      </w:pPr>
      <w:r>
        <w:rPr>
          <w:rFonts w:hint="eastAsia" w:ascii="宋体" w:hAnsi="宋体" w:cs="宋体"/>
          <w:szCs w:val="21"/>
        </w:rPr>
        <w:t>第五条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7FC78244">
      <w:pPr>
        <w:spacing w:line="312" w:lineRule="auto"/>
        <w:ind w:firstLine="420" w:firstLineChars="200"/>
        <w:rPr>
          <w:rFonts w:ascii="宋体" w:hAnsi="宋体" w:cs="宋体"/>
          <w:szCs w:val="21"/>
        </w:rPr>
      </w:pPr>
      <w:r>
        <w:rPr>
          <w:rFonts w:hint="eastAsia" w:ascii="宋体" w:hAnsi="宋体" w:cs="宋体"/>
          <w:szCs w:val="21"/>
        </w:rPr>
        <w:t>第六条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56297B7C">
      <w:pPr>
        <w:spacing w:line="312" w:lineRule="auto"/>
        <w:ind w:firstLine="420" w:firstLineChars="200"/>
        <w:rPr>
          <w:rFonts w:ascii="宋体" w:hAnsi="宋体" w:cs="宋体"/>
          <w:szCs w:val="21"/>
        </w:rPr>
      </w:pPr>
      <w:r>
        <w:rPr>
          <w:rFonts w:hint="eastAsia" w:ascii="宋体" w:hAnsi="宋体" w:cs="宋体"/>
          <w:szCs w:val="21"/>
        </w:rPr>
        <w:t>符合下列情形之一的，可不专门面向中小企业预留采购份额：</w:t>
      </w:r>
    </w:p>
    <w:p w14:paraId="2C0D0DB6">
      <w:pPr>
        <w:spacing w:line="312" w:lineRule="auto"/>
        <w:ind w:firstLine="420" w:firstLineChars="200"/>
        <w:rPr>
          <w:rFonts w:ascii="宋体" w:hAnsi="宋体" w:cs="宋体"/>
          <w:szCs w:val="21"/>
        </w:rPr>
      </w:pPr>
      <w:r>
        <w:rPr>
          <w:rFonts w:hint="eastAsia" w:ascii="宋体" w:hAnsi="宋体" w:cs="宋体"/>
          <w:szCs w:val="21"/>
        </w:rPr>
        <w:t>（一）法律法规和国家有关政策明确规定优先或者应当面向事业单位、社会组织等非企业主体采购的；</w:t>
      </w:r>
    </w:p>
    <w:p w14:paraId="4DBD0764">
      <w:pPr>
        <w:spacing w:line="312" w:lineRule="auto"/>
        <w:ind w:firstLine="420" w:firstLineChars="200"/>
        <w:rPr>
          <w:rFonts w:ascii="宋体" w:hAnsi="宋体" w:cs="宋体"/>
          <w:szCs w:val="21"/>
        </w:rPr>
      </w:pPr>
      <w:r>
        <w:rPr>
          <w:rFonts w:hint="eastAsia" w:ascii="宋体" w:hAnsi="宋体" w:cs="宋体"/>
          <w:szCs w:val="21"/>
        </w:rPr>
        <w:t>（二）因确需使用不可替代的专利、专有技术，基础设施限制，或者提供特定公共服务等原因，只能从中小企业之外的供应商处采购的；</w:t>
      </w:r>
    </w:p>
    <w:p w14:paraId="5AAD9C88">
      <w:pPr>
        <w:spacing w:line="312" w:lineRule="auto"/>
        <w:rPr>
          <w:rFonts w:ascii="宋体" w:hAnsi="宋体" w:cs="宋体"/>
          <w:szCs w:val="21"/>
        </w:rPr>
      </w:pPr>
      <w:r>
        <w:rPr>
          <w:rFonts w:hint="eastAsia" w:ascii="宋体" w:hAnsi="宋体" w:cs="宋体"/>
          <w:szCs w:val="21"/>
        </w:rPr>
        <w:t>　  （三）按照本办法规定预留采购份额无法确保充分供应、充分竞争，或者存在可能影响政府采购目标实现的情形；</w:t>
      </w:r>
    </w:p>
    <w:p w14:paraId="5F3EAF5C">
      <w:pPr>
        <w:spacing w:line="312" w:lineRule="auto"/>
        <w:ind w:firstLine="420" w:firstLineChars="200"/>
        <w:rPr>
          <w:rFonts w:ascii="宋体" w:hAnsi="宋体" w:cs="宋体"/>
          <w:szCs w:val="21"/>
        </w:rPr>
      </w:pPr>
      <w:r>
        <w:rPr>
          <w:rFonts w:hint="eastAsia" w:ascii="宋体" w:hAnsi="宋体" w:cs="宋体"/>
          <w:szCs w:val="21"/>
        </w:rPr>
        <w:t>（四）框架协议采购项目；</w:t>
      </w:r>
    </w:p>
    <w:p w14:paraId="7B3CC22E">
      <w:pPr>
        <w:spacing w:line="312" w:lineRule="auto"/>
        <w:ind w:firstLine="420" w:firstLineChars="200"/>
        <w:rPr>
          <w:rFonts w:ascii="宋体" w:hAnsi="宋体" w:cs="宋体"/>
          <w:szCs w:val="21"/>
        </w:rPr>
      </w:pPr>
      <w:r>
        <w:rPr>
          <w:rFonts w:hint="eastAsia" w:ascii="宋体" w:hAnsi="宋体" w:cs="宋体"/>
          <w:szCs w:val="21"/>
        </w:rPr>
        <w:t>（五）省级以上人民政府财政部门规定的其他情形。</w:t>
      </w:r>
    </w:p>
    <w:p w14:paraId="6AE634DE">
      <w:pPr>
        <w:spacing w:line="312" w:lineRule="auto"/>
        <w:ind w:firstLine="420" w:firstLineChars="200"/>
        <w:rPr>
          <w:rFonts w:ascii="宋体" w:hAnsi="宋体" w:cs="宋体"/>
          <w:szCs w:val="21"/>
        </w:rPr>
      </w:pPr>
      <w:r>
        <w:rPr>
          <w:rFonts w:hint="eastAsia" w:ascii="宋体" w:hAnsi="宋体" w:cs="宋体"/>
          <w:szCs w:val="21"/>
        </w:rPr>
        <w:t>除上述情形外，其他均为适宜由中小企业提供的情形。</w:t>
      </w:r>
    </w:p>
    <w:p w14:paraId="3AB79379">
      <w:pPr>
        <w:spacing w:line="312" w:lineRule="auto"/>
        <w:ind w:firstLine="420" w:firstLineChars="200"/>
        <w:rPr>
          <w:rFonts w:ascii="宋体" w:hAnsi="宋体" w:cs="宋体"/>
          <w:szCs w:val="21"/>
        </w:rPr>
      </w:pPr>
      <w:r>
        <w:rPr>
          <w:rFonts w:hint="eastAsia" w:ascii="宋体" w:hAnsi="宋体" w:cs="宋体"/>
          <w:szCs w:val="21"/>
        </w:rPr>
        <w:t>第七条 采购限额标准以上，200万元以下的货物和服务采购项目、400万元以下的工程采购项目，适宜由中小企业提供的，采购人应当专门面向中小企业采购。</w:t>
      </w:r>
    </w:p>
    <w:p w14:paraId="3EB9F947">
      <w:pPr>
        <w:spacing w:line="312" w:lineRule="auto"/>
        <w:ind w:firstLine="420" w:firstLineChars="200"/>
        <w:rPr>
          <w:rFonts w:ascii="宋体" w:hAnsi="宋体" w:cs="宋体"/>
          <w:szCs w:val="21"/>
        </w:rPr>
      </w:pPr>
      <w:r>
        <w:rPr>
          <w:rFonts w:hint="eastAsia" w:ascii="宋体" w:hAnsi="宋体" w:cs="宋体"/>
          <w:szCs w:val="21"/>
        </w:rPr>
        <w:t>第八条 超过 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14:paraId="50E4E326">
      <w:pPr>
        <w:spacing w:line="312" w:lineRule="auto"/>
        <w:ind w:firstLine="420" w:firstLineChars="200"/>
        <w:rPr>
          <w:rFonts w:ascii="宋体" w:hAnsi="宋体" w:cs="宋体"/>
          <w:szCs w:val="21"/>
        </w:rPr>
      </w:pPr>
      <w:r>
        <w:rPr>
          <w:rFonts w:hint="eastAsia" w:ascii="宋体" w:hAnsi="宋体" w:cs="宋体"/>
          <w:szCs w:val="21"/>
        </w:rPr>
        <w:t>（一）将采购项目整体或者设置采购包专门面向中小企业采购；</w:t>
      </w:r>
    </w:p>
    <w:p w14:paraId="0B720DD6">
      <w:pPr>
        <w:spacing w:line="312" w:lineRule="auto"/>
        <w:ind w:firstLine="420" w:firstLineChars="200"/>
        <w:rPr>
          <w:rFonts w:ascii="宋体" w:hAnsi="宋体" w:cs="宋体"/>
          <w:szCs w:val="21"/>
        </w:rPr>
      </w:pPr>
      <w:r>
        <w:rPr>
          <w:rFonts w:hint="eastAsia" w:ascii="宋体" w:hAnsi="宋体" w:cs="宋体"/>
          <w:szCs w:val="21"/>
        </w:rPr>
        <w:t>（二）要求供应商以联合体形式参加采购活动，且联合体中中小企业承担的部分达到一定比例；</w:t>
      </w:r>
    </w:p>
    <w:p w14:paraId="3EA39F09">
      <w:pPr>
        <w:spacing w:line="312" w:lineRule="auto"/>
        <w:ind w:firstLine="420" w:firstLineChars="200"/>
        <w:rPr>
          <w:rFonts w:ascii="宋体" w:hAnsi="宋体" w:cs="宋体"/>
          <w:szCs w:val="21"/>
        </w:rPr>
      </w:pPr>
      <w:r>
        <w:rPr>
          <w:rFonts w:hint="eastAsia" w:ascii="宋体" w:hAnsi="宋体" w:cs="宋体"/>
          <w:szCs w:val="21"/>
        </w:rPr>
        <w:t>（三）要求获得采购合同的供应商将采购项目中的一定比例分包给一家或者多家中小企业。</w:t>
      </w:r>
    </w:p>
    <w:p w14:paraId="4F1B4E96">
      <w:pPr>
        <w:spacing w:line="312" w:lineRule="auto"/>
        <w:ind w:firstLine="420" w:firstLineChars="200"/>
        <w:rPr>
          <w:rFonts w:ascii="宋体" w:hAnsi="宋体" w:cs="宋体"/>
          <w:szCs w:val="21"/>
        </w:rPr>
      </w:pPr>
      <w:r>
        <w:rPr>
          <w:rFonts w:hint="eastAsia" w:ascii="宋体" w:hAnsi="宋体" w:cs="宋体"/>
          <w:szCs w:val="21"/>
        </w:rPr>
        <w:t>组成联合体或者接受分包合同的中小企业与联合体内其他企业、分包企业之间不得存在直接控股、管理关系。</w:t>
      </w:r>
    </w:p>
    <w:p w14:paraId="5C6ED811">
      <w:pPr>
        <w:spacing w:line="312" w:lineRule="auto"/>
        <w:ind w:firstLine="420" w:firstLineChars="200"/>
        <w:rPr>
          <w:rFonts w:ascii="宋体" w:hAnsi="宋体" w:cs="宋体"/>
          <w:szCs w:val="21"/>
        </w:rPr>
      </w:pPr>
      <w:r>
        <w:rPr>
          <w:rFonts w:hint="eastAsia" w:ascii="宋体" w:hAnsi="宋体" w:cs="宋体"/>
          <w:szCs w:val="21"/>
        </w:rPr>
        <w:t>第九条 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w:t>
      </w:r>
      <w:r>
        <w:rPr>
          <w:rFonts w:hint="eastAsia" w:ascii="宋体" w:hAnsi="宋体" w:cs="宋体"/>
          <w:szCs w:val="21"/>
          <w:lang w:eastAsia="zh-CN"/>
        </w:rPr>
        <w:t>磋商</w:t>
      </w:r>
      <w:r>
        <w:rPr>
          <w:rFonts w:hint="eastAsia" w:ascii="宋体" w:hAnsi="宋体" w:cs="宋体"/>
          <w:szCs w:val="21"/>
        </w:rPr>
        <w:t>投标法的政府采购工程建设项目，采用综合评估法但未采用低价优先法计算价格分的，评标时应当在采用原报价进行评分的基础上增加其价格得分的3%—5%作为其价格分。</w:t>
      </w:r>
    </w:p>
    <w:p w14:paraId="777E804A">
      <w:pPr>
        <w:spacing w:line="312" w:lineRule="auto"/>
        <w:ind w:firstLine="420" w:firstLineChars="200"/>
        <w:rPr>
          <w:rFonts w:ascii="宋体" w:hAnsi="宋体" w:cs="宋体"/>
          <w:szCs w:val="21"/>
        </w:rPr>
      </w:pPr>
      <w:r>
        <w:rPr>
          <w:rFonts w:hint="eastAsia" w:ascii="宋体" w:hAnsi="宋体" w:cs="宋体"/>
          <w:szCs w:val="21"/>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w:t>
      </w:r>
      <w:r>
        <w:rPr>
          <w:rFonts w:hint="eastAsia" w:ascii="宋体" w:hAnsi="宋体" w:cs="宋体"/>
          <w:szCs w:val="21"/>
          <w:lang w:eastAsia="zh-CN"/>
        </w:rPr>
        <w:t>磋商</w:t>
      </w:r>
      <w:r>
        <w:rPr>
          <w:rFonts w:hint="eastAsia" w:ascii="宋体" w:hAnsi="宋体" w:cs="宋体"/>
          <w:szCs w:val="21"/>
        </w:rPr>
        <w:t>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33004838">
      <w:pPr>
        <w:spacing w:line="312" w:lineRule="auto"/>
        <w:ind w:firstLine="420" w:firstLineChars="200"/>
        <w:rPr>
          <w:rFonts w:ascii="宋体" w:hAnsi="宋体" w:cs="宋体"/>
          <w:szCs w:val="21"/>
        </w:rPr>
      </w:pPr>
      <w:r>
        <w:rPr>
          <w:rFonts w:hint="eastAsia" w:ascii="宋体" w:hAnsi="宋体" w:cs="宋体"/>
          <w:szCs w:val="21"/>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40B0BC50">
      <w:pPr>
        <w:spacing w:line="312" w:lineRule="auto"/>
        <w:ind w:firstLine="420" w:firstLineChars="200"/>
        <w:rPr>
          <w:rFonts w:ascii="宋体" w:hAnsi="宋体" w:cs="宋体"/>
          <w:szCs w:val="21"/>
        </w:rPr>
      </w:pPr>
      <w:r>
        <w:rPr>
          <w:rFonts w:hint="eastAsia" w:ascii="宋体" w:hAnsi="宋体" w:cs="宋体"/>
          <w:szCs w:val="21"/>
        </w:rPr>
        <w:t>第十条 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14:paraId="788245B6">
      <w:pPr>
        <w:spacing w:line="312" w:lineRule="auto"/>
        <w:ind w:firstLine="420" w:firstLineChars="200"/>
        <w:rPr>
          <w:rFonts w:ascii="宋体" w:hAnsi="宋体" w:cs="宋体"/>
          <w:szCs w:val="21"/>
        </w:rPr>
      </w:pPr>
      <w:r>
        <w:rPr>
          <w:rFonts w:hint="eastAsia" w:ascii="宋体" w:hAnsi="宋体" w:cs="宋体"/>
          <w:szCs w:val="21"/>
        </w:rPr>
        <w:t>第十一条 中小企业参加政府采购活动，应当出具本办法规定的《中小企业声明函》（附1），否则不得享受相关中小企业扶持政策。任何单位和个人不得要求供应商提供《中小企业声明函》之外的中小企业身份证明文件。</w:t>
      </w:r>
    </w:p>
    <w:p w14:paraId="1FC89FD8">
      <w:pPr>
        <w:spacing w:line="312" w:lineRule="auto"/>
        <w:ind w:firstLine="420" w:firstLineChars="200"/>
        <w:rPr>
          <w:rFonts w:ascii="宋体" w:hAnsi="宋体" w:cs="宋体"/>
          <w:szCs w:val="21"/>
        </w:rPr>
      </w:pPr>
      <w:r>
        <w:rPr>
          <w:rFonts w:hint="eastAsia" w:ascii="宋体" w:hAnsi="宋体" w:cs="宋体"/>
          <w:szCs w:val="21"/>
        </w:rPr>
        <w:t>第十二条 采购项目涉及中小企业采购的，采购文件应当明确以下内容：</w:t>
      </w:r>
    </w:p>
    <w:p w14:paraId="1480F33B">
      <w:pPr>
        <w:spacing w:line="312" w:lineRule="auto"/>
        <w:ind w:firstLine="420" w:firstLineChars="200"/>
        <w:rPr>
          <w:rFonts w:ascii="宋体" w:hAnsi="宋体" w:cs="宋体"/>
          <w:szCs w:val="21"/>
        </w:rPr>
      </w:pPr>
      <w:r>
        <w:rPr>
          <w:rFonts w:hint="eastAsia" w:ascii="宋体" w:hAnsi="宋体" w:cs="宋体"/>
          <w:szCs w:val="21"/>
        </w:rPr>
        <w:t>（一）预留份额的采购项目或者采购包，明确该项目或相关采购包专门面向中小企业采购，以及相关标的及预算金额；</w:t>
      </w:r>
    </w:p>
    <w:p w14:paraId="7DBFE9E8">
      <w:pPr>
        <w:spacing w:line="312" w:lineRule="auto"/>
        <w:ind w:firstLine="420" w:firstLineChars="200"/>
        <w:rPr>
          <w:rFonts w:ascii="宋体" w:hAnsi="宋体" w:cs="宋体"/>
          <w:szCs w:val="21"/>
        </w:rPr>
      </w:pPr>
      <w:r>
        <w:rPr>
          <w:rFonts w:hint="eastAsia" w:ascii="宋体" w:hAnsi="宋体" w:cs="宋体"/>
          <w:szCs w:val="21"/>
        </w:rPr>
        <w:t>（二）要求以联合体形式参加或者合同分包的，明确联合协议或者分包意向协议中中小企业合同金额应当达到的比例，并作为供应商资格条件；</w:t>
      </w:r>
    </w:p>
    <w:p w14:paraId="4D9D8999">
      <w:pPr>
        <w:spacing w:line="312" w:lineRule="auto"/>
        <w:ind w:firstLine="420" w:firstLineChars="200"/>
        <w:rPr>
          <w:rFonts w:ascii="宋体" w:hAnsi="宋体" w:cs="宋体"/>
          <w:szCs w:val="21"/>
        </w:rPr>
      </w:pPr>
      <w:r>
        <w:rPr>
          <w:rFonts w:hint="eastAsia" w:ascii="宋体" w:hAnsi="宋体" w:cs="宋体"/>
          <w:szCs w:val="21"/>
        </w:rPr>
        <w:t>（三）非预留份额的采购项目或者采购包，明确有关价格扣除比例或者价格分加分比例；</w:t>
      </w:r>
    </w:p>
    <w:p w14:paraId="6A469BC6">
      <w:pPr>
        <w:spacing w:line="312" w:lineRule="auto"/>
        <w:ind w:firstLine="420" w:firstLineChars="200"/>
        <w:rPr>
          <w:rFonts w:ascii="宋体" w:hAnsi="宋体" w:cs="宋体"/>
          <w:szCs w:val="21"/>
        </w:rPr>
      </w:pPr>
      <w:r>
        <w:rPr>
          <w:rFonts w:hint="eastAsia" w:ascii="宋体" w:hAnsi="宋体" w:cs="宋体"/>
          <w:szCs w:val="21"/>
        </w:rPr>
        <w:t>（四）规定依据本办法规定享受扶持政策获得政府采购合同的，小微企业不得将合同分包给大中型企业，中型企业不得将合同分包给大型企业；</w:t>
      </w:r>
    </w:p>
    <w:p w14:paraId="6A5BCD0E">
      <w:pPr>
        <w:spacing w:line="312" w:lineRule="auto"/>
        <w:ind w:firstLine="420" w:firstLineChars="200"/>
        <w:rPr>
          <w:rFonts w:ascii="宋体" w:hAnsi="宋体" w:cs="宋体"/>
          <w:szCs w:val="21"/>
        </w:rPr>
      </w:pPr>
      <w:r>
        <w:rPr>
          <w:rFonts w:hint="eastAsia" w:ascii="宋体" w:hAnsi="宋体" w:cs="宋体"/>
          <w:szCs w:val="21"/>
        </w:rPr>
        <w:t>（五）采购人认为具备相关条件的，明确对中小企业在资金支付期限、预付款比例等方面的优惠措施；</w:t>
      </w:r>
    </w:p>
    <w:p w14:paraId="63B1F2E7">
      <w:pPr>
        <w:spacing w:line="312" w:lineRule="auto"/>
        <w:ind w:firstLine="420" w:firstLineChars="200"/>
        <w:rPr>
          <w:rFonts w:ascii="宋体" w:hAnsi="宋体" w:cs="宋体"/>
          <w:szCs w:val="21"/>
        </w:rPr>
      </w:pPr>
      <w:r>
        <w:rPr>
          <w:rFonts w:hint="eastAsia" w:ascii="宋体" w:hAnsi="宋体" w:cs="宋体"/>
          <w:szCs w:val="21"/>
        </w:rPr>
        <w:t>（六）明确采购标的对应的中小企业划分标准所属行业；</w:t>
      </w:r>
    </w:p>
    <w:p w14:paraId="6532E182">
      <w:pPr>
        <w:spacing w:line="312" w:lineRule="auto"/>
        <w:ind w:firstLine="420" w:firstLineChars="200"/>
        <w:rPr>
          <w:rFonts w:ascii="宋体" w:hAnsi="宋体" w:cs="宋体"/>
          <w:szCs w:val="21"/>
        </w:rPr>
      </w:pPr>
      <w:r>
        <w:rPr>
          <w:rFonts w:hint="eastAsia" w:ascii="宋体" w:hAnsi="宋体" w:cs="宋体"/>
          <w:szCs w:val="21"/>
        </w:rPr>
        <w:t>（七）法律法规和省级以上人民政府财政部门规定的其他事项。</w:t>
      </w:r>
    </w:p>
    <w:p w14:paraId="26C1FC84">
      <w:pPr>
        <w:spacing w:line="312" w:lineRule="auto"/>
        <w:ind w:firstLine="420" w:firstLineChars="200"/>
        <w:rPr>
          <w:rFonts w:ascii="宋体" w:hAnsi="宋体" w:cs="宋体"/>
          <w:szCs w:val="21"/>
        </w:rPr>
      </w:pPr>
      <w:r>
        <w:rPr>
          <w:rFonts w:hint="eastAsia" w:ascii="宋体" w:hAnsi="宋体" w:cs="宋体"/>
          <w:szCs w:val="21"/>
        </w:rPr>
        <w:t xml:space="preserve">第十三条 </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供应商享受本办法规定的中小企业扶持政策的，采购人、采购代理机构应当随</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结果公开</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供应商的《中小企业声明函》。</w:t>
      </w:r>
    </w:p>
    <w:p w14:paraId="32EBA232">
      <w:pPr>
        <w:spacing w:line="312" w:lineRule="auto"/>
        <w:ind w:firstLine="420" w:firstLineChars="200"/>
        <w:rPr>
          <w:rFonts w:ascii="宋体" w:hAnsi="宋体" w:cs="宋体"/>
          <w:szCs w:val="21"/>
        </w:rPr>
      </w:pPr>
      <w:r>
        <w:rPr>
          <w:rFonts w:hint="eastAsia" w:ascii="宋体" w:hAnsi="宋体" w:cs="宋体"/>
          <w:szCs w:val="21"/>
        </w:rPr>
        <w:t>适用</w:t>
      </w:r>
      <w:r>
        <w:rPr>
          <w:rFonts w:hint="eastAsia" w:ascii="宋体" w:hAnsi="宋体" w:cs="宋体"/>
          <w:szCs w:val="21"/>
          <w:lang w:eastAsia="zh-CN"/>
        </w:rPr>
        <w:t>磋商</w:t>
      </w:r>
      <w:r>
        <w:rPr>
          <w:rFonts w:hint="eastAsia" w:ascii="宋体" w:hAnsi="宋体" w:cs="宋体"/>
          <w:szCs w:val="21"/>
        </w:rPr>
        <w:t>投标法的政府采购工程建设项目，应当在公示</w:t>
      </w:r>
      <w:r>
        <w:rPr>
          <w:rFonts w:hint="eastAsia" w:ascii="宋体" w:hAnsi="宋体" w:cs="宋体"/>
          <w:szCs w:val="21"/>
          <w:lang w:eastAsia="zh-CN"/>
        </w:rPr>
        <w:t>成交</w:t>
      </w:r>
      <w:r>
        <w:rPr>
          <w:rFonts w:hint="eastAsia" w:ascii="宋体" w:hAnsi="宋体" w:cs="宋体"/>
          <w:szCs w:val="21"/>
        </w:rPr>
        <w:t>候选人时公开</w:t>
      </w:r>
      <w:r>
        <w:rPr>
          <w:rFonts w:hint="eastAsia" w:ascii="宋体" w:hAnsi="宋体" w:cs="宋体"/>
          <w:szCs w:val="21"/>
          <w:lang w:eastAsia="zh-CN"/>
        </w:rPr>
        <w:t>成交</w:t>
      </w:r>
      <w:r>
        <w:rPr>
          <w:rFonts w:hint="eastAsia" w:ascii="宋体" w:hAnsi="宋体" w:cs="宋体"/>
          <w:szCs w:val="21"/>
        </w:rPr>
        <w:t>候选人的《中小企业声明函》。</w:t>
      </w:r>
    </w:p>
    <w:p w14:paraId="42F80B87">
      <w:pPr>
        <w:spacing w:line="312" w:lineRule="auto"/>
        <w:ind w:firstLine="420" w:firstLineChars="200"/>
        <w:rPr>
          <w:rFonts w:ascii="宋体" w:hAnsi="宋体" w:cs="宋体"/>
          <w:szCs w:val="21"/>
        </w:rPr>
      </w:pPr>
      <w:r>
        <w:rPr>
          <w:rFonts w:hint="eastAsia" w:ascii="宋体" w:hAnsi="宋体" w:cs="宋体"/>
          <w:szCs w:val="21"/>
        </w:rPr>
        <w:t>第十四条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20DF3DE8">
      <w:pPr>
        <w:spacing w:line="312" w:lineRule="auto"/>
        <w:ind w:firstLine="420" w:firstLineChars="200"/>
        <w:rPr>
          <w:rFonts w:ascii="宋体" w:hAnsi="宋体" w:cs="宋体"/>
          <w:szCs w:val="21"/>
        </w:rPr>
      </w:pPr>
      <w:r>
        <w:rPr>
          <w:rFonts w:hint="eastAsia" w:ascii="宋体" w:hAnsi="宋体" w:cs="宋体"/>
          <w:szCs w:val="21"/>
        </w:rPr>
        <w:t>第十五条 鼓励各地区、各部门在采购活动中允许中小企业引入信用担保手段，为中小企业在投标（响应）保证、履约保证等方面提供专业化服务。鼓励中小企业依法合规通过政府采购合同融资。</w:t>
      </w:r>
    </w:p>
    <w:p w14:paraId="69316B89">
      <w:pPr>
        <w:spacing w:line="312" w:lineRule="auto"/>
        <w:ind w:firstLine="420" w:firstLineChars="200"/>
        <w:rPr>
          <w:rFonts w:ascii="宋体" w:hAnsi="宋体" w:cs="宋体"/>
          <w:szCs w:val="21"/>
        </w:rPr>
      </w:pPr>
      <w:r>
        <w:rPr>
          <w:rFonts w:hint="eastAsia" w:ascii="宋体" w:hAnsi="宋体" w:cs="宋体"/>
          <w:szCs w:val="21"/>
        </w:rPr>
        <w:t>第十六条 政府采购监督检查、投诉处理及政府采购行政处罚中对中小企业的认定，由货物制造商或者工程、服务供应商注册登记所在地的县级以上人民政府中小企业主管部门负责。</w:t>
      </w:r>
    </w:p>
    <w:p w14:paraId="355CFD09">
      <w:pPr>
        <w:spacing w:line="312" w:lineRule="auto"/>
        <w:ind w:firstLine="420" w:firstLineChars="200"/>
        <w:rPr>
          <w:rFonts w:ascii="宋体" w:hAnsi="宋体" w:cs="宋体"/>
          <w:szCs w:val="21"/>
        </w:rPr>
      </w:pPr>
      <w:r>
        <w:rPr>
          <w:rFonts w:hint="eastAsia" w:ascii="宋体" w:hAnsi="宋体" w:cs="宋体"/>
          <w:szCs w:val="21"/>
        </w:rPr>
        <w:t>中小企业主管部门应当在收到财政部门或者有关</w:t>
      </w:r>
      <w:r>
        <w:rPr>
          <w:rFonts w:hint="eastAsia" w:ascii="宋体" w:hAnsi="宋体" w:cs="宋体"/>
          <w:szCs w:val="21"/>
          <w:lang w:eastAsia="zh-CN"/>
        </w:rPr>
        <w:t>磋商</w:t>
      </w:r>
      <w:r>
        <w:rPr>
          <w:rFonts w:hint="eastAsia" w:ascii="宋体" w:hAnsi="宋体" w:cs="宋体"/>
          <w:szCs w:val="21"/>
        </w:rPr>
        <w:t>投标行政监督部门关于协助开展中小企业认定函后 10 个工作日内做出书面答复。</w:t>
      </w:r>
    </w:p>
    <w:p w14:paraId="145B8BF7">
      <w:pPr>
        <w:numPr>
          <w:ilvl w:val="0"/>
          <w:numId w:val="37"/>
        </w:numPr>
        <w:spacing w:line="312" w:lineRule="auto"/>
        <w:ind w:firstLine="420" w:firstLineChars="200"/>
        <w:rPr>
          <w:rFonts w:ascii="宋体" w:hAnsi="宋体" w:cs="宋体"/>
          <w:szCs w:val="21"/>
        </w:rPr>
      </w:pPr>
      <w:r>
        <w:rPr>
          <w:rFonts w:hint="eastAsia" w:ascii="宋体" w:hAnsi="宋体" w:cs="宋体"/>
          <w:szCs w:val="21"/>
        </w:rPr>
        <w:t>各地区、各部门应当对涉及中小企业采购的预算项目实施全过程绩效管理，合理设置绩效目标和指标，落实扶持中小企业有关政策要求，定期开展绩效监控和评价，强化绩效评价结果应用。</w:t>
      </w:r>
    </w:p>
    <w:p w14:paraId="3DBA85CA">
      <w:pPr>
        <w:spacing w:line="312" w:lineRule="auto"/>
        <w:rPr>
          <w:rFonts w:ascii="宋体" w:hAnsi="宋体" w:cs="宋体"/>
          <w:szCs w:val="21"/>
        </w:rPr>
      </w:pPr>
      <w:r>
        <w:rPr>
          <w:rFonts w:hint="eastAsia" w:ascii="宋体" w:hAnsi="宋体" w:cs="宋体"/>
          <w:szCs w:val="21"/>
        </w:rPr>
        <w:t xml:space="preserve">    第十八条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5895F808">
      <w:pPr>
        <w:spacing w:line="312" w:lineRule="auto"/>
        <w:ind w:firstLine="420" w:firstLineChars="200"/>
        <w:rPr>
          <w:rFonts w:ascii="宋体" w:hAnsi="宋体" w:cs="宋体"/>
          <w:szCs w:val="21"/>
        </w:rPr>
      </w:pPr>
      <w:r>
        <w:rPr>
          <w:rFonts w:hint="eastAsia" w:ascii="宋体" w:hAnsi="宋体" w:cs="宋体"/>
          <w:szCs w:val="21"/>
        </w:rPr>
        <w:t>第十九条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5A88A058">
      <w:pPr>
        <w:spacing w:line="312" w:lineRule="auto"/>
        <w:ind w:firstLine="420" w:firstLineChars="200"/>
        <w:rPr>
          <w:rFonts w:ascii="宋体" w:hAnsi="宋体" w:cs="宋体"/>
          <w:szCs w:val="21"/>
        </w:rPr>
      </w:pPr>
      <w:r>
        <w:rPr>
          <w:rFonts w:hint="eastAsia" w:ascii="宋体" w:hAnsi="宋体" w:cs="宋体"/>
          <w:szCs w:val="21"/>
        </w:rPr>
        <w:t>第二十条 供应商按照本办法规定提供声明函内容不实的，属于提供虚假材料谋取</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，依照《中华人民共和国政府采购法》等国家有关规定追究相应责任。</w:t>
      </w:r>
    </w:p>
    <w:p w14:paraId="2A753004">
      <w:pPr>
        <w:spacing w:line="312" w:lineRule="auto"/>
        <w:ind w:firstLine="420" w:firstLineChars="200"/>
        <w:rPr>
          <w:rFonts w:ascii="宋体" w:hAnsi="宋体" w:cs="宋体"/>
          <w:szCs w:val="21"/>
        </w:rPr>
      </w:pPr>
      <w:r>
        <w:rPr>
          <w:rFonts w:hint="eastAsia" w:ascii="宋体" w:hAnsi="宋体" w:cs="宋体"/>
          <w:szCs w:val="21"/>
        </w:rPr>
        <w:t>适用</w:t>
      </w:r>
      <w:r>
        <w:rPr>
          <w:rFonts w:hint="eastAsia" w:ascii="宋体" w:hAnsi="宋体" w:cs="宋体"/>
          <w:szCs w:val="21"/>
          <w:lang w:eastAsia="zh-CN"/>
        </w:rPr>
        <w:t>磋商</w:t>
      </w:r>
      <w:r>
        <w:rPr>
          <w:rFonts w:hint="eastAsia" w:ascii="宋体" w:hAnsi="宋体" w:cs="宋体"/>
          <w:szCs w:val="21"/>
        </w:rPr>
        <w:t>投标法的政府采购工程建设项目，</w:t>
      </w:r>
      <w:r>
        <w:rPr>
          <w:rFonts w:hint="eastAsia" w:ascii="宋体" w:hAnsi="宋体" w:cs="宋体"/>
          <w:szCs w:val="21"/>
          <w:lang w:eastAsia="zh-CN"/>
        </w:rPr>
        <w:t>供应商</w:t>
      </w:r>
      <w:r>
        <w:rPr>
          <w:rFonts w:hint="eastAsia" w:ascii="宋体" w:hAnsi="宋体" w:cs="宋体"/>
          <w:szCs w:val="21"/>
        </w:rPr>
        <w:t>按照本办法规定提供声明函内容不实的，属于弄虚作假骗取</w:t>
      </w:r>
      <w:r>
        <w:rPr>
          <w:rFonts w:hint="eastAsia" w:ascii="宋体" w:hAnsi="宋体" w:cs="宋体"/>
          <w:szCs w:val="21"/>
          <w:lang w:eastAsia="zh-CN"/>
        </w:rPr>
        <w:t>成交</w:t>
      </w:r>
      <w:r>
        <w:rPr>
          <w:rFonts w:hint="eastAsia" w:ascii="宋体" w:hAnsi="宋体" w:cs="宋体"/>
          <w:szCs w:val="21"/>
        </w:rPr>
        <w:t>，依照《中华人民共和国</w:t>
      </w:r>
      <w:r>
        <w:rPr>
          <w:rFonts w:hint="eastAsia" w:ascii="宋体" w:hAnsi="宋体" w:cs="宋体"/>
          <w:szCs w:val="21"/>
          <w:lang w:eastAsia="zh-CN"/>
        </w:rPr>
        <w:t>磋商</w:t>
      </w:r>
      <w:r>
        <w:rPr>
          <w:rFonts w:hint="eastAsia" w:ascii="宋体" w:hAnsi="宋体" w:cs="宋体"/>
          <w:szCs w:val="21"/>
        </w:rPr>
        <w:t>投标法》等国家有关规定追究相应责任。</w:t>
      </w:r>
    </w:p>
    <w:p w14:paraId="2C6B7884">
      <w:pPr>
        <w:spacing w:line="312" w:lineRule="auto"/>
        <w:ind w:firstLine="420" w:firstLineChars="200"/>
        <w:rPr>
          <w:rFonts w:ascii="宋体" w:hAnsi="宋体" w:cs="宋体"/>
          <w:szCs w:val="21"/>
        </w:rPr>
      </w:pPr>
      <w:r>
        <w:rPr>
          <w:rFonts w:hint="eastAsia" w:ascii="宋体" w:hAnsi="宋体" w:cs="宋体"/>
          <w:szCs w:val="21"/>
        </w:rPr>
        <w:t>第二十一条 财政部门、中小企业主管部门及其工作人员在履行职责中违反本办法规定及存在其他滥用职权、玩忽职守、徇私舞弊等违法违纪行为的，依照《中华人民共和国政府采购法》、《中华人民共和国公务员法》、《中华人民共和</w:t>
      </w:r>
      <w:r>
        <w:fldChar w:fldCharType="begin"/>
      </w:r>
      <w:r>
        <w:instrText xml:space="preserve"> HYPERLINK "http://10.162.100.18:168/golaw?dbnm=gjfg&amp;flid=1129012015130679" </w:instrText>
      </w:r>
      <w:r>
        <w:fldChar w:fldCharType="separate"/>
      </w:r>
      <w:r>
        <w:rPr>
          <w:rFonts w:hint="eastAsia" w:ascii="宋体" w:hAnsi="宋体" w:cs="宋体"/>
          <w:szCs w:val="21"/>
        </w:rPr>
        <w:t>国监察法》、《中华人民共和国政府采购法实施条例》等国家</w:t>
      </w:r>
      <w:r>
        <w:rPr>
          <w:rFonts w:hint="eastAsia" w:ascii="宋体" w:hAnsi="宋体" w:cs="宋体"/>
          <w:szCs w:val="21"/>
        </w:rPr>
        <w:fldChar w:fldCharType="end"/>
      </w:r>
      <w:r>
        <w:rPr>
          <w:rFonts w:hint="eastAsia" w:ascii="宋体" w:hAnsi="宋体" w:cs="宋体"/>
          <w:szCs w:val="21"/>
        </w:rPr>
        <w:t>有关规定追究相应责任；涉嫌犯罪的，依法移送有关国家机关处理。</w:t>
      </w:r>
    </w:p>
    <w:p w14:paraId="453EDB7E">
      <w:pPr>
        <w:spacing w:line="312" w:lineRule="auto"/>
        <w:ind w:firstLine="420" w:firstLineChars="200"/>
        <w:rPr>
          <w:rFonts w:ascii="宋体" w:hAnsi="宋体" w:cs="宋体"/>
          <w:szCs w:val="21"/>
        </w:rPr>
      </w:pPr>
      <w:r>
        <w:rPr>
          <w:rFonts w:hint="eastAsia" w:ascii="宋体" w:hAnsi="宋体" w:cs="宋体"/>
          <w:szCs w:val="21"/>
        </w:rPr>
        <w:t>第二十二条 对外援助项目、国家相关资格或者资质管理制度另有规定的项目，不适用本办法。</w:t>
      </w:r>
    </w:p>
    <w:p w14:paraId="7B988532">
      <w:pPr>
        <w:spacing w:line="312" w:lineRule="auto"/>
        <w:ind w:firstLine="420" w:firstLineChars="200"/>
        <w:rPr>
          <w:rFonts w:ascii="宋体" w:hAnsi="宋体" w:cs="宋体"/>
          <w:szCs w:val="21"/>
        </w:rPr>
      </w:pPr>
      <w:r>
        <w:rPr>
          <w:rFonts w:hint="eastAsia" w:ascii="宋体" w:hAnsi="宋体" w:cs="宋体"/>
          <w:szCs w:val="21"/>
        </w:rPr>
        <w:t>第二十三条</w:t>
      </w:r>
      <w:r>
        <w:rPr>
          <w:rFonts w:hint="eastAsia" w:ascii="宋体" w:hAnsi="宋体" w:cs="宋体"/>
          <w:szCs w:val="21"/>
        </w:rPr>
        <w:tab/>
      </w:r>
      <w:r>
        <w:rPr>
          <w:rFonts w:hint="eastAsia" w:ascii="宋体" w:hAnsi="宋体" w:cs="宋体"/>
          <w:szCs w:val="21"/>
        </w:rPr>
        <w:t>关于视同中小企业的其他主体的政府采购扶持政策，由财政部会同有关部门另行规定。</w:t>
      </w:r>
    </w:p>
    <w:p w14:paraId="4AD622AA">
      <w:pPr>
        <w:spacing w:line="312" w:lineRule="auto"/>
        <w:ind w:firstLine="420" w:firstLineChars="200"/>
        <w:rPr>
          <w:rFonts w:ascii="宋体" w:hAnsi="宋体" w:cs="宋体"/>
          <w:szCs w:val="21"/>
        </w:rPr>
      </w:pPr>
      <w:r>
        <w:rPr>
          <w:rFonts w:hint="eastAsia" w:ascii="宋体" w:hAnsi="宋体" w:cs="宋体"/>
          <w:szCs w:val="21"/>
        </w:rPr>
        <w:t>第二十四条</w:t>
      </w:r>
      <w:r>
        <w:rPr>
          <w:rFonts w:hint="eastAsia" w:ascii="宋体" w:hAnsi="宋体" w:cs="宋体"/>
          <w:szCs w:val="21"/>
        </w:rPr>
        <w:tab/>
      </w:r>
      <w:r>
        <w:rPr>
          <w:rFonts w:hint="eastAsia" w:ascii="宋体" w:hAnsi="宋体" w:cs="宋体"/>
          <w:szCs w:val="21"/>
        </w:rPr>
        <w:t>省级财政部门可以会同中小企业主管部门根据本办法的规定制定具体实施办法。</w:t>
      </w:r>
    </w:p>
    <w:p w14:paraId="779BCDD8">
      <w:pPr>
        <w:spacing w:line="312" w:lineRule="auto"/>
        <w:rPr>
          <w:rFonts w:ascii="宋体" w:hAnsi="宋体" w:cs="宋体"/>
          <w:szCs w:val="21"/>
        </w:rPr>
      </w:pPr>
      <w:r>
        <w:rPr>
          <w:rFonts w:hint="eastAsia" w:ascii="宋体" w:hAnsi="宋体" w:cs="宋体"/>
          <w:szCs w:val="21"/>
        </w:rPr>
        <w:t>第二十五条 本办法自2021年1月1日起施行。《财政部 工业和信息化部关于印发〈政府采购促进中小企业发展暂行办法〉的通知》（财库﹝2011﹞181 号）同时废止。</w:t>
      </w:r>
    </w:p>
    <w:p w14:paraId="26036F54">
      <w:pPr>
        <w:rPr>
          <w:rFonts w:ascii="宋体" w:hAnsi="宋体" w:cs="宋体"/>
          <w:b/>
          <w:kern w:val="0"/>
          <w:sz w:val="28"/>
          <w:szCs w:val="28"/>
        </w:rPr>
      </w:pPr>
      <w:r>
        <w:rPr>
          <w:rFonts w:hint="eastAsia" w:ascii="宋体" w:hAnsi="宋体" w:cs="宋体"/>
          <w:b/>
          <w:kern w:val="0"/>
          <w:sz w:val="28"/>
          <w:szCs w:val="28"/>
        </w:rPr>
        <w:br w:type="page"/>
      </w:r>
    </w:p>
    <w:p w14:paraId="50E8809F">
      <w:pPr>
        <w:pStyle w:val="81"/>
        <w:shd w:val="clear" w:color="auto" w:fill="FFFFFF"/>
        <w:spacing w:before="0" w:beforeAutospacing="0" w:after="225" w:afterAutospacing="0"/>
        <w:jc w:val="center"/>
        <w:rPr>
          <w:rFonts w:ascii="微软雅黑" w:hAnsi="微软雅黑" w:eastAsia="微软雅黑" w:cs="微软雅黑"/>
          <w:b/>
          <w:bCs/>
          <w:color w:val="333333"/>
          <w:sz w:val="32"/>
          <w:szCs w:val="32"/>
          <w:shd w:val="clear" w:color="auto" w:fill="FFFFFF"/>
        </w:rPr>
      </w:pPr>
      <w:r>
        <w:rPr>
          <w:rFonts w:hint="eastAsia" w:ascii="微软雅黑" w:hAnsi="微软雅黑" w:eastAsia="微软雅黑" w:cs="微软雅黑"/>
          <w:b/>
          <w:bCs/>
          <w:color w:val="333333"/>
          <w:sz w:val="32"/>
          <w:szCs w:val="32"/>
          <w:shd w:val="clear" w:color="auto" w:fill="FFFFFF"/>
        </w:rPr>
        <w:t>财政部关于进一步加大政府采购支持中小企业力度的通知</w:t>
      </w:r>
    </w:p>
    <w:p w14:paraId="6B13EA21">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xml:space="preserve">财库〔2022〕19号      </w:t>
      </w:r>
    </w:p>
    <w:p w14:paraId="6FC028D1">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各中央预算单位，各省、自治区、直辖市、计划单列市财政厅(局)，新疆生产建设兵团财政局：</w:t>
      </w:r>
    </w:p>
    <w:p w14:paraId="17B2C9DF">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为贯彻落实《</w:t>
      </w:r>
      <w:r>
        <w:fldChar w:fldCharType="begin"/>
      </w:r>
      <w:r>
        <w:instrText xml:space="preserve"> HYPERLINK "https://www.shui5.cn/article/bb/164472.html" </w:instrText>
      </w:r>
      <w:r>
        <w:fldChar w:fldCharType="separate"/>
      </w:r>
      <w:r>
        <w:rPr>
          <w:rFonts w:hint="eastAsia" w:ascii="微软雅黑" w:hAnsi="微软雅黑" w:eastAsia="微软雅黑" w:cs="微软雅黑"/>
          <w:color w:val="333333"/>
          <w:sz w:val="24"/>
          <w:szCs w:val="24"/>
          <w:shd w:val="clear" w:color="auto" w:fill="FFFFFF"/>
        </w:rPr>
        <w:t>国务院关于印发扎实稳住经济一揽子政策措施的通知</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w:t>
      </w:r>
      <w:r>
        <w:fldChar w:fldCharType="begin"/>
      </w:r>
      <w:r>
        <w:instrText xml:space="preserve"> HYPERLINK "https://www.shui5.cn/article/bb/164472.html" </w:instrText>
      </w:r>
      <w:r>
        <w:fldChar w:fldCharType="separate"/>
      </w:r>
      <w:r>
        <w:rPr>
          <w:rFonts w:hint="eastAsia" w:ascii="微软雅黑" w:hAnsi="微软雅黑" w:eastAsia="微软雅黑" w:cs="微软雅黑"/>
          <w:color w:val="333333"/>
          <w:sz w:val="24"/>
          <w:szCs w:val="24"/>
          <w:shd w:val="clear" w:color="auto" w:fill="FFFFFF"/>
        </w:rPr>
        <w:t>国发〔2022〕12号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)有关要求，做好财政政策支持中小企业纾困解难工作，助力经济平稳健康发展，现就加大政府采购支持中小企业力度有关事项通知如下：</w:t>
      </w:r>
    </w:p>
    <w:p w14:paraId="2530CCBD">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一、严格落实支持中小企业政府采购政策。</w:t>
      </w:r>
    </w:p>
    <w:p w14:paraId="4A444E05">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各地区、各部门要按照国务院的统一部署，认真落实《</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政府采购促进中小企业发展管理办法</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财库〔2020〕46号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393D1AB3">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二、调整对小微企业的价格评审优惠幅度。</w:t>
      </w:r>
    </w:p>
    <w:p w14:paraId="77E8C4E6">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货物服务采购项目给予小微企业的价格扣除优惠，由</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财库〔2020〕46号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7434A2F3">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三、提高政府采购工程面向中小企业预留份额。</w:t>
      </w:r>
    </w:p>
    <w:p w14:paraId="5107F0BC">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37F2AEF2">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四、认真做好组织实施。</w:t>
      </w:r>
    </w:p>
    <w:p w14:paraId="1C612F26">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各地区、各部门应当加强组织领导，明确工作责任，细化执行要求，强化监督检查，确保国务院部署落实到位，对通知执行中出现的问题要及时向财政部报告。</w:t>
      </w:r>
    </w:p>
    <w:p w14:paraId="367978A1">
      <w:pPr>
        <w:spacing w:line="360" w:lineRule="auto"/>
        <w:rPr>
          <w:rFonts w:ascii="宋体" w:hAnsi="宋体" w:cs="宋体"/>
          <w:b/>
          <w:kern w:val="0"/>
          <w:sz w:val="28"/>
          <w:szCs w:val="28"/>
        </w:rPr>
      </w:pPr>
      <w:r>
        <w:rPr>
          <w:rFonts w:hint="eastAsia" w:ascii="微软雅黑" w:hAnsi="微软雅黑" w:eastAsia="微软雅黑" w:cs="微软雅黑"/>
          <w:color w:val="333333"/>
          <w:sz w:val="24"/>
          <w:shd w:val="clear" w:color="auto" w:fill="FFFFFF"/>
        </w:rPr>
        <w:t>　　本通知自2022年7月1日起执行。</w:t>
      </w:r>
    </w:p>
    <w:p w14:paraId="0D0C769C">
      <w:pPr>
        <w:spacing w:line="360" w:lineRule="auto"/>
        <w:jc w:val="center"/>
        <w:rPr>
          <w:rFonts w:ascii="宋体" w:hAnsi="宋体" w:cs="宋体"/>
          <w:b/>
          <w:kern w:val="0"/>
          <w:sz w:val="28"/>
          <w:szCs w:val="28"/>
        </w:rPr>
      </w:pPr>
    </w:p>
    <w:p w14:paraId="6BA31430">
      <w:pPr>
        <w:spacing w:line="360" w:lineRule="auto"/>
        <w:jc w:val="center"/>
        <w:rPr>
          <w:rFonts w:ascii="宋体" w:hAnsi="宋体" w:cs="宋体"/>
          <w:b/>
          <w:kern w:val="0"/>
          <w:sz w:val="28"/>
          <w:szCs w:val="28"/>
        </w:rPr>
      </w:pPr>
    </w:p>
    <w:p w14:paraId="7875E9D9">
      <w:pPr>
        <w:spacing w:line="360" w:lineRule="auto"/>
        <w:jc w:val="center"/>
        <w:rPr>
          <w:rFonts w:ascii="宋体" w:hAnsi="宋体" w:cs="宋体"/>
          <w:b/>
          <w:kern w:val="0"/>
          <w:sz w:val="28"/>
          <w:szCs w:val="28"/>
        </w:rPr>
      </w:pPr>
    </w:p>
    <w:p w14:paraId="084BCE2D">
      <w:pPr>
        <w:spacing w:line="360" w:lineRule="auto"/>
        <w:jc w:val="center"/>
        <w:rPr>
          <w:rFonts w:ascii="宋体" w:hAnsi="宋体" w:cs="宋体"/>
          <w:b/>
          <w:kern w:val="0"/>
          <w:sz w:val="28"/>
          <w:szCs w:val="28"/>
        </w:rPr>
      </w:pPr>
    </w:p>
    <w:p w14:paraId="19954249">
      <w:pPr>
        <w:spacing w:line="360" w:lineRule="auto"/>
        <w:ind w:firstLine="281" w:firstLineChars="100"/>
        <w:rPr>
          <w:rFonts w:ascii="宋体" w:hAnsi="宋体" w:cs="宋体"/>
          <w:b/>
          <w:kern w:val="0"/>
          <w:sz w:val="28"/>
          <w:szCs w:val="28"/>
        </w:rPr>
      </w:pPr>
    </w:p>
    <w:p w14:paraId="2D32ABAB">
      <w:pPr>
        <w:spacing w:line="360" w:lineRule="auto"/>
        <w:ind w:firstLine="281" w:firstLineChars="100"/>
        <w:rPr>
          <w:rFonts w:ascii="宋体" w:hAnsi="宋体" w:cs="宋体"/>
          <w:b/>
          <w:kern w:val="0"/>
          <w:sz w:val="28"/>
          <w:szCs w:val="28"/>
        </w:rPr>
      </w:pPr>
    </w:p>
    <w:p w14:paraId="5F48D2A7">
      <w:pPr>
        <w:spacing w:line="360" w:lineRule="auto"/>
        <w:ind w:firstLine="281" w:firstLineChars="100"/>
        <w:rPr>
          <w:rFonts w:ascii="宋体" w:hAnsi="宋体" w:cs="宋体"/>
          <w:b/>
          <w:kern w:val="0"/>
          <w:sz w:val="28"/>
          <w:szCs w:val="28"/>
        </w:rPr>
      </w:pPr>
    </w:p>
    <w:p w14:paraId="0A18D045">
      <w:pPr>
        <w:spacing w:line="360" w:lineRule="auto"/>
        <w:ind w:firstLine="281" w:firstLineChars="100"/>
        <w:rPr>
          <w:rFonts w:ascii="宋体" w:hAnsi="宋体" w:cs="宋体"/>
          <w:b/>
          <w:kern w:val="0"/>
          <w:sz w:val="28"/>
          <w:szCs w:val="28"/>
        </w:rPr>
      </w:pPr>
    </w:p>
    <w:p w14:paraId="3B2E0D58">
      <w:pPr>
        <w:spacing w:line="360" w:lineRule="auto"/>
        <w:ind w:firstLine="281" w:firstLineChars="100"/>
        <w:rPr>
          <w:rFonts w:ascii="宋体" w:hAnsi="宋体" w:cs="宋体"/>
          <w:b/>
          <w:kern w:val="0"/>
          <w:sz w:val="28"/>
          <w:szCs w:val="28"/>
        </w:rPr>
      </w:pPr>
    </w:p>
    <w:p w14:paraId="16EAFCA4">
      <w:pPr>
        <w:spacing w:line="360" w:lineRule="auto"/>
        <w:ind w:firstLine="281" w:firstLineChars="100"/>
        <w:rPr>
          <w:rFonts w:ascii="宋体" w:hAnsi="宋体" w:cs="宋体"/>
          <w:b/>
          <w:kern w:val="0"/>
          <w:sz w:val="28"/>
          <w:szCs w:val="28"/>
        </w:rPr>
      </w:pPr>
    </w:p>
    <w:p w14:paraId="75F22FFA">
      <w:pPr>
        <w:spacing w:line="360" w:lineRule="auto"/>
        <w:ind w:firstLine="281" w:firstLineChars="100"/>
        <w:rPr>
          <w:rFonts w:ascii="宋体" w:hAnsi="宋体" w:cs="宋体"/>
          <w:b/>
          <w:kern w:val="0"/>
          <w:sz w:val="28"/>
          <w:szCs w:val="28"/>
        </w:rPr>
      </w:pPr>
    </w:p>
    <w:p w14:paraId="2691EEC7">
      <w:pPr>
        <w:spacing w:line="360" w:lineRule="auto"/>
        <w:ind w:firstLine="281" w:firstLineChars="100"/>
        <w:rPr>
          <w:rFonts w:ascii="宋体" w:hAnsi="宋体" w:cs="宋体"/>
          <w:b/>
          <w:kern w:val="0"/>
          <w:sz w:val="28"/>
          <w:szCs w:val="28"/>
        </w:rPr>
      </w:pPr>
    </w:p>
    <w:p w14:paraId="4D251FF2">
      <w:pPr>
        <w:spacing w:line="360" w:lineRule="auto"/>
        <w:ind w:firstLine="281" w:firstLineChars="100"/>
        <w:rPr>
          <w:rFonts w:ascii="宋体" w:hAnsi="宋体" w:cs="宋体"/>
          <w:b/>
          <w:kern w:val="0"/>
          <w:sz w:val="28"/>
          <w:szCs w:val="28"/>
        </w:rPr>
      </w:pPr>
    </w:p>
    <w:p w14:paraId="7F7D635D">
      <w:pPr>
        <w:spacing w:line="360" w:lineRule="auto"/>
        <w:ind w:firstLine="281" w:firstLineChars="100"/>
        <w:rPr>
          <w:rFonts w:ascii="宋体" w:hAnsi="宋体" w:cs="宋体"/>
          <w:b/>
          <w:kern w:val="0"/>
          <w:sz w:val="28"/>
          <w:szCs w:val="28"/>
        </w:rPr>
      </w:pPr>
    </w:p>
    <w:p w14:paraId="4BF231D8">
      <w:pPr>
        <w:spacing w:line="360" w:lineRule="auto"/>
        <w:ind w:firstLine="281" w:firstLineChars="100"/>
        <w:rPr>
          <w:rFonts w:ascii="宋体" w:hAnsi="宋体" w:cs="宋体"/>
          <w:b/>
          <w:kern w:val="0"/>
          <w:sz w:val="28"/>
          <w:szCs w:val="28"/>
        </w:rPr>
      </w:pPr>
    </w:p>
    <w:p w14:paraId="2234D371">
      <w:pPr>
        <w:spacing w:line="360" w:lineRule="auto"/>
        <w:ind w:firstLine="281" w:firstLineChars="100"/>
        <w:rPr>
          <w:rFonts w:ascii="宋体" w:hAnsi="宋体" w:cs="宋体"/>
          <w:b/>
          <w:kern w:val="0"/>
          <w:sz w:val="28"/>
          <w:szCs w:val="28"/>
        </w:rPr>
      </w:pPr>
    </w:p>
    <w:p w14:paraId="0178C78A">
      <w:pPr>
        <w:spacing w:line="360" w:lineRule="auto"/>
        <w:ind w:firstLine="281" w:firstLineChars="100"/>
        <w:rPr>
          <w:rFonts w:ascii="宋体" w:hAnsi="宋体" w:cs="宋体"/>
          <w:b/>
          <w:kern w:val="0"/>
          <w:sz w:val="28"/>
          <w:szCs w:val="28"/>
        </w:rPr>
      </w:pPr>
    </w:p>
    <w:p w14:paraId="59A4DADC">
      <w:pPr>
        <w:spacing w:line="360" w:lineRule="auto"/>
        <w:ind w:firstLine="281" w:firstLineChars="100"/>
        <w:rPr>
          <w:rFonts w:ascii="宋体" w:hAnsi="宋体" w:cs="宋体"/>
          <w:b/>
          <w:kern w:val="0"/>
          <w:sz w:val="28"/>
          <w:szCs w:val="28"/>
        </w:rPr>
      </w:pPr>
    </w:p>
    <w:p w14:paraId="5AA91DAB">
      <w:pPr>
        <w:spacing w:line="360" w:lineRule="auto"/>
        <w:ind w:firstLine="281" w:firstLineChars="100"/>
        <w:rPr>
          <w:rFonts w:ascii="宋体" w:hAnsi="宋体" w:cs="宋体"/>
          <w:b/>
          <w:kern w:val="0"/>
          <w:sz w:val="28"/>
          <w:szCs w:val="28"/>
        </w:rPr>
      </w:pPr>
    </w:p>
    <w:p w14:paraId="0B40A9E7">
      <w:pPr>
        <w:spacing w:line="360" w:lineRule="auto"/>
        <w:ind w:firstLine="281" w:firstLineChars="100"/>
        <w:rPr>
          <w:rFonts w:ascii="宋体" w:hAnsi="宋体" w:cs="宋体"/>
          <w:b/>
          <w:kern w:val="0"/>
          <w:sz w:val="28"/>
          <w:szCs w:val="28"/>
        </w:rPr>
      </w:pPr>
    </w:p>
    <w:p w14:paraId="5DE196EC">
      <w:pPr>
        <w:spacing w:line="360" w:lineRule="auto"/>
        <w:ind w:firstLine="281" w:firstLineChars="100"/>
        <w:rPr>
          <w:rFonts w:ascii="宋体" w:hAnsi="宋体" w:cs="宋体"/>
          <w:b/>
          <w:kern w:val="0"/>
          <w:sz w:val="28"/>
          <w:szCs w:val="28"/>
        </w:rPr>
      </w:pPr>
    </w:p>
    <w:p w14:paraId="5176D9A5">
      <w:pPr>
        <w:spacing w:line="360" w:lineRule="auto"/>
        <w:ind w:firstLine="281" w:firstLineChars="100"/>
        <w:rPr>
          <w:rFonts w:ascii="宋体" w:hAnsi="宋体" w:cs="宋体"/>
          <w:b/>
          <w:kern w:val="0"/>
          <w:sz w:val="28"/>
          <w:szCs w:val="28"/>
        </w:rPr>
      </w:pPr>
    </w:p>
    <w:p w14:paraId="63A4C9F3">
      <w:pPr>
        <w:spacing w:line="360" w:lineRule="auto"/>
        <w:ind w:firstLine="281" w:firstLineChars="100"/>
        <w:rPr>
          <w:rFonts w:ascii="宋体" w:hAnsi="宋体" w:cs="宋体"/>
          <w:b/>
          <w:kern w:val="0"/>
          <w:sz w:val="28"/>
          <w:szCs w:val="28"/>
        </w:rPr>
      </w:pPr>
      <w:r>
        <w:rPr>
          <w:rFonts w:hint="eastAsia" w:ascii="宋体" w:hAnsi="宋体" w:cs="宋体"/>
          <w:b/>
          <w:kern w:val="0"/>
          <w:sz w:val="28"/>
          <w:szCs w:val="28"/>
        </w:rPr>
        <w:t>财政部 司法部关于政府采购支持监狱企业发展有关问题的通知</w:t>
      </w:r>
    </w:p>
    <w:p w14:paraId="3FBEF104">
      <w:pPr>
        <w:spacing w:line="360" w:lineRule="auto"/>
        <w:jc w:val="center"/>
        <w:rPr>
          <w:rFonts w:ascii="宋体" w:hAnsi="宋体" w:cs="宋体"/>
          <w:sz w:val="28"/>
          <w:szCs w:val="28"/>
        </w:rPr>
      </w:pPr>
      <w:r>
        <w:rPr>
          <w:rFonts w:hint="eastAsia" w:ascii="宋体" w:hAnsi="宋体" w:cs="宋体"/>
          <w:b/>
          <w:kern w:val="0"/>
          <w:sz w:val="28"/>
          <w:szCs w:val="28"/>
        </w:rPr>
        <w:t>(财库〔2014〕68号)</w:t>
      </w:r>
    </w:p>
    <w:p w14:paraId="02425CFC">
      <w:pPr>
        <w:spacing w:line="312" w:lineRule="auto"/>
        <w:rPr>
          <w:rFonts w:ascii="宋体" w:hAnsi="宋体"/>
          <w:szCs w:val="21"/>
        </w:rPr>
      </w:pPr>
      <w:r>
        <w:rPr>
          <w:rFonts w:hint="eastAsia" w:ascii="宋体" w:hAnsi="宋体"/>
          <w:szCs w:val="21"/>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2936A6F9">
      <w:pPr>
        <w:spacing w:line="312" w:lineRule="auto"/>
        <w:rPr>
          <w:rFonts w:ascii="宋体" w:hAnsi="宋体"/>
          <w:szCs w:val="21"/>
        </w:rPr>
      </w:pPr>
      <w:r>
        <w:rPr>
          <w:rFonts w:hint="eastAsia" w:ascii="宋体" w:hAnsi="宋体"/>
          <w:szCs w:val="21"/>
        </w:rPr>
        <w:t>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7397C3C6">
      <w:pPr>
        <w:spacing w:line="312" w:lineRule="auto"/>
        <w:rPr>
          <w:rFonts w:ascii="宋体" w:hAnsi="宋体"/>
          <w:szCs w:val="21"/>
        </w:rPr>
      </w:pPr>
      <w:r>
        <w:rPr>
          <w:rFonts w:hint="eastAsia" w:ascii="宋体" w:hAnsi="宋体"/>
          <w:szCs w:val="21"/>
        </w:rPr>
        <w:t>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6BF0B92E">
      <w:pPr>
        <w:spacing w:line="312" w:lineRule="auto"/>
        <w:rPr>
          <w:rFonts w:ascii="宋体" w:hAnsi="宋体"/>
          <w:szCs w:val="21"/>
        </w:rPr>
      </w:pPr>
      <w:r>
        <w:rPr>
          <w:rFonts w:hint="eastAsia" w:ascii="宋体" w:hAnsi="宋体"/>
          <w:szCs w:val="21"/>
        </w:rPr>
        <w:t>　　二、在政府采购活动中，监狱企业视同小型、微型企业，享受预留份额、评审中价格扣除等政府采购促进中小企业发展的政府采购政策。向监狱企业采购的金额，计入面向中小企业采购的统计数据。</w:t>
      </w:r>
    </w:p>
    <w:p w14:paraId="0A0C08F7">
      <w:pPr>
        <w:spacing w:line="312" w:lineRule="auto"/>
        <w:rPr>
          <w:rFonts w:ascii="宋体" w:hAnsi="宋体"/>
          <w:szCs w:val="21"/>
        </w:rPr>
      </w:pPr>
      <w:r>
        <w:rPr>
          <w:rFonts w:hint="eastAsia" w:ascii="宋体" w:hAnsi="宋体"/>
          <w:szCs w:val="21"/>
        </w:rPr>
        <w:t>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72A1898D">
      <w:pPr>
        <w:spacing w:line="312" w:lineRule="auto"/>
        <w:rPr>
          <w:rFonts w:ascii="宋体" w:hAnsi="宋体"/>
          <w:szCs w:val="21"/>
        </w:rPr>
      </w:pPr>
      <w:r>
        <w:rPr>
          <w:rFonts w:hint="eastAsia" w:ascii="宋体" w:hAnsi="宋体"/>
          <w:szCs w:val="21"/>
        </w:rPr>
        <w:t>　　四、各地区可以结合本地区实际，对监狱企业生产的办公用品、家具用具、车辆维修和提供的保养服务、消防设备等，提出预留份额等政府采购支持措施，加大对监狱企业产品的采购力度。</w:t>
      </w:r>
    </w:p>
    <w:p w14:paraId="1C7EC712">
      <w:pPr>
        <w:spacing w:line="312" w:lineRule="auto"/>
        <w:rPr>
          <w:rFonts w:ascii="宋体" w:hAnsi="宋体"/>
          <w:szCs w:val="21"/>
        </w:rPr>
      </w:pPr>
      <w:r>
        <w:rPr>
          <w:rFonts w:hint="eastAsia" w:ascii="宋体" w:hAnsi="宋体"/>
          <w:szCs w:val="21"/>
        </w:rPr>
        <w:t>　　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470B86E0">
      <w:pPr>
        <w:rPr>
          <w:rFonts w:ascii="宋体" w:hAnsi="宋体"/>
          <w:b/>
          <w:sz w:val="28"/>
          <w:szCs w:val="28"/>
        </w:rPr>
      </w:pPr>
      <w:r>
        <w:rPr>
          <w:rFonts w:hint="eastAsia" w:ascii="宋体" w:hAnsi="宋体"/>
          <w:b/>
          <w:sz w:val="28"/>
          <w:szCs w:val="28"/>
        </w:rPr>
        <w:br w:type="page"/>
      </w:r>
    </w:p>
    <w:p w14:paraId="50B86CF0">
      <w:pPr>
        <w:spacing w:line="312" w:lineRule="auto"/>
        <w:jc w:val="center"/>
        <w:rPr>
          <w:rFonts w:ascii="宋体" w:hAnsi="宋体"/>
          <w:b/>
          <w:sz w:val="28"/>
          <w:szCs w:val="28"/>
        </w:rPr>
      </w:pPr>
      <w:r>
        <w:rPr>
          <w:rFonts w:hint="eastAsia" w:ascii="宋体" w:hAnsi="宋体"/>
          <w:b/>
          <w:sz w:val="28"/>
          <w:szCs w:val="28"/>
        </w:rPr>
        <w:t>中小企业划型标准规定</w:t>
      </w:r>
    </w:p>
    <w:p w14:paraId="4D13C8C4">
      <w:pPr>
        <w:spacing w:line="312" w:lineRule="auto"/>
        <w:rPr>
          <w:rFonts w:ascii="宋体" w:hAnsi="宋体"/>
          <w:szCs w:val="21"/>
        </w:rPr>
      </w:pPr>
      <w:r>
        <w:rPr>
          <w:rFonts w:hint="eastAsia" w:ascii="宋体" w:hAnsi="宋体"/>
          <w:szCs w:val="21"/>
        </w:rPr>
        <w:t>　　</w:t>
      </w:r>
    </w:p>
    <w:p w14:paraId="749B302C">
      <w:pPr>
        <w:spacing w:line="312" w:lineRule="auto"/>
        <w:rPr>
          <w:rFonts w:ascii="宋体" w:hAnsi="宋体"/>
          <w:szCs w:val="21"/>
        </w:rPr>
      </w:pPr>
      <w:r>
        <w:rPr>
          <w:rFonts w:hint="eastAsia" w:ascii="宋体" w:hAnsi="宋体"/>
          <w:szCs w:val="21"/>
        </w:rPr>
        <w:t>一、根据《中华人民共和国中小企业促进法》和《国务院关于进一步促进中小企业发展的若干意见》(国发〔2009〕36号)，制定本规定。</w:t>
      </w:r>
    </w:p>
    <w:p w14:paraId="4A934419">
      <w:pPr>
        <w:spacing w:line="312" w:lineRule="auto"/>
        <w:rPr>
          <w:rFonts w:ascii="宋体" w:hAnsi="宋体"/>
          <w:szCs w:val="21"/>
        </w:rPr>
      </w:pPr>
      <w:r>
        <w:rPr>
          <w:rFonts w:hint="eastAsia" w:ascii="宋体" w:hAnsi="宋体"/>
          <w:szCs w:val="21"/>
        </w:rPr>
        <w:t>　　二、中小企业划分为中型、小型、微型三种类型，具体标准根据企业从业人员、营业收入、资产总额等指标，结合行业特点制定。</w:t>
      </w:r>
    </w:p>
    <w:p w14:paraId="5D21F1B2">
      <w:pPr>
        <w:spacing w:line="312" w:lineRule="auto"/>
        <w:rPr>
          <w:rFonts w:ascii="宋体" w:hAnsi="宋体"/>
          <w:szCs w:val="21"/>
        </w:rPr>
      </w:pPr>
      <w:r>
        <w:rPr>
          <w:rFonts w:hint="eastAsia" w:ascii="宋体" w:hAnsi="宋体"/>
          <w:szCs w:val="21"/>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299FF545">
      <w:pPr>
        <w:spacing w:line="312" w:lineRule="auto"/>
        <w:rPr>
          <w:rFonts w:ascii="宋体" w:hAnsi="宋体"/>
          <w:szCs w:val="21"/>
        </w:rPr>
      </w:pPr>
      <w:r>
        <w:rPr>
          <w:rFonts w:hint="eastAsia" w:ascii="宋体" w:hAnsi="宋体"/>
          <w:szCs w:val="21"/>
        </w:rPr>
        <w:t>　　四、各行业划型标准为：</w:t>
      </w:r>
    </w:p>
    <w:p w14:paraId="76881FD1">
      <w:pPr>
        <w:spacing w:line="312" w:lineRule="auto"/>
        <w:rPr>
          <w:rFonts w:ascii="宋体" w:hAnsi="宋体"/>
          <w:szCs w:val="21"/>
        </w:rPr>
      </w:pPr>
      <w:r>
        <w:rPr>
          <w:rFonts w:hint="eastAsia" w:ascii="宋体" w:hAnsi="宋体"/>
          <w:szCs w:val="21"/>
        </w:rPr>
        <w:t>　　（一）农、林、牧、渔业。营业收入20000万元以下的为中小微型企业。其中，营业收入500万元及以上的为中型企业，营业收入50万元及以上的为小型企业，营业收入50万元以下的为微型企业。</w:t>
      </w:r>
    </w:p>
    <w:p w14:paraId="4761D81B">
      <w:pPr>
        <w:spacing w:line="312" w:lineRule="auto"/>
        <w:rPr>
          <w:rFonts w:ascii="宋体" w:hAnsi="宋体"/>
          <w:szCs w:val="21"/>
        </w:rPr>
      </w:pPr>
      <w:r>
        <w:rPr>
          <w:rFonts w:hint="eastAsia" w:ascii="宋体" w:hAnsi="宋体"/>
          <w:szCs w:val="21"/>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26E8A17D">
      <w:pPr>
        <w:spacing w:line="312" w:lineRule="auto"/>
        <w:rPr>
          <w:rFonts w:ascii="宋体" w:hAnsi="宋体"/>
          <w:szCs w:val="21"/>
        </w:rPr>
      </w:pPr>
      <w:r>
        <w:rPr>
          <w:rFonts w:hint="eastAsia" w:ascii="宋体" w:hAnsi="宋体"/>
          <w:szCs w:val="21"/>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6451FDFA">
      <w:pPr>
        <w:spacing w:line="312" w:lineRule="auto"/>
        <w:rPr>
          <w:rFonts w:ascii="宋体" w:hAnsi="宋体"/>
          <w:szCs w:val="21"/>
        </w:rPr>
      </w:pPr>
      <w:r>
        <w:rPr>
          <w:rFonts w:hint="eastAsia" w:ascii="宋体" w:hAnsi="宋体"/>
          <w:szCs w:val="21"/>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6EE8EF16">
      <w:pPr>
        <w:spacing w:line="312" w:lineRule="auto"/>
        <w:rPr>
          <w:rFonts w:ascii="宋体" w:hAnsi="宋体"/>
          <w:szCs w:val="21"/>
        </w:rPr>
      </w:pPr>
      <w:r>
        <w:rPr>
          <w:rFonts w:hint="eastAsia" w:ascii="宋体" w:hAnsi="宋体"/>
          <w:szCs w:val="21"/>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58A3606C">
      <w:pPr>
        <w:spacing w:line="312" w:lineRule="auto"/>
        <w:rPr>
          <w:rFonts w:ascii="宋体" w:hAnsi="宋体"/>
          <w:szCs w:val="21"/>
        </w:rPr>
      </w:pPr>
      <w:r>
        <w:rPr>
          <w:rFonts w:hint="eastAsia" w:ascii="宋体" w:hAnsi="宋体"/>
          <w:szCs w:val="21"/>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1B281FAC">
      <w:pPr>
        <w:spacing w:line="312" w:lineRule="auto"/>
        <w:rPr>
          <w:rFonts w:ascii="宋体" w:hAnsi="宋体"/>
          <w:szCs w:val="21"/>
        </w:rPr>
      </w:pPr>
      <w:r>
        <w:rPr>
          <w:rFonts w:hint="eastAsia" w:ascii="宋体" w:hAnsi="宋体"/>
          <w:szCs w:val="21"/>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0299C9F6">
      <w:pPr>
        <w:spacing w:line="312" w:lineRule="auto"/>
        <w:rPr>
          <w:rFonts w:ascii="宋体" w:hAnsi="宋体"/>
          <w:szCs w:val="21"/>
        </w:rPr>
      </w:pPr>
      <w:r>
        <w:rPr>
          <w:rFonts w:hint="eastAsia" w:ascii="宋体" w:hAnsi="宋体"/>
          <w:szCs w:val="21"/>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2B760B05">
      <w:pPr>
        <w:spacing w:line="312" w:lineRule="auto"/>
        <w:rPr>
          <w:rFonts w:ascii="宋体" w:hAnsi="宋体"/>
          <w:szCs w:val="21"/>
        </w:rPr>
      </w:pPr>
      <w:r>
        <w:rPr>
          <w:rFonts w:hint="eastAsia" w:ascii="宋体" w:hAnsi="宋体"/>
          <w:szCs w:val="21"/>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ED189BA">
      <w:pPr>
        <w:spacing w:line="312" w:lineRule="auto"/>
        <w:rPr>
          <w:rFonts w:ascii="宋体" w:hAnsi="宋体"/>
          <w:szCs w:val="21"/>
        </w:rPr>
      </w:pPr>
      <w:r>
        <w:rPr>
          <w:rFonts w:hint="eastAsia" w:ascii="宋体" w:hAnsi="宋体"/>
          <w:szCs w:val="21"/>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3C1A98D">
      <w:pPr>
        <w:spacing w:line="312" w:lineRule="auto"/>
        <w:rPr>
          <w:rFonts w:ascii="宋体" w:hAnsi="宋体"/>
          <w:szCs w:val="21"/>
        </w:rPr>
      </w:pPr>
      <w:r>
        <w:rPr>
          <w:rFonts w:hint="eastAsia" w:ascii="宋体" w:hAnsi="宋体"/>
          <w:szCs w:val="21"/>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1024B66F">
      <w:pPr>
        <w:spacing w:line="312" w:lineRule="auto"/>
        <w:rPr>
          <w:rFonts w:ascii="宋体" w:hAnsi="宋体"/>
          <w:szCs w:val="21"/>
        </w:rPr>
      </w:pPr>
      <w:r>
        <w:rPr>
          <w:rFonts w:hint="eastAsia" w:ascii="宋体" w:hAnsi="宋体"/>
          <w:szCs w:val="21"/>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1D80676E">
      <w:pPr>
        <w:spacing w:line="312" w:lineRule="auto"/>
        <w:rPr>
          <w:rFonts w:ascii="宋体" w:hAnsi="宋体"/>
          <w:szCs w:val="21"/>
        </w:rPr>
      </w:pPr>
      <w:r>
        <w:rPr>
          <w:rFonts w:hint="eastAsia" w:ascii="宋体" w:hAnsi="宋体"/>
          <w:szCs w:val="21"/>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35C4BF84">
      <w:pPr>
        <w:spacing w:line="312" w:lineRule="auto"/>
        <w:rPr>
          <w:rFonts w:ascii="宋体" w:hAnsi="宋体"/>
          <w:szCs w:val="21"/>
        </w:rPr>
      </w:pPr>
      <w:r>
        <w:rPr>
          <w:rFonts w:hint="eastAsia" w:ascii="宋体" w:hAnsi="宋体"/>
          <w:szCs w:val="21"/>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68DFD5DE">
      <w:pPr>
        <w:spacing w:line="312" w:lineRule="auto"/>
        <w:rPr>
          <w:rFonts w:ascii="宋体" w:hAnsi="宋体"/>
          <w:szCs w:val="21"/>
        </w:rPr>
      </w:pPr>
      <w:r>
        <w:rPr>
          <w:rFonts w:hint="eastAsia" w:ascii="宋体" w:hAnsi="宋体"/>
          <w:szCs w:val="21"/>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002E968C">
      <w:pPr>
        <w:spacing w:line="312" w:lineRule="auto"/>
        <w:rPr>
          <w:rFonts w:ascii="宋体" w:hAnsi="宋体"/>
          <w:szCs w:val="21"/>
        </w:rPr>
      </w:pPr>
      <w:r>
        <w:rPr>
          <w:rFonts w:hint="eastAsia" w:ascii="宋体" w:hAnsi="宋体"/>
          <w:szCs w:val="21"/>
        </w:rPr>
        <w:t>　　（十六）其他未列明行业。从业人员300人以下的为中小微型企业。其中，从业人员100人及以上的为中型企业；从业人员10人及以上的为小型企业；从业人员10人以下的为微型企业。</w:t>
      </w:r>
    </w:p>
    <w:p w14:paraId="3D1BDF4E">
      <w:pPr>
        <w:spacing w:line="312" w:lineRule="auto"/>
        <w:rPr>
          <w:rFonts w:ascii="宋体" w:hAnsi="宋体"/>
          <w:szCs w:val="21"/>
        </w:rPr>
      </w:pPr>
      <w:r>
        <w:rPr>
          <w:rFonts w:hint="eastAsia" w:ascii="宋体" w:hAnsi="宋体"/>
          <w:szCs w:val="21"/>
        </w:rPr>
        <w:t>　　五、企业类型的划分以统计部门的统计数据为依据。</w:t>
      </w:r>
    </w:p>
    <w:p w14:paraId="047FF7D7">
      <w:pPr>
        <w:spacing w:line="312" w:lineRule="auto"/>
        <w:rPr>
          <w:rFonts w:ascii="宋体" w:hAnsi="宋体"/>
          <w:szCs w:val="21"/>
        </w:rPr>
      </w:pPr>
      <w:r>
        <w:rPr>
          <w:rFonts w:hint="eastAsia" w:ascii="宋体" w:hAnsi="宋体"/>
          <w:szCs w:val="21"/>
        </w:rPr>
        <w:t>　　六、本规定适用于在中华人民共和国境内依法设立的各类所有制和各种组织形式的企业。个体工商户和本规定以外的行业，参照本规定进行划型。</w:t>
      </w:r>
    </w:p>
    <w:p w14:paraId="0A66DD60">
      <w:pPr>
        <w:spacing w:line="312" w:lineRule="auto"/>
        <w:rPr>
          <w:rFonts w:ascii="宋体" w:hAnsi="宋体"/>
          <w:szCs w:val="21"/>
        </w:rPr>
      </w:pPr>
      <w:r>
        <w:rPr>
          <w:rFonts w:hint="eastAsia" w:ascii="宋体" w:hAnsi="宋体"/>
          <w:szCs w:val="21"/>
        </w:rPr>
        <w:t>　　七、本规定的中型企业标准上限即为大型企业标准的下限，国家统计部门据此制定大中小微型企业的统计分类。国务院有关部门据此进行相关数据分析，不得制定与本规定不一致的企业划型标准。</w:t>
      </w:r>
    </w:p>
    <w:p w14:paraId="38D0CE0E">
      <w:pPr>
        <w:spacing w:line="312" w:lineRule="auto"/>
        <w:rPr>
          <w:rFonts w:ascii="宋体" w:hAnsi="宋体"/>
          <w:szCs w:val="21"/>
        </w:rPr>
      </w:pPr>
      <w:r>
        <w:rPr>
          <w:rFonts w:hint="eastAsia" w:ascii="宋体" w:hAnsi="宋体"/>
          <w:szCs w:val="21"/>
        </w:rPr>
        <w:t>　　八、本规定由工业和信息化部、国家统计局会同有关部门根据《国民经济行业分类》修订情况和企业发展变化情况适时修订。</w:t>
      </w:r>
    </w:p>
    <w:p w14:paraId="07B44541">
      <w:pPr>
        <w:spacing w:line="312" w:lineRule="auto"/>
        <w:rPr>
          <w:rFonts w:ascii="宋体" w:hAnsi="宋体"/>
          <w:szCs w:val="21"/>
        </w:rPr>
      </w:pPr>
      <w:r>
        <w:rPr>
          <w:rFonts w:hint="eastAsia" w:ascii="宋体" w:hAnsi="宋体"/>
          <w:szCs w:val="21"/>
        </w:rPr>
        <w:t>　　九、本规定由工业和信息化部、国家统计局会同有关部门负责解释。</w:t>
      </w:r>
    </w:p>
    <w:p w14:paraId="2C10D65B">
      <w:pPr>
        <w:spacing w:line="312" w:lineRule="auto"/>
        <w:rPr>
          <w:rFonts w:ascii="宋体" w:hAnsi="宋体"/>
          <w:szCs w:val="21"/>
        </w:rPr>
      </w:pPr>
      <w:r>
        <w:rPr>
          <w:rFonts w:hint="eastAsia" w:ascii="宋体" w:hAnsi="宋体"/>
          <w:szCs w:val="21"/>
        </w:rPr>
        <w:t>　　十、本规定自发布之日起执行，原国家经贸委、原国家计委、财政部和国家统计局2003年颁布的《中小企业标准暂行规定》同时废止。</w:t>
      </w:r>
    </w:p>
    <w:p w14:paraId="2B3037F7">
      <w:pPr>
        <w:spacing w:line="312" w:lineRule="auto"/>
        <w:rPr>
          <w:rFonts w:ascii="宋体" w:hAnsi="宋体" w:cs="宋体"/>
          <w:szCs w:val="21"/>
        </w:rPr>
      </w:pPr>
    </w:p>
    <w:p w14:paraId="49820283">
      <w:pPr>
        <w:rPr>
          <w:rFonts w:ascii="宋体" w:hAnsi="宋体" w:cs="宋体"/>
          <w:szCs w:val="21"/>
        </w:rPr>
      </w:pPr>
      <w:r>
        <w:rPr>
          <w:rFonts w:hint="eastAsia" w:ascii="宋体" w:hAnsi="宋体" w:cs="宋体"/>
          <w:szCs w:val="21"/>
        </w:rPr>
        <w:t>　</w:t>
      </w:r>
    </w:p>
    <w:p w14:paraId="7D70C9F1">
      <w:pPr>
        <w:rPr>
          <w:rFonts w:ascii="宋体" w:hAnsi="宋体"/>
          <w:b/>
          <w:sz w:val="28"/>
          <w:szCs w:val="28"/>
        </w:rPr>
      </w:pPr>
    </w:p>
    <w:sectPr>
      <w:pgSz w:w="11907" w:h="16840"/>
      <w:pgMar w:top="1440" w:right="1134" w:bottom="1440" w:left="1417" w:header="0" w:footer="567"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734FBDA2-E6E5-44F9-A791-B6005B89794C}"/>
  </w:font>
  <w:font w:name="黑体">
    <w:panose1 w:val="02010609060101010101"/>
    <w:charset w:val="86"/>
    <w:family w:val="auto"/>
    <w:pitch w:val="default"/>
    <w:sig w:usb0="800002BF" w:usb1="38CF7CFA" w:usb2="00000016" w:usb3="00000000" w:csb0="00040001" w:csb1="00000000"/>
    <w:embedRegular r:id="rId2" w:fontKey="{423965B6-2FE5-488B-89FF-8638CFCE45D4}"/>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3" w:fontKey="{3724AB2C-C1E3-4237-B117-C913D763E5B3}"/>
  </w:font>
  <w:font w:name="Cambria">
    <w:panose1 w:val="02040503050406030204"/>
    <w:charset w:val="00"/>
    <w:family w:val="roman"/>
    <w:pitch w:val="default"/>
    <w:sig w:usb0="E00006FF" w:usb1="420024FF" w:usb2="02000000" w:usb3="00000000" w:csb0="2000019F" w:csb1="00000000"/>
  </w:font>
  <w:font w:name="MS Sans Serif">
    <w:altName w:val="Arial"/>
    <w:panose1 w:val="020B0500000000000000"/>
    <w:charset w:val="00"/>
    <w:family w:val="swiss"/>
    <w:pitch w:val="default"/>
    <w:sig w:usb0="00000000" w:usb1="00000000" w:usb2="00000000" w:usb3="00000000" w:csb0="00000001" w:csb1="00000000"/>
  </w:font>
  <w:font w:name="FangSong_GB2312">
    <w:altName w:val="仿宋"/>
    <w:panose1 w:val="02010609060101010101"/>
    <w:charset w:val="86"/>
    <w:family w:val="modern"/>
    <w:pitch w:val="default"/>
    <w:sig w:usb0="00000000" w:usb1="00000000" w:usb2="00000016" w:usb3="00000000" w:csb0="00040001" w:csb1="00000000"/>
    <w:embedRegular r:id="rId4" w:fontKey="{767A144C-7033-4422-8AEF-E9EF583E5FE8}"/>
  </w:font>
  <w:font w:name="仿宋">
    <w:panose1 w:val="02010609060101010101"/>
    <w:charset w:val="86"/>
    <w:family w:val="auto"/>
    <w:pitch w:val="default"/>
    <w:sig w:usb0="800002BF" w:usb1="38CF7CFA" w:usb2="00000016" w:usb3="00000000" w:csb0="00040001" w:csb1="00000000"/>
    <w:embedRegular r:id="rId5" w:fontKey="{EA32FEC0-979C-4472-8EB6-128AE3C1E44C}"/>
  </w:font>
  <w:font w:name="@仿宋">
    <w:panose1 w:val="02010609060101010101"/>
    <w:charset w:val="86"/>
    <w:family w:val="modern"/>
    <w:pitch w:val="default"/>
    <w:sig w:usb0="800002BF" w:usb1="38CF7CFA" w:usb2="00000016" w:usb3="00000000" w:csb0="00040001" w:csb1="00000000"/>
  </w:font>
  <w:font w:name="华文行楷">
    <w:altName w:val="微软雅黑"/>
    <w:panose1 w:val="02010800040101010101"/>
    <w:charset w:val="86"/>
    <w:family w:val="auto"/>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embedRegular r:id="rId6" w:fontKey="{65E90661-6DA3-4FB5-BF7B-8692EAF515FD}"/>
  </w:font>
  <w:font w:name="Tahoma">
    <w:panose1 w:val="020B0604030504040204"/>
    <w:charset w:val="00"/>
    <w:family w:val="swiss"/>
    <w:pitch w:val="default"/>
    <w:sig w:usb0="E1002EFF" w:usb1="C000605B" w:usb2="00000029" w:usb3="00000000" w:csb0="200101FF" w:csb1="20280000"/>
  </w:font>
  <w:font w:name="华文中宋">
    <w:panose1 w:val="02010600040101010101"/>
    <w:charset w:val="86"/>
    <w:family w:val="auto"/>
    <w:pitch w:val="default"/>
    <w:sig w:usb0="00000287" w:usb1="080F0000" w:usb2="00000000" w:usb3="00000000" w:csb0="0004009F" w:csb1="DFD70000"/>
    <w:embedRegular r:id="rId7" w:fontKey="{60A7260F-911A-46F6-8114-F56239C1502F}"/>
  </w:font>
  <w:font w:name="PMingLiU">
    <w:altName w:val="PMingLiU-ExtB"/>
    <w:panose1 w:val="02020500000000000000"/>
    <w:charset w:val="88"/>
    <w:family w:val="auto"/>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MS Gothic">
    <w:panose1 w:val="020B0609070205080204"/>
    <w:charset w:val="80"/>
    <w:family w:val="modern"/>
    <w:pitch w:val="default"/>
    <w:sig w:usb0="E00002FF" w:usb1="6AC7FDFB" w:usb2="08000012" w:usb3="00000000" w:csb0="4002009F" w:csb1="DFD70000"/>
  </w:font>
  <w:font w:name="EU-F1">
    <w:altName w:val="宋体"/>
    <w:panose1 w:val="00000000000000000000"/>
    <w:charset w:val="86"/>
    <w:family w:val="script"/>
    <w:pitch w:val="default"/>
    <w:sig w:usb0="00000000" w:usb1="00000000" w:usb2="00000010" w:usb3="00000000" w:csb0="00040000" w:csb1="00000000"/>
  </w:font>
  <w:font w:name="汉仪大宋简">
    <w:altName w:val="宋体"/>
    <w:panose1 w:val="02010600000101010101"/>
    <w:charset w:val="86"/>
    <w:family w:val="modern"/>
    <w:pitch w:val="default"/>
    <w:sig w:usb0="00000000" w:usb1="00000000" w:usb2="00000002" w:usb3="00000000" w:csb0="00040000" w:csb1="00000000"/>
  </w:font>
  <w:font w:name="KaiTi_GB2312">
    <w:altName w:val="楷体"/>
    <w:panose1 w:val="02010609060101010101"/>
    <w:charset w:val="86"/>
    <w:family w:val="modern"/>
    <w:pitch w:val="default"/>
    <w:sig w:usb0="00000000" w:usb1="00000000" w:usb2="00000016" w:usb3="00000000" w:csb0="00040001" w:csb1="00000000"/>
  </w:font>
  <w:font w:name="楷体">
    <w:panose1 w:val="02010609060101010101"/>
    <w:charset w:val="86"/>
    <w:family w:val="auto"/>
    <w:pitch w:val="default"/>
    <w:sig w:usb0="800002BF" w:usb1="38CF7CFA" w:usb2="00000016" w:usb3="00000000" w:csb0="00040001" w:csb1="00000000"/>
  </w:font>
  <w:font w:name="隶书">
    <w:altName w:val="微软雅黑"/>
    <w:panose1 w:val="02010509060101010101"/>
    <w:charset w:val="86"/>
    <w:family w:val="modern"/>
    <w:pitch w:val="default"/>
    <w:sig w:usb0="00000000" w:usb1="00000000" w:usb2="00000000" w:usb3="00000000" w:csb0="00040000" w:csb1="00000000"/>
  </w:font>
  <w:font w:name="Univers">
    <w:altName w:val="Arial"/>
    <w:panose1 w:val="00000000000000000000"/>
    <w:charset w:val="00"/>
    <w:family w:val="swiss"/>
    <w:pitch w:val="default"/>
    <w:sig w:usb0="00000000" w:usb1="00000000" w:usb2="00000000" w:usb3="00000000" w:csb0="00000001" w:csb1="00000000"/>
  </w:font>
  <w:font w:name="Verdana">
    <w:panose1 w:val="020B0604030504040204"/>
    <w:charset w:val="00"/>
    <w:family w:val="swiss"/>
    <w:pitch w:val="default"/>
    <w:sig w:usb0="A00006FF" w:usb1="4000205B" w:usb2="00000010" w:usb3="00000000" w:csb0="2000019F" w:csb1="00000000"/>
  </w:font>
  <w:font w:name="FZXiaoBiaoSong-B05S">
    <w:altName w:val="宋体"/>
    <w:panose1 w:val="00000000000000000000"/>
    <w:charset w:val="86"/>
    <w:family w:val="script"/>
    <w:pitch w:val="default"/>
    <w:sig w:usb0="00000000" w:usb1="00000000" w:usb2="00000000" w:usb3="00000000" w:csb0="00040000" w:csb1="00000000"/>
  </w:font>
  <w:font w:name="Arial Unicode MS">
    <w:altName w:val="宋体"/>
    <w:panose1 w:val="020B0604020202020204"/>
    <w:charset w:val="86"/>
    <w:family w:val="swiss"/>
    <w:pitch w:val="default"/>
    <w:sig w:usb0="00000000" w:usb1="00000000" w:usb2="0000003F" w:usb3="00000000" w:csb0="003F01FF" w:csb1="00000000"/>
  </w:font>
  <w:font w:name="幼圆">
    <w:altName w:val="宋体"/>
    <w:panose1 w:val="02010509060101010101"/>
    <w:charset w:val="86"/>
    <w:family w:val="modern"/>
    <w:pitch w:val="default"/>
    <w:sig w:usb0="00000000" w:usb1="00000000" w:usb2="00000000" w:usb3="00000000" w:csb0="00040000" w:csb1="00000000"/>
  </w:font>
  <w:font w:name="Tms Rmn">
    <w:altName w:val="Segoe Print"/>
    <w:panose1 w:val="020206030405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华文新魏">
    <w:altName w:val="宋体"/>
    <w:panose1 w:val="02010800040101010101"/>
    <w:charset w:val="86"/>
    <w:family w:val="auto"/>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Plotter">
    <w:altName w:val="Times New Roman"/>
    <w:panose1 w:val="00000000000000000000"/>
    <w:charset w:val="00"/>
    <w:family w:val="roman"/>
    <w:pitch w:val="default"/>
    <w:sig w:usb0="00000000" w:usb1="00000000" w:usb2="00000000" w:usb3="00000000" w:csb0="00000001" w:csb1="00000000"/>
  </w:font>
  <w:font w:name="长城仿宋">
    <w:altName w:val="宋体"/>
    <w:panose1 w:val="00000000000000000000"/>
    <w:charset w:val="86"/>
    <w:family w:val="modern"/>
    <w:pitch w:val="default"/>
    <w:sig w:usb0="00000000" w:usb1="00000000" w:usb2="00000010" w:usb3="00000000" w:csb0="00040000" w:csb1="00000000"/>
  </w:font>
  <w:font w:name="DFKai-SB">
    <w:altName w:val="Microsoft JhengHei Light"/>
    <w:panose1 w:val="03000509000000000000"/>
    <w:charset w:val="88"/>
    <w:family w:val="script"/>
    <w:pitch w:val="default"/>
    <w:sig w:usb0="00000000" w:usb1="00000000" w:usb2="00000016" w:usb3="00000000" w:csb0="00100001" w:csb1="00000000"/>
  </w:font>
  <w:font w:name="Microsoft JhengHei Light">
    <w:panose1 w:val="020B0304030504040204"/>
    <w:charset w:val="88"/>
    <w:family w:val="auto"/>
    <w:pitch w:val="default"/>
    <w:sig w:usb0="800002A7" w:usb1="28CF4400" w:usb2="00000016" w:usb3="00000000" w:csb0="00100009" w:csb1="00000000"/>
  </w:font>
  <w:font w:name="Times New Roman Bold">
    <w:altName w:val="Times New Roman"/>
    <w:panose1 w:val="02020803070505020304"/>
    <w:charset w:val="00"/>
    <w:family w:val="roman"/>
    <w:pitch w:val="default"/>
    <w:sig w:usb0="00000000" w:usb1="00000000" w:usb2="00000000" w:usb3="00000000" w:csb0="00040001" w:csb1="00000000"/>
  </w:font>
  <w:font w:name="???|CS?o｡ﾀ?">
    <w:altName w:val="MS PGothic"/>
    <w:panose1 w:val="00000000000000000000"/>
    <w:charset w:val="80"/>
    <w:family w:val="auto"/>
    <w:pitch w:val="default"/>
    <w:sig w:usb0="00000000" w:usb1="00000000" w:usb2="00000010" w:usb3="00000000" w:csb0="00020000" w:csb1="00000000"/>
  </w:font>
  <w:font w:name="MS PGothic">
    <w:panose1 w:val="020B0600070205080204"/>
    <w:charset w:val="80"/>
    <w:family w:val="auto"/>
    <w:pitch w:val="default"/>
    <w:sig w:usb0="E00002FF" w:usb1="6AC7FDFB" w:usb2="08000012" w:usb3="00000000" w:csb0="4002009F" w:csb1="DFD70000"/>
  </w:font>
  <w:font w:name="TimesNewRomanPSMT">
    <w:altName w:val="Times New Roman"/>
    <w:panose1 w:val="00000000000000000000"/>
    <w:charset w:val="00"/>
    <w:family w:val="roman"/>
    <w:pitch w:val="default"/>
    <w:sig w:usb0="00000000" w:usb1="00000000" w:usb2="00000010" w:usb3="00000000" w:csb0="00040001" w:csb1="00000000"/>
    <w:embedRegular r:id="rId8" w:fontKey="{1E076F9E-F9DE-44ED-8969-92565BDF7F45}"/>
  </w:font>
  <w:font w:name="宋体-18030">
    <w:altName w:val="宋体"/>
    <w:panose1 w:val="00000000000000000000"/>
    <w:charset w:val="86"/>
    <w:family w:val="modern"/>
    <w:pitch w:val="default"/>
    <w:sig w:usb0="00000000" w:usb1="00000000" w:usb2="000A005E" w:usb3="00000000" w:csb0="00040001" w:csb1="00000000"/>
    <w:embedRegular r:id="rId9" w:fontKey="{2E32D893-8A50-49D3-BFC1-DE3B4F3400C1}"/>
  </w:font>
  <w:font w:name="新宋体">
    <w:panose1 w:val="02010609030101010101"/>
    <w:charset w:val="86"/>
    <w:family w:val="modern"/>
    <w:pitch w:val="default"/>
    <w:sig w:usb0="00000203" w:usb1="288F0000" w:usb2="00000006" w:usb3="00000000" w:csb0="00040001" w:csb1="00000000"/>
    <w:embedRegular r:id="rId10" w:fontKey="{38F585BC-A06A-42B5-8F33-BA2F65667C3B}"/>
  </w:font>
  <w:font w:name="仿宋_GB2312">
    <w:altName w:val="仿宋"/>
    <w:panose1 w:val="00000000000000000000"/>
    <w:charset w:val="86"/>
    <w:family w:val="auto"/>
    <w:pitch w:val="default"/>
    <w:sig w:usb0="00000000" w:usb1="00000000" w:usb2="00000000" w:usb3="00000000" w:csb0="00040000" w:csb1="00000000"/>
    <w:embedRegular r:id="rId11" w:fontKey="{18FF7C46-B206-4DAC-8081-E7B371CC8007}"/>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2B2DAF">
    <w:pPr>
      <w:pStyle w:val="55"/>
      <w:ind w:firstLine="48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A50D6D">
    <w:pPr>
      <w:pStyle w:val="55"/>
      <w:ind w:firstLine="48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49320F">
    <w:pPr>
      <w:pStyle w:val="55"/>
      <w:ind w:firstLine="48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6D1F6B2">
                          <w:pPr>
                            <w:pStyle w:val="55"/>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jHpww4AgAAbwQAAA4AAABkcnMvZTJvRG9jLnhtbK1UzY7TMBC+I/EO&#10;lu80aVlWVd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l5RoplCw0/fv51+&#10;/Dr9/Equojyt9TNEPVjEhe6t6TA0w73HZWTdVU7FX/Ah8EPc40Vc0QXC46PpZDrN4eLwDQfgZ4/P&#10;rfPhnTCKRKOgDt1LorLDxoc+dAiJ2bRZN1KmDkpN2oJev3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mMenDDgCAABvBAAADgAAAAAAAAABACAAAAAfAQAAZHJzL2Uyb0RvYy54&#10;bWxQSwUGAAAAAAYABgBZAQAAyQUAAAAA&#10;">
              <v:fill on="f" focussize="0,0"/>
              <v:stroke on="f" weight="0.5pt"/>
              <v:imagedata o:title=""/>
              <o:lock v:ext="edit" aspectratio="f"/>
              <v:textbox inset="0mm,0mm,0mm,0mm" style="mso-fit-shape-to-text:t;">
                <w:txbxContent>
                  <w:p w14:paraId="36D1F6B2">
                    <w:pPr>
                      <w:pStyle w:val="55"/>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871158">
    <w:pPr>
      <w:pStyle w:val="55"/>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98AC6B2">
                          <w:pPr>
                            <w:pStyle w:val="55"/>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14:paraId="198AC6B2">
                    <w:pPr>
                      <w:pStyle w:val="55"/>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5E593C">
    <w:pPr>
      <w:pStyle w:val="55"/>
      <w:framePr w:wrap="around" w:vAnchor="text" w:hAnchor="margin" w:xAlign="center" w:y="1"/>
      <w:rPr>
        <w:rStyle w:val="136"/>
      </w:rPr>
    </w:pPr>
    <w:r>
      <w:fldChar w:fldCharType="begin"/>
    </w:r>
    <w:r>
      <w:rPr>
        <w:rStyle w:val="136"/>
      </w:rPr>
      <w:instrText xml:space="preserve">PAGE  </w:instrText>
    </w:r>
    <w:r>
      <w:fldChar w:fldCharType="end"/>
    </w:r>
  </w:p>
  <w:p w14:paraId="4B0F2D37">
    <w:pPr>
      <w:pStyle w:val="5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600EEC"/>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EAE3738"/>
    <w:multiLevelType w:val="singleLevel"/>
    <w:tmpl w:val="AEAE3738"/>
    <w:lvl w:ilvl="0" w:tentative="0">
      <w:start w:val="2"/>
      <w:numFmt w:val="decimal"/>
      <w:lvlText w:val="(%1)"/>
      <w:lvlJc w:val="left"/>
      <w:pPr>
        <w:tabs>
          <w:tab w:val="left" w:pos="312"/>
        </w:tabs>
      </w:pPr>
    </w:lvl>
  </w:abstractNum>
  <w:abstractNum w:abstractNumId="1">
    <w:nsid w:val="D76C8E1F"/>
    <w:multiLevelType w:val="singleLevel"/>
    <w:tmpl w:val="D76C8E1F"/>
    <w:lvl w:ilvl="0" w:tentative="0">
      <w:start w:val="1"/>
      <w:numFmt w:val="decimal"/>
      <w:suff w:val="nothing"/>
      <w:lvlText w:val="%1、"/>
      <w:lvlJc w:val="left"/>
    </w:lvl>
  </w:abstractNum>
  <w:abstractNum w:abstractNumId="2">
    <w:nsid w:val="EEFAF5EF"/>
    <w:multiLevelType w:val="singleLevel"/>
    <w:tmpl w:val="EEFAF5EF"/>
    <w:lvl w:ilvl="0" w:tentative="0">
      <w:start w:val="3"/>
      <w:numFmt w:val="chineseCounting"/>
      <w:suff w:val="space"/>
      <w:lvlText w:val="第%1章"/>
      <w:lvlJc w:val="left"/>
      <w:rPr>
        <w:rFonts w:hint="eastAsia"/>
      </w:rPr>
    </w:lvl>
  </w:abstractNum>
  <w:abstractNum w:abstractNumId="3">
    <w:nsid w:val="FFFFFF7C"/>
    <w:multiLevelType w:val="singleLevel"/>
    <w:tmpl w:val="FFFFFF7C"/>
    <w:lvl w:ilvl="0" w:tentative="0">
      <w:start w:val="1"/>
      <w:numFmt w:val="decimal"/>
      <w:pStyle w:val="65"/>
      <w:lvlText w:val="%1."/>
      <w:lvlJc w:val="left"/>
      <w:pPr>
        <w:tabs>
          <w:tab w:val="left" w:pos="2040"/>
        </w:tabs>
        <w:ind w:left="2040" w:hanging="360"/>
      </w:pPr>
    </w:lvl>
  </w:abstractNum>
  <w:abstractNum w:abstractNumId="4">
    <w:nsid w:val="FFFFFF7D"/>
    <w:multiLevelType w:val="singleLevel"/>
    <w:tmpl w:val="FFFFFF7D"/>
    <w:lvl w:ilvl="0" w:tentative="0">
      <w:start w:val="1"/>
      <w:numFmt w:val="decimal"/>
      <w:pStyle w:val="47"/>
      <w:lvlText w:val="%1."/>
      <w:lvlJc w:val="left"/>
      <w:pPr>
        <w:tabs>
          <w:tab w:val="left" w:pos="1620"/>
        </w:tabs>
        <w:ind w:left="1620" w:hanging="360"/>
      </w:pPr>
    </w:lvl>
  </w:abstractNum>
  <w:abstractNum w:abstractNumId="5">
    <w:nsid w:val="FFFFFF7E"/>
    <w:multiLevelType w:val="singleLevel"/>
    <w:tmpl w:val="FFFFFF7E"/>
    <w:lvl w:ilvl="0" w:tentative="0">
      <w:start w:val="1"/>
      <w:numFmt w:val="decimal"/>
      <w:pStyle w:val="36"/>
      <w:lvlText w:val="%1."/>
      <w:lvlJc w:val="left"/>
      <w:pPr>
        <w:tabs>
          <w:tab w:val="left" w:pos="1200"/>
        </w:tabs>
        <w:ind w:left="1200" w:hanging="360"/>
      </w:pPr>
    </w:lvl>
  </w:abstractNum>
  <w:abstractNum w:abstractNumId="6">
    <w:nsid w:val="FFFFFF7F"/>
    <w:multiLevelType w:val="singleLevel"/>
    <w:tmpl w:val="FFFFFF7F"/>
    <w:lvl w:ilvl="0" w:tentative="0">
      <w:start w:val="1"/>
      <w:numFmt w:val="decimal"/>
      <w:pStyle w:val="14"/>
      <w:lvlText w:val="%1."/>
      <w:lvlJc w:val="left"/>
      <w:pPr>
        <w:tabs>
          <w:tab w:val="left" w:pos="780"/>
        </w:tabs>
        <w:ind w:left="780" w:hanging="360"/>
      </w:pPr>
    </w:lvl>
  </w:abstractNum>
  <w:abstractNum w:abstractNumId="7">
    <w:nsid w:val="FFFFFF80"/>
    <w:multiLevelType w:val="singleLevel"/>
    <w:tmpl w:val="FFFFFF80"/>
    <w:lvl w:ilvl="0" w:tentative="0">
      <w:start w:val="1"/>
      <w:numFmt w:val="bullet"/>
      <w:pStyle w:val="46"/>
      <w:lvlText w:val=""/>
      <w:lvlJc w:val="left"/>
      <w:pPr>
        <w:tabs>
          <w:tab w:val="left" w:pos="2040"/>
        </w:tabs>
        <w:ind w:left="2040" w:hanging="360"/>
      </w:pPr>
      <w:rPr>
        <w:rFonts w:hint="default" w:ascii="Wingdings" w:hAnsi="Wingdings"/>
      </w:rPr>
    </w:lvl>
  </w:abstractNum>
  <w:abstractNum w:abstractNumId="8">
    <w:nsid w:val="FFFFFF81"/>
    <w:multiLevelType w:val="singleLevel"/>
    <w:tmpl w:val="FFFFFF81"/>
    <w:lvl w:ilvl="0" w:tentative="0">
      <w:start w:val="1"/>
      <w:numFmt w:val="bullet"/>
      <w:pStyle w:val="17"/>
      <w:lvlText w:val=""/>
      <w:lvlJc w:val="left"/>
      <w:pPr>
        <w:tabs>
          <w:tab w:val="left" w:pos="1620"/>
        </w:tabs>
        <w:ind w:left="1620" w:hanging="360"/>
      </w:pPr>
      <w:rPr>
        <w:rFonts w:hint="default" w:ascii="Wingdings" w:hAnsi="Wingdings"/>
      </w:rPr>
    </w:lvl>
  </w:abstractNum>
  <w:abstractNum w:abstractNumId="9">
    <w:nsid w:val="FFFFFF82"/>
    <w:multiLevelType w:val="singleLevel"/>
    <w:tmpl w:val="FFFFFF82"/>
    <w:lvl w:ilvl="0" w:tentative="0">
      <w:start w:val="1"/>
      <w:numFmt w:val="bullet"/>
      <w:pStyle w:val="33"/>
      <w:lvlText w:val=""/>
      <w:lvlJc w:val="left"/>
      <w:pPr>
        <w:tabs>
          <w:tab w:val="left" w:pos="1200"/>
        </w:tabs>
        <w:ind w:left="1200" w:hanging="360"/>
      </w:pPr>
      <w:rPr>
        <w:rFonts w:hint="default" w:ascii="Wingdings" w:hAnsi="Wingdings"/>
      </w:rPr>
    </w:lvl>
  </w:abstractNum>
  <w:abstractNum w:abstractNumId="10">
    <w:nsid w:val="FFFFFF83"/>
    <w:multiLevelType w:val="singleLevel"/>
    <w:tmpl w:val="FFFFFF83"/>
    <w:lvl w:ilvl="0" w:tentative="0">
      <w:start w:val="1"/>
      <w:numFmt w:val="bullet"/>
      <w:pStyle w:val="40"/>
      <w:lvlText w:val=""/>
      <w:lvlJc w:val="left"/>
      <w:pPr>
        <w:tabs>
          <w:tab w:val="left" w:pos="780"/>
        </w:tabs>
        <w:ind w:left="780" w:hanging="360"/>
      </w:pPr>
      <w:rPr>
        <w:rFonts w:hint="default" w:ascii="Wingdings" w:hAnsi="Wingdings"/>
      </w:rPr>
    </w:lvl>
  </w:abstractNum>
  <w:abstractNum w:abstractNumId="11">
    <w:nsid w:val="FFFFFF88"/>
    <w:multiLevelType w:val="singleLevel"/>
    <w:tmpl w:val="FFFFFF88"/>
    <w:lvl w:ilvl="0" w:tentative="0">
      <w:start w:val="1"/>
      <w:numFmt w:val="decimal"/>
      <w:pStyle w:val="20"/>
      <w:lvlText w:val="%1."/>
      <w:lvlJc w:val="left"/>
      <w:pPr>
        <w:tabs>
          <w:tab w:val="left" w:pos="360"/>
        </w:tabs>
        <w:ind w:left="360" w:hanging="360"/>
      </w:pPr>
    </w:lvl>
  </w:abstractNum>
  <w:abstractNum w:abstractNumId="12">
    <w:nsid w:val="FFFFFF89"/>
    <w:multiLevelType w:val="singleLevel"/>
    <w:tmpl w:val="FFFFFF89"/>
    <w:lvl w:ilvl="0" w:tentative="0">
      <w:start w:val="1"/>
      <w:numFmt w:val="bullet"/>
      <w:pStyle w:val="1345"/>
      <w:lvlText w:val=""/>
      <w:lvlJc w:val="left"/>
      <w:pPr>
        <w:tabs>
          <w:tab w:val="left" w:pos="360"/>
        </w:tabs>
        <w:ind w:left="360" w:hanging="360"/>
      </w:pPr>
      <w:rPr>
        <w:rFonts w:hint="default" w:ascii="Wingdings" w:hAnsi="Wingdings"/>
      </w:rPr>
    </w:lvl>
  </w:abstractNum>
  <w:abstractNum w:abstractNumId="13">
    <w:nsid w:val="00000004"/>
    <w:multiLevelType w:val="multilevel"/>
    <w:tmpl w:val="00000004"/>
    <w:lvl w:ilvl="0" w:tentative="0">
      <w:start w:val="1"/>
      <w:numFmt w:val="none"/>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pStyle w:val="8"/>
      <w:lvlText w:val="           "/>
      <w:lvlJc w:val="left"/>
      <w:pPr>
        <w:tabs>
          <w:tab w:val="left" w:pos="1440"/>
        </w:tabs>
        <w:ind w:left="1152" w:hanging="1152"/>
      </w:pPr>
      <w:rPr>
        <w:rFonts w:hint="eastAsia"/>
      </w:rPr>
    </w:lvl>
    <w:lvl w:ilvl="6" w:tentative="0">
      <w:start w:val="1"/>
      <w:numFmt w:val="decimal"/>
      <w:lvlText w:val="%1.%2.%3.%4.%5.%6.%7"/>
      <w:lvlJc w:val="left"/>
      <w:pPr>
        <w:tabs>
          <w:tab w:val="left" w:pos="2520"/>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14">
    <w:nsid w:val="0000000F"/>
    <w:multiLevelType w:val="multilevel"/>
    <w:tmpl w:val="0000000F"/>
    <w:lvl w:ilvl="0" w:tentative="0">
      <w:start w:val="1"/>
      <w:numFmt w:val="decimal"/>
      <w:pStyle w:val="1663"/>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5">
    <w:nsid w:val="025D4692"/>
    <w:multiLevelType w:val="multilevel"/>
    <w:tmpl w:val="025D4692"/>
    <w:lvl w:ilvl="0" w:tentative="0">
      <w:start w:val="1"/>
      <w:numFmt w:val="decimal"/>
      <w:lvlText w:val="%1"/>
      <w:lvlJc w:val="left"/>
      <w:pPr>
        <w:tabs>
          <w:tab w:val="left" w:pos="1134"/>
        </w:tabs>
        <w:ind w:left="1134" w:hanging="1134"/>
      </w:pPr>
      <w:rPr>
        <w:rFonts w:hint="eastAsia"/>
      </w:rPr>
    </w:lvl>
    <w:lvl w:ilvl="1" w:tentative="0">
      <w:start w:val="5"/>
      <w:numFmt w:val="decimal"/>
      <w:lvlRestart w:val="0"/>
      <w:lvlText w:val="%1.%2"/>
      <w:lvlJc w:val="left"/>
      <w:pPr>
        <w:tabs>
          <w:tab w:val="left" w:pos="1134"/>
        </w:tabs>
        <w:ind w:left="1134" w:hanging="1134"/>
      </w:pPr>
      <w:rPr>
        <w:rFonts w:hint="eastAsia"/>
      </w:rPr>
    </w:lvl>
    <w:lvl w:ilvl="2" w:tentative="0">
      <w:start w:val="3"/>
      <w:numFmt w:val="decimal"/>
      <w:lvlRestart w:val="0"/>
      <w:isLgl/>
      <w:lvlText w:val="%1.%2.%3"/>
      <w:lvlJc w:val="left"/>
      <w:pPr>
        <w:tabs>
          <w:tab w:val="left" w:pos="1134"/>
        </w:tabs>
        <w:ind w:left="1134" w:hanging="1134"/>
      </w:pPr>
      <w:rPr>
        <w:rFonts w:hint="eastAsia"/>
      </w:rPr>
    </w:lvl>
    <w:lvl w:ilvl="3" w:tentative="0">
      <w:start w:val="1"/>
      <w:numFmt w:val="decimal"/>
      <w:lvlRestart w:val="0"/>
      <w:pStyle w:val="1456"/>
      <w:lvlText w:val="%1.6.%3.%4"/>
      <w:lvlJc w:val="left"/>
      <w:pPr>
        <w:tabs>
          <w:tab w:val="left" w:pos="1134"/>
        </w:tabs>
        <w:ind w:left="1134" w:hanging="1134"/>
      </w:pPr>
      <w:rPr>
        <w:rFonts w:hint="eastAsia"/>
      </w:rPr>
    </w:lvl>
    <w:lvl w:ilvl="4" w:tentative="0">
      <w:start w:val="1"/>
      <w:numFmt w:val="decimal"/>
      <w:lvlText w:val="%1.%2.%3.%4.%5"/>
      <w:lvlJc w:val="left"/>
      <w:pPr>
        <w:tabs>
          <w:tab w:val="left" w:pos="6263"/>
        </w:tabs>
        <w:ind w:left="6263" w:hanging="1008"/>
      </w:pPr>
      <w:rPr>
        <w:rFonts w:hint="eastAsia"/>
      </w:rPr>
    </w:lvl>
    <w:lvl w:ilvl="5" w:tentative="0">
      <w:start w:val="1"/>
      <w:numFmt w:val="decimal"/>
      <w:lvlText w:val="%1.%2.%3.%4.%5.%6"/>
      <w:lvlJc w:val="left"/>
      <w:pPr>
        <w:tabs>
          <w:tab w:val="left" w:pos="6407"/>
        </w:tabs>
        <w:ind w:left="6407" w:hanging="1152"/>
      </w:pPr>
      <w:rPr>
        <w:rFonts w:hint="eastAsia"/>
      </w:rPr>
    </w:lvl>
    <w:lvl w:ilvl="6" w:tentative="0">
      <w:start w:val="1"/>
      <w:numFmt w:val="decimal"/>
      <w:lvlText w:val="%1.%2.%3.%4.%5.%6.%7"/>
      <w:lvlJc w:val="left"/>
      <w:pPr>
        <w:tabs>
          <w:tab w:val="left" w:pos="6551"/>
        </w:tabs>
        <w:ind w:left="6551" w:hanging="1296"/>
      </w:pPr>
      <w:rPr>
        <w:rFonts w:hint="eastAsia"/>
      </w:rPr>
    </w:lvl>
    <w:lvl w:ilvl="7" w:tentative="0">
      <w:start w:val="1"/>
      <w:numFmt w:val="decimal"/>
      <w:lvlText w:val="%1.%2.%3.%4.%5.%6.%7.%8"/>
      <w:lvlJc w:val="left"/>
      <w:pPr>
        <w:tabs>
          <w:tab w:val="left" w:pos="6695"/>
        </w:tabs>
        <w:ind w:left="6695" w:hanging="1440"/>
      </w:pPr>
      <w:rPr>
        <w:rFonts w:hint="eastAsia"/>
      </w:rPr>
    </w:lvl>
    <w:lvl w:ilvl="8" w:tentative="0">
      <w:start w:val="1"/>
      <w:numFmt w:val="decimal"/>
      <w:lvlText w:val="%1.%2.%3.%4.%5.%6.%7.%8.%9"/>
      <w:lvlJc w:val="left"/>
      <w:pPr>
        <w:tabs>
          <w:tab w:val="left" w:pos="6839"/>
        </w:tabs>
        <w:ind w:left="6839" w:hanging="1584"/>
      </w:pPr>
      <w:rPr>
        <w:rFonts w:hint="eastAsia"/>
      </w:rPr>
    </w:lvl>
  </w:abstractNum>
  <w:abstractNum w:abstractNumId="16">
    <w:nsid w:val="03A158BC"/>
    <w:multiLevelType w:val="singleLevel"/>
    <w:tmpl w:val="03A158BC"/>
    <w:lvl w:ilvl="0" w:tentative="0">
      <w:start w:val="1"/>
      <w:numFmt w:val="decimal"/>
      <w:pStyle w:val="1784"/>
      <w:lvlText w:val="%1."/>
      <w:lvlJc w:val="left"/>
      <w:pPr>
        <w:tabs>
          <w:tab w:val="left" w:pos="360"/>
        </w:tabs>
        <w:ind w:left="360" w:hanging="360"/>
      </w:pPr>
    </w:lvl>
  </w:abstractNum>
  <w:abstractNum w:abstractNumId="17">
    <w:nsid w:val="11C27957"/>
    <w:multiLevelType w:val="multilevel"/>
    <w:tmpl w:val="11C27957"/>
    <w:lvl w:ilvl="0" w:tentative="0">
      <w:start w:val="1"/>
      <w:numFmt w:val="decimal"/>
      <w:pStyle w:val="181"/>
      <w:isLgl/>
      <w:suff w:val="space"/>
      <w:lvlText w:val="%1."/>
      <w:lvlJc w:val="left"/>
      <w:pPr>
        <w:ind w:left="0" w:firstLine="0"/>
      </w:pPr>
      <w:rPr>
        <w:rFonts w:hint="default" w:ascii="Arial" w:hAnsi="Arial" w:eastAsia="宋体"/>
        <w:b/>
        <w:i w:val="0"/>
        <w:sz w:val="21"/>
        <w:szCs w:val="21"/>
      </w:rPr>
    </w:lvl>
    <w:lvl w:ilvl="1" w:tentative="0">
      <w:start w:val="1"/>
      <w:numFmt w:val="decimal"/>
      <w:pStyle w:val="1196"/>
      <w:suff w:val="space"/>
      <w:lvlText w:val="%1.%2"/>
      <w:lvlJc w:val="left"/>
      <w:pPr>
        <w:ind w:left="0" w:firstLine="0"/>
      </w:pPr>
      <w:rPr>
        <w:rFonts w:hint="default" w:ascii="Arial" w:hAnsi="Arial" w:eastAsia="宋体"/>
        <w:b/>
        <w:i w:val="0"/>
        <w:sz w:val="21"/>
        <w:szCs w:val="21"/>
      </w:rPr>
    </w:lvl>
    <w:lvl w:ilvl="2" w:tentative="0">
      <w:start w:val="1"/>
      <w:numFmt w:val="decimal"/>
      <w:suff w:val="space"/>
      <w:lvlText w:val="%1.%2.%3"/>
      <w:lvlJc w:val="left"/>
      <w:pPr>
        <w:ind w:left="1418" w:firstLine="0"/>
      </w:pPr>
      <w:rPr>
        <w:rFonts w:hint="default" w:ascii="Arial" w:hAnsi="Arial" w:eastAsia="宋体"/>
        <w:b w:val="0"/>
        <w:i w:val="0"/>
        <w:sz w:val="21"/>
        <w:szCs w:val="21"/>
      </w:rPr>
    </w:lvl>
    <w:lvl w:ilvl="3" w:tentative="0">
      <w:start w:val="1"/>
      <w:numFmt w:val="decimal"/>
      <w:pStyle w:val="1735"/>
      <w:suff w:val="space"/>
      <w:lvlText w:val="%1.%2.%3.%4"/>
      <w:lvlJc w:val="left"/>
      <w:pPr>
        <w:ind w:left="0" w:firstLine="0"/>
      </w:pPr>
      <w:rPr>
        <w:rFonts w:hint="default" w:ascii="Arial" w:hAnsi="Arial" w:eastAsia="宋体"/>
        <w:b w:val="0"/>
        <w:i w:val="0"/>
        <w:sz w:val="24"/>
        <w:szCs w:val="24"/>
      </w:rPr>
    </w:lvl>
    <w:lvl w:ilvl="4" w:tentative="0">
      <w:start w:val="1"/>
      <w:numFmt w:val="decimal"/>
      <w:pStyle w:val="1736"/>
      <w:suff w:val="space"/>
      <w:lvlText w:val="（%5）"/>
      <w:lvlJc w:val="left"/>
      <w:pPr>
        <w:ind w:left="1008" w:hanging="1008"/>
      </w:pPr>
      <w:rPr>
        <w:rFonts w:hint="eastAsia" w:ascii="Times New Roman" w:hAnsi="Times New Roman" w:cs="Times New Roman"/>
        <w:b w:val="0"/>
        <w:bCs w:val="0"/>
        <w:i w:val="0"/>
        <w:iCs w:val="0"/>
        <w:caps w:val="0"/>
        <w:smallCaps w:val="0"/>
        <w:strike w:val="0"/>
        <w:dstrike w:val="0"/>
        <w:snapToGrid w:val="0"/>
        <w:color w:val="000000"/>
        <w:spacing w:val="0"/>
        <w:w w:val="0"/>
        <w:kern w:val="0"/>
        <w:position w:val="0"/>
        <w:szCs w:val="16"/>
        <w:u w:val="none"/>
      </w:rPr>
    </w:lvl>
    <w:lvl w:ilvl="5" w:tentative="0">
      <w:start w:val="1"/>
      <w:numFmt w:val="decimal"/>
      <w:pStyle w:val="1392"/>
      <w:suff w:val="space"/>
      <w:lvlText w:val="%6）"/>
      <w:lvlJc w:val="left"/>
      <w:pPr>
        <w:ind w:left="4271" w:hanging="1152"/>
      </w:pPr>
      <w:rPr>
        <w:rFonts w:hint="eastAsia"/>
      </w:rPr>
    </w:lvl>
    <w:lvl w:ilvl="6" w:tentative="0">
      <w:start w:val="1"/>
      <w:numFmt w:val="decimal"/>
      <w:lvlRestart w:val="0"/>
      <w:suff w:val="space"/>
      <w:lvlText w:val="%7)"/>
      <w:lvlJc w:val="left"/>
      <w:pPr>
        <w:ind w:left="0" w:firstLine="400"/>
      </w:pPr>
      <w:rPr>
        <w:rFonts w:hint="eastAsia"/>
      </w:rPr>
    </w:lvl>
    <w:lvl w:ilvl="7" w:tentative="0">
      <w:start w:val="1"/>
      <w:numFmt w:val="decimal"/>
      <w:lvlRestart w:val="0"/>
      <w:suff w:val="space"/>
      <w:lvlText w:val="%8)"/>
      <w:lvlJc w:val="left"/>
      <w:pPr>
        <w:ind w:left="0" w:firstLine="400"/>
      </w:pPr>
      <w:rPr>
        <w:rFonts w:hint="eastAsia"/>
      </w:rPr>
    </w:lvl>
    <w:lvl w:ilvl="8" w:tentative="0">
      <w:start w:val="1"/>
      <w:numFmt w:val="lowerLetter"/>
      <w:suff w:val="space"/>
      <w:lvlText w:val="%9"/>
      <w:lvlJc w:val="left"/>
      <w:pPr>
        <w:ind w:left="400" w:firstLine="403"/>
      </w:pPr>
      <w:rPr>
        <w:rFonts w:hint="eastAsia"/>
      </w:rPr>
    </w:lvl>
  </w:abstractNum>
  <w:abstractNum w:abstractNumId="18">
    <w:nsid w:val="12B7211C"/>
    <w:multiLevelType w:val="multilevel"/>
    <w:tmpl w:val="12B7211C"/>
    <w:lvl w:ilvl="0" w:tentative="0">
      <w:start w:val="1"/>
      <w:numFmt w:val="decimal"/>
      <w:pStyle w:val="1711"/>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9">
    <w:nsid w:val="13D50678"/>
    <w:multiLevelType w:val="multilevel"/>
    <w:tmpl w:val="13D50678"/>
    <w:lvl w:ilvl="0" w:tentative="0">
      <w:start w:val="1"/>
      <w:numFmt w:val="lowerLetter"/>
      <w:pStyle w:val="581"/>
      <w:lvlText w:val="%1)"/>
      <w:lvlJc w:val="left"/>
      <w:pPr>
        <w:ind w:left="620" w:hanging="420"/>
      </w:pPr>
      <w:rPr>
        <w:rFonts w:ascii="Times New Roman" w:hAnsi="Times New Roman" w:cs="Times New Roman"/>
        <w:b w:val="0"/>
        <w:bCs w:val="0"/>
        <w:i w:val="0"/>
        <w:iCs w:val="0"/>
        <w:caps w:val="0"/>
        <w:smallCaps w:val="0"/>
        <w:strike w:val="0"/>
        <w:dstrike w:val="0"/>
        <w:snapToGrid w:val="0"/>
        <w:color w:val="000000"/>
        <w:spacing w:val="0"/>
        <w:w w:val="0"/>
        <w:kern w:val="0"/>
        <w:position w:val="0"/>
        <w:szCs w:val="16"/>
        <w:u w:val="none"/>
      </w:rPr>
    </w:lvl>
    <w:lvl w:ilvl="1" w:tentative="0">
      <w:start w:val="1"/>
      <w:numFmt w:val="lowerLetter"/>
      <w:lvlText w:val="%2)"/>
      <w:lvlJc w:val="left"/>
      <w:pPr>
        <w:ind w:left="1040" w:hanging="420"/>
      </w:pPr>
    </w:lvl>
    <w:lvl w:ilvl="2" w:tentative="0">
      <w:start w:val="1"/>
      <w:numFmt w:val="lowerRoman"/>
      <w:lvlText w:val="%3."/>
      <w:lvlJc w:val="right"/>
      <w:pPr>
        <w:ind w:left="1460" w:hanging="420"/>
      </w:pPr>
    </w:lvl>
    <w:lvl w:ilvl="3" w:tentative="0">
      <w:start w:val="1"/>
      <w:numFmt w:val="decimal"/>
      <w:lvlText w:val="%4."/>
      <w:lvlJc w:val="left"/>
      <w:pPr>
        <w:ind w:left="1880" w:hanging="420"/>
      </w:pPr>
    </w:lvl>
    <w:lvl w:ilvl="4" w:tentative="0">
      <w:start w:val="1"/>
      <w:numFmt w:val="lowerLetter"/>
      <w:lvlText w:val="%5)"/>
      <w:lvlJc w:val="left"/>
      <w:pPr>
        <w:ind w:left="2300" w:hanging="420"/>
      </w:pPr>
    </w:lvl>
    <w:lvl w:ilvl="5" w:tentative="0">
      <w:start w:val="1"/>
      <w:numFmt w:val="lowerRoman"/>
      <w:lvlText w:val="%6."/>
      <w:lvlJc w:val="right"/>
      <w:pPr>
        <w:ind w:left="2720" w:hanging="420"/>
      </w:pPr>
    </w:lvl>
    <w:lvl w:ilvl="6" w:tentative="0">
      <w:start w:val="1"/>
      <w:numFmt w:val="decimal"/>
      <w:lvlText w:val="%7."/>
      <w:lvlJc w:val="left"/>
      <w:pPr>
        <w:ind w:left="3140" w:hanging="420"/>
      </w:pPr>
    </w:lvl>
    <w:lvl w:ilvl="7" w:tentative="0">
      <w:start w:val="1"/>
      <w:numFmt w:val="lowerLetter"/>
      <w:lvlText w:val="%8)"/>
      <w:lvlJc w:val="left"/>
      <w:pPr>
        <w:ind w:left="3560" w:hanging="420"/>
      </w:pPr>
    </w:lvl>
    <w:lvl w:ilvl="8" w:tentative="0">
      <w:start w:val="1"/>
      <w:numFmt w:val="lowerRoman"/>
      <w:lvlText w:val="%9."/>
      <w:lvlJc w:val="right"/>
      <w:pPr>
        <w:ind w:left="3980" w:hanging="420"/>
      </w:pPr>
    </w:lvl>
  </w:abstractNum>
  <w:abstractNum w:abstractNumId="20">
    <w:nsid w:val="19237AA7"/>
    <w:multiLevelType w:val="multilevel"/>
    <w:tmpl w:val="19237AA7"/>
    <w:lvl w:ilvl="0" w:tentative="0">
      <w:start w:val="1"/>
      <w:numFmt w:val="decimal"/>
      <w:lvlText w:val="%1"/>
      <w:lvlJc w:val="left"/>
      <w:pPr>
        <w:tabs>
          <w:tab w:val="left" w:pos="1134"/>
        </w:tabs>
        <w:ind w:left="1134" w:hanging="1134"/>
      </w:pPr>
      <w:rPr>
        <w:rFonts w:hint="eastAsia"/>
      </w:rPr>
    </w:lvl>
    <w:lvl w:ilvl="1" w:tentative="0">
      <w:start w:val="5"/>
      <w:numFmt w:val="decimal"/>
      <w:lvlRestart w:val="0"/>
      <w:lvlText w:val="%1.%2"/>
      <w:lvlJc w:val="left"/>
      <w:pPr>
        <w:tabs>
          <w:tab w:val="left" w:pos="1134"/>
        </w:tabs>
        <w:ind w:left="1134" w:hanging="1134"/>
      </w:pPr>
      <w:rPr>
        <w:rFonts w:hint="eastAsia"/>
      </w:rPr>
    </w:lvl>
    <w:lvl w:ilvl="2" w:tentative="0">
      <w:start w:val="2"/>
      <w:numFmt w:val="decimal"/>
      <w:lvlRestart w:val="0"/>
      <w:isLgl/>
      <w:lvlText w:val="%1.%2.%3"/>
      <w:lvlJc w:val="left"/>
      <w:pPr>
        <w:tabs>
          <w:tab w:val="left" w:pos="1134"/>
        </w:tabs>
        <w:ind w:left="1134" w:hanging="1134"/>
      </w:pPr>
      <w:rPr>
        <w:rFonts w:hint="eastAsia"/>
      </w:rPr>
    </w:lvl>
    <w:lvl w:ilvl="3" w:tentative="0">
      <w:start w:val="1"/>
      <w:numFmt w:val="decimal"/>
      <w:lvlRestart w:val="0"/>
      <w:pStyle w:val="877"/>
      <w:lvlText w:val="%1.6.%3.%4"/>
      <w:lvlJc w:val="left"/>
      <w:pPr>
        <w:tabs>
          <w:tab w:val="left" w:pos="1134"/>
        </w:tabs>
        <w:ind w:left="1134" w:hanging="1134"/>
      </w:pPr>
      <w:rPr>
        <w:rFonts w:hint="eastAsia"/>
      </w:rPr>
    </w:lvl>
    <w:lvl w:ilvl="4" w:tentative="0">
      <w:start w:val="1"/>
      <w:numFmt w:val="decimal"/>
      <w:lvlText w:val="%1.%2.%3.%4.%5"/>
      <w:lvlJc w:val="left"/>
      <w:pPr>
        <w:tabs>
          <w:tab w:val="left" w:pos="6263"/>
        </w:tabs>
        <w:ind w:left="6263" w:hanging="1008"/>
      </w:pPr>
      <w:rPr>
        <w:rFonts w:hint="eastAsia"/>
      </w:rPr>
    </w:lvl>
    <w:lvl w:ilvl="5" w:tentative="0">
      <w:start w:val="1"/>
      <w:numFmt w:val="decimal"/>
      <w:lvlText w:val="%1.%2.%3.%4.%5.%6"/>
      <w:lvlJc w:val="left"/>
      <w:pPr>
        <w:tabs>
          <w:tab w:val="left" w:pos="6407"/>
        </w:tabs>
        <w:ind w:left="6407" w:hanging="1152"/>
      </w:pPr>
      <w:rPr>
        <w:rFonts w:hint="eastAsia"/>
      </w:rPr>
    </w:lvl>
    <w:lvl w:ilvl="6" w:tentative="0">
      <w:start w:val="1"/>
      <w:numFmt w:val="decimal"/>
      <w:lvlText w:val="%1.%2.%3.%4.%5.%6.%7"/>
      <w:lvlJc w:val="left"/>
      <w:pPr>
        <w:tabs>
          <w:tab w:val="left" w:pos="6551"/>
        </w:tabs>
        <w:ind w:left="6551" w:hanging="1296"/>
      </w:pPr>
      <w:rPr>
        <w:rFonts w:hint="eastAsia"/>
      </w:rPr>
    </w:lvl>
    <w:lvl w:ilvl="7" w:tentative="0">
      <w:start w:val="1"/>
      <w:numFmt w:val="decimal"/>
      <w:lvlText w:val="%1.%2.%3.%4.%5.%6.%7.%8"/>
      <w:lvlJc w:val="left"/>
      <w:pPr>
        <w:tabs>
          <w:tab w:val="left" w:pos="6695"/>
        </w:tabs>
        <w:ind w:left="6695" w:hanging="1440"/>
      </w:pPr>
      <w:rPr>
        <w:rFonts w:hint="eastAsia"/>
      </w:rPr>
    </w:lvl>
    <w:lvl w:ilvl="8" w:tentative="0">
      <w:start w:val="1"/>
      <w:numFmt w:val="decimal"/>
      <w:lvlText w:val="%1.%2.%3.%4.%5.%6.%7.%8.%9"/>
      <w:lvlJc w:val="left"/>
      <w:pPr>
        <w:tabs>
          <w:tab w:val="left" w:pos="6839"/>
        </w:tabs>
        <w:ind w:left="6839" w:hanging="1584"/>
      </w:pPr>
      <w:rPr>
        <w:rFonts w:hint="eastAsia"/>
      </w:rPr>
    </w:lvl>
  </w:abstractNum>
  <w:abstractNum w:abstractNumId="21">
    <w:nsid w:val="23202BD3"/>
    <w:multiLevelType w:val="multilevel"/>
    <w:tmpl w:val="23202BD3"/>
    <w:lvl w:ilvl="0" w:tentative="0">
      <w:start w:val="7"/>
      <w:numFmt w:val="decimal"/>
      <w:lvlText w:val="11.1.4.%1"/>
      <w:lvlJc w:val="left"/>
      <w:pPr>
        <w:tabs>
          <w:tab w:val="left" w:pos="425"/>
        </w:tabs>
        <w:ind w:left="425" w:hanging="425"/>
      </w:pPr>
      <w:rPr>
        <w:rFonts w:hint="eastAsia"/>
      </w:rPr>
    </w:lvl>
    <w:lvl w:ilvl="1" w:tentative="0">
      <w:start w:val="3"/>
      <w:numFmt w:val="decimal"/>
      <w:pStyle w:val="1878"/>
      <w:lvlText w:val="6.%2"/>
      <w:lvlJc w:val="left"/>
      <w:pPr>
        <w:tabs>
          <w:tab w:val="left" w:pos="851"/>
        </w:tabs>
        <w:ind w:left="851" w:hanging="851"/>
      </w:pPr>
      <w:rPr>
        <w:rFonts w:hint="eastAsia"/>
      </w:rPr>
    </w:lvl>
    <w:lvl w:ilvl="2" w:tentative="0">
      <w:start w:val="1"/>
      <w:numFmt w:val="decimal"/>
      <w:lvlText w:val="11.5.%3"/>
      <w:lvlJc w:val="left"/>
      <w:pPr>
        <w:tabs>
          <w:tab w:val="left" w:pos="709"/>
        </w:tabs>
        <w:ind w:left="709" w:hanging="709"/>
      </w:pPr>
      <w:rPr>
        <w:rFonts w:hint="eastAsia"/>
      </w:rPr>
    </w:lvl>
    <w:lvl w:ilvl="3" w:tentative="0">
      <w:start w:val="12"/>
      <w:numFmt w:val="decimal"/>
      <w:lvlText w:val="11.3.4.%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2">
    <w:nsid w:val="26747694"/>
    <w:multiLevelType w:val="multilevel"/>
    <w:tmpl w:val="26747694"/>
    <w:lvl w:ilvl="0" w:tentative="0">
      <w:start w:val="1"/>
      <w:numFmt w:val="decimal"/>
      <w:lvlText w:val="%1."/>
      <w:lvlJc w:val="left"/>
      <w:pPr>
        <w:tabs>
          <w:tab w:val="left" w:pos="425"/>
        </w:tabs>
        <w:ind w:left="425" w:hanging="425"/>
      </w:pPr>
      <w:rPr>
        <w:rFonts w:hint="eastAsia"/>
      </w:rPr>
    </w:lvl>
    <w:lvl w:ilvl="1" w:tentative="0">
      <w:start w:val="1"/>
      <w:numFmt w:val="decimal"/>
      <w:lvlText w:val="%1.%2."/>
      <w:lvlJc w:val="left"/>
      <w:pPr>
        <w:tabs>
          <w:tab w:val="left" w:pos="1080"/>
        </w:tabs>
        <w:ind w:left="567" w:hanging="567"/>
      </w:pPr>
      <w:rPr>
        <w:rFonts w:hint="eastAsia" w:ascii="宋体" w:hAnsi="宋体" w:eastAsia="宋体"/>
        <w:b w:val="0"/>
      </w:rPr>
    </w:lvl>
    <w:lvl w:ilvl="2" w:tentative="0">
      <w:start w:val="1"/>
      <w:numFmt w:val="decimal"/>
      <w:lvlText w:val="%1.%2.%3."/>
      <w:lvlJc w:val="left"/>
      <w:pPr>
        <w:tabs>
          <w:tab w:val="left" w:pos="2040"/>
        </w:tabs>
        <w:ind w:left="1309" w:hanging="709"/>
      </w:pPr>
      <w:rPr>
        <w:rFonts w:hint="eastAsia" w:ascii="宋体" w:hAnsi="宋体" w:eastAsia="宋体"/>
      </w:rPr>
    </w:lvl>
    <w:lvl w:ilvl="3" w:tentative="0">
      <w:start w:val="1"/>
      <w:numFmt w:val="decimal"/>
      <w:pStyle w:val="1308"/>
      <w:lvlText w:val="%1.%2.%3.%4."/>
      <w:lvlJc w:val="left"/>
      <w:pPr>
        <w:tabs>
          <w:tab w:val="left" w:pos="1800"/>
        </w:tabs>
        <w:ind w:left="1451" w:hanging="1451"/>
      </w:pPr>
      <w:rPr>
        <w:rFonts w:hint="eastAsia" w:ascii="宋体" w:hAnsi="宋体" w:eastAsia="宋体"/>
        <w:color w:val="000000"/>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3">
    <w:nsid w:val="273A05DC"/>
    <w:multiLevelType w:val="multilevel"/>
    <w:tmpl w:val="273A05DC"/>
    <w:lvl w:ilvl="0" w:tentative="0">
      <w:start w:val="1"/>
      <w:numFmt w:val="bullet"/>
      <w:pStyle w:val="1712"/>
      <w:lvlText w:val=""/>
      <w:lvlJc w:val="left"/>
      <w:pPr>
        <w:tabs>
          <w:tab w:val="left" w:pos="900"/>
        </w:tabs>
        <w:ind w:left="900" w:hanging="420"/>
      </w:pPr>
      <w:rPr>
        <w:rFonts w:hint="default" w:ascii="Wingdings" w:hAnsi="Wingdings"/>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24">
    <w:nsid w:val="365A59B0"/>
    <w:multiLevelType w:val="multilevel"/>
    <w:tmpl w:val="365A59B0"/>
    <w:lvl w:ilvl="0" w:tentative="0">
      <w:start w:val="1"/>
      <w:numFmt w:val="decimal"/>
      <w:pStyle w:val="1796"/>
      <w:lvlText w:val="%1"/>
      <w:lvlJc w:val="left"/>
      <w:pPr>
        <w:tabs>
          <w:tab w:val="left" w:pos="1021"/>
        </w:tabs>
        <w:ind w:left="1021" w:hanging="1021"/>
      </w:pPr>
      <w:rPr>
        <w:rFonts w:hint="eastAsia" w:ascii="宋体" w:eastAsia="宋体"/>
        <w:sz w:val="21"/>
        <w:szCs w:val="21"/>
      </w:rPr>
    </w:lvl>
    <w:lvl w:ilvl="1" w:tentative="0">
      <w:start w:val="1"/>
      <w:numFmt w:val="decimal"/>
      <w:lvlText w:val="%1.%2"/>
      <w:lvlJc w:val="left"/>
      <w:pPr>
        <w:tabs>
          <w:tab w:val="left" w:pos="1077"/>
        </w:tabs>
        <w:ind w:left="1077" w:hanging="1077"/>
      </w:pPr>
      <w:rPr>
        <w:rFonts w:hint="eastAsia" w:ascii="宋体" w:eastAsia="宋体"/>
      </w:rPr>
    </w:lvl>
    <w:lvl w:ilvl="2" w:tentative="0">
      <w:start w:val="1"/>
      <w:numFmt w:val="decimal"/>
      <w:lvlText w:val="%1.%2.%3"/>
      <w:lvlJc w:val="left"/>
      <w:pPr>
        <w:tabs>
          <w:tab w:val="left" w:pos="1077"/>
        </w:tabs>
        <w:ind w:left="1077" w:hanging="1077"/>
      </w:pPr>
      <w:rPr>
        <w:rFonts w:hint="eastAsia" w:ascii="宋体" w:eastAsia="宋体"/>
      </w:rPr>
    </w:lvl>
    <w:lvl w:ilvl="3" w:tentative="0">
      <w:start w:val="1"/>
      <w:numFmt w:val="decimal"/>
      <w:lvlText w:val="%1.%2.%3.%4"/>
      <w:lvlJc w:val="left"/>
      <w:pPr>
        <w:tabs>
          <w:tab w:val="left" w:pos="1134"/>
        </w:tabs>
        <w:ind w:left="1134" w:hanging="1134"/>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5">
    <w:nsid w:val="3EBC705B"/>
    <w:multiLevelType w:val="multilevel"/>
    <w:tmpl w:val="3EBC705B"/>
    <w:lvl w:ilvl="0" w:tentative="0">
      <w:start w:val="4"/>
      <w:numFmt w:val="decimal"/>
      <w:pStyle w:val="1875"/>
      <w:lvlText w:val="%1"/>
      <w:lvlJc w:val="left"/>
      <w:pPr>
        <w:tabs>
          <w:tab w:val="left" w:pos="840"/>
        </w:tabs>
        <w:ind w:left="840" w:hanging="840"/>
      </w:pPr>
      <w:rPr>
        <w:rFonts w:hint="default" w:hAnsi="宋体" w:cs="Times New Roman"/>
      </w:rPr>
    </w:lvl>
    <w:lvl w:ilvl="1" w:tentative="0">
      <w:start w:val="4"/>
      <w:numFmt w:val="decimal"/>
      <w:lvlText w:val="%1.%2"/>
      <w:lvlJc w:val="left"/>
      <w:pPr>
        <w:tabs>
          <w:tab w:val="left" w:pos="840"/>
        </w:tabs>
        <w:ind w:left="840" w:hanging="840"/>
      </w:pPr>
      <w:rPr>
        <w:rFonts w:hint="default" w:hAnsi="宋体" w:cs="Times New Roman"/>
      </w:rPr>
    </w:lvl>
    <w:lvl w:ilvl="2" w:tentative="0">
      <w:start w:val="1"/>
      <w:numFmt w:val="decimal"/>
      <w:lvlText w:val="%1.4.%3"/>
      <w:lvlJc w:val="left"/>
      <w:pPr>
        <w:tabs>
          <w:tab w:val="left" w:pos="1021"/>
        </w:tabs>
        <w:ind w:left="1021" w:hanging="1021"/>
      </w:pPr>
      <w:rPr>
        <w:rFonts w:hint="default" w:hAnsi="宋体" w:cs="Times New Roman"/>
      </w:rPr>
    </w:lvl>
    <w:lvl w:ilvl="3" w:tentative="0">
      <w:start w:val="1"/>
      <w:numFmt w:val="decimal"/>
      <w:lvlText w:val="%1.%2.%3.%4"/>
      <w:lvlJc w:val="left"/>
      <w:pPr>
        <w:tabs>
          <w:tab w:val="left" w:pos="840"/>
        </w:tabs>
        <w:ind w:left="840" w:hanging="840"/>
      </w:pPr>
      <w:rPr>
        <w:rFonts w:hint="default" w:hAnsi="宋体" w:cs="Times New Roman"/>
      </w:rPr>
    </w:lvl>
    <w:lvl w:ilvl="4" w:tentative="0">
      <w:start w:val="1"/>
      <w:numFmt w:val="decimal"/>
      <w:lvlText w:val="%1.%2.%3.%4.%5"/>
      <w:lvlJc w:val="left"/>
      <w:pPr>
        <w:tabs>
          <w:tab w:val="left" w:pos="840"/>
        </w:tabs>
        <w:ind w:left="840" w:hanging="840"/>
      </w:pPr>
      <w:rPr>
        <w:rFonts w:hint="default" w:hAnsi="宋体" w:cs="Times New Roman"/>
      </w:rPr>
    </w:lvl>
    <w:lvl w:ilvl="5" w:tentative="0">
      <w:start w:val="1"/>
      <w:numFmt w:val="decimal"/>
      <w:lvlText w:val="%1.%2.%3.%4.%5.%6"/>
      <w:lvlJc w:val="left"/>
      <w:pPr>
        <w:tabs>
          <w:tab w:val="left" w:pos="840"/>
        </w:tabs>
        <w:ind w:left="840" w:hanging="840"/>
      </w:pPr>
      <w:rPr>
        <w:rFonts w:hint="default" w:hAnsi="宋体" w:cs="Times New Roman"/>
      </w:rPr>
    </w:lvl>
    <w:lvl w:ilvl="6" w:tentative="0">
      <w:start w:val="1"/>
      <w:numFmt w:val="decimal"/>
      <w:lvlText w:val="%1.%2.%3.%4.%5.%6.%7"/>
      <w:lvlJc w:val="left"/>
      <w:pPr>
        <w:tabs>
          <w:tab w:val="left" w:pos="840"/>
        </w:tabs>
        <w:ind w:left="840" w:hanging="840"/>
      </w:pPr>
      <w:rPr>
        <w:rFonts w:hint="default" w:hAnsi="宋体" w:cs="Times New Roman"/>
      </w:rPr>
    </w:lvl>
    <w:lvl w:ilvl="7" w:tentative="0">
      <w:start w:val="1"/>
      <w:numFmt w:val="decimal"/>
      <w:lvlText w:val="%1.%2.%3.%4.%5.%6.%7.%8"/>
      <w:lvlJc w:val="left"/>
      <w:pPr>
        <w:tabs>
          <w:tab w:val="left" w:pos="840"/>
        </w:tabs>
        <w:ind w:left="840" w:hanging="840"/>
      </w:pPr>
      <w:rPr>
        <w:rFonts w:hint="default" w:hAnsi="宋体" w:cs="Times New Roman"/>
      </w:rPr>
    </w:lvl>
    <w:lvl w:ilvl="8" w:tentative="0">
      <w:start w:val="1"/>
      <w:numFmt w:val="decimal"/>
      <w:lvlText w:val="%1.%2.%3.%4.%5.%6.%7.%8.%9"/>
      <w:lvlJc w:val="left"/>
      <w:pPr>
        <w:tabs>
          <w:tab w:val="left" w:pos="840"/>
        </w:tabs>
        <w:ind w:left="840" w:hanging="840"/>
      </w:pPr>
      <w:rPr>
        <w:rFonts w:hint="default" w:hAnsi="宋体" w:cs="Times New Roman"/>
      </w:rPr>
    </w:lvl>
  </w:abstractNum>
  <w:abstractNum w:abstractNumId="26">
    <w:nsid w:val="4508740A"/>
    <w:multiLevelType w:val="multilevel"/>
    <w:tmpl w:val="4508740A"/>
    <w:lvl w:ilvl="0" w:tentative="0">
      <w:start w:val="3"/>
      <w:numFmt w:val="decimal"/>
      <w:lvlText w:val="%1"/>
      <w:lvlJc w:val="left"/>
      <w:pPr>
        <w:tabs>
          <w:tab w:val="left" w:pos="907"/>
        </w:tabs>
        <w:ind w:left="907" w:hanging="907"/>
      </w:pPr>
      <w:rPr>
        <w:rFonts w:hint="eastAsia"/>
      </w:rPr>
    </w:lvl>
    <w:lvl w:ilvl="1" w:tentative="0">
      <w:start w:val="8"/>
      <w:numFmt w:val="decimal"/>
      <w:pStyle w:val="1783"/>
      <w:lvlText w:val="%1.%2"/>
      <w:lvlJc w:val="left"/>
      <w:pPr>
        <w:tabs>
          <w:tab w:val="left" w:pos="907"/>
        </w:tabs>
        <w:ind w:left="907" w:hanging="907"/>
      </w:pPr>
      <w:rPr>
        <w:rFonts w:hint="eastAsia"/>
      </w:rPr>
    </w:lvl>
    <w:lvl w:ilvl="2" w:tentative="0">
      <w:start w:val="1"/>
      <w:numFmt w:val="decimal"/>
      <w:lvlText w:val="%1.%2.%3"/>
      <w:lvlJc w:val="left"/>
      <w:pPr>
        <w:tabs>
          <w:tab w:val="left" w:pos="907"/>
        </w:tabs>
        <w:ind w:left="907" w:hanging="907"/>
      </w:pPr>
      <w:rPr>
        <w:rFonts w:hint="eastAsia"/>
      </w:rPr>
    </w:lvl>
    <w:lvl w:ilvl="3" w:tentative="0">
      <w:start w:val="1"/>
      <w:numFmt w:val="decimal"/>
      <w:lvlText w:val="%1.%2.%3.%4"/>
      <w:lvlJc w:val="left"/>
      <w:pPr>
        <w:tabs>
          <w:tab w:val="left" w:pos="1021"/>
        </w:tabs>
        <w:ind w:left="1021" w:hanging="1021"/>
      </w:pPr>
      <w:rPr>
        <w:rFonts w:hint="eastAsia"/>
      </w:rPr>
    </w:lvl>
    <w:lvl w:ilvl="4" w:tentative="0">
      <w:start w:val="1"/>
      <w:numFmt w:val="decimal"/>
      <w:lvlText w:val="%1.%2.%3.%4.%5"/>
      <w:lvlJc w:val="left"/>
      <w:pPr>
        <w:tabs>
          <w:tab w:val="left" w:pos="1080"/>
        </w:tabs>
        <w:ind w:left="1080" w:hanging="1080"/>
      </w:pPr>
      <w:rPr>
        <w:rFonts w:hint="eastAsia"/>
      </w:rPr>
    </w:lvl>
    <w:lvl w:ilvl="5" w:tentative="0">
      <w:start w:val="1"/>
      <w:numFmt w:val="decimal"/>
      <w:lvlText w:val="%1.%2.%3.%4.%5.%6"/>
      <w:lvlJc w:val="left"/>
      <w:pPr>
        <w:tabs>
          <w:tab w:val="left" w:pos="1440"/>
        </w:tabs>
        <w:ind w:left="1440" w:hanging="1440"/>
      </w:pPr>
      <w:rPr>
        <w:rFonts w:hint="eastAsia"/>
      </w:rPr>
    </w:lvl>
    <w:lvl w:ilvl="6" w:tentative="0">
      <w:start w:val="1"/>
      <w:numFmt w:val="decimal"/>
      <w:lvlText w:val="%1.%2.%3.%4.%5.%6.%7"/>
      <w:lvlJc w:val="left"/>
      <w:pPr>
        <w:tabs>
          <w:tab w:val="left" w:pos="1440"/>
        </w:tabs>
        <w:ind w:left="1440" w:hanging="1440"/>
      </w:pPr>
      <w:rPr>
        <w:rFonts w:hint="eastAsia"/>
      </w:rPr>
    </w:lvl>
    <w:lvl w:ilvl="7" w:tentative="0">
      <w:start w:val="1"/>
      <w:numFmt w:val="decimal"/>
      <w:lvlText w:val="%1.%2.%3.%4.%5.%6.%7.%8"/>
      <w:lvlJc w:val="left"/>
      <w:pPr>
        <w:tabs>
          <w:tab w:val="left" w:pos="1800"/>
        </w:tabs>
        <w:ind w:left="1800" w:hanging="1800"/>
      </w:pPr>
      <w:rPr>
        <w:rFonts w:hint="eastAsia"/>
      </w:rPr>
    </w:lvl>
    <w:lvl w:ilvl="8" w:tentative="0">
      <w:start w:val="1"/>
      <w:numFmt w:val="decimal"/>
      <w:lvlText w:val="%1.%2.%3.%4.%5.%6.%7.%8.%9"/>
      <w:lvlJc w:val="left"/>
      <w:pPr>
        <w:tabs>
          <w:tab w:val="left" w:pos="1800"/>
        </w:tabs>
        <w:ind w:left="1800" w:hanging="1800"/>
      </w:pPr>
      <w:rPr>
        <w:rFonts w:hint="eastAsia"/>
      </w:rPr>
    </w:lvl>
  </w:abstractNum>
  <w:abstractNum w:abstractNumId="27">
    <w:nsid w:val="51422AA3"/>
    <w:multiLevelType w:val="multilevel"/>
    <w:tmpl w:val="51422AA3"/>
    <w:lvl w:ilvl="0" w:tentative="0">
      <w:start w:val="1"/>
      <w:numFmt w:val="bullet"/>
      <w:pStyle w:val="624"/>
      <w:lvlText w:val=""/>
      <w:lvlJc w:val="left"/>
      <w:pPr>
        <w:tabs>
          <w:tab w:val="left" w:pos="851"/>
        </w:tabs>
        <w:ind w:left="0" w:firstLine="624"/>
      </w:pPr>
      <w:rPr>
        <w:rFonts w:hint="default" w:ascii="Wingdings" w:hAnsi="Wingdings"/>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28">
    <w:nsid w:val="573C6771"/>
    <w:multiLevelType w:val="multilevel"/>
    <w:tmpl w:val="573C6771"/>
    <w:lvl w:ilvl="0" w:tentative="0">
      <w:start w:val="1"/>
      <w:numFmt w:val="decimal"/>
      <w:suff w:val="nothing"/>
      <w:lvlText w:val="第%1章"/>
      <w:lvlJc w:val="left"/>
      <w:pPr>
        <w:ind w:left="425" w:hanging="425"/>
      </w:pPr>
      <w:rPr>
        <w:rFonts w:hint="eastAsia"/>
      </w:rPr>
    </w:lvl>
    <w:lvl w:ilvl="1" w:tentative="0">
      <w:start w:val="1"/>
      <w:numFmt w:val="decimal"/>
      <w:pStyle w:val="1779"/>
      <w:suff w:val="space"/>
      <w:lvlText w:val="%1.%2"/>
      <w:lvlJc w:val="left"/>
      <w:pPr>
        <w:ind w:left="567" w:hanging="567"/>
      </w:pPr>
      <w:rPr>
        <w:rFonts w:hint="eastAsia"/>
      </w:rPr>
    </w:lvl>
    <w:lvl w:ilvl="2" w:tentative="0">
      <w:start w:val="1"/>
      <w:numFmt w:val="decimal"/>
      <w:suff w:val="space"/>
      <w:lvlText w:val="%1.%2.%3"/>
      <w:lvlJc w:val="left"/>
      <w:pPr>
        <w:ind w:left="709" w:hanging="709"/>
      </w:pPr>
      <w:rPr>
        <w:rFonts w:hint="eastAsia"/>
      </w:rPr>
    </w:lvl>
    <w:lvl w:ilvl="3" w:tentative="0">
      <w:start w:val="1"/>
      <w:numFmt w:val="decimal"/>
      <w:suff w:val="space"/>
      <w:lvlText w:val="%1.%2.%3.%4"/>
      <w:lvlJc w:val="left"/>
      <w:pPr>
        <w:ind w:left="851" w:hanging="851"/>
      </w:pPr>
      <w:rPr>
        <w:rFonts w:hint="eastAsia"/>
      </w:rPr>
    </w:lvl>
    <w:lvl w:ilvl="4" w:tentative="0">
      <w:start w:val="1"/>
      <w:numFmt w:val="decimal"/>
      <w:suff w:val="nothing"/>
      <w:lvlText w:val="（%5）"/>
      <w:lvlJc w:val="left"/>
      <w:pPr>
        <w:ind w:left="992" w:hanging="992"/>
      </w:pPr>
      <w:rPr>
        <w:rFonts w:hint="eastAsia"/>
      </w:rPr>
    </w:lvl>
    <w:lvl w:ilvl="5" w:tentative="0">
      <w:start w:val="1"/>
      <w:numFmt w:val="decimal"/>
      <w:lvlText w:val="%1.%2.%3.%4.%5.%6."/>
      <w:lvlJc w:val="left"/>
      <w:pPr>
        <w:ind w:left="1134" w:hanging="1134"/>
      </w:pPr>
      <w:rPr>
        <w:rFonts w:hint="eastAsia"/>
      </w:rPr>
    </w:lvl>
    <w:lvl w:ilvl="6" w:tentative="0">
      <w:start w:val="1"/>
      <w:numFmt w:val="decimal"/>
      <w:lvlText w:val="%1.%2.%3.%4.%5.%6.%7."/>
      <w:lvlJc w:val="left"/>
      <w:pPr>
        <w:ind w:left="1276" w:hanging="1276"/>
      </w:pPr>
      <w:rPr>
        <w:rFonts w:hint="eastAsia"/>
      </w:rPr>
    </w:lvl>
    <w:lvl w:ilvl="7" w:tentative="0">
      <w:start w:val="1"/>
      <w:numFmt w:val="decimal"/>
      <w:lvlText w:val="%1.%2.%3.%4.%5.%6.%7.%8."/>
      <w:lvlJc w:val="left"/>
      <w:pPr>
        <w:ind w:left="1418" w:hanging="1418"/>
      </w:pPr>
      <w:rPr>
        <w:rFonts w:hint="eastAsia"/>
      </w:rPr>
    </w:lvl>
    <w:lvl w:ilvl="8" w:tentative="0">
      <w:start w:val="1"/>
      <w:numFmt w:val="decimal"/>
      <w:lvlText w:val="%1.%2.%3.%4.%5.%6.%7.%8.%9."/>
      <w:lvlJc w:val="left"/>
      <w:pPr>
        <w:ind w:left="1559" w:hanging="1559"/>
      </w:pPr>
      <w:rPr>
        <w:rFonts w:hint="eastAsia"/>
      </w:rPr>
    </w:lvl>
  </w:abstractNum>
  <w:abstractNum w:abstractNumId="29">
    <w:nsid w:val="5EE4295C"/>
    <w:multiLevelType w:val="multilevel"/>
    <w:tmpl w:val="5EE4295C"/>
    <w:lvl w:ilvl="0" w:tentative="0">
      <w:start w:val="1"/>
      <w:numFmt w:val="decimal"/>
      <w:pStyle w:val="1273"/>
      <w:lvlText w:val="%1)"/>
      <w:lvlJc w:val="left"/>
      <w:pPr>
        <w:tabs>
          <w:tab w:val="left" w:pos="1365"/>
        </w:tabs>
        <w:ind w:left="1365" w:hanging="420"/>
      </w:pPr>
      <w:rPr>
        <w:rFonts w:hint="eastAsia"/>
      </w:rPr>
    </w:lvl>
    <w:lvl w:ilvl="1" w:tentative="0">
      <w:start w:val="1"/>
      <w:numFmt w:val="lowerLetter"/>
      <w:lvlText w:val="%2)"/>
      <w:lvlJc w:val="left"/>
      <w:pPr>
        <w:tabs>
          <w:tab w:val="left" w:pos="1785"/>
        </w:tabs>
        <w:ind w:left="1785" w:hanging="420"/>
      </w:pPr>
    </w:lvl>
    <w:lvl w:ilvl="2" w:tentative="0">
      <w:start w:val="1"/>
      <w:numFmt w:val="lowerRoman"/>
      <w:lvlText w:val="%3."/>
      <w:lvlJc w:val="right"/>
      <w:pPr>
        <w:tabs>
          <w:tab w:val="left" w:pos="2205"/>
        </w:tabs>
        <w:ind w:left="2205" w:hanging="420"/>
      </w:pPr>
    </w:lvl>
    <w:lvl w:ilvl="3" w:tentative="0">
      <w:start w:val="1"/>
      <w:numFmt w:val="decimal"/>
      <w:lvlText w:val="%4."/>
      <w:lvlJc w:val="left"/>
      <w:pPr>
        <w:tabs>
          <w:tab w:val="left" w:pos="2625"/>
        </w:tabs>
        <w:ind w:left="2625" w:hanging="420"/>
      </w:pPr>
    </w:lvl>
    <w:lvl w:ilvl="4" w:tentative="0">
      <w:start w:val="1"/>
      <w:numFmt w:val="lowerLetter"/>
      <w:lvlText w:val="%5)"/>
      <w:lvlJc w:val="left"/>
      <w:pPr>
        <w:tabs>
          <w:tab w:val="left" w:pos="3045"/>
        </w:tabs>
        <w:ind w:left="3045" w:hanging="420"/>
      </w:pPr>
    </w:lvl>
    <w:lvl w:ilvl="5" w:tentative="0">
      <w:start w:val="1"/>
      <w:numFmt w:val="lowerRoman"/>
      <w:lvlText w:val="%6."/>
      <w:lvlJc w:val="right"/>
      <w:pPr>
        <w:tabs>
          <w:tab w:val="left" w:pos="3465"/>
        </w:tabs>
        <w:ind w:left="3465" w:hanging="420"/>
      </w:pPr>
    </w:lvl>
    <w:lvl w:ilvl="6" w:tentative="0">
      <w:start w:val="1"/>
      <w:numFmt w:val="decimal"/>
      <w:lvlText w:val="%7."/>
      <w:lvlJc w:val="left"/>
      <w:pPr>
        <w:tabs>
          <w:tab w:val="left" w:pos="3885"/>
        </w:tabs>
        <w:ind w:left="3885" w:hanging="420"/>
      </w:pPr>
    </w:lvl>
    <w:lvl w:ilvl="7" w:tentative="0">
      <w:start w:val="1"/>
      <w:numFmt w:val="lowerLetter"/>
      <w:lvlText w:val="%8)"/>
      <w:lvlJc w:val="left"/>
      <w:pPr>
        <w:tabs>
          <w:tab w:val="left" w:pos="4305"/>
        </w:tabs>
        <w:ind w:left="4305" w:hanging="420"/>
      </w:pPr>
    </w:lvl>
    <w:lvl w:ilvl="8" w:tentative="0">
      <w:start w:val="1"/>
      <w:numFmt w:val="lowerRoman"/>
      <w:lvlText w:val="%9."/>
      <w:lvlJc w:val="right"/>
      <w:pPr>
        <w:tabs>
          <w:tab w:val="left" w:pos="4725"/>
        </w:tabs>
        <w:ind w:left="4725" w:hanging="420"/>
      </w:pPr>
    </w:lvl>
  </w:abstractNum>
  <w:abstractNum w:abstractNumId="30">
    <w:nsid w:val="5F201DE0"/>
    <w:multiLevelType w:val="multilevel"/>
    <w:tmpl w:val="5F201DE0"/>
    <w:lvl w:ilvl="0" w:tentative="0">
      <w:start w:val="1"/>
      <w:numFmt w:val="decimal"/>
      <w:lvlText w:val="%1"/>
      <w:lvlJc w:val="left"/>
      <w:pPr>
        <w:tabs>
          <w:tab w:val="left" w:pos="1134"/>
        </w:tabs>
        <w:ind w:left="0" w:firstLine="0"/>
      </w:pPr>
      <w:rPr>
        <w:rFonts w:hint="eastAsia"/>
      </w:rPr>
    </w:lvl>
    <w:lvl w:ilvl="1" w:tentative="0">
      <w:start w:val="6"/>
      <w:numFmt w:val="decimal"/>
      <w:lvlRestart w:val="0"/>
      <w:lvlText w:val="%1.%2"/>
      <w:lvlJc w:val="left"/>
      <w:pPr>
        <w:tabs>
          <w:tab w:val="left" w:pos="1134"/>
        </w:tabs>
        <w:ind w:left="1134" w:hanging="1134"/>
      </w:pPr>
      <w:rPr>
        <w:rFonts w:hint="eastAsia"/>
      </w:rPr>
    </w:lvl>
    <w:lvl w:ilvl="2" w:tentative="0">
      <w:start w:val="1"/>
      <w:numFmt w:val="decimal"/>
      <w:lvlRestart w:val="0"/>
      <w:pStyle w:val="1790"/>
      <w:lvlText w:val="%1.7.%3"/>
      <w:lvlJc w:val="left"/>
      <w:pPr>
        <w:tabs>
          <w:tab w:val="left" w:pos="1134"/>
        </w:tabs>
        <w:ind w:left="1134" w:hanging="1134"/>
      </w:pPr>
      <w:rPr>
        <w:rFonts w:hint="eastAsia"/>
      </w:rPr>
    </w:lvl>
    <w:lvl w:ilvl="3" w:tentative="0">
      <w:start w:val="1"/>
      <w:numFmt w:val="decimal"/>
      <w:lvlRestart w:val="0"/>
      <w:lvlText w:val="%1.%2.%3.%4"/>
      <w:lvlJc w:val="left"/>
      <w:pPr>
        <w:tabs>
          <w:tab w:val="left" w:pos="1134"/>
        </w:tabs>
        <w:ind w:left="1134" w:hanging="1134"/>
      </w:pPr>
      <w:rPr>
        <w:rFonts w:hint="eastAsia"/>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31">
    <w:nsid w:val="68FA01FB"/>
    <w:multiLevelType w:val="multilevel"/>
    <w:tmpl w:val="68FA01FB"/>
    <w:lvl w:ilvl="0" w:tentative="0">
      <w:start w:val="1"/>
      <w:numFmt w:val="bullet"/>
      <w:pStyle w:val="1561"/>
      <w:lvlText w:val=""/>
      <w:lvlJc w:val="left"/>
      <w:pPr>
        <w:tabs>
          <w:tab w:val="left" w:pos="1230"/>
        </w:tabs>
        <w:ind w:left="123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32">
    <w:nsid w:val="6BC0701E"/>
    <w:multiLevelType w:val="multilevel"/>
    <w:tmpl w:val="6BC0701E"/>
    <w:lvl w:ilvl="0" w:tentative="0">
      <w:start w:val="1"/>
      <w:numFmt w:val="none"/>
      <w:pStyle w:val="1614"/>
      <w:lvlText w:val="3."/>
      <w:lvlJc w:val="left"/>
      <w:pPr>
        <w:tabs>
          <w:tab w:val="left" w:pos="425"/>
        </w:tabs>
        <w:ind w:left="425" w:hanging="425"/>
      </w:pPr>
      <w:rPr>
        <w:rFonts w:hint="eastAsia"/>
        <w:b/>
        <w:i w:val="0"/>
        <w:sz w:val="28"/>
      </w:rPr>
    </w:lvl>
    <w:lvl w:ilvl="1" w:tentative="0">
      <w:start w:val="1"/>
      <w:numFmt w:val="decimal"/>
      <w:lvlText w:val="14.%2"/>
      <w:lvlJc w:val="left"/>
      <w:pPr>
        <w:tabs>
          <w:tab w:val="left" w:pos="567"/>
        </w:tabs>
        <w:ind w:left="567" w:hanging="567"/>
      </w:pPr>
      <w:rPr>
        <w:rFonts w:hint="eastAsia"/>
        <w:sz w:val="24"/>
        <w:szCs w:val="24"/>
      </w:rPr>
    </w:lvl>
    <w:lvl w:ilvl="2" w:tentative="0">
      <w:start w:val="1"/>
      <w:numFmt w:val="decimal"/>
      <w:lvlText w:val="%11.2.%3"/>
      <w:lvlJc w:val="left"/>
      <w:pPr>
        <w:tabs>
          <w:tab w:val="left" w:pos="709"/>
        </w:tabs>
        <w:ind w:left="709" w:hanging="709"/>
      </w:pPr>
      <w:rPr>
        <w:rFonts w:hint="eastAsia" w:eastAsia="宋体"/>
        <w:sz w:val="24"/>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33">
    <w:nsid w:val="705F787B"/>
    <w:multiLevelType w:val="singleLevel"/>
    <w:tmpl w:val="705F787B"/>
    <w:lvl w:ilvl="0" w:tentative="0">
      <w:start w:val="2"/>
      <w:numFmt w:val="chineseCounting"/>
      <w:suff w:val="nothing"/>
      <w:lvlText w:val="%1、"/>
      <w:lvlJc w:val="left"/>
      <w:rPr>
        <w:rFonts w:hint="eastAsia"/>
      </w:rPr>
    </w:lvl>
  </w:abstractNum>
  <w:abstractNum w:abstractNumId="34">
    <w:nsid w:val="71617734"/>
    <w:multiLevelType w:val="multilevel"/>
    <w:tmpl w:val="71617734"/>
    <w:lvl w:ilvl="0" w:tentative="0">
      <w:start w:val="1"/>
      <w:numFmt w:val="japaneseCounting"/>
      <w:pStyle w:val="977"/>
      <w:lvlText w:val="（%1）"/>
      <w:lvlJc w:val="left"/>
      <w:pPr>
        <w:tabs>
          <w:tab w:val="left" w:pos="1145"/>
        </w:tabs>
        <w:ind w:left="1145" w:hanging="720"/>
      </w:pPr>
      <w:rPr>
        <w:rFonts w:hint="eastAsia"/>
      </w:rPr>
    </w:lvl>
    <w:lvl w:ilvl="1" w:tentative="0">
      <w:start w:val="1"/>
      <w:numFmt w:val="japaneseCounting"/>
      <w:lvlText w:val="%2、"/>
      <w:lvlJc w:val="left"/>
      <w:pPr>
        <w:tabs>
          <w:tab w:val="left" w:pos="1265"/>
        </w:tabs>
        <w:ind w:left="1265" w:hanging="420"/>
      </w:pPr>
      <w:rPr>
        <w:rFonts w:hint="eastAsia"/>
      </w:rPr>
    </w:lvl>
    <w:lvl w:ilvl="2" w:tentative="0">
      <w:start w:val="1"/>
      <w:numFmt w:val="lowerRoman"/>
      <w:lvlText w:val="%3."/>
      <w:lvlJc w:val="right"/>
      <w:pPr>
        <w:tabs>
          <w:tab w:val="left" w:pos="1685"/>
        </w:tabs>
        <w:ind w:left="1685" w:hanging="420"/>
      </w:pPr>
    </w:lvl>
    <w:lvl w:ilvl="3" w:tentative="0">
      <w:start w:val="1"/>
      <w:numFmt w:val="decimal"/>
      <w:lvlText w:val="%4."/>
      <w:lvlJc w:val="left"/>
      <w:pPr>
        <w:tabs>
          <w:tab w:val="left" w:pos="2105"/>
        </w:tabs>
        <w:ind w:left="2105" w:hanging="420"/>
      </w:pPr>
    </w:lvl>
    <w:lvl w:ilvl="4" w:tentative="0">
      <w:start w:val="1"/>
      <w:numFmt w:val="lowerLetter"/>
      <w:lvlText w:val="%5)"/>
      <w:lvlJc w:val="left"/>
      <w:pPr>
        <w:tabs>
          <w:tab w:val="left" w:pos="2525"/>
        </w:tabs>
        <w:ind w:left="2525" w:hanging="420"/>
      </w:pPr>
    </w:lvl>
    <w:lvl w:ilvl="5" w:tentative="0">
      <w:start w:val="1"/>
      <w:numFmt w:val="lowerRoman"/>
      <w:lvlText w:val="%6."/>
      <w:lvlJc w:val="right"/>
      <w:pPr>
        <w:tabs>
          <w:tab w:val="left" w:pos="2945"/>
        </w:tabs>
        <w:ind w:left="2945" w:hanging="420"/>
      </w:pPr>
    </w:lvl>
    <w:lvl w:ilvl="6" w:tentative="0">
      <w:start w:val="1"/>
      <w:numFmt w:val="decimal"/>
      <w:lvlText w:val="%7."/>
      <w:lvlJc w:val="left"/>
      <w:pPr>
        <w:tabs>
          <w:tab w:val="left" w:pos="3365"/>
        </w:tabs>
        <w:ind w:left="3365" w:hanging="420"/>
      </w:pPr>
    </w:lvl>
    <w:lvl w:ilvl="7" w:tentative="0">
      <w:start w:val="1"/>
      <w:numFmt w:val="lowerLetter"/>
      <w:lvlText w:val="%8)"/>
      <w:lvlJc w:val="left"/>
      <w:pPr>
        <w:tabs>
          <w:tab w:val="left" w:pos="3785"/>
        </w:tabs>
        <w:ind w:left="3785" w:hanging="420"/>
      </w:pPr>
    </w:lvl>
    <w:lvl w:ilvl="8" w:tentative="0">
      <w:start w:val="1"/>
      <w:numFmt w:val="lowerRoman"/>
      <w:lvlText w:val="%9."/>
      <w:lvlJc w:val="right"/>
      <w:pPr>
        <w:tabs>
          <w:tab w:val="left" w:pos="4205"/>
        </w:tabs>
        <w:ind w:left="4205" w:hanging="420"/>
      </w:pPr>
    </w:lvl>
  </w:abstractNum>
  <w:abstractNum w:abstractNumId="35">
    <w:nsid w:val="75DB61E8"/>
    <w:multiLevelType w:val="singleLevel"/>
    <w:tmpl w:val="75DB61E8"/>
    <w:lvl w:ilvl="0" w:tentative="0">
      <w:start w:val="17"/>
      <w:numFmt w:val="chineseCounting"/>
      <w:suff w:val="space"/>
      <w:lvlText w:val="第%1条"/>
      <w:lvlJc w:val="left"/>
      <w:rPr>
        <w:rFonts w:hint="eastAsia"/>
      </w:rPr>
    </w:lvl>
  </w:abstractNum>
  <w:abstractNum w:abstractNumId="36">
    <w:nsid w:val="7BE1421E"/>
    <w:multiLevelType w:val="multilevel"/>
    <w:tmpl w:val="7BE1421E"/>
    <w:lvl w:ilvl="0" w:tentative="0">
      <w:start w:val="1"/>
      <w:numFmt w:val="decimal"/>
      <w:pStyle w:val="401"/>
      <w:lvlText w:val="(%1)"/>
      <w:lvlJc w:val="left"/>
      <w:pPr>
        <w:tabs>
          <w:tab w:val="left" w:pos="813"/>
        </w:tabs>
        <w:ind w:left="813" w:hanging="567"/>
      </w:pPr>
      <w:rPr>
        <w:rFonts w:hint="eastAsia"/>
        <w:b w:val="0"/>
        <w:i w:val="0"/>
        <w:sz w:val="24"/>
        <w:szCs w:val="24"/>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13"/>
  </w:num>
  <w:num w:numId="2">
    <w:abstractNumId w:val="6"/>
    <w:lvlOverride w:ilvl="0">
      <w:startOverride w:val="1"/>
    </w:lvlOverride>
  </w:num>
  <w:num w:numId="3">
    <w:abstractNumId w:val="8"/>
  </w:num>
  <w:num w:numId="4">
    <w:abstractNumId w:val="11"/>
    <w:lvlOverride w:ilvl="0">
      <w:startOverride w:val="1"/>
    </w:lvlOverride>
  </w:num>
  <w:num w:numId="5">
    <w:abstractNumId w:val="9"/>
  </w:num>
  <w:num w:numId="6">
    <w:abstractNumId w:val="5"/>
    <w:lvlOverride w:ilvl="0">
      <w:startOverride w:val="1"/>
    </w:lvlOverride>
  </w:num>
  <w:num w:numId="7">
    <w:abstractNumId w:val="10"/>
  </w:num>
  <w:num w:numId="8">
    <w:abstractNumId w:val="7"/>
  </w:num>
  <w:num w:numId="9">
    <w:abstractNumId w:val="4"/>
    <w:lvlOverride w:ilvl="0">
      <w:startOverride w:val="1"/>
    </w:lvlOverride>
  </w:num>
  <w:num w:numId="10">
    <w:abstractNumId w:val="3"/>
    <w:lvlOverride w:ilvl="0">
      <w:startOverride w:val="1"/>
    </w:lvlOverride>
  </w:num>
  <w:num w:numId="11">
    <w:abstractNumId w:val="17"/>
  </w:num>
  <w:num w:numId="12">
    <w:abstractNumId w:val="36"/>
  </w:num>
  <w:num w:numId="13">
    <w:abstractNumId w:val="19"/>
  </w:num>
  <w:num w:numId="14">
    <w:abstractNumId w:val="27"/>
  </w:num>
  <w:num w:numId="15">
    <w:abstractNumId w:val="20"/>
  </w:num>
  <w:num w:numId="16">
    <w:abstractNumId w:val="34"/>
  </w:num>
  <w:num w:numId="17">
    <w:abstractNumId w:val="29"/>
  </w:num>
  <w:num w:numId="18">
    <w:abstractNumId w:val="22"/>
  </w:num>
  <w:num w:numId="19">
    <w:abstractNumId w:val="12"/>
  </w:num>
  <w:num w:numId="20">
    <w:abstractNumId w:val="15"/>
  </w:num>
  <w:num w:numId="21">
    <w:abstractNumId w:val="31"/>
  </w:num>
  <w:num w:numId="22">
    <w:abstractNumId w:val="32"/>
  </w:num>
  <w:num w:numId="23">
    <w:abstractNumId w:val="14"/>
  </w:num>
  <w:num w:numId="24">
    <w:abstractNumId w:val="18"/>
  </w:num>
  <w:num w:numId="25">
    <w:abstractNumId w:val="23"/>
  </w:num>
  <w:num w:numId="26">
    <w:abstractNumId w:val="28"/>
  </w:num>
  <w:num w:numId="27">
    <w:abstractNumId w:val="26"/>
  </w:num>
  <w:num w:numId="28">
    <w:abstractNumId w:val="16"/>
  </w:num>
  <w:num w:numId="29">
    <w:abstractNumId w:val="30"/>
  </w:num>
  <w:num w:numId="30">
    <w:abstractNumId w:val="24"/>
  </w:num>
  <w:num w:numId="31">
    <w:abstractNumId w:val="25"/>
  </w:num>
  <w:num w:numId="32">
    <w:abstractNumId w:val="21"/>
  </w:num>
  <w:num w:numId="33">
    <w:abstractNumId w:val="33"/>
  </w:num>
  <w:num w:numId="34">
    <w:abstractNumId w:val="2"/>
  </w:num>
  <w:num w:numId="35">
    <w:abstractNumId w:val="0"/>
  </w:num>
  <w:num w:numId="36">
    <w:abstractNumId w:val="1"/>
  </w:num>
  <w:num w:numId="37">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embedTrueTypeFonts/>
  <w:saveSubsetFonts/>
  <w:bordersDoNotSurroundHeader w:val="1"/>
  <w:bordersDoNotSurroundFooter w:val="1"/>
  <w:hideSpellingErrors/>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EwNTM5NzYwMDRjMzkwZTVkZjY2ODkwMGIxNGU0OTUifQ=="/>
    <w:docVar w:name="KSO_WPS_MARK_KEY" w:val="8a44f7fe-a2e5-48cb-87cf-eff664146056"/>
  </w:docVars>
  <w:rsids>
    <w:rsidRoot w:val="00ED6C42"/>
    <w:rsid w:val="00000166"/>
    <w:rsid w:val="00000A91"/>
    <w:rsid w:val="00003159"/>
    <w:rsid w:val="00004A65"/>
    <w:rsid w:val="00005219"/>
    <w:rsid w:val="000052A1"/>
    <w:rsid w:val="0000666E"/>
    <w:rsid w:val="00014513"/>
    <w:rsid w:val="00014545"/>
    <w:rsid w:val="00014F11"/>
    <w:rsid w:val="000150EA"/>
    <w:rsid w:val="000152DB"/>
    <w:rsid w:val="00015824"/>
    <w:rsid w:val="0001636C"/>
    <w:rsid w:val="000165E1"/>
    <w:rsid w:val="00017985"/>
    <w:rsid w:val="000202F4"/>
    <w:rsid w:val="00020904"/>
    <w:rsid w:val="0002420B"/>
    <w:rsid w:val="0002456E"/>
    <w:rsid w:val="000247A1"/>
    <w:rsid w:val="0002486D"/>
    <w:rsid w:val="00025D93"/>
    <w:rsid w:val="000269DD"/>
    <w:rsid w:val="0002707F"/>
    <w:rsid w:val="00027B82"/>
    <w:rsid w:val="000302B5"/>
    <w:rsid w:val="00031C12"/>
    <w:rsid w:val="00032332"/>
    <w:rsid w:val="000323C3"/>
    <w:rsid w:val="000331EA"/>
    <w:rsid w:val="00033F63"/>
    <w:rsid w:val="00034F6C"/>
    <w:rsid w:val="000363AB"/>
    <w:rsid w:val="00036AB8"/>
    <w:rsid w:val="00037023"/>
    <w:rsid w:val="00037289"/>
    <w:rsid w:val="00037559"/>
    <w:rsid w:val="00037FC1"/>
    <w:rsid w:val="000404A8"/>
    <w:rsid w:val="00041E41"/>
    <w:rsid w:val="00042C30"/>
    <w:rsid w:val="000438CB"/>
    <w:rsid w:val="00045D71"/>
    <w:rsid w:val="000464BF"/>
    <w:rsid w:val="00046AB2"/>
    <w:rsid w:val="00051006"/>
    <w:rsid w:val="0005328F"/>
    <w:rsid w:val="00054428"/>
    <w:rsid w:val="00054ACD"/>
    <w:rsid w:val="00055770"/>
    <w:rsid w:val="000557D0"/>
    <w:rsid w:val="000563E6"/>
    <w:rsid w:val="00056DDC"/>
    <w:rsid w:val="00062ED5"/>
    <w:rsid w:val="00064F7A"/>
    <w:rsid w:val="00064FA7"/>
    <w:rsid w:val="00066925"/>
    <w:rsid w:val="000670A6"/>
    <w:rsid w:val="00070E7B"/>
    <w:rsid w:val="00071BB3"/>
    <w:rsid w:val="000724D9"/>
    <w:rsid w:val="000731B7"/>
    <w:rsid w:val="000734A6"/>
    <w:rsid w:val="000737B3"/>
    <w:rsid w:val="00073F00"/>
    <w:rsid w:val="00074450"/>
    <w:rsid w:val="00074609"/>
    <w:rsid w:val="00075262"/>
    <w:rsid w:val="000767F7"/>
    <w:rsid w:val="00077925"/>
    <w:rsid w:val="00080B33"/>
    <w:rsid w:val="000814F3"/>
    <w:rsid w:val="000816A8"/>
    <w:rsid w:val="0008293E"/>
    <w:rsid w:val="00083E88"/>
    <w:rsid w:val="00084182"/>
    <w:rsid w:val="00084692"/>
    <w:rsid w:val="000866BA"/>
    <w:rsid w:val="00086B7F"/>
    <w:rsid w:val="000901AF"/>
    <w:rsid w:val="000906CA"/>
    <w:rsid w:val="00091E75"/>
    <w:rsid w:val="00094082"/>
    <w:rsid w:val="000A04C8"/>
    <w:rsid w:val="000A0A42"/>
    <w:rsid w:val="000A1E76"/>
    <w:rsid w:val="000A2F6E"/>
    <w:rsid w:val="000A4464"/>
    <w:rsid w:val="000A5184"/>
    <w:rsid w:val="000A648C"/>
    <w:rsid w:val="000A6B59"/>
    <w:rsid w:val="000A7EFF"/>
    <w:rsid w:val="000B0DA4"/>
    <w:rsid w:val="000B0EC8"/>
    <w:rsid w:val="000B18DB"/>
    <w:rsid w:val="000B20B1"/>
    <w:rsid w:val="000B4151"/>
    <w:rsid w:val="000B78F3"/>
    <w:rsid w:val="000C1293"/>
    <w:rsid w:val="000C174C"/>
    <w:rsid w:val="000C1BE3"/>
    <w:rsid w:val="000C30A7"/>
    <w:rsid w:val="000C37AB"/>
    <w:rsid w:val="000C3912"/>
    <w:rsid w:val="000C4104"/>
    <w:rsid w:val="000C504C"/>
    <w:rsid w:val="000C7AE6"/>
    <w:rsid w:val="000D129C"/>
    <w:rsid w:val="000D1DDD"/>
    <w:rsid w:val="000D3CA7"/>
    <w:rsid w:val="000D404C"/>
    <w:rsid w:val="000D4AAE"/>
    <w:rsid w:val="000D4D75"/>
    <w:rsid w:val="000E006C"/>
    <w:rsid w:val="000E0F5C"/>
    <w:rsid w:val="000E18C6"/>
    <w:rsid w:val="000E2BB2"/>
    <w:rsid w:val="000E4977"/>
    <w:rsid w:val="000E4D52"/>
    <w:rsid w:val="000E6859"/>
    <w:rsid w:val="000E7501"/>
    <w:rsid w:val="000F0288"/>
    <w:rsid w:val="000F0EF4"/>
    <w:rsid w:val="000F10D2"/>
    <w:rsid w:val="000F2103"/>
    <w:rsid w:val="000F3539"/>
    <w:rsid w:val="000F388E"/>
    <w:rsid w:val="000F3B85"/>
    <w:rsid w:val="000F499D"/>
    <w:rsid w:val="000F5AF2"/>
    <w:rsid w:val="000F6F15"/>
    <w:rsid w:val="000F75C2"/>
    <w:rsid w:val="000F769F"/>
    <w:rsid w:val="000F7E9D"/>
    <w:rsid w:val="001029C0"/>
    <w:rsid w:val="001038E1"/>
    <w:rsid w:val="00105C7B"/>
    <w:rsid w:val="00105D3A"/>
    <w:rsid w:val="00106233"/>
    <w:rsid w:val="001104BA"/>
    <w:rsid w:val="00110D1D"/>
    <w:rsid w:val="00110F61"/>
    <w:rsid w:val="00111FE4"/>
    <w:rsid w:val="00112460"/>
    <w:rsid w:val="001126AF"/>
    <w:rsid w:val="00112E13"/>
    <w:rsid w:val="001132AC"/>
    <w:rsid w:val="001135CC"/>
    <w:rsid w:val="001143D1"/>
    <w:rsid w:val="0011502D"/>
    <w:rsid w:val="00117629"/>
    <w:rsid w:val="00120013"/>
    <w:rsid w:val="0012293F"/>
    <w:rsid w:val="00123C62"/>
    <w:rsid w:val="00124570"/>
    <w:rsid w:val="0012657C"/>
    <w:rsid w:val="00126E73"/>
    <w:rsid w:val="001270A1"/>
    <w:rsid w:val="001277D1"/>
    <w:rsid w:val="00131224"/>
    <w:rsid w:val="00131E69"/>
    <w:rsid w:val="0013275C"/>
    <w:rsid w:val="00133884"/>
    <w:rsid w:val="00133FDF"/>
    <w:rsid w:val="0013420A"/>
    <w:rsid w:val="0013436B"/>
    <w:rsid w:val="00134CFD"/>
    <w:rsid w:val="001360FB"/>
    <w:rsid w:val="001361AD"/>
    <w:rsid w:val="0013720B"/>
    <w:rsid w:val="0013763A"/>
    <w:rsid w:val="00141298"/>
    <w:rsid w:val="0014152F"/>
    <w:rsid w:val="001424FA"/>
    <w:rsid w:val="001441CE"/>
    <w:rsid w:val="001443D9"/>
    <w:rsid w:val="00145725"/>
    <w:rsid w:val="00150630"/>
    <w:rsid w:val="001514A6"/>
    <w:rsid w:val="00151D28"/>
    <w:rsid w:val="00152397"/>
    <w:rsid w:val="00153771"/>
    <w:rsid w:val="0015457D"/>
    <w:rsid w:val="00154C51"/>
    <w:rsid w:val="00155905"/>
    <w:rsid w:val="00156328"/>
    <w:rsid w:val="00156B7E"/>
    <w:rsid w:val="00156F31"/>
    <w:rsid w:val="00157E67"/>
    <w:rsid w:val="00161301"/>
    <w:rsid w:val="001627C7"/>
    <w:rsid w:val="00163046"/>
    <w:rsid w:val="00163C7B"/>
    <w:rsid w:val="001654E0"/>
    <w:rsid w:val="00165A3E"/>
    <w:rsid w:val="001706F5"/>
    <w:rsid w:val="001708AC"/>
    <w:rsid w:val="001714E1"/>
    <w:rsid w:val="00171C9C"/>
    <w:rsid w:val="00174302"/>
    <w:rsid w:val="00174CF2"/>
    <w:rsid w:val="00176DF1"/>
    <w:rsid w:val="00181BD8"/>
    <w:rsid w:val="00181CA5"/>
    <w:rsid w:val="001828A4"/>
    <w:rsid w:val="001857D9"/>
    <w:rsid w:val="0018592B"/>
    <w:rsid w:val="001866BA"/>
    <w:rsid w:val="0018677A"/>
    <w:rsid w:val="00186B3B"/>
    <w:rsid w:val="00187989"/>
    <w:rsid w:val="001910E2"/>
    <w:rsid w:val="001931B2"/>
    <w:rsid w:val="00193B42"/>
    <w:rsid w:val="00193CA0"/>
    <w:rsid w:val="00194B1F"/>
    <w:rsid w:val="00194D6F"/>
    <w:rsid w:val="00194DB5"/>
    <w:rsid w:val="00195333"/>
    <w:rsid w:val="001960BB"/>
    <w:rsid w:val="00196796"/>
    <w:rsid w:val="001968E8"/>
    <w:rsid w:val="00197C49"/>
    <w:rsid w:val="001A00BE"/>
    <w:rsid w:val="001A07A5"/>
    <w:rsid w:val="001A1950"/>
    <w:rsid w:val="001A21D4"/>
    <w:rsid w:val="001A26B1"/>
    <w:rsid w:val="001A5DEC"/>
    <w:rsid w:val="001A71E4"/>
    <w:rsid w:val="001A780E"/>
    <w:rsid w:val="001A7B72"/>
    <w:rsid w:val="001B0A90"/>
    <w:rsid w:val="001B11CC"/>
    <w:rsid w:val="001B1ECC"/>
    <w:rsid w:val="001B26C3"/>
    <w:rsid w:val="001B326A"/>
    <w:rsid w:val="001B7070"/>
    <w:rsid w:val="001B7767"/>
    <w:rsid w:val="001B7BC2"/>
    <w:rsid w:val="001C02F1"/>
    <w:rsid w:val="001C173F"/>
    <w:rsid w:val="001C1C1A"/>
    <w:rsid w:val="001C1FC1"/>
    <w:rsid w:val="001C367E"/>
    <w:rsid w:val="001C3BDA"/>
    <w:rsid w:val="001C438B"/>
    <w:rsid w:val="001C4766"/>
    <w:rsid w:val="001C513C"/>
    <w:rsid w:val="001C5D54"/>
    <w:rsid w:val="001C766F"/>
    <w:rsid w:val="001D0ACB"/>
    <w:rsid w:val="001D140E"/>
    <w:rsid w:val="001D187E"/>
    <w:rsid w:val="001D5A86"/>
    <w:rsid w:val="001D6745"/>
    <w:rsid w:val="001D6B62"/>
    <w:rsid w:val="001D6BBC"/>
    <w:rsid w:val="001D7DEC"/>
    <w:rsid w:val="001E0BB8"/>
    <w:rsid w:val="001E25DA"/>
    <w:rsid w:val="001E271B"/>
    <w:rsid w:val="001E2D74"/>
    <w:rsid w:val="001E4C7A"/>
    <w:rsid w:val="001E526C"/>
    <w:rsid w:val="001E59C2"/>
    <w:rsid w:val="001F03BD"/>
    <w:rsid w:val="001F0EC8"/>
    <w:rsid w:val="001F16CE"/>
    <w:rsid w:val="001F31A3"/>
    <w:rsid w:val="001F33DF"/>
    <w:rsid w:val="001F3854"/>
    <w:rsid w:val="001F39FA"/>
    <w:rsid w:val="001F42A9"/>
    <w:rsid w:val="001F5898"/>
    <w:rsid w:val="001F6B6B"/>
    <w:rsid w:val="002004E6"/>
    <w:rsid w:val="00200FAE"/>
    <w:rsid w:val="0020185B"/>
    <w:rsid w:val="00202E63"/>
    <w:rsid w:val="002031FF"/>
    <w:rsid w:val="00203E02"/>
    <w:rsid w:val="002042C3"/>
    <w:rsid w:val="002060C3"/>
    <w:rsid w:val="00214C51"/>
    <w:rsid w:val="0021635E"/>
    <w:rsid w:val="00220C4C"/>
    <w:rsid w:val="00220EE7"/>
    <w:rsid w:val="002229A2"/>
    <w:rsid w:val="00223311"/>
    <w:rsid w:val="00223B45"/>
    <w:rsid w:val="002241CE"/>
    <w:rsid w:val="00224E1F"/>
    <w:rsid w:val="002253A5"/>
    <w:rsid w:val="002254B0"/>
    <w:rsid w:val="00225C53"/>
    <w:rsid w:val="00227038"/>
    <w:rsid w:val="002307DC"/>
    <w:rsid w:val="0023223B"/>
    <w:rsid w:val="00232488"/>
    <w:rsid w:val="00234907"/>
    <w:rsid w:val="00234B79"/>
    <w:rsid w:val="00234C7D"/>
    <w:rsid w:val="00236027"/>
    <w:rsid w:val="00236A37"/>
    <w:rsid w:val="0023785F"/>
    <w:rsid w:val="00237B57"/>
    <w:rsid w:val="00237D37"/>
    <w:rsid w:val="00237EB6"/>
    <w:rsid w:val="00240D57"/>
    <w:rsid w:val="00241C7A"/>
    <w:rsid w:val="0024467A"/>
    <w:rsid w:val="002449BB"/>
    <w:rsid w:val="00245FAC"/>
    <w:rsid w:val="002461A2"/>
    <w:rsid w:val="00246E4A"/>
    <w:rsid w:val="00250D39"/>
    <w:rsid w:val="002529A0"/>
    <w:rsid w:val="00252B36"/>
    <w:rsid w:val="002533B4"/>
    <w:rsid w:val="0025361C"/>
    <w:rsid w:val="0025616B"/>
    <w:rsid w:val="00261D87"/>
    <w:rsid w:val="00261EAC"/>
    <w:rsid w:val="0026314A"/>
    <w:rsid w:val="002649AA"/>
    <w:rsid w:val="00264F68"/>
    <w:rsid w:val="002671E3"/>
    <w:rsid w:val="00267242"/>
    <w:rsid w:val="002673BA"/>
    <w:rsid w:val="00270194"/>
    <w:rsid w:val="00270C13"/>
    <w:rsid w:val="00270E9F"/>
    <w:rsid w:val="002715D9"/>
    <w:rsid w:val="00271807"/>
    <w:rsid w:val="0027600A"/>
    <w:rsid w:val="002767DE"/>
    <w:rsid w:val="0027753B"/>
    <w:rsid w:val="00277BF6"/>
    <w:rsid w:val="00280939"/>
    <w:rsid w:val="002809F7"/>
    <w:rsid w:val="002818C2"/>
    <w:rsid w:val="00281AB6"/>
    <w:rsid w:val="00282239"/>
    <w:rsid w:val="0028244B"/>
    <w:rsid w:val="0028263F"/>
    <w:rsid w:val="002832FA"/>
    <w:rsid w:val="002840C6"/>
    <w:rsid w:val="00284587"/>
    <w:rsid w:val="0028539E"/>
    <w:rsid w:val="002871D3"/>
    <w:rsid w:val="0028785C"/>
    <w:rsid w:val="00287D37"/>
    <w:rsid w:val="00293253"/>
    <w:rsid w:val="002945EC"/>
    <w:rsid w:val="0029532D"/>
    <w:rsid w:val="00295C25"/>
    <w:rsid w:val="00296844"/>
    <w:rsid w:val="002A2A82"/>
    <w:rsid w:val="002A32E4"/>
    <w:rsid w:val="002A39C4"/>
    <w:rsid w:val="002A42F8"/>
    <w:rsid w:val="002A440C"/>
    <w:rsid w:val="002A5C0D"/>
    <w:rsid w:val="002A5EC2"/>
    <w:rsid w:val="002A5F74"/>
    <w:rsid w:val="002B062D"/>
    <w:rsid w:val="002B08D3"/>
    <w:rsid w:val="002B0AB1"/>
    <w:rsid w:val="002B0E3E"/>
    <w:rsid w:val="002B23A1"/>
    <w:rsid w:val="002B3BAA"/>
    <w:rsid w:val="002B3DEF"/>
    <w:rsid w:val="002B57D2"/>
    <w:rsid w:val="002C439D"/>
    <w:rsid w:val="002C4BDA"/>
    <w:rsid w:val="002C4CB3"/>
    <w:rsid w:val="002C5B9A"/>
    <w:rsid w:val="002C5BFA"/>
    <w:rsid w:val="002D10EC"/>
    <w:rsid w:val="002D241F"/>
    <w:rsid w:val="002D339C"/>
    <w:rsid w:val="002D4312"/>
    <w:rsid w:val="002D449C"/>
    <w:rsid w:val="002D47EE"/>
    <w:rsid w:val="002D57D1"/>
    <w:rsid w:val="002D60CA"/>
    <w:rsid w:val="002D6193"/>
    <w:rsid w:val="002D6E16"/>
    <w:rsid w:val="002D718D"/>
    <w:rsid w:val="002D731B"/>
    <w:rsid w:val="002D7EEE"/>
    <w:rsid w:val="002E0C99"/>
    <w:rsid w:val="002E1C21"/>
    <w:rsid w:val="002E2C06"/>
    <w:rsid w:val="002E4386"/>
    <w:rsid w:val="002E47A1"/>
    <w:rsid w:val="002E4FA7"/>
    <w:rsid w:val="002E538F"/>
    <w:rsid w:val="002E567F"/>
    <w:rsid w:val="002E71B2"/>
    <w:rsid w:val="002E7DBF"/>
    <w:rsid w:val="002F031B"/>
    <w:rsid w:val="002F0B62"/>
    <w:rsid w:val="002F1A99"/>
    <w:rsid w:val="002F25B5"/>
    <w:rsid w:val="002F6E5A"/>
    <w:rsid w:val="002F7727"/>
    <w:rsid w:val="003010F1"/>
    <w:rsid w:val="00304B54"/>
    <w:rsid w:val="0030571C"/>
    <w:rsid w:val="003065ED"/>
    <w:rsid w:val="0030662B"/>
    <w:rsid w:val="00306F9D"/>
    <w:rsid w:val="00307A16"/>
    <w:rsid w:val="00310C6D"/>
    <w:rsid w:val="0031144A"/>
    <w:rsid w:val="00311712"/>
    <w:rsid w:val="00312FD9"/>
    <w:rsid w:val="00313564"/>
    <w:rsid w:val="00313CFF"/>
    <w:rsid w:val="00314B86"/>
    <w:rsid w:val="003151C1"/>
    <w:rsid w:val="003155AC"/>
    <w:rsid w:val="00315617"/>
    <w:rsid w:val="003159E9"/>
    <w:rsid w:val="0031617A"/>
    <w:rsid w:val="003163BD"/>
    <w:rsid w:val="00316451"/>
    <w:rsid w:val="00320086"/>
    <w:rsid w:val="003201BF"/>
    <w:rsid w:val="003208BC"/>
    <w:rsid w:val="00321E44"/>
    <w:rsid w:val="00322853"/>
    <w:rsid w:val="003245D3"/>
    <w:rsid w:val="00324661"/>
    <w:rsid w:val="00325437"/>
    <w:rsid w:val="00325B28"/>
    <w:rsid w:val="00327240"/>
    <w:rsid w:val="0032735C"/>
    <w:rsid w:val="003308BC"/>
    <w:rsid w:val="00330E48"/>
    <w:rsid w:val="003319A2"/>
    <w:rsid w:val="003319E9"/>
    <w:rsid w:val="003335FD"/>
    <w:rsid w:val="00334D24"/>
    <w:rsid w:val="00335074"/>
    <w:rsid w:val="003353C8"/>
    <w:rsid w:val="003363ED"/>
    <w:rsid w:val="00336819"/>
    <w:rsid w:val="00340AB3"/>
    <w:rsid w:val="00340D8B"/>
    <w:rsid w:val="00340DAB"/>
    <w:rsid w:val="003415D6"/>
    <w:rsid w:val="00341894"/>
    <w:rsid w:val="003421AB"/>
    <w:rsid w:val="003421CD"/>
    <w:rsid w:val="0034236B"/>
    <w:rsid w:val="00342824"/>
    <w:rsid w:val="00342B98"/>
    <w:rsid w:val="00343E5C"/>
    <w:rsid w:val="003442E6"/>
    <w:rsid w:val="00345644"/>
    <w:rsid w:val="00345E2A"/>
    <w:rsid w:val="003460E1"/>
    <w:rsid w:val="00346246"/>
    <w:rsid w:val="0034653D"/>
    <w:rsid w:val="00346DC1"/>
    <w:rsid w:val="00346E18"/>
    <w:rsid w:val="00350610"/>
    <w:rsid w:val="003516D2"/>
    <w:rsid w:val="003520B1"/>
    <w:rsid w:val="00352B14"/>
    <w:rsid w:val="00352E83"/>
    <w:rsid w:val="0035385E"/>
    <w:rsid w:val="0035436B"/>
    <w:rsid w:val="003544F7"/>
    <w:rsid w:val="0035635A"/>
    <w:rsid w:val="00356D01"/>
    <w:rsid w:val="00357B4D"/>
    <w:rsid w:val="003602C0"/>
    <w:rsid w:val="00360BE5"/>
    <w:rsid w:val="00360E21"/>
    <w:rsid w:val="00361A51"/>
    <w:rsid w:val="00363D73"/>
    <w:rsid w:val="003658AE"/>
    <w:rsid w:val="003663B2"/>
    <w:rsid w:val="00366D50"/>
    <w:rsid w:val="00367660"/>
    <w:rsid w:val="003679FD"/>
    <w:rsid w:val="00367D56"/>
    <w:rsid w:val="00372325"/>
    <w:rsid w:val="00372E0F"/>
    <w:rsid w:val="00374B4A"/>
    <w:rsid w:val="00375E63"/>
    <w:rsid w:val="00376241"/>
    <w:rsid w:val="00376FDD"/>
    <w:rsid w:val="00377389"/>
    <w:rsid w:val="003778A1"/>
    <w:rsid w:val="00380D46"/>
    <w:rsid w:val="003822A9"/>
    <w:rsid w:val="0038270D"/>
    <w:rsid w:val="00384B9C"/>
    <w:rsid w:val="00385838"/>
    <w:rsid w:val="00385928"/>
    <w:rsid w:val="003861A8"/>
    <w:rsid w:val="00386323"/>
    <w:rsid w:val="00387230"/>
    <w:rsid w:val="0039308E"/>
    <w:rsid w:val="003939E5"/>
    <w:rsid w:val="003955B7"/>
    <w:rsid w:val="00395660"/>
    <w:rsid w:val="00395896"/>
    <w:rsid w:val="003961D3"/>
    <w:rsid w:val="003A04F5"/>
    <w:rsid w:val="003A155B"/>
    <w:rsid w:val="003A1A28"/>
    <w:rsid w:val="003A1FFC"/>
    <w:rsid w:val="003A35A2"/>
    <w:rsid w:val="003A35C5"/>
    <w:rsid w:val="003A40D6"/>
    <w:rsid w:val="003A466D"/>
    <w:rsid w:val="003A4EE0"/>
    <w:rsid w:val="003A53AF"/>
    <w:rsid w:val="003A6008"/>
    <w:rsid w:val="003A6647"/>
    <w:rsid w:val="003A74AE"/>
    <w:rsid w:val="003A75D8"/>
    <w:rsid w:val="003B033B"/>
    <w:rsid w:val="003B20A2"/>
    <w:rsid w:val="003B20F5"/>
    <w:rsid w:val="003B2F1E"/>
    <w:rsid w:val="003B313E"/>
    <w:rsid w:val="003B51F5"/>
    <w:rsid w:val="003B56C8"/>
    <w:rsid w:val="003B72F3"/>
    <w:rsid w:val="003B7B36"/>
    <w:rsid w:val="003B7B47"/>
    <w:rsid w:val="003C026F"/>
    <w:rsid w:val="003C0C98"/>
    <w:rsid w:val="003C135F"/>
    <w:rsid w:val="003C1A5B"/>
    <w:rsid w:val="003C1A61"/>
    <w:rsid w:val="003C2106"/>
    <w:rsid w:val="003C2196"/>
    <w:rsid w:val="003C2304"/>
    <w:rsid w:val="003C4735"/>
    <w:rsid w:val="003C4909"/>
    <w:rsid w:val="003C5161"/>
    <w:rsid w:val="003C560F"/>
    <w:rsid w:val="003C6FEC"/>
    <w:rsid w:val="003C7307"/>
    <w:rsid w:val="003D1D89"/>
    <w:rsid w:val="003D2A11"/>
    <w:rsid w:val="003D30C2"/>
    <w:rsid w:val="003D36B0"/>
    <w:rsid w:val="003D7F4B"/>
    <w:rsid w:val="003E0C9D"/>
    <w:rsid w:val="003E126C"/>
    <w:rsid w:val="003E17A0"/>
    <w:rsid w:val="003E20ED"/>
    <w:rsid w:val="003E31BE"/>
    <w:rsid w:val="003E3A63"/>
    <w:rsid w:val="003E4990"/>
    <w:rsid w:val="003E5A13"/>
    <w:rsid w:val="003E5AFB"/>
    <w:rsid w:val="003E6235"/>
    <w:rsid w:val="003E7FDF"/>
    <w:rsid w:val="003F009D"/>
    <w:rsid w:val="003F0752"/>
    <w:rsid w:val="003F08A0"/>
    <w:rsid w:val="003F0A60"/>
    <w:rsid w:val="003F1188"/>
    <w:rsid w:val="003F12B4"/>
    <w:rsid w:val="003F282D"/>
    <w:rsid w:val="003F3A51"/>
    <w:rsid w:val="003F4105"/>
    <w:rsid w:val="003F474C"/>
    <w:rsid w:val="003F6882"/>
    <w:rsid w:val="003F6ACE"/>
    <w:rsid w:val="003F712E"/>
    <w:rsid w:val="00400186"/>
    <w:rsid w:val="00400DF4"/>
    <w:rsid w:val="004025D9"/>
    <w:rsid w:val="00402C04"/>
    <w:rsid w:val="00403E61"/>
    <w:rsid w:val="00405D7F"/>
    <w:rsid w:val="00407604"/>
    <w:rsid w:val="004104D6"/>
    <w:rsid w:val="004123E2"/>
    <w:rsid w:val="0041366C"/>
    <w:rsid w:val="00413C00"/>
    <w:rsid w:val="00414009"/>
    <w:rsid w:val="00415857"/>
    <w:rsid w:val="00416328"/>
    <w:rsid w:val="0041635C"/>
    <w:rsid w:val="004164E6"/>
    <w:rsid w:val="00417855"/>
    <w:rsid w:val="00420BC0"/>
    <w:rsid w:val="00420FCE"/>
    <w:rsid w:val="0042131F"/>
    <w:rsid w:val="00421CB0"/>
    <w:rsid w:val="00422B48"/>
    <w:rsid w:val="00423561"/>
    <w:rsid w:val="00423A5B"/>
    <w:rsid w:val="00423D30"/>
    <w:rsid w:val="00424783"/>
    <w:rsid w:val="00424EB5"/>
    <w:rsid w:val="00425CF9"/>
    <w:rsid w:val="00425F51"/>
    <w:rsid w:val="00426E6D"/>
    <w:rsid w:val="0043157B"/>
    <w:rsid w:val="0043279D"/>
    <w:rsid w:val="00432A6D"/>
    <w:rsid w:val="0043335F"/>
    <w:rsid w:val="004336B8"/>
    <w:rsid w:val="00433B68"/>
    <w:rsid w:val="004346E0"/>
    <w:rsid w:val="00434C08"/>
    <w:rsid w:val="00434D66"/>
    <w:rsid w:val="00434E24"/>
    <w:rsid w:val="0043605A"/>
    <w:rsid w:val="00436B47"/>
    <w:rsid w:val="00440F22"/>
    <w:rsid w:val="00442879"/>
    <w:rsid w:val="0044632E"/>
    <w:rsid w:val="0044765F"/>
    <w:rsid w:val="004503EA"/>
    <w:rsid w:val="00450B45"/>
    <w:rsid w:val="004529FC"/>
    <w:rsid w:val="00452E5F"/>
    <w:rsid w:val="00454103"/>
    <w:rsid w:val="00455FFB"/>
    <w:rsid w:val="00456CC6"/>
    <w:rsid w:val="004614D7"/>
    <w:rsid w:val="0046246E"/>
    <w:rsid w:val="00463D24"/>
    <w:rsid w:val="004652F3"/>
    <w:rsid w:val="004674B2"/>
    <w:rsid w:val="004674F8"/>
    <w:rsid w:val="00467B62"/>
    <w:rsid w:val="004702B2"/>
    <w:rsid w:val="004703E1"/>
    <w:rsid w:val="00471159"/>
    <w:rsid w:val="0047392F"/>
    <w:rsid w:val="00475FFB"/>
    <w:rsid w:val="00477179"/>
    <w:rsid w:val="00481786"/>
    <w:rsid w:val="00482382"/>
    <w:rsid w:val="0048260E"/>
    <w:rsid w:val="00484185"/>
    <w:rsid w:val="004845A9"/>
    <w:rsid w:val="004856F2"/>
    <w:rsid w:val="0048573D"/>
    <w:rsid w:val="00485E4F"/>
    <w:rsid w:val="00487AEE"/>
    <w:rsid w:val="0049068D"/>
    <w:rsid w:val="00490F0F"/>
    <w:rsid w:val="00492007"/>
    <w:rsid w:val="0049216D"/>
    <w:rsid w:val="00493CB5"/>
    <w:rsid w:val="004951BA"/>
    <w:rsid w:val="004955D1"/>
    <w:rsid w:val="00497E82"/>
    <w:rsid w:val="004A0146"/>
    <w:rsid w:val="004A04C6"/>
    <w:rsid w:val="004A0AC4"/>
    <w:rsid w:val="004A29FA"/>
    <w:rsid w:val="004A32D9"/>
    <w:rsid w:val="004A3DAE"/>
    <w:rsid w:val="004A4499"/>
    <w:rsid w:val="004A526D"/>
    <w:rsid w:val="004A58F0"/>
    <w:rsid w:val="004A64EA"/>
    <w:rsid w:val="004A6597"/>
    <w:rsid w:val="004A6A7A"/>
    <w:rsid w:val="004A6CE1"/>
    <w:rsid w:val="004A7EF3"/>
    <w:rsid w:val="004B0125"/>
    <w:rsid w:val="004B12C3"/>
    <w:rsid w:val="004B29DC"/>
    <w:rsid w:val="004B3522"/>
    <w:rsid w:val="004B4A04"/>
    <w:rsid w:val="004B4E7C"/>
    <w:rsid w:val="004B50A7"/>
    <w:rsid w:val="004B7267"/>
    <w:rsid w:val="004B781E"/>
    <w:rsid w:val="004C03DE"/>
    <w:rsid w:val="004C2169"/>
    <w:rsid w:val="004C297E"/>
    <w:rsid w:val="004C2E6F"/>
    <w:rsid w:val="004C4204"/>
    <w:rsid w:val="004C4DB6"/>
    <w:rsid w:val="004C5742"/>
    <w:rsid w:val="004C58D1"/>
    <w:rsid w:val="004D0251"/>
    <w:rsid w:val="004D33B5"/>
    <w:rsid w:val="004D34DA"/>
    <w:rsid w:val="004D5C2C"/>
    <w:rsid w:val="004D5EE6"/>
    <w:rsid w:val="004D633A"/>
    <w:rsid w:val="004E1727"/>
    <w:rsid w:val="004E338B"/>
    <w:rsid w:val="004E464B"/>
    <w:rsid w:val="004E529E"/>
    <w:rsid w:val="004E65B1"/>
    <w:rsid w:val="004E6D61"/>
    <w:rsid w:val="004E742D"/>
    <w:rsid w:val="004E7D2E"/>
    <w:rsid w:val="004F00CE"/>
    <w:rsid w:val="004F0497"/>
    <w:rsid w:val="004F0D71"/>
    <w:rsid w:val="004F1657"/>
    <w:rsid w:val="004F2350"/>
    <w:rsid w:val="004F3972"/>
    <w:rsid w:val="004F487E"/>
    <w:rsid w:val="004F5947"/>
    <w:rsid w:val="004F6938"/>
    <w:rsid w:val="0050084D"/>
    <w:rsid w:val="00501434"/>
    <w:rsid w:val="00501F24"/>
    <w:rsid w:val="00502999"/>
    <w:rsid w:val="00502A43"/>
    <w:rsid w:val="00503163"/>
    <w:rsid w:val="00503268"/>
    <w:rsid w:val="00504DA0"/>
    <w:rsid w:val="00505607"/>
    <w:rsid w:val="005059EA"/>
    <w:rsid w:val="00506338"/>
    <w:rsid w:val="00506865"/>
    <w:rsid w:val="005109D1"/>
    <w:rsid w:val="00511AA0"/>
    <w:rsid w:val="00515795"/>
    <w:rsid w:val="00517FA7"/>
    <w:rsid w:val="00522B2E"/>
    <w:rsid w:val="005248D9"/>
    <w:rsid w:val="00524983"/>
    <w:rsid w:val="00524994"/>
    <w:rsid w:val="00525F9B"/>
    <w:rsid w:val="00526071"/>
    <w:rsid w:val="0052640C"/>
    <w:rsid w:val="0052743C"/>
    <w:rsid w:val="0053073C"/>
    <w:rsid w:val="00530896"/>
    <w:rsid w:val="00531944"/>
    <w:rsid w:val="0053256E"/>
    <w:rsid w:val="00533078"/>
    <w:rsid w:val="00533829"/>
    <w:rsid w:val="00534375"/>
    <w:rsid w:val="00534EE9"/>
    <w:rsid w:val="005360B9"/>
    <w:rsid w:val="00537AD9"/>
    <w:rsid w:val="00537B51"/>
    <w:rsid w:val="00541B20"/>
    <w:rsid w:val="00541C37"/>
    <w:rsid w:val="0054209D"/>
    <w:rsid w:val="005436C3"/>
    <w:rsid w:val="00544663"/>
    <w:rsid w:val="00544A6A"/>
    <w:rsid w:val="00546AB4"/>
    <w:rsid w:val="00546ABC"/>
    <w:rsid w:val="00546B72"/>
    <w:rsid w:val="0055067B"/>
    <w:rsid w:val="0055156F"/>
    <w:rsid w:val="0055262C"/>
    <w:rsid w:val="005531BB"/>
    <w:rsid w:val="005557F7"/>
    <w:rsid w:val="005558B7"/>
    <w:rsid w:val="00556133"/>
    <w:rsid w:val="00557627"/>
    <w:rsid w:val="00557D65"/>
    <w:rsid w:val="005602BF"/>
    <w:rsid w:val="00560A71"/>
    <w:rsid w:val="005616DF"/>
    <w:rsid w:val="00562EFF"/>
    <w:rsid w:val="00563CEF"/>
    <w:rsid w:val="00566134"/>
    <w:rsid w:val="00567637"/>
    <w:rsid w:val="00572629"/>
    <w:rsid w:val="005756D2"/>
    <w:rsid w:val="005761A9"/>
    <w:rsid w:val="00576332"/>
    <w:rsid w:val="00577C9F"/>
    <w:rsid w:val="00580131"/>
    <w:rsid w:val="00580A00"/>
    <w:rsid w:val="00581401"/>
    <w:rsid w:val="00582492"/>
    <w:rsid w:val="00582874"/>
    <w:rsid w:val="00583185"/>
    <w:rsid w:val="00583875"/>
    <w:rsid w:val="00583ED9"/>
    <w:rsid w:val="00584093"/>
    <w:rsid w:val="00584132"/>
    <w:rsid w:val="0058515F"/>
    <w:rsid w:val="00585701"/>
    <w:rsid w:val="00586455"/>
    <w:rsid w:val="005867EF"/>
    <w:rsid w:val="00587C67"/>
    <w:rsid w:val="00590A77"/>
    <w:rsid w:val="00591B5B"/>
    <w:rsid w:val="0059356E"/>
    <w:rsid w:val="00593607"/>
    <w:rsid w:val="00595CE7"/>
    <w:rsid w:val="005961B5"/>
    <w:rsid w:val="00596628"/>
    <w:rsid w:val="005966C8"/>
    <w:rsid w:val="0059672F"/>
    <w:rsid w:val="005A13C4"/>
    <w:rsid w:val="005A3002"/>
    <w:rsid w:val="005A30B9"/>
    <w:rsid w:val="005A39EE"/>
    <w:rsid w:val="005A3AC1"/>
    <w:rsid w:val="005A4D1F"/>
    <w:rsid w:val="005A4E05"/>
    <w:rsid w:val="005A503B"/>
    <w:rsid w:val="005A597F"/>
    <w:rsid w:val="005A5FA5"/>
    <w:rsid w:val="005B0E4E"/>
    <w:rsid w:val="005B14DD"/>
    <w:rsid w:val="005B1BE1"/>
    <w:rsid w:val="005B2218"/>
    <w:rsid w:val="005B2424"/>
    <w:rsid w:val="005B243F"/>
    <w:rsid w:val="005B3802"/>
    <w:rsid w:val="005B4BDB"/>
    <w:rsid w:val="005B57D4"/>
    <w:rsid w:val="005C16DE"/>
    <w:rsid w:val="005C1927"/>
    <w:rsid w:val="005C2853"/>
    <w:rsid w:val="005C2FE2"/>
    <w:rsid w:val="005C337B"/>
    <w:rsid w:val="005C6325"/>
    <w:rsid w:val="005C6BA5"/>
    <w:rsid w:val="005D0B25"/>
    <w:rsid w:val="005D1B42"/>
    <w:rsid w:val="005D4447"/>
    <w:rsid w:val="005D5DE5"/>
    <w:rsid w:val="005D6A49"/>
    <w:rsid w:val="005D6BA4"/>
    <w:rsid w:val="005D7C21"/>
    <w:rsid w:val="005D7E49"/>
    <w:rsid w:val="005E0415"/>
    <w:rsid w:val="005E1018"/>
    <w:rsid w:val="005E1C2A"/>
    <w:rsid w:val="005E1F0C"/>
    <w:rsid w:val="005E2B09"/>
    <w:rsid w:val="005E4498"/>
    <w:rsid w:val="005E46A6"/>
    <w:rsid w:val="005E4867"/>
    <w:rsid w:val="005E4CD0"/>
    <w:rsid w:val="005E52CA"/>
    <w:rsid w:val="005E58A0"/>
    <w:rsid w:val="005E7B80"/>
    <w:rsid w:val="005F11F7"/>
    <w:rsid w:val="005F1D8A"/>
    <w:rsid w:val="005F3082"/>
    <w:rsid w:val="005F4E79"/>
    <w:rsid w:val="005F5037"/>
    <w:rsid w:val="005F535E"/>
    <w:rsid w:val="005F5C57"/>
    <w:rsid w:val="005F6281"/>
    <w:rsid w:val="005F6B89"/>
    <w:rsid w:val="00602292"/>
    <w:rsid w:val="00602CF0"/>
    <w:rsid w:val="00602F71"/>
    <w:rsid w:val="006031BC"/>
    <w:rsid w:val="00603456"/>
    <w:rsid w:val="006043C3"/>
    <w:rsid w:val="00604FA2"/>
    <w:rsid w:val="006053CF"/>
    <w:rsid w:val="00606CEC"/>
    <w:rsid w:val="00606E74"/>
    <w:rsid w:val="00607971"/>
    <w:rsid w:val="00607D73"/>
    <w:rsid w:val="00610257"/>
    <w:rsid w:val="00610F57"/>
    <w:rsid w:val="006129D2"/>
    <w:rsid w:val="00613034"/>
    <w:rsid w:val="006143E4"/>
    <w:rsid w:val="0061444E"/>
    <w:rsid w:val="0061445E"/>
    <w:rsid w:val="006148E8"/>
    <w:rsid w:val="006165F2"/>
    <w:rsid w:val="00616BCD"/>
    <w:rsid w:val="00616D4B"/>
    <w:rsid w:val="00620D65"/>
    <w:rsid w:val="006211E5"/>
    <w:rsid w:val="00621BC4"/>
    <w:rsid w:val="00621DE4"/>
    <w:rsid w:val="006222F4"/>
    <w:rsid w:val="00622776"/>
    <w:rsid w:val="00624508"/>
    <w:rsid w:val="006247B2"/>
    <w:rsid w:val="00624CDC"/>
    <w:rsid w:val="00625DE6"/>
    <w:rsid w:val="00626E4B"/>
    <w:rsid w:val="006275B6"/>
    <w:rsid w:val="00627765"/>
    <w:rsid w:val="00630AEE"/>
    <w:rsid w:val="006317E1"/>
    <w:rsid w:val="00631805"/>
    <w:rsid w:val="0063366F"/>
    <w:rsid w:val="0063466C"/>
    <w:rsid w:val="00636488"/>
    <w:rsid w:val="0064041C"/>
    <w:rsid w:val="00640490"/>
    <w:rsid w:val="00643566"/>
    <w:rsid w:val="00643E25"/>
    <w:rsid w:val="00643E37"/>
    <w:rsid w:val="00644053"/>
    <w:rsid w:val="00644488"/>
    <w:rsid w:val="006453FE"/>
    <w:rsid w:val="00646674"/>
    <w:rsid w:val="00647330"/>
    <w:rsid w:val="0065041C"/>
    <w:rsid w:val="0065208A"/>
    <w:rsid w:val="00652D81"/>
    <w:rsid w:val="00655293"/>
    <w:rsid w:val="00655329"/>
    <w:rsid w:val="00655588"/>
    <w:rsid w:val="00655B4D"/>
    <w:rsid w:val="00656C59"/>
    <w:rsid w:val="00656FE9"/>
    <w:rsid w:val="00657CFF"/>
    <w:rsid w:val="0066068A"/>
    <w:rsid w:val="0066311D"/>
    <w:rsid w:val="006635A3"/>
    <w:rsid w:val="00663F0E"/>
    <w:rsid w:val="006658F0"/>
    <w:rsid w:val="00665DE9"/>
    <w:rsid w:val="00666A0E"/>
    <w:rsid w:val="00666CDC"/>
    <w:rsid w:val="00667494"/>
    <w:rsid w:val="00667594"/>
    <w:rsid w:val="006679F9"/>
    <w:rsid w:val="00667C48"/>
    <w:rsid w:val="00670187"/>
    <w:rsid w:val="006710CE"/>
    <w:rsid w:val="0067162D"/>
    <w:rsid w:val="00672A46"/>
    <w:rsid w:val="0067469E"/>
    <w:rsid w:val="00674D1C"/>
    <w:rsid w:val="00680A1C"/>
    <w:rsid w:val="00680B7C"/>
    <w:rsid w:val="0068127B"/>
    <w:rsid w:val="00681A6F"/>
    <w:rsid w:val="006825D3"/>
    <w:rsid w:val="006826C5"/>
    <w:rsid w:val="00685BA5"/>
    <w:rsid w:val="00685FC3"/>
    <w:rsid w:val="00687EFE"/>
    <w:rsid w:val="00687F47"/>
    <w:rsid w:val="00690CFC"/>
    <w:rsid w:val="0069447D"/>
    <w:rsid w:val="00695370"/>
    <w:rsid w:val="00696A65"/>
    <w:rsid w:val="00697254"/>
    <w:rsid w:val="006979DC"/>
    <w:rsid w:val="006A01BE"/>
    <w:rsid w:val="006A0912"/>
    <w:rsid w:val="006A19D3"/>
    <w:rsid w:val="006A27CB"/>
    <w:rsid w:val="006A44A6"/>
    <w:rsid w:val="006A4BDB"/>
    <w:rsid w:val="006A550F"/>
    <w:rsid w:val="006A6062"/>
    <w:rsid w:val="006A6082"/>
    <w:rsid w:val="006A7CC6"/>
    <w:rsid w:val="006B11EA"/>
    <w:rsid w:val="006B1275"/>
    <w:rsid w:val="006B14C9"/>
    <w:rsid w:val="006B1E84"/>
    <w:rsid w:val="006B79FF"/>
    <w:rsid w:val="006B7B4B"/>
    <w:rsid w:val="006C01E3"/>
    <w:rsid w:val="006C1D45"/>
    <w:rsid w:val="006C1DB8"/>
    <w:rsid w:val="006C1E00"/>
    <w:rsid w:val="006C2AF9"/>
    <w:rsid w:val="006C4118"/>
    <w:rsid w:val="006C46EC"/>
    <w:rsid w:val="006C4D9C"/>
    <w:rsid w:val="006C64A9"/>
    <w:rsid w:val="006C64CD"/>
    <w:rsid w:val="006C6B99"/>
    <w:rsid w:val="006D15BA"/>
    <w:rsid w:val="006D19F6"/>
    <w:rsid w:val="006D1FD3"/>
    <w:rsid w:val="006D2DC0"/>
    <w:rsid w:val="006E024F"/>
    <w:rsid w:val="006E0407"/>
    <w:rsid w:val="006E046C"/>
    <w:rsid w:val="006E1EF0"/>
    <w:rsid w:val="006E201E"/>
    <w:rsid w:val="006E35C1"/>
    <w:rsid w:val="006E3BE4"/>
    <w:rsid w:val="006E40F6"/>
    <w:rsid w:val="006E4984"/>
    <w:rsid w:val="006E5799"/>
    <w:rsid w:val="006E5BC7"/>
    <w:rsid w:val="006E5D0E"/>
    <w:rsid w:val="006E60A3"/>
    <w:rsid w:val="006E646F"/>
    <w:rsid w:val="006E6BF6"/>
    <w:rsid w:val="006E6DB4"/>
    <w:rsid w:val="006F1620"/>
    <w:rsid w:val="006F200C"/>
    <w:rsid w:val="006F22D6"/>
    <w:rsid w:val="006F3251"/>
    <w:rsid w:val="006F365C"/>
    <w:rsid w:val="006F43C2"/>
    <w:rsid w:val="006F4E67"/>
    <w:rsid w:val="006F579D"/>
    <w:rsid w:val="00701290"/>
    <w:rsid w:val="007027F1"/>
    <w:rsid w:val="00702864"/>
    <w:rsid w:val="007033F3"/>
    <w:rsid w:val="00703A27"/>
    <w:rsid w:val="00703EA9"/>
    <w:rsid w:val="0070405C"/>
    <w:rsid w:val="007055F4"/>
    <w:rsid w:val="007068A6"/>
    <w:rsid w:val="00710191"/>
    <w:rsid w:val="00711C1C"/>
    <w:rsid w:val="00712086"/>
    <w:rsid w:val="00712373"/>
    <w:rsid w:val="007127A2"/>
    <w:rsid w:val="00713BA0"/>
    <w:rsid w:val="00713E4C"/>
    <w:rsid w:val="007141CC"/>
    <w:rsid w:val="007141CE"/>
    <w:rsid w:val="007147C0"/>
    <w:rsid w:val="00716B24"/>
    <w:rsid w:val="00716EAC"/>
    <w:rsid w:val="007172D0"/>
    <w:rsid w:val="007202D7"/>
    <w:rsid w:val="00721A09"/>
    <w:rsid w:val="007223A8"/>
    <w:rsid w:val="00722949"/>
    <w:rsid w:val="00723D1F"/>
    <w:rsid w:val="00725285"/>
    <w:rsid w:val="007258CB"/>
    <w:rsid w:val="00725CE2"/>
    <w:rsid w:val="007274FD"/>
    <w:rsid w:val="00730941"/>
    <w:rsid w:val="00734274"/>
    <w:rsid w:val="00734D88"/>
    <w:rsid w:val="00735A33"/>
    <w:rsid w:val="00737A5A"/>
    <w:rsid w:val="007416A4"/>
    <w:rsid w:val="0074176E"/>
    <w:rsid w:val="00743887"/>
    <w:rsid w:val="007439A4"/>
    <w:rsid w:val="00743DCB"/>
    <w:rsid w:val="007454AF"/>
    <w:rsid w:val="00746718"/>
    <w:rsid w:val="00746985"/>
    <w:rsid w:val="00746F14"/>
    <w:rsid w:val="00746F6C"/>
    <w:rsid w:val="0075026F"/>
    <w:rsid w:val="007506B2"/>
    <w:rsid w:val="00750E42"/>
    <w:rsid w:val="00752B42"/>
    <w:rsid w:val="007558AF"/>
    <w:rsid w:val="00755CFF"/>
    <w:rsid w:val="00756B72"/>
    <w:rsid w:val="00757C7A"/>
    <w:rsid w:val="0076047D"/>
    <w:rsid w:val="00760F79"/>
    <w:rsid w:val="00761203"/>
    <w:rsid w:val="00761FCD"/>
    <w:rsid w:val="0076210B"/>
    <w:rsid w:val="00762A63"/>
    <w:rsid w:val="00762AC8"/>
    <w:rsid w:val="007630E0"/>
    <w:rsid w:val="00766A19"/>
    <w:rsid w:val="00766C82"/>
    <w:rsid w:val="00770422"/>
    <w:rsid w:val="0077307C"/>
    <w:rsid w:val="00774694"/>
    <w:rsid w:val="00774AD8"/>
    <w:rsid w:val="00776480"/>
    <w:rsid w:val="00777C3E"/>
    <w:rsid w:val="00780950"/>
    <w:rsid w:val="00781893"/>
    <w:rsid w:val="007863E3"/>
    <w:rsid w:val="00790189"/>
    <w:rsid w:val="00791281"/>
    <w:rsid w:val="00791483"/>
    <w:rsid w:val="00792C09"/>
    <w:rsid w:val="007943D1"/>
    <w:rsid w:val="00794DDF"/>
    <w:rsid w:val="0079533C"/>
    <w:rsid w:val="00796471"/>
    <w:rsid w:val="00796CEC"/>
    <w:rsid w:val="00796D7B"/>
    <w:rsid w:val="00797DBE"/>
    <w:rsid w:val="007A1DBA"/>
    <w:rsid w:val="007A1FBD"/>
    <w:rsid w:val="007A34E9"/>
    <w:rsid w:val="007A3512"/>
    <w:rsid w:val="007A38CA"/>
    <w:rsid w:val="007A42E5"/>
    <w:rsid w:val="007A4AA2"/>
    <w:rsid w:val="007A5BA6"/>
    <w:rsid w:val="007A5EE0"/>
    <w:rsid w:val="007A642B"/>
    <w:rsid w:val="007A6FFA"/>
    <w:rsid w:val="007A7082"/>
    <w:rsid w:val="007A743E"/>
    <w:rsid w:val="007B0393"/>
    <w:rsid w:val="007B068F"/>
    <w:rsid w:val="007B224F"/>
    <w:rsid w:val="007B2620"/>
    <w:rsid w:val="007B312B"/>
    <w:rsid w:val="007B4B30"/>
    <w:rsid w:val="007B5D06"/>
    <w:rsid w:val="007B5F89"/>
    <w:rsid w:val="007B6B92"/>
    <w:rsid w:val="007C0E42"/>
    <w:rsid w:val="007C1A35"/>
    <w:rsid w:val="007C3C86"/>
    <w:rsid w:val="007C4394"/>
    <w:rsid w:val="007C49E4"/>
    <w:rsid w:val="007C5B7D"/>
    <w:rsid w:val="007C6540"/>
    <w:rsid w:val="007C7FDB"/>
    <w:rsid w:val="007D0199"/>
    <w:rsid w:val="007D0C5C"/>
    <w:rsid w:val="007D4B9F"/>
    <w:rsid w:val="007D5EB4"/>
    <w:rsid w:val="007E0078"/>
    <w:rsid w:val="007E0DEE"/>
    <w:rsid w:val="007E5D96"/>
    <w:rsid w:val="007E6162"/>
    <w:rsid w:val="007E66F2"/>
    <w:rsid w:val="007F00A9"/>
    <w:rsid w:val="007F018B"/>
    <w:rsid w:val="007F1000"/>
    <w:rsid w:val="007F1F8E"/>
    <w:rsid w:val="007F33B7"/>
    <w:rsid w:val="007F3BBA"/>
    <w:rsid w:val="007F3D40"/>
    <w:rsid w:val="007F4962"/>
    <w:rsid w:val="007F51F2"/>
    <w:rsid w:val="007F60FD"/>
    <w:rsid w:val="007F6D00"/>
    <w:rsid w:val="00801F24"/>
    <w:rsid w:val="00803D23"/>
    <w:rsid w:val="00805887"/>
    <w:rsid w:val="00805978"/>
    <w:rsid w:val="00806EBD"/>
    <w:rsid w:val="00806EE8"/>
    <w:rsid w:val="00807AB3"/>
    <w:rsid w:val="008107CA"/>
    <w:rsid w:val="00810CB1"/>
    <w:rsid w:val="008116BC"/>
    <w:rsid w:val="008127A9"/>
    <w:rsid w:val="00812C25"/>
    <w:rsid w:val="00814789"/>
    <w:rsid w:val="00815082"/>
    <w:rsid w:val="00815250"/>
    <w:rsid w:val="00815E51"/>
    <w:rsid w:val="0081679A"/>
    <w:rsid w:val="00816D20"/>
    <w:rsid w:val="00821167"/>
    <w:rsid w:val="008227C9"/>
    <w:rsid w:val="008229EF"/>
    <w:rsid w:val="00822E26"/>
    <w:rsid w:val="008230C3"/>
    <w:rsid w:val="008235F0"/>
    <w:rsid w:val="008259E2"/>
    <w:rsid w:val="00825C30"/>
    <w:rsid w:val="00826D52"/>
    <w:rsid w:val="00827455"/>
    <w:rsid w:val="00827467"/>
    <w:rsid w:val="008309C4"/>
    <w:rsid w:val="00833175"/>
    <w:rsid w:val="00833FEE"/>
    <w:rsid w:val="008340D8"/>
    <w:rsid w:val="008343EF"/>
    <w:rsid w:val="008371FD"/>
    <w:rsid w:val="00837D70"/>
    <w:rsid w:val="00837E9C"/>
    <w:rsid w:val="00841057"/>
    <w:rsid w:val="00841242"/>
    <w:rsid w:val="00841538"/>
    <w:rsid w:val="00843059"/>
    <w:rsid w:val="0084475D"/>
    <w:rsid w:val="00845433"/>
    <w:rsid w:val="00846A44"/>
    <w:rsid w:val="008524E3"/>
    <w:rsid w:val="00854467"/>
    <w:rsid w:val="008552E7"/>
    <w:rsid w:val="00855A61"/>
    <w:rsid w:val="00856209"/>
    <w:rsid w:val="008563C1"/>
    <w:rsid w:val="00856C2A"/>
    <w:rsid w:val="0085709D"/>
    <w:rsid w:val="00857BE3"/>
    <w:rsid w:val="00857C13"/>
    <w:rsid w:val="0086261E"/>
    <w:rsid w:val="0086338B"/>
    <w:rsid w:val="00864350"/>
    <w:rsid w:val="00864D58"/>
    <w:rsid w:val="00865D55"/>
    <w:rsid w:val="00867103"/>
    <w:rsid w:val="00867334"/>
    <w:rsid w:val="00870137"/>
    <w:rsid w:val="008712FD"/>
    <w:rsid w:val="0087146C"/>
    <w:rsid w:val="008717D9"/>
    <w:rsid w:val="00871A12"/>
    <w:rsid w:val="00871CD6"/>
    <w:rsid w:val="00872B55"/>
    <w:rsid w:val="008740CA"/>
    <w:rsid w:val="0087569B"/>
    <w:rsid w:val="00875E52"/>
    <w:rsid w:val="00876712"/>
    <w:rsid w:val="0087674B"/>
    <w:rsid w:val="00876CBE"/>
    <w:rsid w:val="00876EBE"/>
    <w:rsid w:val="008779B2"/>
    <w:rsid w:val="008809A4"/>
    <w:rsid w:val="008813D7"/>
    <w:rsid w:val="00881485"/>
    <w:rsid w:val="0088154A"/>
    <w:rsid w:val="00881B0C"/>
    <w:rsid w:val="00884964"/>
    <w:rsid w:val="008849BE"/>
    <w:rsid w:val="0088514B"/>
    <w:rsid w:val="0088519B"/>
    <w:rsid w:val="00885A76"/>
    <w:rsid w:val="00885E69"/>
    <w:rsid w:val="008864F3"/>
    <w:rsid w:val="00887616"/>
    <w:rsid w:val="00887D19"/>
    <w:rsid w:val="00890414"/>
    <w:rsid w:val="008948AF"/>
    <w:rsid w:val="008951AB"/>
    <w:rsid w:val="008952DF"/>
    <w:rsid w:val="00895A70"/>
    <w:rsid w:val="008974C0"/>
    <w:rsid w:val="008A072A"/>
    <w:rsid w:val="008A0973"/>
    <w:rsid w:val="008A0F17"/>
    <w:rsid w:val="008A1223"/>
    <w:rsid w:val="008A14AF"/>
    <w:rsid w:val="008A172F"/>
    <w:rsid w:val="008A1E16"/>
    <w:rsid w:val="008A36D4"/>
    <w:rsid w:val="008A3733"/>
    <w:rsid w:val="008A420B"/>
    <w:rsid w:val="008A42FB"/>
    <w:rsid w:val="008A4788"/>
    <w:rsid w:val="008A499F"/>
    <w:rsid w:val="008A5E0B"/>
    <w:rsid w:val="008A5E7F"/>
    <w:rsid w:val="008A6622"/>
    <w:rsid w:val="008A7FED"/>
    <w:rsid w:val="008B01D4"/>
    <w:rsid w:val="008B0F4E"/>
    <w:rsid w:val="008B2340"/>
    <w:rsid w:val="008B2758"/>
    <w:rsid w:val="008B2E2F"/>
    <w:rsid w:val="008B2F4D"/>
    <w:rsid w:val="008B371E"/>
    <w:rsid w:val="008B455D"/>
    <w:rsid w:val="008B5631"/>
    <w:rsid w:val="008B5669"/>
    <w:rsid w:val="008B5B81"/>
    <w:rsid w:val="008B5FEB"/>
    <w:rsid w:val="008B7F4E"/>
    <w:rsid w:val="008C0F2B"/>
    <w:rsid w:val="008C0FAC"/>
    <w:rsid w:val="008C12CF"/>
    <w:rsid w:val="008C379C"/>
    <w:rsid w:val="008C3DCB"/>
    <w:rsid w:val="008C4726"/>
    <w:rsid w:val="008C4D15"/>
    <w:rsid w:val="008C4E6D"/>
    <w:rsid w:val="008C527E"/>
    <w:rsid w:val="008C58BE"/>
    <w:rsid w:val="008C58E7"/>
    <w:rsid w:val="008C63D9"/>
    <w:rsid w:val="008C75DE"/>
    <w:rsid w:val="008D06AB"/>
    <w:rsid w:val="008D0A03"/>
    <w:rsid w:val="008D49DB"/>
    <w:rsid w:val="008D4F82"/>
    <w:rsid w:val="008D536C"/>
    <w:rsid w:val="008D54CD"/>
    <w:rsid w:val="008D56BB"/>
    <w:rsid w:val="008D7019"/>
    <w:rsid w:val="008D71DA"/>
    <w:rsid w:val="008E19E7"/>
    <w:rsid w:val="008E32FF"/>
    <w:rsid w:val="008E53A2"/>
    <w:rsid w:val="008E57E6"/>
    <w:rsid w:val="008E7CCE"/>
    <w:rsid w:val="008F13E7"/>
    <w:rsid w:val="008F2D43"/>
    <w:rsid w:val="008F3C5A"/>
    <w:rsid w:val="008F499D"/>
    <w:rsid w:val="008F4DB8"/>
    <w:rsid w:val="008F566A"/>
    <w:rsid w:val="008F72BE"/>
    <w:rsid w:val="008F76B7"/>
    <w:rsid w:val="009002A3"/>
    <w:rsid w:val="009010CD"/>
    <w:rsid w:val="009015DB"/>
    <w:rsid w:val="0090180B"/>
    <w:rsid w:val="009026AF"/>
    <w:rsid w:val="0090274D"/>
    <w:rsid w:val="00903FA3"/>
    <w:rsid w:val="00904A84"/>
    <w:rsid w:val="00904E09"/>
    <w:rsid w:val="00905C80"/>
    <w:rsid w:val="009109C0"/>
    <w:rsid w:val="00911286"/>
    <w:rsid w:val="0091151D"/>
    <w:rsid w:val="00912188"/>
    <w:rsid w:val="009147CD"/>
    <w:rsid w:val="009148C8"/>
    <w:rsid w:val="00914B2B"/>
    <w:rsid w:val="00914DF8"/>
    <w:rsid w:val="00915593"/>
    <w:rsid w:val="00916A59"/>
    <w:rsid w:val="00917699"/>
    <w:rsid w:val="00917EEC"/>
    <w:rsid w:val="009200F2"/>
    <w:rsid w:val="00920FAA"/>
    <w:rsid w:val="00922001"/>
    <w:rsid w:val="009221F4"/>
    <w:rsid w:val="00922205"/>
    <w:rsid w:val="009229AC"/>
    <w:rsid w:val="00924F07"/>
    <w:rsid w:val="00925BD5"/>
    <w:rsid w:val="00927167"/>
    <w:rsid w:val="00930517"/>
    <w:rsid w:val="0093090C"/>
    <w:rsid w:val="00930DA7"/>
    <w:rsid w:val="0093114A"/>
    <w:rsid w:val="00931A3C"/>
    <w:rsid w:val="00931A67"/>
    <w:rsid w:val="00931AA9"/>
    <w:rsid w:val="00931C36"/>
    <w:rsid w:val="009327F1"/>
    <w:rsid w:val="00932D3F"/>
    <w:rsid w:val="00934034"/>
    <w:rsid w:val="00934104"/>
    <w:rsid w:val="00935CD8"/>
    <w:rsid w:val="009373C5"/>
    <w:rsid w:val="00940B36"/>
    <w:rsid w:val="00941824"/>
    <w:rsid w:val="00942443"/>
    <w:rsid w:val="00942A9C"/>
    <w:rsid w:val="00943777"/>
    <w:rsid w:val="0094401E"/>
    <w:rsid w:val="009458ED"/>
    <w:rsid w:val="0095064E"/>
    <w:rsid w:val="0095170A"/>
    <w:rsid w:val="00951EF4"/>
    <w:rsid w:val="0095279E"/>
    <w:rsid w:val="00952FC5"/>
    <w:rsid w:val="00955060"/>
    <w:rsid w:val="00957CC0"/>
    <w:rsid w:val="009603B6"/>
    <w:rsid w:val="009619CE"/>
    <w:rsid w:val="00961DA7"/>
    <w:rsid w:val="009632B1"/>
    <w:rsid w:val="0096340F"/>
    <w:rsid w:val="00964819"/>
    <w:rsid w:val="009651D9"/>
    <w:rsid w:val="00966592"/>
    <w:rsid w:val="00966DC7"/>
    <w:rsid w:val="00967379"/>
    <w:rsid w:val="0096745C"/>
    <w:rsid w:val="009679A9"/>
    <w:rsid w:val="0097130A"/>
    <w:rsid w:val="00972D6C"/>
    <w:rsid w:val="009731E3"/>
    <w:rsid w:val="00973A70"/>
    <w:rsid w:val="00974AE7"/>
    <w:rsid w:val="009759B6"/>
    <w:rsid w:val="0097647C"/>
    <w:rsid w:val="00976641"/>
    <w:rsid w:val="00976EAC"/>
    <w:rsid w:val="009772D5"/>
    <w:rsid w:val="00980C58"/>
    <w:rsid w:val="00981BD7"/>
    <w:rsid w:val="009821F0"/>
    <w:rsid w:val="00983728"/>
    <w:rsid w:val="00983BD3"/>
    <w:rsid w:val="00984BA1"/>
    <w:rsid w:val="00984E2A"/>
    <w:rsid w:val="00985F66"/>
    <w:rsid w:val="00987AC7"/>
    <w:rsid w:val="00987F02"/>
    <w:rsid w:val="00990802"/>
    <w:rsid w:val="00991092"/>
    <w:rsid w:val="00991839"/>
    <w:rsid w:val="009931ED"/>
    <w:rsid w:val="00994133"/>
    <w:rsid w:val="0099665E"/>
    <w:rsid w:val="00996797"/>
    <w:rsid w:val="0099708F"/>
    <w:rsid w:val="00997BA7"/>
    <w:rsid w:val="009A07A7"/>
    <w:rsid w:val="009A173C"/>
    <w:rsid w:val="009A1799"/>
    <w:rsid w:val="009A18C0"/>
    <w:rsid w:val="009A1D89"/>
    <w:rsid w:val="009A2738"/>
    <w:rsid w:val="009A4A85"/>
    <w:rsid w:val="009A5205"/>
    <w:rsid w:val="009A5B79"/>
    <w:rsid w:val="009A6E57"/>
    <w:rsid w:val="009A6EF2"/>
    <w:rsid w:val="009B0957"/>
    <w:rsid w:val="009B1110"/>
    <w:rsid w:val="009B2B99"/>
    <w:rsid w:val="009B2C78"/>
    <w:rsid w:val="009B2D3E"/>
    <w:rsid w:val="009B3661"/>
    <w:rsid w:val="009B38EF"/>
    <w:rsid w:val="009B3F18"/>
    <w:rsid w:val="009B3F97"/>
    <w:rsid w:val="009B409F"/>
    <w:rsid w:val="009B5C4A"/>
    <w:rsid w:val="009B678D"/>
    <w:rsid w:val="009B6A0E"/>
    <w:rsid w:val="009C0648"/>
    <w:rsid w:val="009C07A3"/>
    <w:rsid w:val="009C1653"/>
    <w:rsid w:val="009C5120"/>
    <w:rsid w:val="009C5B71"/>
    <w:rsid w:val="009D0A2A"/>
    <w:rsid w:val="009D1B33"/>
    <w:rsid w:val="009D2334"/>
    <w:rsid w:val="009D3E84"/>
    <w:rsid w:val="009D3EFB"/>
    <w:rsid w:val="009D3F21"/>
    <w:rsid w:val="009D5C9F"/>
    <w:rsid w:val="009D63D4"/>
    <w:rsid w:val="009D71B1"/>
    <w:rsid w:val="009D7574"/>
    <w:rsid w:val="009D7894"/>
    <w:rsid w:val="009E11AE"/>
    <w:rsid w:val="009E1201"/>
    <w:rsid w:val="009E1F44"/>
    <w:rsid w:val="009E33C7"/>
    <w:rsid w:val="009E5178"/>
    <w:rsid w:val="009E78FC"/>
    <w:rsid w:val="009E7F1A"/>
    <w:rsid w:val="009E7FAC"/>
    <w:rsid w:val="009E7FFE"/>
    <w:rsid w:val="009F02E5"/>
    <w:rsid w:val="009F1160"/>
    <w:rsid w:val="009F383B"/>
    <w:rsid w:val="009F43FC"/>
    <w:rsid w:val="009F4FA7"/>
    <w:rsid w:val="009F50E4"/>
    <w:rsid w:val="009F5E4C"/>
    <w:rsid w:val="009F6C4B"/>
    <w:rsid w:val="00A007C4"/>
    <w:rsid w:val="00A013AA"/>
    <w:rsid w:val="00A03603"/>
    <w:rsid w:val="00A0391B"/>
    <w:rsid w:val="00A04794"/>
    <w:rsid w:val="00A064AB"/>
    <w:rsid w:val="00A074D5"/>
    <w:rsid w:val="00A07BAE"/>
    <w:rsid w:val="00A11D28"/>
    <w:rsid w:val="00A121BB"/>
    <w:rsid w:val="00A12B78"/>
    <w:rsid w:val="00A1427E"/>
    <w:rsid w:val="00A142BF"/>
    <w:rsid w:val="00A15FFA"/>
    <w:rsid w:val="00A17350"/>
    <w:rsid w:val="00A17F13"/>
    <w:rsid w:val="00A20118"/>
    <w:rsid w:val="00A20387"/>
    <w:rsid w:val="00A2239E"/>
    <w:rsid w:val="00A23413"/>
    <w:rsid w:val="00A23BAC"/>
    <w:rsid w:val="00A24292"/>
    <w:rsid w:val="00A254C8"/>
    <w:rsid w:val="00A259A5"/>
    <w:rsid w:val="00A25FC2"/>
    <w:rsid w:val="00A2660B"/>
    <w:rsid w:val="00A32B65"/>
    <w:rsid w:val="00A33071"/>
    <w:rsid w:val="00A3501B"/>
    <w:rsid w:val="00A35E58"/>
    <w:rsid w:val="00A36059"/>
    <w:rsid w:val="00A36202"/>
    <w:rsid w:val="00A36420"/>
    <w:rsid w:val="00A366AC"/>
    <w:rsid w:val="00A378DF"/>
    <w:rsid w:val="00A3799A"/>
    <w:rsid w:val="00A40B30"/>
    <w:rsid w:val="00A42852"/>
    <w:rsid w:val="00A42AF1"/>
    <w:rsid w:val="00A42BDE"/>
    <w:rsid w:val="00A42D97"/>
    <w:rsid w:val="00A443F5"/>
    <w:rsid w:val="00A4481A"/>
    <w:rsid w:val="00A44ECE"/>
    <w:rsid w:val="00A4500E"/>
    <w:rsid w:val="00A45EFF"/>
    <w:rsid w:val="00A462CE"/>
    <w:rsid w:val="00A477FC"/>
    <w:rsid w:val="00A47FE9"/>
    <w:rsid w:val="00A50D22"/>
    <w:rsid w:val="00A523D1"/>
    <w:rsid w:val="00A52F26"/>
    <w:rsid w:val="00A5307B"/>
    <w:rsid w:val="00A533C6"/>
    <w:rsid w:val="00A53A17"/>
    <w:rsid w:val="00A558B0"/>
    <w:rsid w:val="00A56296"/>
    <w:rsid w:val="00A578B6"/>
    <w:rsid w:val="00A61546"/>
    <w:rsid w:val="00A6215F"/>
    <w:rsid w:val="00A6326E"/>
    <w:rsid w:val="00A63966"/>
    <w:rsid w:val="00A65E29"/>
    <w:rsid w:val="00A6628E"/>
    <w:rsid w:val="00A67692"/>
    <w:rsid w:val="00A67694"/>
    <w:rsid w:val="00A67725"/>
    <w:rsid w:val="00A70405"/>
    <w:rsid w:val="00A709E9"/>
    <w:rsid w:val="00A70EBB"/>
    <w:rsid w:val="00A70F4C"/>
    <w:rsid w:val="00A71CE0"/>
    <w:rsid w:val="00A7448C"/>
    <w:rsid w:val="00A753B4"/>
    <w:rsid w:val="00A771CD"/>
    <w:rsid w:val="00A77EBF"/>
    <w:rsid w:val="00A82156"/>
    <w:rsid w:val="00A825D8"/>
    <w:rsid w:val="00A82B49"/>
    <w:rsid w:val="00A851B3"/>
    <w:rsid w:val="00A858EA"/>
    <w:rsid w:val="00A863D5"/>
    <w:rsid w:val="00A8660F"/>
    <w:rsid w:val="00A90F03"/>
    <w:rsid w:val="00A92617"/>
    <w:rsid w:val="00A9315F"/>
    <w:rsid w:val="00A93922"/>
    <w:rsid w:val="00A93D4B"/>
    <w:rsid w:val="00A93EC4"/>
    <w:rsid w:val="00A94362"/>
    <w:rsid w:val="00A94F38"/>
    <w:rsid w:val="00A9511C"/>
    <w:rsid w:val="00A95183"/>
    <w:rsid w:val="00AA0767"/>
    <w:rsid w:val="00AA11CE"/>
    <w:rsid w:val="00AA1EA0"/>
    <w:rsid w:val="00AA417E"/>
    <w:rsid w:val="00AA4198"/>
    <w:rsid w:val="00AA4AA4"/>
    <w:rsid w:val="00AA54A2"/>
    <w:rsid w:val="00AA5787"/>
    <w:rsid w:val="00AA5D46"/>
    <w:rsid w:val="00AA5F97"/>
    <w:rsid w:val="00AA601A"/>
    <w:rsid w:val="00AA6475"/>
    <w:rsid w:val="00AA79D6"/>
    <w:rsid w:val="00AA7BE6"/>
    <w:rsid w:val="00AB03D7"/>
    <w:rsid w:val="00AB09C1"/>
    <w:rsid w:val="00AB2686"/>
    <w:rsid w:val="00AB2F51"/>
    <w:rsid w:val="00AB3042"/>
    <w:rsid w:val="00AB3E62"/>
    <w:rsid w:val="00AB421F"/>
    <w:rsid w:val="00AB4B70"/>
    <w:rsid w:val="00AB7116"/>
    <w:rsid w:val="00AC087C"/>
    <w:rsid w:val="00AC1B07"/>
    <w:rsid w:val="00AC242B"/>
    <w:rsid w:val="00AC2934"/>
    <w:rsid w:val="00AC3190"/>
    <w:rsid w:val="00AC3819"/>
    <w:rsid w:val="00AC3FC1"/>
    <w:rsid w:val="00AC5742"/>
    <w:rsid w:val="00AC6579"/>
    <w:rsid w:val="00AC6A64"/>
    <w:rsid w:val="00AC6FC1"/>
    <w:rsid w:val="00AC7C97"/>
    <w:rsid w:val="00AD339E"/>
    <w:rsid w:val="00AD50E2"/>
    <w:rsid w:val="00AD6110"/>
    <w:rsid w:val="00AD63A6"/>
    <w:rsid w:val="00AD66EA"/>
    <w:rsid w:val="00AE0F33"/>
    <w:rsid w:val="00AE1225"/>
    <w:rsid w:val="00AE4F49"/>
    <w:rsid w:val="00AE5630"/>
    <w:rsid w:val="00AE62BA"/>
    <w:rsid w:val="00AE6488"/>
    <w:rsid w:val="00AE77D5"/>
    <w:rsid w:val="00AF1386"/>
    <w:rsid w:val="00AF1536"/>
    <w:rsid w:val="00AF2003"/>
    <w:rsid w:val="00AF2B23"/>
    <w:rsid w:val="00AF4A61"/>
    <w:rsid w:val="00AF6559"/>
    <w:rsid w:val="00AF74EF"/>
    <w:rsid w:val="00B00D0C"/>
    <w:rsid w:val="00B00F3E"/>
    <w:rsid w:val="00B03634"/>
    <w:rsid w:val="00B03E88"/>
    <w:rsid w:val="00B04F27"/>
    <w:rsid w:val="00B07F7C"/>
    <w:rsid w:val="00B108A2"/>
    <w:rsid w:val="00B1278F"/>
    <w:rsid w:val="00B1398A"/>
    <w:rsid w:val="00B14623"/>
    <w:rsid w:val="00B14A0B"/>
    <w:rsid w:val="00B14A49"/>
    <w:rsid w:val="00B16102"/>
    <w:rsid w:val="00B172C5"/>
    <w:rsid w:val="00B20A0D"/>
    <w:rsid w:val="00B21855"/>
    <w:rsid w:val="00B22864"/>
    <w:rsid w:val="00B23C25"/>
    <w:rsid w:val="00B2540E"/>
    <w:rsid w:val="00B25469"/>
    <w:rsid w:val="00B259E7"/>
    <w:rsid w:val="00B25D43"/>
    <w:rsid w:val="00B25F0A"/>
    <w:rsid w:val="00B27E00"/>
    <w:rsid w:val="00B27F75"/>
    <w:rsid w:val="00B30A91"/>
    <w:rsid w:val="00B32B2A"/>
    <w:rsid w:val="00B33DC0"/>
    <w:rsid w:val="00B342CA"/>
    <w:rsid w:val="00B35569"/>
    <w:rsid w:val="00B355BD"/>
    <w:rsid w:val="00B404FA"/>
    <w:rsid w:val="00B40E1D"/>
    <w:rsid w:val="00B41A4E"/>
    <w:rsid w:val="00B41EBE"/>
    <w:rsid w:val="00B4337C"/>
    <w:rsid w:val="00B43BBA"/>
    <w:rsid w:val="00B462E6"/>
    <w:rsid w:val="00B46DCD"/>
    <w:rsid w:val="00B4732F"/>
    <w:rsid w:val="00B4782D"/>
    <w:rsid w:val="00B509A4"/>
    <w:rsid w:val="00B50B49"/>
    <w:rsid w:val="00B50CC6"/>
    <w:rsid w:val="00B517C5"/>
    <w:rsid w:val="00B51933"/>
    <w:rsid w:val="00B51BE6"/>
    <w:rsid w:val="00B51DDB"/>
    <w:rsid w:val="00B52568"/>
    <w:rsid w:val="00B52CEA"/>
    <w:rsid w:val="00B53F61"/>
    <w:rsid w:val="00B55CE2"/>
    <w:rsid w:val="00B57F55"/>
    <w:rsid w:val="00B615E3"/>
    <w:rsid w:val="00B629F2"/>
    <w:rsid w:val="00B632E1"/>
    <w:rsid w:val="00B633C6"/>
    <w:rsid w:val="00B63D0C"/>
    <w:rsid w:val="00B63EBD"/>
    <w:rsid w:val="00B656B1"/>
    <w:rsid w:val="00B714BE"/>
    <w:rsid w:val="00B73B6C"/>
    <w:rsid w:val="00B75912"/>
    <w:rsid w:val="00B75B47"/>
    <w:rsid w:val="00B75FD2"/>
    <w:rsid w:val="00B76555"/>
    <w:rsid w:val="00B76741"/>
    <w:rsid w:val="00B77343"/>
    <w:rsid w:val="00B77BB4"/>
    <w:rsid w:val="00B8149D"/>
    <w:rsid w:val="00B817B5"/>
    <w:rsid w:val="00B81C41"/>
    <w:rsid w:val="00B83E4D"/>
    <w:rsid w:val="00B8432F"/>
    <w:rsid w:val="00B84A96"/>
    <w:rsid w:val="00B85664"/>
    <w:rsid w:val="00B8566D"/>
    <w:rsid w:val="00B86F39"/>
    <w:rsid w:val="00B87103"/>
    <w:rsid w:val="00B90ADB"/>
    <w:rsid w:val="00B90FE0"/>
    <w:rsid w:val="00B91CAB"/>
    <w:rsid w:val="00B92E5B"/>
    <w:rsid w:val="00B931CC"/>
    <w:rsid w:val="00B939AD"/>
    <w:rsid w:val="00B94FCF"/>
    <w:rsid w:val="00B95059"/>
    <w:rsid w:val="00B95405"/>
    <w:rsid w:val="00B978A6"/>
    <w:rsid w:val="00B97B4E"/>
    <w:rsid w:val="00B97BA8"/>
    <w:rsid w:val="00B97CB5"/>
    <w:rsid w:val="00BA003F"/>
    <w:rsid w:val="00BA10BC"/>
    <w:rsid w:val="00BA1B08"/>
    <w:rsid w:val="00BA4F5E"/>
    <w:rsid w:val="00BA5212"/>
    <w:rsid w:val="00BA6279"/>
    <w:rsid w:val="00BA63B8"/>
    <w:rsid w:val="00BA6A3F"/>
    <w:rsid w:val="00BA7631"/>
    <w:rsid w:val="00BB12D0"/>
    <w:rsid w:val="00BB13B3"/>
    <w:rsid w:val="00BB15CB"/>
    <w:rsid w:val="00BB41F9"/>
    <w:rsid w:val="00BB4A66"/>
    <w:rsid w:val="00BB5B9E"/>
    <w:rsid w:val="00BB7F47"/>
    <w:rsid w:val="00BB7F63"/>
    <w:rsid w:val="00BC1312"/>
    <w:rsid w:val="00BC18E8"/>
    <w:rsid w:val="00BC1B32"/>
    <w:rsid w:val="00BC1B66"/>
    <w:rsid w:val="00BC1E86"/>
    <w:rsid w:val="00BC23AF"/>
    <w:rsid w:val="00BC3655"/>
    <w:rsid w:val="00BC3E56"/>
    <w:rsid w:val="00BC5242"/>
    <w:rsid w:val="00BC7557"/>
    <w:rsid w:val="00BD0DE8"/>
    <w:rsid w:val="00BD1B12"/>
    <w:rsid w:val="00BD2FEA"/>
    <w:rsid w:val="00BD4E07"/>
    <w:rsid w:val="00BD560B"/>
    <w:rsid w:val="00BD67A4"/>
    <w:rsid w:val="00BD7FB8"/>
    <w:rsid w:val="00BE1D3D"/>
    <w:rsid w:val="00BE24DA"/>
    <w:rsid w:val="00BE3565"/>
    <w:rsid w:val="00BE6216"/>
    <w:rsid w:val="00BE6A83"/>
    <w:rsid w:val="00BE7F05"/>
    <w:rsid w:val="00BF1181"/>
    <w:rsid w:val="00BF23FB"/>
    <w:rsid w:val="00BF2927"/>
    <w:rsid w:val="00BF40DB"/>
    <w:rsid w:val="00BF537C"/>
    <w:rsid w:val="00BF5CFD"/>
    <w:rsid w:val="00BF6E80"/>
    <w:rsid w:val="00BF76C3"/>
    <w:rsid w:val="00C01A3A"/>
    <w:rsid w:val="00C048C5"/>
    <w:rsid w:val="00C05115"/>
    <w:rsid w:val="00C05C8D"/>
    <w:rsid w:val="00C06650"/>
    <w:rsid w:val="00C070F3"/>
    <w:rsid w:val="00C10DBF"/>
    <w:rsid w:val="00C11147"/>
    <w:rsid w:val="00C12016"/>
    <w:rsid w:val="00C1260B"/>
    <w:rsid w:val="00C13F09"/>
    <w:rsid w:val="00C17371"/>
    <w:rsid w:val="00C176E9"/>
    <w:rsid w:val="00C17D45"/>
    <w:rsid w:val="00C210AF"/>
    <w:rsid w:val="00C2152E"/>
    <w:rsid w:val="00C239BD"/>
    <w:rsid w:val="00C251A0"/>
    <w:rsid w:val="00C2758C"/>
    <w:rsid w:val="00C30520"/>
    <w:rsid w:val="00C30AF8"/>
    <w:rsid w:val="00C3183C"/>
    <w:rsid w:val="00C32684"/>
    <w:rsid w:val="00C339DB"/>
    <w:rsid w:val="00C33A62"/>
    <w:rsid w:val="00C34BF2"/>
    <w:rsid w:val="00C34E82"/>
    <w:rsid w:val="00C3531D"/>
    <w:rsid w:val="00C3575F"/>
    <w:rsid w:val="00C36B0C"/>
    <w:rsid w:val="00C415CB"/>
    <w:rsid w:val="00C42BAF"/>
    <w:rsid w:val="00C4406C"/>
    <w:rsid w:val="00C44200"/>
    <w:rsid w:val="00C446FE"/>
    <w:rsid w:val="00C44DE1"/>
    <w:rsid w:val="00C45C3B"/>
    <w:rsid w:val="00C5247C"/>
    <w:rsid w:val="00C53DA7"/>
    <w:rsid w:val="00C55372"/>
    <w:rsid w:val="00C555D1"/>
    <w:rsid w:val="00C55C37"/>
    <w:rsid w:val="00C560A8"/>
    <w:rsid w:val="00C57BF2"/>
    <w:rsid w:val="00C6050A"/>
    <w:rsid w:val="00C62E9F"/>
    <w:rsid w:val="00C63AB8"/>
    <w:rsid w:val="00C63E6B"/>
    <w:rsid w:val="00C6456E"/>
    <w:rsid w:val="00C64A41"/>
    <w:rsid w:val="00C64A81"/>
    <w:rsid w:val="00C658EC"/>
    <w:rsid w:val="00C67644"/>
    <w:rsid w:val="00C677DD"/>
    <w:rsid w:val="00C67AD5"/>
    <w:rsid w:val="00C67F0A"/>
    <w:rsid w:val="00C67FBF"/>
    <w:rsid w:val="00C732E7"/>
    <w:rsid w:val="00C7459D"/>
    <w:rsid w:val="00C746CA"/>
    <w:rsid w:val="00C76316"/>
    <w:rsid w:val="00C76638"/>
    <w:rsid w:val="00C7757A"/>
    <w:rsid w:val="00C80228"/>
    <w:rsid w:val="00C802F0"/>
    <w:rsid w:val="00C80EA5"/>
    <w:rsid w:val="00C82AAB"/>
    <w:rsid w:val="00C84375"/>
    <w:rsid w:val="00C84F6A"/>
    <w:rsid w:val="00C86F86"/>
    <w:rsid w:val="00C87CFC"/>
    <w:rsid w:val="00C907FF"/>
    <w:rsid w:val="00C919EB"/>
    <w:rsid w:val="00C91E86"/>
    <w:rsid w:val="00C92A83"/>
    <w:rsid w:val="00C93140"/>
    <w:rsid w:val="00C94B64"/>
    <w:rsid w:val="00C94E3D"/>
    <w:rsid w:val="00C954A4"/>
    <w:rsid w:val="00C97E15"/>
    <w:rsid w:val="00CA01F7"/>
    <w:rsid w:val="00CA069A"/>
    <w:rsid w:val="00CA1140"/>
    <w:rsid w:val="00CA1505"/>
    <w:rsid w:val="00CA1BD0"/>
    <w:rsid w:val="00CA1BE7"/>
    <w:rsid w:val="00CA2588"/>
    <w:rsid w:val="00CA2CB6"/>
    <w:rsid w:val="00CA4390"/>
    <w:rsid w:val="00CA4A3D"/>
    <w:rsid w:val="00CA4AF1"/>
    <w:rsid w:val="00CA564E"/>
    <w:rsid w:val="00CA635B"/>
    <w:rsid w:val="00CA714C"/>
    <w:rsid w:val="00CB0653"/>
    <w:rsid w:val="00CB57BD"/>
    <w:rsid w:val="00CB57C2"/>
    <w:rsid w:val="00CB74D3"/>
    <w:rsid w:val="00CC1F53"/>
    <w:rsid w:val="00CC3518"/>
    <w:rsid w:val="00CC3D5A"/>
    <w:rsid w:val="00CC4C05"/>
    <w:rsid w:val="00CC515B"/>
    <w:rsid w:val="00CC5A5C"/>
    <w:rsid w:val="00CC6289"/>
    <w:rsid w:val="00CC6A08"/>
    <w:rsid w:val="00CC7025"/>
    <w:rsid w:val="00CD17AB"/>
    <w:rsid w:val="00CD3F07"/>
    <w:rsid w:val="00CD45AA"/>
    <w:rsid w:val="00CD5E26"/>
    <w:rsid w:val="00CD654A"/>
    <w:rsid w:val="00CD67F1"/>
    <w:rsid w:val="00CD6F8E"/>
    <w:rsid w:val="00CD709D"/>
    <w:rsid w:val="00CD723A"/>
    <w:rsid w:val="00CD7598"/>
    <w:rsid w:val="00CD7F51"/>
    <w:rsid w:val="00CE0543"/>
    <w:rsid w:val="00CE09C0"/>
    <w:rsid w:val="00CE0A25"/>
    <w:rsid w:val="00CE1558"/>
    <w:rsid w:val="00CE170D"/>
    <w:rsid w:val="00CE17D6"/>
    <w:rsid w:val="00CE3043"/>
    <w:rsid w:val="00CE3DC9"/>
    <w:rsid w:val="00CE6390"/>
    <w:rsid w:val="00CF11BF"/>
    <w:rsid w:val="00CF19E3"/>
    <w:rsid w:val="00CF1BDE"/>
    <w:rsid w:val="00CF237E"/>
    <w:rsid w:val="00CF35E3"/>
    <w:rsid w:val="00CF482B"/>
    <w:rsid w:val="00CF4B4E"/>
    <w:rsid w:val="00CF6A26"/>
    <w:rsid w:val="00CF6FF9"/>
    <w:rsid w:val="00D00231"/>
    <w:rsid w:val="00D057C9"/>
    <w:rsid w:val="00D05C73"/>
    <w:rsid w:val="00D06079"/>
    <w:rsid w:val="00D06A25"/>
    <w:rsid w:val="00D06F37"/>
    <w:rsid w:val="00D0751F"/>
    <w:rsid w:val="00D10486"/>
    <w:rsid w:val="00D114C1"/>
    <w:rsid w:val="00D11D30"/>
    <w:rsid w:val="00D11D34"/>
    <w:rsid w:val="00D12EA1"/>
    <w:rsid w:val="00D13314"/>
    <w:rsid w:val="00D13D62"/>
    <w:rsid w:val="00D14726"/>
    <w:rsid w:val="00D1536C"/>
    <w:rsid w:val="00D1574D"/>
    <w:rsid w:val="00D15883"/>
    <w:rsid w:val="00D160F4"/>
    <w:rsid w:val="00D2006B"/>
    <w:rsid w:val="00D200EA"/>
    <w:rsid w:val="00D2335F"/>
    <w:rsid w:val="00D23947"/>
    <w:rsid w:val="00D23B06"/>
    <w:rsid w:val="00D26EFA"/>
    <w:rsid w:val="00D27012"/>
    <w:rsid w:val="00D2712E"/>
    <w:rsid w:val="00D27222"/>
    <w:rsid w:val="00D2724E"/>
    <w:rsid w:val="00D278DF"/>
    <w:rsid w:val="00D27C67"/>
    <w:rsid w:val="00D27EDD"/>
    <w:rsid w:val="00D30379"/>
    <w:rsid w:val="00D316C9"/>
    <w:rsid w:val="00D31702"/>
    <w:rsid w:val="00D32D80"/>
    <w:rsid w:val="00D33ACA"/>
    <w:rsid w:val="00D33F62"/>
    <w:rsid w:val="00D34A8E"/>
    <w:rsid w:val="00D34FD3"/>
    <w:rsid w:val="00D35045"/>
    <w:rsid w:val="00D378E7"/>
    <w:rsid w:val="00D37D57"/>
    <w:rsid w:val="00D40116"/>
    <w:rsid w:val="00D40F8C"/>
    <w:rsid w:val="00D425BE"/>
    <w:rsid w:val="00D429A6"/>
    <w:rsid w:val="00D42BD7"/>
    <w:rsid w:val="00D44E56"/>
    <w:rsid w:val="00D5049D"/>
    <w:rsid w:val="00D507C4"/>
    <w:rsid w:val="00D52AE9"/>
    <w:rsid w:val="00D52B6F"/>
    <w:rsid w:val="00D53AD1"/>
    <w:rsid w:val="00D54FA3"/>
    <w:rsid w:val="00D55F12"/>
    <w:rsid w:val="00D567C2"/>
    <w:rsid w:val="00D56E3A"/>
    <w:rsid w:val="00D56F43"/>
    <w:rsid w:val="00D57E56"/>
    <w:rsid w:val="00D60100"/>
    <w:rsid w:val="00D6076F"/>
    <w:rsid w:val="00D60A0E"/>
    <w:rsid w:val="00D6115F"/>
    <w:rsid w:val="00D61233"/>
    <w:rsid w:val="00D61431"/>
    <w:rsid w:val="00D62E51"/>
    <w:rsid w:val="00D6334A"/>
    <w:rsid w:val="00D63D48"/>
    <w:rsid w:val="00D644C0"/>
    <w:rsid w:val="00D66AD7"/>
    <w:rsid w:val="00D670F9"/>
    <w:rsid w:val="00D672DF"/>
    <w:rsid w:val="00D700C5"/>
    <w:rsid w:val="00D71B82"/>
    <w:rsid w:val="00D729FA"/>
    <w:rsid w:val="00D73DD4"/>
    <w:rsid w:val="00D7423D"/>
    <w:rsid w:val="00D745FC"/>
    <w:rsid w:val="00D7551C"/>
    <w:rsid w:val="00D8026F"/>
    <w:rsid w:val="00D8080B"/>
    <w:rsid w:val="00D80EB0"/>
    <w:rsid w:val="00D81BCB"/>
    <w:rsid w:val="00D848F2"/>
    <w:rsid w:val="00D84EAE"/>
    <w:rsid w:val="00D86CA6"/>
    <w:rsid w:val="00D90798"/>
    <w:rsid w:val="00D936D2"/>
    <w:rsid w:val="00D94DD6"/>
    <w:rsid w:val="00D94E5F"/>
    <w:rsid w:val="00D968E2"/>
    <w:rsid w:val="00D96D6A"/>
    <w:rsid w:val="00DA0541"/>
    <w:rsid w:val="00DA1AE7"/>
    <w:rsid w:val="00DA1F04"/>
    <w:rsid w:val="00DA26E9"/>
    <w:rsid w:val="00DA2E0B"/>
    <w:rsid w:val="00DA4775"/>
    <w:rsid w:val="00DA49EC"/>
    <w:rsid w:val="00DA7245"/>
    <w:rsid w:val="00DA7E93"/>
    <w:rsid w:val="00DB3B43"/>
    <w:rsid w:val="00DB4E1E"/>
    <w:rsid w:val="00DB4EDD"/>
    <w:rsid w:val="00DC0597"/>
    <w:rsid w:val="00DC340E"/>
    <w:rsid w:val="00DC4067"/>
    <w:rsid w:val="00DC4908"/>
    <w:rsid w:val="00DC6667"/>
    <w:rsid w:val="00DC672C"/>
    <w:rsid w:val="00DC7792"/>
    <w:rsid w:val="00DD0DB1"/>
    <w:rsid w:val="00DD2377"/>
    <w:rsid w:val="00DD399D"/>
    <w:rsid w:val="00DD45A4"/>
    <w:rsid w:val="00DD4D6C"/>
    <w:rsid w:val="00DD6088"/>
    <w:rsid w:val="00DD7592"/>
    <w:rsid w:val="00DD7DD2"/>
    <w:rsid w:val="00DD7E8C"/>
    <w:rsid w:val="00DE0BD4"/>
    <w:rsid w:val="00DE2217"/>
    <w:rsid w:val="00DE330E"/>
    <w:rsid w:val="00DE480F"/>
    <w:rsid w:val="00DE4ED0"/>
    <w:rsid w:val="00DE5C23"/>
    <w:rsid w:val="00DE79B2"/>
    <w:rsid w:val="00DF0BCC"/>
    <w:rsid w:val="00DF0C0A"/>
    <w:rsid w:val="00DF133D"/>
    <w:rsid w:val="00DF14F4"/>
    <w:rsid w:val="00DF1708"/>
    <w:rsid w:val="00DF1FE9"/>
    <w:rsid w:val="00DF27D7"/>
    <w:rsid w:val="00DF29E3"/>
    <w:rsid w:val="00DF4417"/>
    <w:rsid w:val="00DF487B"/>
    <w:rsid w:val="00DF5562"/>
    <w:rsid w:val="00DF6518"/>
    <w:rsid w:val="00DF66D6"/>
    <w:rsid w:val="00DF78C1"/>
    <w:rsid w:val="00E00165"/>
    <w:rsid w:val="00E0326E"/>
    <w:rsid w:val="00E0350A"/>
    <w:rsid w:val="00E06487"/>
    <w:rsid w:val="00E101CF"/>
    <w:rsid w:val="00E11849"/>
    <w:rsid w:val="00E127E9"/>
    <w:rsid w:val="00E13B1E"/>
    <w:rsid w:val="00E1597B"/>
    <w:rsid w:val="00E16A46"/>
    <w:rsid w:val="00E17876"/>
    <w:rsid w:val="00E17974"/>
    <w:rsid w:val="00E17C88"/>
    <w:rsid w:val="00E21264"/>
    <w:rsid w:val="00E2134F"/>
    <w:rsid w:val="00E217AC"/>
    <w:rsid w:val="00E21923"/>
    <w:rsid w:val="00E21B77"/>
    <w:rsid w:val="00E22AB5"/>
    <w:rsid w:val="00E24CA4"/>
    <w:rsid w:val="00E24D64"/>
    <w:rsid w:val="00E26DB1"/>
    <w:rsid w:val="00E2760C"/>
    <w:rsid w:val="00E2761C"/>
    <w:rsid w:val="00E30D5B"/>
    <w:rsid w:val="00E30F77"/>
    <w:rsid w:val="00E32C42"/>
    <w:rsid w:val="00E3300F"/>
    <w:rsid w:val="00E35CC5"/>
    <w:rsid w:val="00E42132"/>
    <w:rsid w:val="00E4417D"/>
    <w:rsid w:val="00E45B49"/>
    <w:rsid w:val="00E45D98"/>
    <w:rsid w:val="00E465B3"/>
    <w:rsid w:val="00E47716"/>
    <w:rsid w:val="00E50F7B"/>
    <w:rsid w:val="00E51CD6"/>
    <w:rsid w:val="00E51DAE"/>
    <w:rsid w:val="00E52BC1"/>
    <w:rsid w:val="00E551F7"/>
    <w:rsid w:val="00E560A3"/>
    <w:rsid w:val="00E5610E"/>
    <w:rsid w:val="00E5729D"/>
    <w:rsid w:val="00E60001"/>
    <w:rsid w:val="00E605A1"/>
    <w:rsid w:val="00E62935"/>
    <w:rsid w:val="00E63100"/>
    <w:rsid w:val="00E64CB2"/>
    <w:rsid w:val="00E6520C"/>
    <w:rsid w:val="00E6581A"/>
    <w:rsid w:val="00E6588F"/>
    <w:rsid w:val="00E660AF"/>
    <w:rsid w:val="00E66AF9"/>
    <w:rsid w:val="00E7010F"/>
    <w:rsid w:val="00E70575"/>
    <w:rsid w:val="00E70928"/>
    <w:rsid w:val="00E73197"/>
    <w:rsid w:val="00E73E0C"/>
    <w:rsid w:val="00E762F2"/>
    <w:rsid w:val="00E76E8D"/>
    <w:rsid w:val="00E77D99"/>
    <w:rsid w:val="00E8056C"/>
    <w:rsid w:val="00E8067A"/>
    <w:rsid w:val="00E806F5"/>
    <w:rsid w:val="00E81A91"/>
    <w:rsid w:val="00E81D50"/>
    <w:rsid w:val="00E82608"/>
    <w:rsid w:val="00E829FC"/>
    <w:rsid w:val="00E842DB"/>
    <w:rsid w:val="00E8460B"/>
    <w:rsid w:val="00E868B3"/>
    <w:rsid w:val="00E86FB0"/>
    <w:rsid w:val="00E87F02"/>
    <w:rsid w:val="00E90F52"/>
    <w:rsid w:val="00E913B4"/>
    <w:rsid w:val="00E93C3F"/>
    <w:rsid w:val="00E953F7"/>
    <w:rsid w:val="00E9558F"/>
    <w:rsid w:val="00E95D4B"/>
    <w:rsid w:val="00E963DB"/>
    <w:rsid w:val="00E9707E"/>
    <w:rsid w:val="00E97314"/>
    <w:rsid w:val="00EA0247"/>
    <w:rsid w:val="00EA054C"/>
    <w:rsid w:val="00EA096D"/>
    <w:rsid w:val="00EA0E17"/>
    <w:rsid w:val="00EA16D8"/>
    <w:rsid w:val="00EA25A5"/>
    <w:rsid w:val="00EA2E5F"/>
    <w:rsid w:val="00EA7312"/>
    <w:rsid w:val="00EB03DD"/>
    <w:rsid w:val="00EB1326"/>
    <w:rsid w:val="00EB181D"/>
    <w:rsid w:val="00EB6E3A"/>
    <w:rsid w:val="00EB75CE"/>
    <w:rsid w:val="00EB7618"/>
    <w:rsid w:val="00EC14EF"/>
    <w:rsid w:val="00EC1A8C"/>
    <w:rsid w:val="00EC2C1C"/>
    <w:rsid w:val="00EC3AD5"/>
    <w:rsid w:val="00EC3EBC"/>
    <w:rsid w:val="00EC431E"/>
    <w:rsid w:val="00EC47FE"/>
    <w:rsid w:val="00EC57EC"/>
    <w:rsid w:val="00EC6B9A"/>
    <w:rsid w:val="00ED1525"/>
    <w:rsid w:val="00ED2505"/>
    <w:rsid w:val="00ED2892"/>
    <w:rsid w:val="00ED2E8D"/>
    <w:rsid w:val="00ED2EB7"/>
    <w:rsid w:val="00ED4736"/>
    <w:rsid w:val="00ED4D9F"/>
    <w:rsid w:val="00ED50A8"/>
    <w:rsid w:val="00ED512C"/>
    <w:rsid w:val="00ED542B"/>
    <w:rsid w:val="00ED5B49"/>
    <w:rsid w:val="00ED5FF1"/>
    <w:rsid w:val="00ED6C24"/>
    <w:rsid w:val="00ED6C42"/>
    <w:rsid w:val="00ED7568"/>
    <w:rsid w:val="00ED7B14"/>
    <w:rsid w:val="00EE085E"/>
    <w:rsid w:val="00EE1AD8"/>
    <w:rsid w:val="00EE34AF"/>
    <w:rsid w:val="00EE674C"/>
    <w:rsid w:val="00EE6E30"/>
    <w:rsid w:val="00EE700C"/>
    <w:rsid w:val="00EE748E"/>
    <w:rsid w:val="00EE7CFF"/>
    <w:rsid w:val="00EF00FF"/>
    <w:rsid w:val="00EF0662"/>
    <w:rsid w:val="00EF2CD8"/>
    <w:rsid w:val="00EF3589"/>
    <w:rsid w:val="00EF4614"/>
    <w:rsid w:val="00F00B7A"/>
    <w:rsid w:val="00F01B7E"/>
    <w:rsid w:val="00F03007"/>
    <w:rsid w:val="00F04296"/>
    <w:rsid w:val="00F0449B"/>
    <w:rsid w:val="00F0468A"/>
    <w:rsid w:val="00F04C66"/>
    <w:rsid w:val="00F05B2E"/>
    <w:rsid w:val="00F05DBF"/>
    <w:rsid w:val="00F10429"/>
    <w:rsid w:val="00F11DC4"/>
    <w:rsid w:val="00F125AB"/>
    <w:rsid w:val="00F131FC"/>
    <w:rsid w:val="00F13C76"/>
    <w:rsid w:val="00F14317"/>
    <w:rsid w:val="00F14857"/>
    <w:rsid w:val="00F155F8"/>
    <w:rsid w:val="00F1594C"/>
    <w:rsid w:val="00F1782A"/>
    <w:rsid w:val="00F17B8F"/>
    <w:rsid w:val="00F215E4"/>
    <w:rsid w:val="00F21EC5"/>
    <w:rsid w:val="00F23676"/>
    <w:rsid w:val="00F27A0B"/>
    <w:rsid w:val="00F3079C"/>
    <w:rsid w:val="00F30E2F"/>
    <w:rsid w:val="00F30FD8"/>
    <w:rsid w:val="00F3180A"/>
    <w:rsid w:val="00F31916"/>
    <w:rsid w:val="00F323D6"/>
    <w:rsid w:val="00F327DB"/>
    <w:rsid w:val="00F33E22"/>
    <w:rsid w:val="00F360EE"/>
    <w:rsid w:val="00F3654D"/>
    <w:rsid w:val="00F378B9"/>
    <w:rsid w:val="00F4272A"/>
    <w:rsid w:val="00F42D5E"/>
    <w:rsid w:val="00F42E01"/>
    <w:rsid w:val="00F431DF"/>
    <w:rsid w:val="00F44382"/>
    <w:rsid w:val="00F44590"/>
    <w:rsid w:val="00F450D3"/>
    <w:rsid w:val="00F50CE3"/>
    <w:rsid w:val="00F52486"/>
    <w:rsid w:val="00F52667"/>
    <w:rsid w:val="00F53591"/>
    <w:rsid w:val="00F5459E"/>
    <w:rsid w:val="00F54BD4"/>
    <w:rsid w:val="00F554A3"/>
    <w:rsid w:val="00F559B1"/>
    <w:rsid w:val="00F578C9"/>
    <w:rsid w:val="00F602E6"/>
    <w:rsid w:val="00F60800"/>
    <w:rsid w:val="00F61A24"/>
    <w:rsid w:val="00F62D7B"/>
    <w:rsid w:val="00F65511"/>
    <w:rsid w:val="00F656DB"/>
    <w:rsid w:val="00F67985"/>
    <w:rsid w:val="00F72362"/>
    <w:rsid w:val="00F73754"/>
    <w:rsid w:val="00F7386E"/>
    <w:rsid w:val="00F7405E"/>
    <w:rsid w:val="00F7425D"/>
    <w:rsid w:val="00F751DD"/>
    <w:rsid w:val="00F7525F"/>
    <w:rsid w:val="00F76436"/>
    <w:rsid w:val="00F76618"/>
    <w:rsid w:val="00F770FF"/>
    <w:rsid w:val="00F77675"/>
    <w:rsid w:val="00F77BFB"/>
    <w:rsid w:val="00F81002"/>
    <w:rsid w:val="00F8289E"/>
    <w:rsid w:val="00F839A9"/>
    <w:rsid w:val="00F872B9"/>
    <w:rsid w:val="00F872D3"/>
    <w:rsid w:val="00F873E8"/>
    <w:rsid w:val="00F8761A"/>
    <w:rsid w:val="00F91408"/>
    <w:rsid w:val="00F915DA"/>
    <w:rsid w:val="00F916B4"/>
    <w:rsid w:val="00F929DC"/>
    <w:rsid w:val="00F93F6A"/>
    <w:rsid w:val="00F96827"/>
    <w:rsid w:val="00F97C47"/>
    <w:rsid w:val="00FA0978"/>
    <w:rsid w:val="00FA0E17"/>
    <w:rsid w:val="00FA1026"/>
    <w:rsid w:val="00FA1147"/>
    <w:rsid w:val="00FA2451"/>
    <w:rsid w:val="00FA2797"/>
    <w:rsid w:val="00FA3848"/>
    <w:rsid w:val="00FA3F28"/>
    <w:rsid w:val="00FA4A60"/>
    <w:rsid w:val="00FA67F7"/>
    <w:rsid w:val="00FB00F9"/>
    <w:rsid w:val="00FB0FE7"/>
    <w:rsid w:val="00FB27E9"/>
    <w:rsid w:val="00FB28F7"/>
    <w:rsid w:val="00FB2C9C"/>
    <w:rsid w:val="00FB3AF6"/>
    <w:rsid w:val="00FB3FE4"/>
    <w:rsid w:val="00FB5C46"/>
    <w:rsid w:val="00FB675B"/>
    <w:rsid w:val="00FB78A3"/>
    <w:rsid w:val="00FB7DFC"/>
    <w:rsid w:val="00FC0023"/>
    <w:rsid w:val="00FC080F"/>
    <w:rsid w:val="00FC0C32"/>
    <w:rsid w:val="00FC2950"/>
    <w:rsid w:val="00FC4924"/>
    <w:rsid w:val="00FC5EAE"/>
    <w:rsid w:val="00FC6885"/>
    <w:rsid w:val="00FD01F1"/>
    <w:rsid w:val="00FD0F0B"/>
    <w:rsid w:val="00FD197A"/>
    <w:rsid w:val="00FD2FC2"/>
    <w:rsid w:val="00FD322E"/>
    <w:rsid w:val="00FD50E8"/>
    <w:rsid w:val="00FD53DA"/>
    <w:rsid w:val="00FD7FB0"/>
    <w:rsid w:val="00FE0301"/>
    <w:rsid w:val="00FE0DE1"/>
    <w:rsid w:val="00FE0DFE"/>
    <w:rsid w:val="00FE1774"/>
    <w:rsid w:val="00FE439C"/>
    <w:rsid w:val="00FE49B5"/>
    <w:rsid w:val="00FE4B98"/>
    <w:rsid w:val="00FE5368"/>
    <w:rsid w:val="00FE5C01"/>
    <w:rsid w:val="00FE5FF1"/>
    <w:rsid w:val="00FE68ED"/>
    <w:rsid w:val="00FE74FB"/>
    <w:rsid w:val="00FF0617"/>
    <w:rsid w:val="00FF156F"/>
    <w:rsid w:val="00FF3217"/>
    <w:rsid w:val="00FF3EFE"/>
    <w:rsid w:val="00FF466E"/>
    <w:rsid w:val="00FF4D9E"/>
    <w:rsid w:val="00FF6688"/>
    <w:rsid w:val="00FF6D40"/>
    <w:rsid w:val="010446FC"/>
    <w:rsid w:val="01652DAF"/>
    <w:rsid w:val="01B24A97"/>
    <w:rsid w:val="020E1CEB"/>
    <w:rsid w:val="025B77E4"/>
    <w:rsid w:val="02993D6B"/>
    <w:rsid w:val="02BC7356"/>
    <w:rsid w:val="036B5288"/>
    <w:rsid w:val="03704807"/>
    <w:rsid w:val="037A01F2"/>
    <w:rsid w:val="04A11641"/>
    <w:rsid w:val="05D52481"/>
    <w:rsid w:val="066F5090"/>
    <w:rsid w:val="067D0687"/>
    <w:rsid w:val="069331E9"/>
    <w:rsid w:val="06CB6E87"/>
    <w:rsid w:val="07673387"/>
    <w:rsid w:val="07C25115"/>
    <w:rsid w:val="08503975"/>
    <w:rsid w:val="087069CE"/>
    <w:rsid w:val="08DB41EB"/>
    <w:rsid w:val="096D423B"/>
    <w:rsid w:val="09CB6AC5"/>
    <w:rsid w:val="09DB41EB"/>
    <w:rsid w:val="09E9442E"/>
    <w:rsid w:val="0A007A36"/>
    <w:rsid w:val="0A032198"/>
    <w:rsid w:val="0AAF0151"/>
    <w:rsid w:val="0BA51C70"/>
    <w:rsid w:val="0BA852CC"/>
    <w:rsid w:val="0BB37E65"/>
    <w:rsid w:val="0C040028"/>
    <w:rsid w:val="0C5B2BF5"/>
    <w:rsid w:val="0CE42333"/>
    <w:rsid w:val="0CE82491"/>
    <w:rsid w:val="0D0B7EAC"/>
    <w:rsid w:val="0D0C1C2B"/>
    <w:rsid w:val="0D137801"/>
    <w:rsid w:val="0D784A32"/>
    <w:rsid w:val="0DD73234"/>
    <w:rsid w:val="0E225770"/>
    <w:rsid w:val="0E690B9D"/>
    <w:rsid w:val="0E805C66"/>
    <w:rsid w:val="0EFC6ABC"/>
    <w:rsid w:val="0F7626FA"/>
    <w:rsid w:val="101E1024"/>
    <w:rsid w:val="105E0EAB"/>
    <w:rsid w:val="10C94ACA"/>
    <w:rsid w:val="11AC397D"/>
    <w:rsid w:val="12EB53B3"/>
    <w:rsid w:val="12FC7CAB"/>
    <w:rsid w:val="135125C1"/>
    <w:rsid w:val="135915A9"/>
    <w:rsid w:val="14103A0E"/>
    <w:rsid w:val="14281A18"/>
    <w:rsid w:val="14A67364"/>
    <w:rsid w:val="14EF7619"/>
    <w:rsid w:val="151B008A"/>
    <w:rsid w:val="15C7120B"/>
    <w:rsid w:val="16454462"/>
    <w:rsid w:val="16E5515C"/>
    <w:rsid w:val="174D3142"/>
    <w:rsid w:val="175638F0"/>
    <w:rsid w:val="17D41B94"/>
    <w:rsid w:val="186B5FB3"/>
    <w:rsid w:val="188B0FF2"/>
    <w:rsid w:val="18C93C90"/>
    <w:rsid w:val="1908590B"/>
    <w:rsid w:val="194C55EC"/>
    <w:rsid w:val="19C01D24"/>
    <w:rsid w:val="19EB6C0A"/>
    <w:rsid w:val="19F3005A"/>
    <w:rsid w:val="1A7A0689"/>
    <w:rsid w:val="1B67572D"/>
    <w:rsid w:val="1B8D3B96"/>
    <w:rsid w:val="1BB83E95"/>
    <w:rsid w:val="1C5F1B99"/>
    <w:rsid w:val="1CDF48C5"/>
    <w:rsid w:val="1D1C015C"/>
    <w:rsid w:val="1D2206E6"/>
    <w:rsid w:val="1D990F18"/>
    <w:rsid w:val="1E0A3BC4"/>
    <w:rsid w:val="1E5870E1"/>
    <w:rsid w:val="1E8427AA"/>
    <w:rsid w:val="1F202E66"/>
    <w:rsid w:val="1F286886"/>
    <w:rsid w:val="1F8654CC"/>
    <w:rsid w:val="1FB17C8E"/>
    <w:rsid w:val="1FDE7B0C"/>
    <w:rsid w:val="1FEA15B7"/>
    <w:rsid w:val="20407397"/>
    <w:rsid w:val="204A4C12"/>
    <w:rsid w:val="20743577"/>
    <w:rsid w:val="207C6641"/>
    <w:rsid w:val="216F3B20"/>
    <w:rsid w:val="21941641"/>
    <w:rsid w:val="21BA4026"/>
    <w:rsid w:val="21CD1190"/>
    <w:rsid w:val="22B83BEE"/>
    <w:rsid w:val="235B045C"/>
    <w:rsid w:val="237C28AD"/>
    <w:rsid w:val="237E2423"/>
    <w:rsid w:val="23EF689C"/>
    <w:rsid w:val="245A345F"/>
    <w:rsid w:val="247B00B5"/>
    <w:rsid w:val="24D12D46"/>
    <w:rsid w:val="24E16425"/>
    <w:rsid w:val="24ED38F7"/>
    <w:rsid w:val="2523766F"/>
    <w:rsid w:val="258372A1"/>
    <w:rsid w:val="25DD3441"/>
    <w:rsid w:val="26A37EBE"/>
    <w:rsid w:val="26C13E5F"/>
    <w:rsid w:val="27284D1F"/>
    <w:rsid w:val="27336C48"/>
    <w:rsid w:val="28B60BD0"/>
    <w:rsid w:val="28CF3A40"/>
    <w:rsid w:val="28E840A7"/>
    <w:rsid w:val="2927562A"/>
    <w:rsid w:val="29621079"/>
    <w:rsid w:val="2A416CD8"/>
    <w:rsid w:val="2A5F20E5"/>
    <w:rsid w:val="2AE177FC"/>
    <w:rsid w:val="2B15354B"/>
    <w:rsid w:val="2BA77AA2"/>
    <w:rsid w:val="2C252158"/>
    <w:rsid w:val="2C974FEB"/>
    <w:rsid w:val="2CA6105A"/>
    <w:rsid w:val="2D0E1AD6"/>
    <w:rsid w:val="2D312313"/>
    <w:rsid w:val="2E740E78"/>
    <w:rsid w:val="2E981CC9"/>
    <w:rsid w:val="2F5471D3"/>
    <w:rsid w:val="2F7253E7"/>
    <w:rsid w:val="2F7525F8"/>
    <w:rsid w:val="2FAF2DD7"/>
    <w:rsid w:val="309D29D5"/>
    <w:rsid w:val="30A33DA8"/>
    <w:rsid w:val="31104E13"/>
    <w:rsid w:val="312C4245"/>
    <w:rsid w:val="327B69E7"/>
    <w:rsid w:val="32E45C09"/>
    <w:rsid w:val="33B25141"/>
    <w:rsid w:val="33D75E9F"/>
    <w:rsid w:val="34497D80"/>
    <w:rsid w:val="34F93CA8"/>
    <w:rsid w:val="363C4704"/>
    <w:rsid w:val="36C46BAE"/>
    <w:rsid w:val="36CC5A63"/>
    <w:rsid w:val="36E06CA5"/>
    <w:rsid w:val="37233544"/>
    <w:rsid w:val="37E62B54"/>
    <w:rsid w:val="38383CED"/>
    <w:rsid w:val="38BA2894"/>
    <w:rsid w:val="38BB6358"/>
    <w:rsid w:val="38CF6227"/>
    <w:rsid w:val="39187C1C"/>
    <w:rsid w:val="39723958"/>
    <w:rsid w:val="3A1E7F98"/>
    <w:rsid w:val="3A37473F"/>
    <w:rsid w:val="3A6A114C"/>
    <w:rsid w:val="3AA94119"/>
    <w:rsid w:val="3B451940"/>
    <w:rsid w:val="3B796151"/>
    <w:rsid w:val="3BA64A65"/>
    <w:rsid w:val="3BB04100"/>
    <w:rsid w:val="3C292D93"/>
    <w:rsid w:val="3C3712F5"/>
    <w:rsid w:val="3C3C0EE7"/>
    <w:rsid w:val="3C44498E"/>
    <w:rsid w:val="3C88242C"/>
    <w:rsid w:val="3CBF00C4"/>
    <w:rsid w:val="3D2867A7"/>
    <w:rsid w:val="3D9324E2"/>
    <w:rsid w:val="3DFC6C2D"/>
    <w:rsid w:val="3EA83CB0"/>
    <w:rsid w:val="3F9F3277"/>
    <w:rsid w:val="3FD453D4"/>
    <w:rsid w:val="3FF102E8"/>
    <w:rsid w:val="401409ED"/>
    <w:rsid w:val="40255A70"/>
    <w:rsid w:val="40685026"/>
    <w:rsid w:val="41285F8B"/>
    <w:rsid w:val="41701EAA"/>
    <w:rsid w:val="419E2302"/>
    <w:rsid w:val="41C27E90"/>
    <w:rsid w:val="42220449"/>
    <w:rsid w:val="42A5314A"/>
    <w:rsid w:val="42D75573"/>
    <w:rsid w:val="449739C6"/>
    <w:rsid w:val="44F2620F"/>
    <w:rsid w:val="45A95D7E"/>
    <w:rsid w:val="462B4175"/>
    <w:rsid w:val="4677250E"/>
    <w:rsid w:val="46B706D6"/>
    <w:rsid w:val="470F1AB3"/>
    <w:rsid w:val="47197516"/>
    <w:rsid w:val="47694C08"/>
    <w:rsid w:val="48243AFE"/>
    <w:rsid w:val="48642A40"/>
    <w:rsid w:val="487815A6"/>
    <w:rsid w:val="48EC5AF0"/>
    <w:rsid w:val="49595419"/>
    <w:rsid w:val="497E0C78"/>
    <w:rsid w:val="49831FB1"/>
    <w:rsid w:val="49EA1309"/>
    <w:rsid w:val="49EA2540"/>
    <w:rsid w:val="4A164C28"/>
    <w:rsid w:val="4AF64A04"/>
    <w:rsid w:val="4B756271"/>
    <w:rsid w:val="4B8E04D3"/>
    <w:rsid w:val="4C0B2731"/>
    <w:rsid w:val="4C0E15BA"/>
    <w:rsid w:val="4C816E49"/>
    <w:rsid w:val="4D76326B"/>
    <w:rsid w:val="4DC71773"/>
    <w:rsid w:val="4EA529C9"/>
    <w:rsid w:val="4F691D59"/>
    <w:rsid w:val="4FDA2B47"/>
    <w:rsid w:val="4FE75168"/>
    <w:rsid w:val="507443B9"/>
    <w:rsid w:val="50A242AF"/>
    <w:rsid w:val="514141DD"/>
    <w:rsid w:val="51C334EE"/>
    <w:rsid w:val="51ED6B61"/>
    <w:rsid w:val="51F87845"/>
    <w:rsid w:val="523757DE"/>
    <w:rsid w:val="527A3497"/>
    <w:rsid w:val="52D022B0"/>
    <w:rsid w:val="53313FC4"/>
    <w:rsid w:val="5350548F"/>
    <w:rsid w:val="53D46F25"/>
    <w:rsid w:val="53E15EA1"/>
    <w:rsid w:val="5479292E"/>
    <w:rsid w:val="54CB1B54"/>
    <w:rsid w:val="550E2CDE"/>
    <w:rsid w:val="55655369"/>
    <w:rsid w:val="55676C2B"/>
    <w:rsid w:val="556F711D"/>
    <w:rsid w:val="5645246C"/>
    <w:rsid w:val="56CF2CD9"/>
    <w:rsid w:val="57890099"/>
    <w:rsid w:val="579A1B13"/>
    <w:rsid w:val="57A33818"/>
    <w:rsid w:val="57BF2D4E"/>
    <w:rsid w:val="582C3356"/>
    <w:rsid w:val="58771AE5"/>
    <w:rsid w:val="58DF4D2A"/>
    <w:rsid w:val="59B6097F"/>
    <w:rsid w:val="59B96C83"/>
    <w:rsid w:val="59CB394F"/>
    <w:rsid w:val="5A2B7344"/>
    <w:rsid w:val="5A4462DF"/>
    <w:rsid w:val="5AB65CC2"/>
    <w:rsid w:val="5B247D53"/>
    <w:rsid w:val="5BA107D9"/>
    <w:rsid w:val="5C473312"/>
    <w:rsid w:val="5CD86FB1"/>
    <w:rsid w:val="5DE02BC7"/>
    <w:rsid w:val="5E0263B1"/>
    <w:rsid w:val="5E751645"/>
    <w:rsid w:val="5E753421"/>
    <w:rsid w:val="5EB435B8"/>
    <w:rsid w:val="5F166B03"/>
    <w:rsid w:val="5FF54B81"/>
    <w:rsid w:val="601479AF"/>
    <w:rsid w:val="606375D1"/>
    <w:rsid w:val="606D672B"/>
    <w:rsid w:val="607F56D6"/>
    <w:rsid w:val="608C6718"/>
    <w:rsid w:val="608F3688"/>
    <w:rsid w:val="60E206CF"/>
    <w:rsid w:val="613848A0"/>
    <w:rsid w:val="618E4BA4"/>
    <w:rsid w:val="61DA69D6"/>
    <w:rsid w:val="620F4BFD"/>
    <w:rsid w:val="621B0198"/>
    <w:rsid w:val="62270823"/>
    <w:rsid w:val="6270559E"/>
    <w:rsid w:val="62D2584A"/>
    <w:rsid w:val="62EC06FF"/>
    <w:rsid w:val="630E2A42"/>
    <w:rsid w:val="63F90E49"/>
    <w:rsid w:val="64C91BB7"/>
    <w:rsid w:val="65163838"/>
    <w:rsid w:val="65480181"/>
    <w:rsid w:val="659F7034"/>
    <w:rsid w:val="660109D5"/>
    <w:rsid w:val="663361B7"/>
    <w:rsid w:val="667A1F34"/>
    <w:rsid w:val="67205C47"/>
    <w:rsid w:val="682222C9"/>
    <w:rsid w:val="68A04194"/>
    <w:rsid w:val="695A2474"/>
    <w:rsid w:val="696A2C55"/>
    <w:rsid w:val="69F844FF"/>
    <w:rsid w:val="6A102A3F"/>
    <w:rsid w:val="6A29059A"/>
    <w:rsid w:val="6A4859EF"/>
    <w:rsid w:val="6A871176"/>
    <w:rsid w:val="6B4D0219"/>
    <w:rsid w:val="6B554EB8"/>
    <w:rsid w:val="6B746D0C"/>
    <w:rsid w:val="6BAC66AD"/>
    <w:rsid w:val="6BBF17D3"/>
    <w:rsid w:val="6BDA1B01"/>
    <w:rsid w:val="6C2947E2"/>
    <w:rsid w:val="6C2E1DAF"/>
    <w:rsid w:val="6DEB2052"/>
    <w:rsid w:val="6E142A77"/>
    <w:rsid w:val="6E85796E"/>
    <w:rsid w:val="6E8C5638"/>
    <w:rsid w:val="6EA7304C"/>
    <w:rsid w:val="6EE1719B"/>
    <w:rsid w:val="6F17556A"/>
    <w:rsid w:val="6F191A1E"/>
    <w:rsid w:val="6F2A335C"/>
    <w:rsid w:val="6F3A17AF"/>
    <w:rsid w:val="6F5D5783"/>
    <w:rsid w:val="6F6940CD"/>
    <w:rsid w:val="6F7A7103"/>
    <w:rsid w:val="6FA000DE"/>
    <w:rsid w:val="70141305"/>
    <w:rsid w:val="70A97C9F"/>
    <w:rsid w:val="70CA78E3"/>
    <w:rsid w:val="713C514C"/>
    <w:rsid w:val="716563CF"/>
    <w:rsid w:val="71EA2CB9"/>
    <w:rsid w:val="71EB0318"/>
    <w:rsid w:val="72781D68"/>
    <w:rsid w:val="72EA5754"/>
    <w:rsid w:val="731341C0"/>
    <w:rsid w:val="7324676A"/>
    <w:rsid w:val="73364BD7"/>
    <w:rsid w:val="73550EEF"/>
    <w:rsid w:val="73CE15BB"/>
    <w:rsid w:val="73EC3B17"/>
    <w:rsid w:val="75196F30"/>
    <w:rsid w:val="751C1469"/>
    <w:rsid w:val="75ED77B2"/>
    <w:rsid w:val="7640699F"/>
    <w:rsid w:val="76607336"/>
    <w:rsid w:val="771F5F82"/>
    <w:rsid w:val="77744436"/>
    <w:rsid w:val="77AD4519"/>
    <w:rsid w:val="77B017BD"/>
    <w:rsid w:val="77DA4AEE"/>
    <w:rsid w:val="79044C01"/>
    <w:rsid w:val="792A3627"/>
    <w:rsid w:val="79637C42"/>
    <w:rsid w:val="79A14889"/>
    <w:rsid w:val="79B74B7B"/>
    <w:rsid w:val="79EC36DB"/>
    <w:rsid w:val="7A0320CC"/>
    <w:rsid w:val="7A2A4A0B"/>
    <w:rsid w:val="7A575C4D"/>
    <w:rsid w:val="7A6D1D3E"/>
    <w:rsid w:val="7AFE613B"/>
    <w:rsid w:val="7B36494C"/>
    <w:rsid w:val="7BAB02F5"/>
    <w:rsid w:val="7BC2430B"/>
    <w:rsid w:val="7C4305BB"/>
    <w:rsid w:val="7D33726F"/>
    <w:rsid w:val="7D5C63AA"/>
    <w:rsid w:val="7D9A4D49"/>
    <w:rsid w:val="7DBA2693"/>
    <w:rsid w:val="7E126D48"/>
    <w:rsid w:val="7E344A4A"/>
    <w:rsid w:val="7E503E50"/>
    <w:rsid w:val="7E5A5F62"/>
    <w:rsid w:val="7EAF7293"/>
    <w:rsid w:val="7EF73E8A"/>
    <w:rsid w:val="7EFC7649"/>
    <w:rsid w:val="7F205375"/>
    <w:rsid w:val="7F3D6D80"/>
    <w:rsid w:val="7F46473E"/>
    <w:rsid w:val="7F9D63D0"/>
    <w:rsid w:val="7FDA7B8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iPriority="0" w:semiHidden="0" w:name="index heading"/>
    <w:lsdException w:qFormat="1" w:unhideWhenUsed="0" w:uiPriority="0" w:semiHidden="0" w:name="caption"/>
    <w:lsdException w:qFormat="1" w:uiPriority="0" w:semiHidden="0" w:name="table of figures"/>
    <w:lsdException w:qFormat="1" w:uiPriority="0" w:semiHidden="0" w:name="envelope address"/>
    <w:lsdException w:qFormat="1"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qFormat="1" w:unhideWhenUsed="0" w:uiPriority="0" w:semiHidden="0" w:name="macro"/>
    <w:lsdException w:qFormat="1" w:unhideWhenUsed="0" w:uiPriority="0" w:semiHidden="0" w:name="toa heading"/>
    <w:lsdException w:qFormat="1" w:uiPriority="0" w:semiHidden="0" w:name="List"/>
    <w:lsdException w:qFormat="1" w:uiPriority="0" w:semiHidden="0" w:name="List Bullet"/>
    <w:lsdException w:qFormat="1" w:uiPriority="0" w:semiHidden="0" w:name="List Number"/>
    <w:lsdException w:qFormat="1" w:uiPriority="0" w:semiHidden="0" w:name="List 2"/>
    <w:lsdException w:qFormat="1" w:uiPriority="0" w:semiHidden="0" w:name="List 3"/>
    <w:lsdException w:qFormat="1" w:uiPriority="0" w:semiHidden="0" w:name="List 4"/>
    <w:lsdException w:qFormat="1" w:uiPriority="0" w:semiHidden="0" w:name="List 5"/>
    <w:lsdException w:qFormat="1" w:uiPriority="0" w:semiHidden="0" w:name="List Bullet 2"/>
    <w:lsdException w:qFormat="1" w:uiPriority="0" w:semiHidden="0" w:name="List Bullet 3"/>
    <w:lsdException w:qFormat="1" w:uiPriority="0" w:semiHidden="0" w:name="List Bullet 4"/>
    <w:lsdException w:qFormat="1" w:uiPriority="0" w:semiHidden="0" w:name="List Bullet 5"/>
    <w:lsdException w:qFormat="1" w:uiPriority="0" w:semiHidden="0" w:name="List Number 2"/>
    <w:lsdException w:qFormat="1" w:uiPriority="0" w:semiHidden="0" w:name="List Number 3"/>
    <w:lsdException w:qFormat="1" w:uiPriority="0" w:semiHidden="0" w:name="List Number 4"/>
    <w:lsdException w:qFormat="1" w:uiPriority="0" w:semiHidden="0" w:name="List Number 5"/>
    <w:lsdException w:qFormat="1" w:unhideWhenUsed="0" w:uiPriority="0" w:semiHidden="0" w:name="Title"/>
    <w:lsdException w:qFormat="1" w:uiPriority="0" w:semiHidden="0" w:name="Closing"/>
    <w:lsdException w:qFormat="1"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iPriority="0" w:semiHidden="0" w:name="List Continue"/>
    <w:lsdException w:qFormat="1" w:uiPriority="0" w:semiHidden="0" w:name="List Continue 2"/>
    <w:lsdException w:qFormat="1" w:uiPriority="0" w:semiHidden="0" w:name="List Continue 3"/>
    <w:lsdException w:qFormat="1" w:uiPriority="0" w:semiHidden="0" w:name="List Continue 4"/>
    <w:lsdException w:qFormat="1" w:uiPriority="0" w:semiHidden="0" w:name="List Continue 5"/>
    <w:lsdException w:qFormat="1" w:uiPriority="0" w:semiHidden="0" w:name="Message Header"/>
    <w:lsdException w:qFormat="1" w:unhideWhenUsed="0" w:uiPriority="0" w:semiHidden="0" w:name="Subtitle"/>
    <w:lsdException w:qFormat="1" w:uiPriority="0" w:semiHidden="0" w:name="Salutation"/>
    <w:lsdException w:qFormat="1" w:unhideWhenUsed="0" w:uiPriority="99" w:semiHidden="0" w:name="Date"/>
    <w:lsdException w:qFormat="1" w:uiPriority="0" w:semiHidden="0" w:name="Body Text First Indent"/>
    <w:lsdException w:qFormat="1" w:uiPriority="0" w:semiHidden="0" w:name="Body Text First Indent 2"/>
    <w:lsdException w:qFormat="1" w:uiPriority="0" w:semiHidden="0" w:name="Note Heading"/>
    <w:lsdException w:qFormat="1" w:uiPriority="0" w:semiHidden="0" w:name="Body Text 2"/>
    <w:lsdException w:qFormat="1" w:uiPriority="0" w:semiHidden="0" w:name="Body Text 3"/>
    <w:lsdException w:qFormat="1" w:unhideWhenUsed="0" w:uiPriority="0" w:semiHidden="0" w:name="Body Text Indent 2"/>
    <w:lsdException w:qFormat="1" w:uiPriority="0" w:semiHidden="0" w:name="Body Text Indent 3"/>
    <w:lsdException w:qFormat="1" w:uiPriority="0" w:semiHidden="0" w:name="Block Text"/>
    <w:lsdException w:qFormat="1"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iPriority="0" w:semiHidden="0" w:name="Plain Text"/>
    <w:lsdException w:qFormat="1" w:uiPriority="0" w:semiHidden="0" w:name="E-mail Signature"/>
    <w:lsdException w:qFormat="1" w:unhideWhenUsed="0" w:uiPriority="0" w:semiHidden="0" w:name="Normal (Web)"/>
    <w:lsdException w:unhideWhenUsed="0" w:uiPriority="0" w:semiHidden="0" w:name="HTML Acronym"/>
    <w:lsdException w:qFormat="1" w:uiPriority="0" w:semiHidden="0" w:name="HTML Address"/>
    <w:lsdException w:unhideWhenUsed="0" w:uiPriority="0" w:semiHidden="0" w:name="HTML Cite"/>
    <w:lsdException w:qFormat="1" w:uiPriority="0" w:semiHidden="0" w:name="HTML Code"/>
    <w:lsdException w:unhideWhenUsed="0" w:uiPriority="0" w:semiHidden="0" w:name="HTML Definition"/>
    <w:lsdException w:qFormat="1" w:uiPriority="0" w:semiHidden="0" w:name="HTML Keyboard"/>
    <w:lsdException w:qFormat="1" w:uiPriority="0" w:semiHidden="0" w:name="HTML Preformatted"/>
    <w:lsdException w:qFormat="1" w:uiPriority="0" w:semiHidden="0" w:name="HTML Sample"/>
    <w:lsdException w:qFormat="1"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qFormat="1" w:uiPriority="0" w:semiHidden="0" w:name="Table Simple 1"/>
    <w:lsdException w:qFormat="1" w:uiPriority="0" w:semiHidden="0" w:name="Table Simple 2"/>
    <w:lsdException w:qFormat="1" w:uiPriority="0" w:semiHidden="0" w:name="Table Simple 3"/>
    <w:lsdException w:qFormat="1" w:uiPriority="0" w:semiHidden="0" w:name="Table Classic 1"/>
    <w:lsdException w:qFormat="1" w:uiPriority="0" w:semiHidden="0" w:name="Table Classic 2"/>
    <w:lsdException w:qFormat="1" w:uiPriority="0" w:semiHidden="0" w:name="Table Classic 3"/>
    <w:lsdException w:qFormat="1" w:uiPriority="0" w:semiHidden="0" w:name="Table Classic 4"/>
    <w:lsdException w:qFormat="1" w:uiPriority="0" w:semiHidden="0" w:name="Table Colorful 1"/>
    <w:lsdException w:qFormat="1" w:uiPriority="0" w:semiHidden="0" w:name="Table Colorful 2"/>
    <w:lsdException w:qFormat="1" w:uiPriority="0" w:semiHidden="0" w:name="Table Colorful 3"/>
    <w:lsdException w:qFormat="1" w:uiPriority="0" w:semiHidden="0" w:name="Table Columns 1"/>
    <w:lsdException w:qFormat="1" w:uiPriority="0" w:semiHidden="0" w:name="Table Columns 2"/>
    <w:lsdException w:qFormat="1" w:uiPriority="0" w:semiHidden="0" w:name="Table Columns 3"/>
    <w:lsdException w:qFormat="1" w:uiPriority="0" w:semiHidden="0" w:name="Table Columns 4"/>
    <w:lsdException w:qFormat="1" w:uiPriority="0" w:semiHidden="0" w:name="Table Columns 5"/>
    <w:lsdException w:qFormat="1" w:uiPriority="0" w:semiHidden="0" w:name="Table Grid 1"/>
    <w:lsdException w:qFormat="1" w:uiPriority="0" w:semiHidden="0" w:name="Table Grid 2"/>
    <w:lsdException w:qFormat="1" w:uiPriority="0" w:semiHidden="0" w:name="Table Grid 3"/>
    <w:lsdException w:qFormat="1" w:uiPriority="0" w:semiHidden="0" w:name="Table Grid 4"/>
    <w:lsdException w:qFormat="1" w:uiPriority="0" w:semiHidden="0" w:name="Table Grid 5"/>
    <w:lsdException w:qFormat="1" w:uiPriority="0" w:semiHidden="0" w:name="Table Grid 6"/>
    <w:lsdException w:qFormat="1" w:uiPriority="0" w:semiHidden="0" w:name="Table Grid 7"/>
    <w:lsdException w:qFormat="1" w:uiPriority="0" w:semiHidden="0" w:name="Table Grid 8"/>
    <w:lsdException w:qFormat="1" w:uiPriority="0" w:semiHidden="0" w:name="Table List 1"/>
    <w:lsdException w:qFormat="1" w:uiPriority="0" w:semiHidden="0" w:name="Table List 2"/>
    <w:lsdException w:qFormat="1" w:uiPriority="0" w:semiHidden="0" w:name="Table List 3"/>
    <w:lsdException w:qFormat="1" w:uiPriority="0" w:semiHidden="0" w:name="Table List 4"/>
    <w:lsdException w:qFormat="1" w:uiPriority="0" w:semiHidden="0" w:name="Table List 5"/>
    <w:lsdException w:qFormat="1" w:uiPriority="0" w:semiHidden="0" w:name="Table List 6"/>
    <w:lsdException w:qFormat="1" w:uiPriority="0" w:semiHidden="0" w:name="Table List 7"/>
    <w:lsdException w:qFormat="1" w:uiPriority="0" w:semiHidden="0" w:name="Table List 8"/>
    <w:lsdException w:qFormat="1" w:uiPriority="0" w:semiHidden="0" w:name="Table 3D effects 1"/>
    <w:lsdException w:qFormat="1" w:uiPriority="0" w:semiHidden="0" w:name="Table 3D effects 2"/>
    <w:lsdException w:qFormat="1" w:uiPriority="0" w:semiHidden="0" w:name="Table 3D effects 3"/>
    <w:lsdException w:qFormat="1" w:uiPriority="0" w:semiHidden="0" w:name="Table Contemporary"/>
    <w:lsdException w:qFormat="1" w:uiPriority="0" w:semiHidden="0" w:name="Table Elegant"/>
    <w:lsdException w:qFormat="1" w:uiPriority="0" w:semiHidden="0" w:name="Table Professional"/>
    <w:lsdException w:qFormat="1" w:uiPriority="0" w:semiHidden="0" w:name="Table Subtle 1"/>
    <w:lsdException w:qFormat="1" w:uiPriority="0" w:semiHidden="0" w:name="Table Subtle 2"/>
    <w:lsdException w:qFormat="1" w:uiPriority="0" w:semiHidden="0" w:name="Table Web 1"/>
    <w:lsdException w:qFormat="1" w:uiPriority="0" w:semiHidden="0" w:name="Table Web 2"/>
    <w:lsdException w:qFormat="1" w:uiPriority="0" w:semiHidden="0" w:name="Table Web 3"/>
    <w:lsdException w:qFormat="1" w:unhideWhenUsed="0" w:uiPriority="0" w:semiHidden="0" w:name="Balloon Text"/>
    <w:lsdException w:qFormat="1" w:unhideWhenUsed="0" w:uiPriority="59" w:semiHidden="0" w:name="Table Grid"/>
    <w:lsdException w:qFormat="1"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473"/>
    <w:qFormat/>
    <w:uiPriority w:val="0"/>
    <w:pPr>
      <w:keepNext/>
      <w:keepLines/>
      <w:spacing w:before="340" w:after="330" w:line="578" w:lineRule="auto"/>
      <w:outlineLvl w:val="0"/>
    </w:pPr>
    <w:rPr>
      <w:b/>
      <w:bCs/>
      <w:kern w:val="44"/>
      <w:sz w:val="44"/>
      <w:szCs w:val="44"/>
    </w:rPr>
  </w:style>
  <w:style w:type="paragraph" w:styleId="4">
    <w:name w:val="heading 2"/>
    <w:basedOn w:val="1"/>
    <w:next w:val="1"/>
    <w:link w:val="158"/>
    <w:qFormat/>
    <w:uiPriority w:val="0"/>
    <w:pPr>
      <w:keepNext/>
      <w:keepLines/>
      <w:widowControl/>
      <w:spacing w:before="260" w:after="260" w:line="416" w:lineRule="auto"/>
      <w:jc w:val="center"/>
      <w:outlineLvl w:val="1"/>
    </w:pPr>
    <w:rPr>
      <w:rFonts w:ascii="Arial" w:hAnsi="Arial" w:eastAsia="黑体"/>
      <w:b/>
      <w:kern w:val="0"/>
      <w:sz w:val="44"/>
      <w:szCs w:val="20"/>
    </w:rPr>
  </w:style>
  <w:style w:type="paragraph" w:styleId="5">
    <w:name w:val="heading 3"/>
    <w:basedOn w:val="1"/>
    <w:next w:val="1"/>
    <w:link w:val="490"/>
    <w:qFormat/>
    <w:uiPriority w:val="0"/>
    <w:pPr>
      <w:keepNext/>
      <w:keepLines/>
      <w:widowControl/>
      <w:tabs>
        <w:tab w:val="left" w:pos="720"/>
        <w:tab w:val="left" w:pos="1260"/>
      </w:tabs>
      <w:spacing w:before="120" w:after="120" w:line="360" w:lineRule="auto"/>
      <w:ind w:left="1260" w:hanging="420"/>
      <w:jc w:val="center"/>
      <w:outlineLvl w:val="2"/>
    </w:pPr>
    <w:rPr>
      <w:kern w:val="0"/>
      <w:sz w:val="32"/>
      <w:szCs w:val="20"/>
    </w:rPr>
  </w:style>
  <w:style w:type="paragraph" w:styleId="6">
    <w:name w:val="heading 4"/>
    <w:basedOn w:val="1"/>
    <w:next w:val="1"/>
    <w:link w:val="247"/>
    <w:qFormat/>
    <w:uiPriority w:val="0"/>
    <w:pPr>
      <w:keepNext/>
      <w:keepLines/>
      <w:spacing w:before="280" w:after="290" w:line="376" w:lineRule="auto"/>
      <w:outlineLvl w:val="3"/>
    </w:pPr>
    <w:rPr>
      <w:rFonts w:ascii="Arial" w:hAnsi="Arial" w:eastAsia="黑体"/>
      <w:b/>
      <w:bCs/>
      <w:sz w:val="28"/>
      <w:szCs w:val="28"/>
    </w:rPr>
  </w:style>
  <w:style w:type="paragraph" w:styleId="7">
    <w:name w:val="heading 5"/>
    <w:basedOn w:val="1"/>
    <w:next w:val="1"/>
    <w:link w:val="248"/>
    <w:qFormat/>
    <w:uiPriority w:val="0"/>
    <w:pPr>
      <w:keepNext/>
      <w:keepLines/>
      <w:spacing w:before="280" w:after="290" w:line="376" w:lineRule="auto"/>
      <w:outlineLvl w:val="4"/>
    </w:pPr>
    <w:rPr>
      <w:b/>
      <w:bCs/>
      <w:sz w:val="28"/>
      <w:szCs w:val="28"/>
    </w:rPr>
  </w:style>
  <w:style w:type="paragraph" w:styleId="8">
    <w:name w:val="heading 6"/>
    <w:basedOn w:val="1"/>
    <w:next w:val="1"/>
    <w:link w:val="219"/>
    <w:qFormat/>
    <w:uiPriority w:val="0"/>
    <w:pPr>
      <w:keepNext/>
      <w:keepLines/>
      <w:widowControl/>
      <w:numPr>
        <w:ilvl w:val="5"/>
        <w:numId w:val="1"/>
      </w:numPr>
      <w:tabs>
        <w:tab w:val="left" w:pos="432"/>
      </w:tabs>
      <w:spacing w:before="240" w:after="64" w:line="320" w:lineRule="auto"/>
      <w:jc w:val="center"/>
      <w:outlineLvl w:val="5"/>
    </w:pPr>
    <w:rPr>
      <w:rFonts w:ascii="Arial" w:hAnsi="Arial" w:eastAsia="黑体"/>
      <w:bCs/>
      <w:kern w:val="0"/>
      <w:sz w:val="24"/>
    </w:rPr>
  </w:style>
  <w:style w:type="paragraph" w:styleId="9">
    <w:name w:val="heading 7"/>
    <w:basedOn w:val="1"/>
    <w:next w:val="1"/>
    <w:link w:val="569"/>
    <w:qFormat/>
    <w:uiPriority w:val="0"/>
    <w:pPr>
      <w:keepNext/>
      <w:keepLines/>
      <w:widowControl/>
      <w:tabs>
        <w:tab w:val="left" w:pos="2520"/>
        <w:tab w:val="left" w:pos="2940"/>
      </w:tabs>
      <w:spacing w:before="240" w:after="64" w:line="320" w:lineRule="auto"/>
      <w:ind w:left="2940" w:hanging="420"/>
      <w:jc w:val="center"/>
      <w:outlineLvl w:val="6"/>
    </w:pPr>
    <w:rPr>
      <w:bCs/>
      <w:kern w:val="0"/>
      <w:sz w:val="24"/>
    </w:rPr>
  </w:style>
  <w:style w:type="paragraph" w:styleId="10">
    <w:name w:val="heading 8"/>
    <w:basedOn w:val="1"/>
    <w:next w:val="1"/>
    <w:link w:val="516"/>
    <w:qFormat/>
    <w:uiPriority w:val="0"/>
    <w:pPr>
      <w:keepNext/>
      <w:keepLines/>
      <w:widowControl/>
      <w:tabs>
        <w:tab w:val="left" w:pos="1440"/>
        <w:tab w:val="left" w:pos="3360"/>
      </w:tabs>
      <w:spacing w:before="240" w:after="64" w:line="320" w:lineRule="auto"/>
      <w:ind w:left="3360" w:hanging="420"/>
      <w:jc w:val="center"/>
      <w:outlineLvl w:val="7"/>
    </w:pPr>
    <w:rPr>
      <w:rFonts w:ascii="Arial" w:hAnsi="Arial" w:eastAsia="黑体"/>
      <w:b/>
      <w:kern w:val="0"/>
      <w:sz w:val="24"/>
    </w:rPr>
  </w:style>
  <w:style w:type="paragraph" w:styleId="11">
    <w:name w:val="heading 9"/>
    <w:basedOn w:val="1"/>
    <w:next w:val="1"/>
    <w:link w:val="335"/>
    <w:qFormat/>
    <w:uiPriority w:val="0"/>
    <w:pPr>
      <w:keepNext/>
      <w:keepLines/>
      <w:widowControl/>
      <w:tabs>
        <w:tab w:val="left" w:pos="1584"/>
        <w:tab w:val="left" w:pos="3780"/>
      </w:tabs>
      <w:spacing w:before="240" w:after="64" w:line="320" w:lineRule="auto"/>
      <w:ind w:left="3780" w:hanging="420"/>
      <w:jc w:val="center"/>
      <w:outlineLvl w:val="8"/>
    </w:pPr>
    <w:rPr>
      <w:rFonts w:ascii="Arial" w:hAnsi="Arial" w:eastAsia="黑体"/>
      <w:b/>
      <w:kern w:val="0"/>
      <w:szCs w:val="21"/>
    </w:rPr>
  </w:style>
  <w:style w:type="character" w:default="1" w:styleId="133">
    <w:name w:val="Default Paragraph Font"/>
    <w:semiHidden/>
    <w:unhideWhenUsed/>
    <w:qFormat/>
    <w:uiPriority w:val="1"/>
  </w:style>
  <w:style w:type="table" w:default="1" w:styleId="88">
    <w:name w:val="Normal Table"/>
    <w:semiHidden/>
    <w:unhideWhenUsed/>
    <w:qFormat/>
    <w:uiPriority w:val="99"/>
    <w:tblPr>
      <w:tblCellMar>
        <w:top w:w="0" w:type="dxa"/>
        <w:left w:w="108" w:type="dxa"/>
        <w:bottom w:w="0" w:type="dxa"/>
        <w:right w:w="108" w:type="dxa"/>
      </w:tblCellMar>
    </w:tblPr>
  </w:style>
  <w:style w:type="paragraph" w:styleId="2">
    <w:name w:val="macro"/>
    <w:link w:val="556"/>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paragraph" w:styleId="12">
    <w:name w:val="List 3"/>
    <w:basedOn w:val="1"/>
    <w:unhideWhenUsed/>
    <w:qFormat/>
    <w:uiPriority w:val="0"/>
    <w:pPr>
      <w:ind w:left="1260" w:hanging="420"/>
    </w:pPr>
  </w:style>
  <w:style w:type="paragraph" w:styleId="13">
    <w:name w:val="toc 7"/>
    <w:basedOn w:val="1"/>
    <w:next w:val="1"/>
    <w:unhideWhenUsed/>
    <w:qFormat/>
    <w:uiPriority w:val="39"/>
    <w:pPr>
      <w:ind w:left="1260"/>
      <w:jc w:val="left"/>
    </w:pPr>
    <w:rPr>
      <w:rFonts w:ascii="Calibri" w:hAnsi="Calibri"/>
      <w:sz w:val="18"/>
      <w:szCs w:val="18"/>
    </w:rPr>
  </w:style>
  <w:style w:type="paragraph" w:styleId="14">
    <w:name w:val="List Number 2"/>
    <w:basedOn w:val="1"/>
    <w:unhideWhenUsed/>
    <w:qFormat/>
    <w:uiPriority w:val="0"/>
    <w:pPr>
      <w:numPr>
        <w:ilvl w:val="0"/>
        <w:numId w:val="2"/>
      </w:numPr>
      <w:tabs>
        <w:tab w:val="left" w:pos="851"/>
      </w:tabs>
    </w:pPr>
  </w:style>
  <w:style w:type="paragraph" w:styleId="15">
    <w:name w:val="table of authorities"/>
    <w:basedOn w:val="1"/>
    <w:next w:val="1"/>
    <w:qFormat/>
    <w:uiPriority w:val="0"/>
    <w:pPr>
      <w:spacing w:line="480" w:lineRule="exact"/>
      <w:ind w:left="420" w:leftChars="200" w:firstLine="200" w:firstLineChars="200"/>
      <w:jc w:val="left"/>
    </w:pPr>
    <w:rPr>
      <w:color w:val="1F497D"/>
      <w:sz w:val="24"/>
    </w:rPr>
  </w:style>
  <w:style w:type="paragraph" w:styleId="16">
    <w:name w:val="Note Heading"/>
    <w:basedOn w:val="1"/>
    <w:next w:val="1"/>
    <w:link w:val="255"/>
    <w:unhideWhenUsed/>
    <w:qFormat/>
    <w:uiPriority w:val="0"/>
    <w:pPr>
      <w:jc w:val="center"/>
    </w:pPr>
  </w:style>
  <w:style w:type="paragraph" w:styleId="17">
    <w:name w:val="List Bullet 4"/>
    <w:basedOn w:val="1"/>
    <w:unhideWhenUsed/>
    <w:qFormat/>
    <w:uiPriority w:val="0"/>
    <w:pPr>
      <w:numPr>
        <w:ilvl w:val="0"/>
        <w:numId w:val="3"/>
      </w:numPr>
      <w:tabs>
        <w:tab w:val="left" w:pos="360"/>
        <w:tab w:val="left" w:pos="2040"/>
      </w:tabs>
    </w:pPr>
  </w:style>
  <w:style w:type="paragraph" w:styleId="18">
    <w:name w:val="index 8"/>
    <w:basedOn w:val="1"/>
    <w:next w:val="1"/>
    <w:qFormat/>
    <w:uiPriority w:val="0"/>
    <w:pPr>
      <w:spacing w:line="480" w:lineRule="exact"/>
      <w:ind w:left="1400" w:leftChars="1400" w:firstLine="200" w:firstLineChars="200"/>
      <w:jc w:val="left"/>
    </w:pPr>
    <w:rPr>
      <w:color w:val="1F497D"/>
      <w:sz w:val="24"/>
    </w:rPr>
  </w:style>
  <w:style w:type="paragraph" w:styleId="19">
    <w:name w:val="E-mail Signature"/>
    <w:basedOn w:val="1"/>
    <w:link w:val="265"/>
    <w:unhideWhenUsed/>
    <w:qFormat/>
    <w:uiPriority w:val="0"/>
  </w:style>
  <w:style w:type="paragraph" w:styleId="20">
    <w:name w:val="List Number"/>
    <w:basedOn w:val="1"/>
    <w:unhideWhenUsed/>
    <w:qFormat/>
    <w:uiPriority w:val="0"/>
    <w:pPr>
      <w:numPr>
        <w:ilvl w:val="0"/>
        <w:numId w:val="4"/>
      </w:numPr>
    </w:pPr>
  </w:style>
  <w:style w:type="paragraph" w:styleId="21">
    <w:name w:val="Normal Indent"/>
    <w:basedOn w:val="1"/>
    <w:qFormat/>
    <w:uiPriority w:val="0"/>
    <w:pPr>
      <w:widowControl/>
      <w:ind w:firstLine="420"/>
      <w:jc w:val="center"/>
    </w:pPr>
    <w:rPr>
      <w:b/>
      <w:kern w:val="0"/>
      <w:sz w:val="44"/>
      <w:szCs w:val="20"/>
    </w:rPr>
  </w:style>
  <w:style w:type="paragraph" w:styleId="22">
    <w:name w:val="caption"/>
    <w:basedOn w:val="1"/>
    <w:next w:val="1"/>
    <w:qFormat/>
    <w:uiPriority w:val="0"/>
    <w:rPr>
      <w:rFonts w:ascii="Cambria" w:hAnsi="Cambria" w:eastAsia="黑体"/>
      <w:sz w:val="20"/>
      <w:szCs w:val="20"/>
    </w:rPr>
  </w:style>
  <w:style w:type="paragraph" w:styleId="23">
    <w:name w:val="index 5"/>
    <w:basedOn w:val="1"/>
    <w:next w:val="1"/>
    <w:qFormat/>
    <w:uiPriority w:val="0"/>
    <w:pPr>
      <w:spacing w:line="480" w:lineRule="exact"/>
      <w:ind w:left="800" w:leftChars="800" w:firstLine="200" w:firstLineChars="200"/>
      <w:jc w:val="left"/>
    </w:pPr>
    <w:rPr>
      <w:color w:val="1F497D"/>
      <w:sz w:val="24"/>
    </w:rPr>
  </w:style>
  <w:style w:type="paragraph" w:styleId="24">
    <w:name w:val="List Bullet"/>
    <w:basedOn w:val="1"/>
    <w:unhideWhenUsed/>
    <w:qFormat/>
    <w:uiPriority w:val="0"/>
    <w:pPr>
      <w:tabs>
        <w:tab w:val="left" w:pos="360"/>
      </w:tabs>
      <w:ind w:left="360" w:hanging="360"/>
    </w:pPr>
  </w:style>
  <w:style w:type="paragraph" w:styleId="25">
    <w:name w:val="envelope address"/>
    <w:basedOn w:val="1"/>
    <w:unhideWhenUsed/>
    <w:qFormat/>
    <w:uiPriority w:val="0"/>
    <w:pPr>
      <w:framePr w:w="7920" w:h="1980" w:hSpace="180" w:wrap="around" w:vAnchor="margin" w:hAnchor="page" w:xAlign="center" w:yAlign="bottom"/>
      <w:snapToGrid w:val="0"/>
      <w:ind w:left="2880"/>
    </w:pPr>
    <w:rPr>
      <w:rFonts w:ascii="Arial" w:hAnsi="Arial" w:cs="Arial"/>
      <w:sz w:val="24"/>
    </w:rPr>
  </w:style>
  <w:style w:type="paragraph" w:styleId="26">
    <w:name w:val="Document Map"/>
    <w:basedOn w:val="1"/>
    <w:link w:val="472"/>
    <w:qFormat/>
    <w:uiPriority w:val="0"/>
    <w:rPr>
      <w:rFonts w:ascii="宋体"/>
      <w:sz w:val="18"/>
      <w:szCs w:val="18"/>
    </w:rPr>
  </w:style>
  <w:style w:type="paragraph" w:styleId="27">
    <w:name w:val="toa heading"/>
    <w:basedOn w:val="1"/>
    <w:next w:val="1"/>
    <w:qFormat/>
    <w:uiPriority w:val="0"/>
    <w:pPr>
      <w:spacing w:before="120" w:line="480" w:lineRule="exact"/>
      <w:ind w:firstLine="200" w:firstLineChars="200"/>
      <w:jc w:val="left"/>
    </w:pPr>
    <w:rPr>
      <w:rFonts w:ascii="Arial" w:hAnsi="Arial" w:cs="Arial"/>
      <w:color w:val="1F497D"/>
      <w:sz w:val="24"/>
    </w:rPr>
  </w:style>
  <w:style w:type="paragraph" w:styleId="28">
    <w:name w:val="annotation text"/>
    <w:basedOn w:val="1"/>
    <w:link w:val="242"/>
    <w:qFormat/>
    <w:uiPriority w:val="0"/>
    <w:pPr>
      <w:jc w:val="left"/>
    </w:pPr>
  </w:style>
  <w:style w:type="paragraph" w:styleId="29">
    <w:name w:val="index 6"/>
    <w:basedOn w:val="1"/>
    <w:next w:val="1"/>
    <w:qFormat/>
    <w:uiPriority w:val="0"/>
    <w:pPr>
      <w:spacing w:line="480" w:lineRule="exact"/>
      <w:ind w:left="1000" w:leftChars="1000" w:firstLine="200" w:firstLineChars="200"/>
      <w:jc w:val="left"/>
    </w:pPr>
    <w:rPr>
      <w:color w:val="1F497D"/>
      <w:sz w:val="24"/>
    </w:rPr>
  </w:style>
  <w:style w:type="paragraph" w:styleId="30">
    <w:name w:val="Salutation"/>
    <w:basedOn w:val="1"/>
    <w:next w:val="1"/>
    <w:link w:val="572"/>
    <w:unhideWhenUsed/>
    <w:qFormat/>
    <w:uiPriority w:val="0"/>
  </w:style>
  <w:style w:type="paragraph" w:styleId="31">
    <w:name w:val="Body Text 3"/>
    <w:basedOn w:val="1"/>
    <w:link w:val="257"/>
    <w:unhideWhenUsed/>
    <w:qFormat/>
    <w:uiPriority w:val="0"/>
    <w:pPr>
      <w:topLinePunct/>
      <w:spacing w:after="120"/>
    </w:pPr>
    <w:rPr>
      <w:sz w:val="16"/>
      <w:szCs w:val="16"/>
    </w:rPr>
  </w:style>
  <w:style w:type="paragraph" w:styleId="32">
    <w:name w:val="Closing"/>
    <w:basedOn w:val="1"/>
    <w:link w:val="244"/>
    <w:unhideWhenUsed/>
    <w:qFormat/>
    <w:uiPriority w:val="0"/>
    <w:pPr>
      <w:ind w:left="4320"/>
    </w:pPr>
  </w:style>
  <w:style w:type="paragraph" w:styleId="33">
    <w:name w:val="List Bullet 3"/>
    <w:basedOn w:val="1"/>
    <w:unhideWhenUsed/>
    <w:qFormat/>
    <w:uiPriority w:val="0"/>
    <w:pPr>
      <w:numPr>
        <w:ilvl w:val="0"/>
        <w:numId w:val="5"/>
      </w:numPr>
      <w:tabs>
        <w:tab w:val="left" w:pos="780"/>
        <w:tab w:val="left" w:pos="2040"/>
      </w:tabs>
    </w:pPr>
  </w:style>
  <w:style w:type="paragraph" w:styleId="34">
    <w:name w:val="Body Text"/>
    <w:basedOn w:val="1"/>
    <w:link w:val="198"/>
    <w:qFormat/>
    <w:uiPriority w:val="0"/>
    <w:pPr>
      <w:adjustRightInd w:val="0"/>
      <w:spacing w:after="60" w:line="360" w:lineRule="atLeast"/>
      <w:ind w:left="72" w:leftChars="30" w:right="30" w:rightChars="30"/>
      <w:jc w:val="center"/>
      <w:textAlignment w:val="baseline"/>
    </w:pPr>
    <w:rPr>
      <w:kern w:val="0"/>
      <w:sz w:val="20"/>
      <w:szCs w:val="20"/>
    </w:rPr>
  </w:style>
  <w:style w:type="paragraph" w:styleId="35">
    <w:name w:val="Body Text Indent"/>
    <w:basedOn w:val="1"/>
    <w:next w:val="1"/>
    <w:link w:val="185"/>
    <w:qFormat/>
    <w:uiPriority w:val="0"/>
    <w:pPr>
      <w:spacing w:after="120"/>
      <w:ind w:left="420" w:leftChars="200"/>
    </w:pPr>
  </w:style>
  <w:style w:type="paragraph" w:styleId="36">
    <w:name w:val="List Number 3"/>
    <w:basedOn w:val="1"/>
    <w:unhideWhenUsed/>
    <w:qFormat/>
    <w:uiPriority w:val="0"/>
    <w:pPr>
      <w:numPr>
        <w:ilvl w:val="0"/>
        <w:numId w:val="6"/>
      </w:numPr>
      <w:tabs>
        <w:tab w:val="left" w:pos="780"/>
        <w:tab w:val="left" w:pos="1145"/>
      </w:tabs>
    </w:pPr>
  </w:style>
  <w:style w:type="paragraph" w:styleId="37">
    <w:name w:val="List 2"/>
    <w:basedOn w:val="1"/>
    <w:unhideWhenUsed/>
    <w:qFormat/>
    <w:uiPriority w:val="0"/>
    <w:pPr>
      <w:ind w:left="840" w:hanging="420"/>
    </w:pPr>
  </w:style>
  <w:style w:type="paragraph" w:styleId="38">
    <w:name w:val="List Continue"/>
    <w:basedOn w:val="1"/>
    <w:unhideWhenUsed/>
    <w:qFormat/>
    <w:uiPriority w:val="0"/>
    <w:pPr>
      <w:spacing w:after="120"/>
      <w:ind w:left="420"/>
    </w:pPr>
  </w:style>
  <w:style w:type="paragraph" w:styleId="39">
    <w:name w:val="Block Text"/>
    <w:basedOn w:val="1"/>
    <w:unhideWhenUsed/>
    <w:qFormat/>
    <w:uiPriority w:val="0"/>
    <w:pPr>
      <w:spacing w:after="120"/>
      <w:ind w:left="1440" w:right="1440"/>
    </w:pPr>
  </w:style>
  <w:style w:type="paragraph" w:styleId="40">
    <w:name w:val="List Bullet 2"/>
    <w:basedOn w:val="1"/>
    <w:unhideWhenUsed/>
    <w:qFormat/>
    <w:uiPriority w:val="0"/>
    <w:pPr>
      <w:numPr>
        <w:ilvl w:val="0"/>
        <w:numId w:val="7"/>
      </w:numPr>
      <w:tabs>
        <w:tab w:val="left" w:pos="1200"/>
      </w:tabs>
    </w:pPr>
  </w:style>
  <w:style w:type="paragraph" w:styleId="41">
    <w:name w:val="HTML Address"/>
    <w:basedOn w:val="1"/>
    <w:link w:val="207"/>
    <w:unhideWhenUsed/>
    <w:qFormat/>
    <w:uiPriority w:val="0"/>
    <w:rPr>
      <w:i/>
      <w:iCs/>
    </w:rPr>
  </w:style>
  <w:style w:type="paragraph" w:styleId="42">
    <w:name w:val="index 4"/>
    <w:basedOn w:val="1"/>
    <w:next w:val="1"/>
    <w:qFormat/>
    <w:uiPriority w:val="0"/>
    <w:pPr>
      <w:ind w:left="600" w:leftChars="600"/>
    </w:pPr>
  </w:style>
  <w:style w:type="paragraph" w:styleId="43">
    <w:name w:val="toc 5"/>
    <w:basedOn w:val="1"/>
    <w:next w:val="1"/>
    <w:unhideWhenUsed/>
    <w:qFormat/>
    <w:uiPriority w:val="39"/>
    <w:pPr>
      <w:ind w:left="840"/>
      <w:jc w:val="left"/>
    </w:pPr>
    <w:rPr>
      <w:rFonts w:ascii="Calibri" w:hAnsi="Calibri"/>
      <w:sz w:val="18"/>
      <w:szCs w:val="18"/>
    </w:rPr>
  </w:style>
  <w:style w:type="paragraph" w:styleId="44">
    <w:name w:val="toc 3"/>
    <w:basedOn w:val="1"/>
    <w:next w:val="1"/>
    <w:unhideWhenUsed/>
    <w:qFormat/>
    <w:uiPriority w:val="39"/>
    <w:pPr>
      <w:tabs>
        <w:tab w:val="right" w:leader="dot" w:pos="8302"/>
      </w:tabs>
      <w:spacing w:line="360" w:lineRule="auto"/>
      <w:ind w:left="420"/>
      <w:jc w:val="left"/>
    </w:pPr>
    <w:rPr>
      <w:rFonts w:ascii="Calibri" w:hAnsi="Calibri"/>
      <w:i/>
      <w:iCs/>
      <w:sz w:val="20"/>
      <w:szCs w:val="20"/>
    </w:rPr>
  </w:style>
  <w:style w:type="paragraph" w:styleId="45">
    <w:name w:val="Plain Text"/>
    <w:basedOn w:val="1"/>
    <w:link w:val="407"/>
    <w:unhideWhenUsed/>
    <w:qFormat/>
    <w:uiPriority w:val="0"/>
    <w:rPr>
      <w:rFonts w:ascii="宋体" w:hAnsi="Courier New" w:cs="Courier New"/>
      <w:szCs w:val="21"/>
    </w:rPr>
  </w:style>
  <w:style w:type="paragraph" w:styleId="46">
    <w:name w:val="List Bullet 5"/>
    <w:basedOn w:val="1"/>
    <w:unhideWhenUsed/>
    <w:qFormat/>
    <w:uiPriority w:val="0"/>
    <w:pPr>
      <w:numPr>
        <w:ilvl w:val="0"/>
        <w:numId w:val="8"/>
      </w:numPr>
      <w:tabs>
        <w:tab w:val="left" w:pos="813"/>
        <w:tab w:val="left" w:pos="1200"/>
      </w:tabs>
    </w:pPr>
  </w:style>
  <w:style w:type="paragraph" w:styleId="47">
    <w:name w:val="List Number 4"/>
    <w:basedOn w:val="1"/>
    <w:unhideWhenUsed/>
    <w:qFormat/>
    <w:uiPriority w:val="0"/>
    <w:pPr>
      <w:numPr>
        <w:ilvl w:val="0"/>
        <w:numId w:val="9"/>
      </w:numPr>
      <w:tabs>
        <w:tab w:val="left" w:pos="425"/>
      </w:tabs>
    </w:pPr>
  </w:style>
  <w:style w:type="paragraph" w:styleId="48">
    <w:name w:val="toc 8"/>
    <w:basedOn w:val="1"/>
    <w:next w:val="1"/>
    <w:unhideWhenUsed/>
    <w:qFormat/>
    <w:uiPriority w:val="39"/>
    <w:pPr>
      <w:ind w:left="1470"/>
      <w:jc w:val="left"/>
    </w:pPr>
    <w:rPr>
      <w:rFonts w:ascii="Calibri" w:hAnsi="Calibri"/>
      <w:sz w:val="18"/>
      <w:szCs w:val="18"/>
    </w:rPr>
  </w:style>
  <w:style w:type="paragraph" w:styleId="49">
    <w:name w:val="index 3"/>
    <w:basedOn w:val="1"/>
    <w:next w:val="1"/>
    <w:qFormat/>
    <w:uiPriority w:val="0"/>
    <w:pPr>
      <w:spacing w:line="480" w:lineRule="exact"/>
      <w:ind w:left="400" w:leftChars="400" w:firstLine="200" w:firstLineChars="200"/>
      <w:jc w:val="left"/>
    </w:pPr>
    <w:rPr>
      <w:color w:val="1F497D"/>
      <w:sz w:val="24"/>
    </w:rPr>
  </w:style>
  <w:style w:type="paragraph" w:styleId="50">
    <w:name w:val="Date"/>
    <w:basedOn w:val="1"/>
    <w:next w:val="1"/>
    <w:link w:val="408"/>
    <w:qFormat/>
    <w:uiPriority w:val="99"/>
    <w:pPr>
      <w:ind w:left="100" w:leftChars="2500"/>
    </w:pPr>
  </w:style>
  <w:style w:type="paragraph" w:styleId="51">
    <w:name w:val="Body Text Indent 2"/>
    <w:basedOn w:val="1"/>
    <w:link w:val="515"/>
    <w:qFormat/>
    <w:uiPriority w:val="0"/>
    <w:pPr>
      <w:widowControl/>
      <w:overflowPunct w:val="0"/>
      <w:autoSpaceDE w:val="0"/>
      <w:autoSpaceDN w:val="0"/>
      <w:adjustRightInd w:val="0"/>
      <w:spacing w:line="360" w:lineRule="auto"/>
      <w:ind w:firstLine="555"/>
      <w:textAlignment w:val="baseline"/>
    </w:pPr>
    <w:rPr>
      <w:rFonts w:ascii="宋体" w:hAnsi="MS Sans Serif"/>
      <w:b/>
      <w:spacing w:val="12"/>
      <w:kern w:val="0"/>
      <w:sz w:val="24"/>
      <w:szCs w:val="20"/>
    </w:rPr>
  </w:style>
  <w:style w:type="paragraph" w:styleId="52">
    <w:name w:val="endnote text"/>
    <w:basedOn w:val="1"/>
    <w:link w:val="364"/>
    <w:qFormat/>
    <w:uiPriority w:val="0"/>
    <w:pPr>
      <w:snapToGrid w:val="0"/>
      <w:spacing w:line="480" w:lineRule="exact"/>
      <w:jc w:val="left"/>
    </w:pPr>
    <w:rPr>
      <w:sz w:val="24"/>
    </w:rPr>
  </w:style>
  <w:style w:type="paragraph" w:styleId="53">
    <w:name w:val="List Continue 5"/>
    <w:basedOn w:val="1"/>
    <w:unhideWhenUsed/>
    <w:qFormat/>
    <w:uiPriority w:val="0"/>
    <w:pPr>
      <w:spacing w:after="120"/>
      <w:ind w:left="2100"/>
    </w:pPr>
  </w:style>
  <w:style w:type="paragraph" w:styleId="54">
    <w:name w:val="Balloon Text"/>
    <w:basedOn w:val="1"/>
    <w:link w:val="483"/>
    <w:qFormat/>
    <w:uiPriority w:val="0"/>
    <w:rPr>
      <w:sz w:val="18"/>
      <w:szCs w:val="18"/>
    </w:rPr>
  </w:style>
  <w:style w:type="paragraph" w:styleId="55">
    <w:name w:val="footer"/>
    <w:basedOn w:val="1"/>
    <w:link w:val="216"/>
    <w:qFormat/>
    <w:uiPriority w:val="99"/>
    <w:pPr>
      <w:tabs>
        <w:tab w:val="center" w:pos="4153"/>
        <w:tab w:val="right" w:pos="8306"/>
      </w:tabs>
      <w:snapToGrid w:val="0"/>
      <w:jc w:val="left"/>
    </w:pPr>
    <w:rPr>
      <w:sz w:val="18"/>
      <w:szCs w:val="18"/>
    </w:rPr>
  </w:style>
  <w:style w:type="paragraph" w:styleId="56">
    <w:name w:val="envelope return"/>
    <w:basedOn w:val="1"/>
    <w:unhideWhenUsed/>
    <w:qFormat/>
    <w:uiPriority w:val="0"/>
    <w:pPr>
      <w:snapToGrid w:val="0"/>
    </w:pPr>
    <w:rPr>
      <w:rFonts w:ascii="Arial" w:hAnsi="Arial" w:cs="Arial"/>
    </w:rPr>
  </w:style>
  <w:style w:type="paragraph" w:styleId="57">
    <w:name w:val="header"/>
    <w:basedOn w:val="1"/>
    <w:link w:val="184"/>
    <w:qFormat/>
    <w:uiPriority w:val="99"/>
    <w:pPr>
      <w:pBdr>
        <w:bottom w:val="single" w:color="auto" w:sz="6" w:space="1"/>
      </w:pBdr>
      <w:tabs>
        <w:tab w:val="center" w:pos="4153"/>
        <w:tab w:val="right" w:pos="8306"/>
      </w:tabs>
      <w:snapToGrid w:val="0"/>
      <w:jc w:val="center"/>
    </w:pPr>
    <w:rPr>
      <w:sz w:val="18"/>
      <w:szCs w:val="18"/>
    </w:rPr>
  </w:style>
  <w:style w:type="paragraph" w:styleId="58">
    <w:name w:val="Signature"/>
    <w:basedOn w:val="1"/>
    <w:link w:val="422"/>
    <w:unhideWhenUsed/>
    <w:qFormat/>
    <w:uiPriority w:val="0"/>
    <w:pPr>
      <w:ind w:left="4320"/>
    </w:pPr>
  </w:style>
  <w:style w:type="paragraph" w:styleId="59">
    <w:name w:val="toc 1"/>
    <w:basedOn w:val="1"/>
    <w:next w:val="1"/>
    <w:qFormat/>
    <w:uiPriority w:val="39"/>
    <w:pPr>
      <w:spacing w:before="120" w:after="120"/>
      <w:jc w:val="left"/>
    </w:pPr>
    <w:rPr>
      <w:rFonts w:ascii="Calibri" w:hAnsi="Calibri"/>
      <w:b/>
      <w:bCs/>
      <w:caps/>
      <w:sz w:val="20"/>
      <w:szCs w:val="20"/>
    </w:rPr>
  </w:style>
  <w:style w:type="paragraph" w:styleId="60">
    <w:name w:val="List Continue 4"/>
    <w:basedOn w:val="1"/>
    <w:unhideWhenUsed/>
    <w:qFormat/>
    <w:uiPriority w:val="0"/>
    <w:pPr>
      <w:spacing w:after="120"/>
      <w:ind w:left="1680"/>
    </w:pPr>
  </w:style>
  <w:style w:type="paragraph" w:styleId="61">
    <w:name w:val="toc 4"/>
    <w:basedOn w:val="1"/>
    <w:next w:val="1"/>
    <w:unhideWhenUsed/>
    <w:qFormat/>
    <w:uiPriority w:val="39"/>
    <w:pPr>
      <w:ind w:left="630"/>
      <w:jc w:val="left"/>
    </w:pPr>
    <w:rPr>
      <w:rFonts w:ascii="Calibri" w:hAnsi="Calibri"/>
      <w:sz w:val="18"/>
      <w:szCs w:val="18"/>
    </w:rPr>
  </w:style>
  <w:style w:type="paragraph" w:styleId="62">
    <w:name w:val="index heading"/>
    <w:basedOn w:val="1"/>
    <w:next w:val="63"/>
    <w:unhideWhenUsed/>
    <w:qFormat/>
    <w:uiPriority w:val="0"/>
    <w:pPr>
      <w:topLinePunct/>
      <w:adjustRightInd w:val="0"/>
      <w:spacing w:line="490" w:lineRule="exact"/>
      <w:ind w:firstLine="556"/>
    </w:pPr>
    <w:rPr>
      <w:rFonts w:eastAsia="FangSong_GB2312"/>
      <w:kern w:val="0"/>
      <w:sz w:val="28"/>
      <w:szCs w:val="20"/>
    </w:rPr>
  </w:style>
  <w:style w:type="paragraph" w:styleId="63">
    <w:name w:val="index 1"/>
    <w:basedOn w:val="1"/>
    <w:next w:val="1"/>
    <w:unhideWhenUsed/>
    <w:qFormat/>
    <w:uiPriority w:val="0"/>
    <w:pPr>
      <w:topLinePunct/>
    </w:pPr>
  </w:style>
  <w:style w:type="paragraph" w:styleId="64">
    <w:name w:val="Subtitle"/>
    <w:basedOn w:val="1"/>
    <w:next w:val="1"/>
    <w:link w:val="593"/>
    <w:qFormat/>
    <w:uiPriority w:val="0"/>
    <w:pPr>
      <w:spacing w:before="240" w:after="60" w:line="312" w:lineRule="auto"/>
      <w:jc w:val="center"/>
      <w:outlineLvl w:val="1"/>
    </w:pPr>
    <w:rPr>
      <w:rFonts w:ascii="Cambria" w:hAnsi="Cambria"/>
      <w:b/>
      <w:bCs/>
      <w:kern w:val="28"/>
      <w:sz w:val="32"/>
      <w:szCs w:val="32"/>
    </w:rPr>
  </w:style>
  <w:style w:type="paragraph" w:styleId="65">
    <w:name w:val="List Number 5"/>
    <w:basedOn w:val="1"/>
    <w:unhideWhenUsed/>
    <w:qFormat/>
    <w:uiPriority w:val="0"/>
    <w:pPr>
      <w:numPr>
        <w:ilvl w:val="0"/>
        <w:numId w:val="10"/>
      </w:numPr>
      <w:tabs>
        <w:tab w:val="left" w:pos="1134"/>
        <w:tab w:val="left" w:pos="1620"/>
      </w:tabs>
    </w:pPr>
  </w:style>
  <w:style w:type="paragraph" w:styleId="66">
    <w:name w:val="List"/>
    <w:basedOn w:val="1"/>
    <w:unhideWhenUsed/>
    <w:qFormat/>
    <w:uiPriority w:val="0"/>
    <w:pPr>
      <w:widowControl/>
      <w:suppressLineNumbers/>
      <w:topLinePunct/>
      <w:spacing w:line="240" w:lineRule="atLeast"/>
    </w:pPr>
    <w:rPr>
      <w:kern w:val="24"/>
      <w:sz w:val="24"/>
    </w:rPr>
  </w:style>
  <w:style w:type="paragraph" w:styleId="67">
    <w:name w:val="footnote text"/>
    <w:basedOn w:val="1"/>
    <w:link w:val="225"/>
    <w:qFormat/>
    <w:uiPriority w:val="0"/>
    <w:pPr>
      <w:snapToGrid w:val="0"/>
      <w:spacing w:line="480" w:lineRule="exact"/>
      <w:jc w:val="left"/>
    </w:pPr>
    <w:rPr>
      <w:sz w:val="18"/>
      <w:szCs w:val="18"/>
    </w:rPr>
  </w:style>
  <w:style w:type="paragraph" w:styleId="68">
    <w:name w:val="toc 6"/>
    <w:basedOn w:val="1"/>
    <w:next w:val="1"/>
    <w:unhideWhenUsed/>
    <w:qFormat/>
    <w:uiPriority w:val="39"/>
    <w:pPr>
      <w:ind w:left="1050"/>
      <w:jc w:val="left"/>
    </w:pPr>
    <w:rPr>
      <w:rFonts w:ascii="Calibri" w:hAnsi="Calibri"/>
      <w:sz w:val="18"/>
      <w:szCs w:val="18"/>
    </w:rPr>
  </w:style>
  <w:style w:type="paragraph" w:styleId="69">
    <w:name w:val="List 5"/>
    <w:basedOn w:val="1"/>
    <w:unhideWhenUsed/>
    <w:qFormat/>
    <w:uiPriority w:val="0"/>
    <w:pPr>
      <w:ind w:left="2100" w:hanging="420"/>
    </w:pPr>
  </w:style>
  <w:style w:type="paragraph" w:styleId="70">
    <w:name w:val="Body Text Indent 3"/>
    <w:basedOn w:val="1"/>
    <w:link w:val="423"/>
    <w:unhideWhenUsed/>
    <w:qFormat/>
    <w:uiPriority w:val="0"/>
    <w:pPr>
      <w:snapToGrid w:val="0"/>
      <w:spacing w:line="360" w:lineRule="auto"/>
      <w:ind w:firstLine="600" w:firstLineChars="200"/>
    </w:pPr>
    <w:rPr>
      <w:rFonts w:ascii="FangSong_GB2312" w:eastAsia="FangSong_GB2312"/>
      <w:sz w:val="30"/>
    </w:rPr>
  </w:style>
  <w:style w:type="paragraph" w:styleId="71">
    <w:name w:val="index 7"/>
    <w:basedOn w:val="1"/>
    <w:next w:val="1"/>
    <w:qFormat/>
    <w:uiPriority w:val="0"/>
    <w:pPr>
      <w:spacing w:line="480" w:lineRule="exact"/>
      <w:ind w:left="1200" w:leftChars="1200" w:firstLine="200" w:firstLineChars="200"/>
      <w:jc w:val="left"/>
    </w:pPr>
    <w:rPr>
      <w:color w:val="1F497D"/>
      <w:sz w:val="24"/>
    </w:rPr>
  </w:style>
  <w:style w:type="paragraph" w:styleId="72">
    <w:name w:val="index 9"/>
    <w:basedOn w:val="1"/>
    <w:next w:val="1"/>
    <w:qFormat/>
    <w:uiPriority w:val="0"/>
    <w:pPr>
      <w:spacing w:line="480" w:lineRule="exact"/>
      <w:ind w:left="1600" w:leftChars="1600" w:firstLine="200" w:firstLineChars="200"/>
      <w:jc w:val="left"/>
    </w:pPr>
    <w:rPr>
      <w:color w:val="1F497D"/>
      <w:sz w:val="24"/>
    </w:rPr>
  </w:style>
  <w:style w:type="paragraph" w:styleId="73">
    <w:name w:val="table of figures"/>
    <w:basedOn w:val="1"/>
    <w:next w:val="1"/>
    <w:unhideWhenUsed/>
    <w:qFormat/>
    <w:uiPriority w:val="0"/>
    <w:pPr>
      <w:topLinePunct/>
      <w:ind w:left="200" w:leftChars="200" w:hanging="200" w:hangingChars="200"/>
    </w:pPr>
  </w:style>
  <w:style w:type="paragraph" w:styleId="74">
    <w:name w:val="toc 2"/>
    <w:basedOn w:val="1"/>
    <w:next w:val="1"/>
    <w:unhideWhenUsed/>
    <w:qFormat/>
    <w:uiPriority w:val="39"/>
    <w:pPr>
      <w:tabs>
        <w:tab w:val="right" w:leader="dot" w:pos="8302"/>
      </w:tabs>
      <w:spacing w:line="480" w:lineRule="auto"/>
      <w:ind w:left="284"/>
      <w:jc w:val="left"/>
    </w:pPr>
    <w:rPr>
      <w:rFonts w:ascii="Calibri" w:hAnsi="Calibri"/>
      <w:smallCaps/>
      <w:sz w:val="20"/>
      <w:szCs w:val="20"/>
    </w:rPr>
  </w:style>
  <w:style w:type="paragraph" w:styleId="75">
    <w:name w:val="toc 9"/>
    <w:basedOn w:val="1"/>
    <w:next w:val="1"/>
    <w:unhideWhenUsed/>
    <w:qFormat/>
    <w:uiPriority w:val="39"/>
    <w:pPr>
      <w:ind w:left="1680"/>
      <w:jc w:val="left"/>
    </w:pPr>
    <w:rPr>
      <w:rFonts w:ascii="Calibri" w:hAnsi="Calibri"/>
      <w:sz w:val="18"/>
      <w:szCs w:val="18"/>
    </w:rPr>
  </w:style>
  <w:style w:type="paragraph" w:styleId="76">
    <w:name w:val="Body Text 2"/>
    <w:basedOn w:val="1"/>
    <w:link w:val="258"/>
    <w:unhideWhenUsed/>
    <w:qFormat/>
    <w:uiPriority w:val="0"/>
    <w:pPr>
      <w:topLinePunct/>
      <w:spacing w:after="120" w:line="480" w:lineRule="auto"/>
    </w:pPr>
    <w:rPr>
      <w:szCs w:val="21"/>
    </w:rPr>
  </w:style>
  <w:style w:type="paragraph" w:styleId="77">
    <w:name w:val="List 4"/>
    <w:basedOn w:val="1"/>
    <w:unhideWhenUsed/>
    <w:qFormat/>
    <w:uiPriority w:val="0"/>
    <w:pPr>
      <w:ind w:left="1680" w:hanging="420"/>
    </w:pPr>
  </w:style>
  <w:style w:type="paragraph" w:styleId="78">
    <w:name w:val="List Continue 2"/>
    <w:basedOn w:val="1"/>
    <w:unhideWhenUsed/>
    <w:qFormat/>
    <w:uiPriority w:val="0"/>
    <w:pPr>
      <w:spacing w:after="120"/>
      <w:ind w:left="840"/>
    </w:pPr>
  </w:style>
  <w:style w:type="paragraph" w:styleId="79">
    <w:name w:val="Message Header"/>
    <w:basedOn w:val="1"/>
    <w:link w:val="156"/>
    <w:unhideWhenUsed/>
    <w:qFormat/>
    <w:uiPriority w:val="0"/>
    <w:pPr>
      <w:pBdr>
        <w:top w:val="single" w:color="auto" w:sz="6" w:space="1"/>
        <w:left w:val="single" w:color="auto" w:sz="6" w:space="1"/>
        <w:bottom w:val="single" w:color="auto" w:sz="6" w:space="1"/>
        <w:right w:val="single" w:color="auto" w:sz="6" w:space="1"/>
      </w:pBdr>
      <w:shd w:val="pct20" w:color="auto" w:fill="auto"/>
      <w:ind w:left="1080" w:hanging="1080"/>
    </w:pPr>
    <w:rPr>
      <w:rFonts w:ascii="Arial" w:hAnsi="Arial" w:cs="Arial"/>
      <w:sz w:val="24"/>
    </w:rPr>
  </w:style>
  <w:style w:type="paragraph" w:styleId="80">
    <w:name w:val="HTML Preformatted"/>
    <w:basedOn w:val="1"/>
    <w:link w:val="600"/>
    <w:unhideWhenUsed/>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styleId="81">
    <w:name w:val="Normal (Web)"/>
    <w:basedOn w:val="1"/>
    <w:qFormat/>
    <w:uiPriority w:val="0"/>
    <w:pPr>
      <w:widowControl/>
      <w:spacing w:before="100" w:beforeAutospacing="1" w:after="100" w:afterAutospacing="1" w:line="320" w:lineRule="atLeast"/>
      <w:jc w:val="left"/>
    </w:pPr>
    <w:rPr>
      <w:rFonts w:ascii="宋体" w:hAnsi="宋体"/>
      <w:kern w:val="0"/>
      <w:sz w:val="18"/>
      <w:szCs w:val="18"/>
    </w:rPr>
  </w:style>
  <w:style w:type="paragraph" w:styleId="82">
    <w:name w:val="List Continue 3"/>
    <w:basedOn w:val="1"/>
    <w:unhideWhenUsed/>
    <w:qFormat/>
    <w:uiPriority w:val="0"/>
    <w:pPr>
      <w:spacing w:after="120"/>
      <w:ind w:left="1260"/>
    </w:pPr>
  </w:style>
  <w:style w:type="paragraph" w:styleId="83">
    <w:name w:val="index 2"/>
    <w:basedOn w:val="1"/>
    <w:next w:val="1"/>
    <w:qFormat/>
    <w:uiPriority w:val="0"/>
    <w:pPr>
      <w:spacing w:line="480" w:lineRule="exact"/>
      <w:ind w:left="200" w:leftChars="200" w:firstLine="200" w:firstLineChars="200"/>
      <w:jc w:val="left"/>
    </w:pPr>
    <w:rPr>
      <w:color w:val="1F497D"/>
      <w:sz w:val="24"/>
    </w:rPr>
  </w:style>
  <w:style w:type="paragraph" w:styleId="84">
    <w:name w:val="Title"/>
    <w:basedOn w:val="1"/>
    <w:next w:val="1"/>
    <w:link w:val="453"/>
    <w:qFormat/>
    <w:uiPriority w:val="0"/>
    <w:pPr>
      <w:spacing w:before="240" w:after="60"/>
      <w:jc w:val="center"/>
      <w:outlineLvl w:val="0"/>
    </w:pPr>
    <w:rPr>
      <w:rFonts w:ascii="Cambria" w:hAnsi="Cambria"/>
      <w:b/>
      <w:bCs/>
      <w:sz w:val="32"/>
      <w:szCs w:val="32"/>
    </w:rPr>
  </w:style>
  <w:style w:type="paragraph" w:styleId="85">
    <w:name w:val="annotation subject"/>
    <w:basedOn w:val="28"/>
    <w:next w:val="28"/>
    <w:link w:val="513"/>
    <w:qFormat/>
    <w:uiPriority w:val="0"/>
    <w:rPr>
      <w:b/>
      <w:bCs/>
    </w:rPr>
  </w:style>
  <w:style w:type="paragraph" w:styleId="86">
    <w:name w:val="Body Text First Indent"/>
    <w:basedOn w:val="34"/>
    <w:link w:val="272"/>
    <w:unhideWhenUsed/>
    <w:qFormat/>
    <w:uiPriority w:val="0"/>
    <w:pPr>
      <w:adjustRightInd/>
      <w:spacing w:after="120" w:line="240" w:lineRule="auto"/>
      <w:ind w:left="0" w:leftChars="0" w:right="0" w:rightChars="0" w:firstLine="420"/>
      <w:jc w:val="both"/>
      <w:textAlignment w:val="auto"/>
    </w:pPr>
    <w:rPr>
      <w:kern w:val="2"/>
      <w:sz w:val="21"/>
      <w:szCs w:val="24"/>
    </w:rPr>
  </w:style>
  <w:style w:type="paragraph" w:styleId="87">
    <w:name w:val="Body Text First Indent 2"/>
    <w:basedOn w:val="35"/>
    <w:link w:val="531"/>
    <w:unhideWhenUsed/>
    <w:qFormat/>
    <w:uiPriority w:val="0"/>
    <w:pPr>
      <w:ind w:left="0" w:leftChars="0" w:firstLine="420"/>
    </w:pPr>
  </w:style>
  <w:style w:type="table" w:styleId="89">
    <w:name w:val="Table Grid"/>
    <w:basedOn w:val="88"/>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90">
    <w:name w:val="Table Theme"/>
    <w:basedOn w:val="88"/>
    <w:unhideWhenUsed/>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91">
    <w:name w:val="Table Colorful 1"/>
    <w:basedOn w:val="88"/>
    <w:unhideWhenUsed/>
    <w:qFormat/>
    <w:uiPriority w:val="0"/>
    <w:pPr>
      <w:widowControl w:val="0"/>
      <w:jc w:val="both"/>
    </w:pPr>
    <w:rPr>
      <w:color w:val="FFFFFF"/>
    </w:rPr>
    <w:tblPr>
      <w:tblBorders>
        <w:top w:val="single" w:color="008080" w:sz="12" w:space="0"/>
        <w:left w:val="single" w:color="008080" w:sz="12" w:space="0"/>
        <w:bottom w:val="single" w:color="008080" w:sz="12" w:space="0"/>
        <w:right w:val="single" w:color="008080" w:sz="12" w:space="0"/>
        <w:insideH w:val="single" w:color="00FFFF" w:sz="6" w:space="0"/>
      </w:tblBorders>
      <w:tblCellMar>
        <w:top w:w="0" w:type="dxa"/>
        <w:left w:w="108" w:type="dxa"/>
        <w:bottom w:w="0" w:type="dxa"/>
        <w:right w:w="108" w:type="dxa"/>
      </w:tblCellMar>
    </w:tblPr>
    <w:tcPr>
      <w:shd w:val="solid" w:color="008080" w:fill="FFFFFF"/>
    </w:tcPr>
    <w:tblStylePr w:type="firstRow">
      <w:rPr>
        <w:b/>
        <w:bCs/>
        <w:i/>
        <w:iCs/>
      </w:rPr>
      <w:tblPr/>
      <w:tcPr>
        <w:tcBorders>
          <w:top w:val="nil"/>
          <w:left w:val="nil"/>
          <w:bottom w:val="nil"/>
          <w:right w:val="nil"/>
          <w:insideH w:val="nil"/>
          <w:insideV w:val="nil"/>
          <w:tl2br w:val="nil"/>
          <w:tr2bl w:val="nil"/>
        </w:tcBorders>
        <w:shd w:val="solid" w:color="000000" w:fill="FFFFFF"/>
      </w:tcPr>
    </w:tblStylePr>
    <w:tblStylePr w:type="firstCol">
      <w:rPr>
        <w:b/>
        <w:bCs/>
        <w:i/>
        <w:iCs/>
      </w:rPr>
      <w:tblPr/>
      <w:tcPr>
        <w:tcBorders>
          <w:top w:val="nil"/>
          <w:left w:val="nil"/>
          <w:bottom w:val="nil"/>
          <w:right w:val="nil"/>
          <w:insideH w:val="nil"/>
          <w:insideV w:val="nil"/>
          <w:tl2br w:val="nil"/>
          <w:tr2bl w:val="nil"/>
        </w:tcBorders>
        <w:shd w:val="solid" w:color="000080" w:fill="FFFFFF"/>
      </w:tcPr>
    </w:tblStylePr>
    <w:tblStylePr w:type="nwCell">
      <w:tblPr/>
      <w:tcPr>
        <w:tcBorders>
          <w:top w:val="nil"/>
          <w:left w:val="nil"/>
          <w:bottom w:val="nil"/>
          <w:right w:val="nil"/>
          <w:insideH w:val="nil"/>
          <w:insideV w:val="nil"/>
          <w:tl2br w:val="nil"/>
          <w:tr2bl w:val="nil"/>
        </w:tcBorders>
        <w:shd w:val="solid" w:color="000000" w:fill="FFFFFF"/>
      </w:tcPr>
    </w:tblStylePr>
    <w:tblStylePr w:type="swCell">
      <w:rPr>
        <w:b/>
        <w:bCs/>
        <w:i w:val="0"/>
        <w:iCs w:val="0"/>
      </w:rPr>
      <w:tblPr/>
      <w:tcPr>
        <w:tcBorders>
          <w:top w:val="nil"/>
          <w:left w:val="nil"/>
          <w:bottom w:val="nil"/>
          <w:right w:val="nil"/>
          <w:insideH w:val="nil"/>
          <w:insideV w:val="nil"/>
          <w:tl2br w:val="nil"/>
          <w:tr2bl w:val="nil"/>
        </w:tcBorders>
      </w:tcPr>
    </w:tblStylePr>
  </w:style>
  <w:style w:type="table" w:styleId="92">
    <w:name w:val="Table Colorful 2"/>
    <w:basedOn w:val="88"/>
    <w:unhideWhenUsed/>
    <w:qFormat/>
    <w:uiPriority w:val="0"/>
    <w:pPr>
      <w:widowControl w:val="0"/>
      <w:jc w:val="both"/>
    </w:pPr>
    <w:tblPr>
      <w:tblBorders>
        <w:bottom w:val="single" w:color="000000" w:sz="12" w:space="0"/>
      </w:tblBorders>
      <w:tblCellMar>
        <w:top w:w="0" w:type="dxa"/>
        <w:left w:w="108" w:type="dxa"/>
        <w:bottom w:w="0" w:type="dxa"/>
        <w:right w:w="108" w:type="dxa"/>
      </w:tblCellMar>
    </w:tblPr>
    <w:tcPr>
      <w:shd w:val="pct20" w:color="FFFF00" w:fill="FFFFFF"/>
    </w:tcPr>
    <w:tblStylePr w:type="firstRow">
      <w:rPr>
        <w:b/>
        <w:bCs/>
        <w:i/>
        <w:iCs/>
        <w:color w:val="FFFFFF"/>
      </w:rPr>
      <w:tblPr/>
      <w:tcPr>
        <w:tcBorders>
          <w:top w:val="nil"/>
          <w:left w:val="nil"/>
          <w:bottom w:val="single" w:color="000000" w:sz="12" w:space="0"/>
          <w:right w:val="nil"/>
          <w:insideH w:val="nil"/>
          <w:insideV w:val="nil"/>
          <w:tl2br w:val="nil"/>
          <w:tr2bl w:val="nil"/>
        </w:tcBorders>
        <w:shd w:val="solid" w:color="800000" w:fill="FFFFFF"/>
      </w:tcPr>
    </w:tblStylePr>
    <w:tblStylePr w:type="firstCol">
      <w:rPr>
        <w:b/>
        <w:bCs/>
        <w:i/>
        <w:iCs/>
      </w:rPr>
      <w:tblPr/>
      <w:tcPr>
        <w:tcBorders>
          <w:top w:val="nil"/>
          <w:left w:val="nil"/>
          <w:bottom w:val="nil"/>
          <w:right w:val="nil"/>
          <w:insideH w:val="nil"/>
          <w:insideV w:val="nil"/>
          <w:tl2br w:val="nil"/>
          <w:tr2bl w:val="nil"/>
        </w:tcBorders>
      </w:tcPr>
    </w:tblStylePr>
    <w:tblStylePr w:type="lastCol">
      <w:tblPr/>
      <w:tcPr>
        <w:tcBorders>
          <w:top w:val="nil"/>
          <w:left w:val="nil"/>
          <w:bottom w:val="nil"/>
          <w:right w:val="nil"/>
          <w:insideH w:val="nil"/>
          <w:insideV w:val="nil"/>
          <w:tl2br w:val="nil"/>
          <w:tr2bl w:val="nil"/>
        </w:tcBorders>
        <w:shd w:val="solid" w:color="C0C0C0" w:fill="FFFFFF"/>
      </w:tcPr>
    </w:tblStylePr>
    <w:tblStylePr w:type="swCell">
      <w:rPr>
        <w:b/>
        <w:bCs/>
        <w:i w:val="0"/>
        <w:iCs w:val="0"/>
      </w:rPr>
      <w:tblPr/>
      <w:tcPr>
        <w:tcBorders>
          <w:top w:val="nil"/>
          <w:left w:val="nil"/>
          <w:bottom w:val="nil"/>
          <w:right w:val="nil"/>
          <w:insideH w:val="nil"/>
          <w:insideV w:val="nil"/>
          <w:tl2br w:val="nil"/>
          <w:tr2bl w:val="nil"/>
        </w:tcBorders>
      </w:tcPr>
    </w:tblStylePr>
  </w:style>
  <w:style w:type="table" w:styleId="93">
    <w:name w:val="Table Colorful 3"/>
    <w:basedOn w:val="88"/>
    <w:unhideWhenUsed/>
    <w:qFormat/>
    <w:uiPriority w:val="0"/>
    <w:pPr>
      <w:widowControl w:val="0"/>
      <w:jc w:val="both"/>
    </w:pPr>
    <w:tblPr>
      <w:tblBorders>
        <w:top w:val="single" w:color="000000" w:sz="18" w:space="0"/>
        <w:left w:val="single" w:color="000000" w:sz="18" w:space="0"/>
        <w:bottom w:val="single" w:color="000000" w:sz="18" w:space="0"/>
        <w:right w:val="single" w:color="000000" w:sz="18" w:space="0"/>
        <w:insideH w:val="single" w:color="C0C0C0" w:sz="6" w:space="0"/>
      </w:tblBorders>
      <w:tblCellMar>
        <w:top w:w="0" w:type="dxa"/>
        <w:left w:w="108" w:type="dxa"/>
        <w:bottom w:w="0" w:type="dxa"/>
        <w:right w:w="108" w:type="dxa"/>
      </w:tblCellMar>
    </w:tblPr>
    <w:tcPr>
      <w:shd w:val="pct25" w:color="008080" w:fill="FFFFFF"/>
    </w:tcPr>
    <w:tblStylePr w:type="firstRow">
      <w:tblPr/>
      <w:tcPr>
        <w:tcBorders>
          <w:top w:val="nil"/>
          <w:left w:val="nil"/>
          <w:bottom w:val="single" w:color="000000" w:sz="6" w:space="0"/>
          <w:right w:val="nil"/>
          <w:insideH w:val="nil"/>
          <w:insideV w:val="nil"/>
          <w:tl2br w:val="nil"/>
          <w:tr2bl w:val="nil"/>
        </w:tcBorders>
        <w:shd w:val="solid" w:color="008080" w:fill="FFFFFF"/>
      </w:tcPr>
    </w:tblStylePr>
    <w:tblStylePr w:type="firstCol">
      <w:tblPr/>
      <w:tcPr>
        <w:tcBorders>
          <w:top w:val="nil"/>
          <w:left w:val="single" w:color="000000" w:sz="36" w:space="0"/>
          <w:bottom w:val="nil"/>
          <w:right w:val="single" w:color="000000" w:sz="6" w:space="0"/>
          <w:insideH w:val="nil"/>
          <w:insideV w:val="nil"/>
          <w:tl2br w:val="nil"/>
          <w:tr2bl w:val="nil"/>
        </w:tcBorders>
        <w:shd w:val="solid" w:color="008080" w:fill="FFFFFF"/>
      </w:tcPr>
    </w:tblStylePr>
    <w:tblStylePr w:type="nwCell">
      <w:rPr>
        <w:b/>
        <w:bCs/>
        <w:color w:val="FFFFFF"/>
      </w:rPr>
      <w:tblPr/>
      <w:tcPr>
        <w:tcBorders>
          <w:top w:val="nil"/>
          <w:left w:val="nil"/>
          <w:bottom w:val="nil"/>
          <w:right w:val="nil"/>
          <w:insideH w:val="nil"/>
          <w:insideV w:val="nil"/>
          <w:tl2br w:val="nil"/>
          <w:tr2bl w:val="nil"/>
        </w:tcBorders>
        <w:shd w:val="solid" w:color="000000" w:fill="FFFFFF"/>
      </w:tcPr>
    </w:tblStylePr>
  </w:style>
  <w:style w:type="table" w:styleId="94">
    <w:name w:val="Table Elegant"/>
    <w:basedOn w:val="88"/>
    <w:unhideWhenUsed/>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blStylePr w:type="firstRow">
      <w:rPr>
        <w:caps/>
        <w:color w:val="auto"/>
      </w:rPr>
      <w:tblPr/>
      <w:tcPr>
        <w:tcBorders>
          <w:top w:val="nil"/>
          <w:left w:val="nil"/>
          <w:bottom w:val="nil"/>
          <w:right w:val="nil"/>
          <w:insideH w:val="nil"/>
          <w:insideV w:val="nil"/>
          <w:tl2br w:val="nil"/>
          <w:tr2bl w:val="nil"/>
        </w:tcBorders>
      </w:tcPr>
    </w:tblStylePr>
  </w:style>
  <w:style w:type="table" w:styleId="95">
    <w:name w:val="Table Classic 1"/>
    <w:basedOn w:val="88"/>
    <w:unhideWhenUsed/>
    <w:qFormat/>
    <w:uiPriority w:val="0"/>
    <w:pPr>
      <w:widowControl w:val="0"/>
      <w:jc w:val="both"/>
    </w:pPr>
    <w:tblPr>
      <w:tblBorders>
        <w:top w:val="single" w:color="000000" w:sz="12" w:space="0"/>
        <w:bottom w:val="single" w:color="000000" w:sz="12" w:space="0"/>
      </w:tblBorders>
      <w:tblCellMar>
        <w:top w:w="0" w:type="dxa"/>
        <w:left w:w="108" w:type="dxa"/>
        <w:bottom w:w="0" w:type="dxa"/>
        <w:right w:w="108" w:type="dxa"/>
      </w:tblCellMar>
    </w:tblPr>
    <w:tblStylePr w:type="firstRow">
      <w:rPr>
        <w:i/>
        <w:iCs/>
      </w:rPr>
      <w:tblPr/>
      <w:tcPr>
        <w:tcBorders>
          <w:top w:val="nil"/>
          <w:left w:val="nil"/>
          <w:bottom w:val="single" w:color="000000" w:sz="6" w:space="0"/>
          <w:right w:val="nil"/>
          <w:insideH w:val="nil"/>
          <w:insideV w:val="nil"/>
          <w:tl2br w:val="nil"/>
          <w:tr2bl w:val="nil"/>
        </w:tcBorders>
      </w:tcPr>
    </w:tblStylePr>
    <w:tblStylePr w:type="lastRow">
      <w:rPr>
        <w:color w:val="auto"/>
      </w:rPr>
      <w:tblPr/>
      <w:tcPr>
        <w:tcBorders>
          <w:top w:val="single" w:color="000000" w:sz="6" w:space="0"/>
          <w:left w:val="nil"/>
          <w:bottom w:val="nil"/>
          <w:right w:val="nil"/>
          <w:insideH w:val="nil"/>
          <w:insideV w:val="nil"/>
          <w:tl2br w:val="nil"/>
          <w:tr2bl w:val="nil"/>
        </w:tcBorders>
      </w:tcPr>
    </w:tblStylePr>
    <w:tblStylePr w:type="firstCol">
      <w:tblPr/>
      <w:tcPr>
        <w:tcBorders>
          <w:top w:val="nil"/>
          <w:left w:val="nil"/>
          <w:bottom w:val="nil"/>
          <w:right w:val="single" w:color="000000" w:sz="6" w:space="0"/>
          <w:insideH w:val="nil"/>
          <w:insideV w:val="nil"/>
          <w:tl2br w:val="nil"/>
          <w:tr2bl w:val="nil"/>
        </w:tcBorders>
      </w:tcPr>
    </w:tblStylePr>
    <w:tblStylePr w:type="neCell">
      <w:rPr>
        <w:b/>
        <w:bCs/>
        <w:i w:val="0"/>
        <w:iCs w:val="0"/>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96">
    <w:name w:val="Table Classic 2"/>
    <w:basedOn w:val="88"/>
    <w:unhideWhenUsed/>
    <w:qFormat/>
    <w:uiPriority w:val="0"/>
    <w:pPr>
      <w:widowControl w:val="0"/>
      <w:jc w:val="both"/>
    </w:pPr>
    <w:tblPr>
      <w:tblBorders>
        <w:top w:val="single" w:color="000000" w:sz="12" w:space="0"/>
        <w:bottom w:val="single" w:color="000000" w:sz="12" w:space="0"/>
      </w:tblBorders>
      <w:tblCellMar>
        <w:top w:w="0" w:type="dxa"/>
        <w:left w:w="108" w:type="dxa"/>
        <w:bottom w:w="0" w:type="dxa"/>
        <w:right w:w="108" w:type="dxa"/>
      </w:tblCellMar>
    </w:tblPr>
    <w:tblStylePr w:type="firstRow">
      <w:rPr>
        <w:color w:val="FFFFFF"/>
      </w:rPr>
      <w:tblPr/>
      <w:tcPr>
        <w:tcBorders>
          <w:top w:val="nil"/>
          <w:left w:val="nil"/>
          <w:bottom w:val="single" w:color="000000" w:sz="6" w:space="0"/>
          <w:right w:val="nil"/>
          <w:insideH w:val="nil"/>
          <w:insideV w:val="nil"/>
          <w:tl2br w:val="nil"/>
          <w:tr2bl w:val="nil"/>
        </w:tcBorders>
        <w:shd w:val="solid" w:color="800080" w:fill="FFFFFF"/>
      </w:tcPr>
    </w:tblStylePr>
    <w:tblStylePr w:type="lastRow">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shd w:val="solid" w:color="C0C0C0" w:fill="FFFFFF"/>
      </w:tcPr>
    </w:tblStylePr>
    <w:tblStylePr w:type="neCel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nil"/>
          <w:tr2bl w:val="nil"/>
        </w:tcBorders>
        <w:shd w:val="solid" w:color="800080" w:fill="FFFFFF"/>
      </w:tcPr>
    </w:tblStylePr>
    <w:tblStylePr w:type="swCell">
      <w:rPr>
        <w:color w:val="000080"/>
      </w:rPr>
      <w:tblPr/>
      <w:tcPr>
        <w:tcBorders>
          <w:top w:val="nil"/>
          <w:left w:val="nil"/>
          <w:bottom w:val="nil"/>
          <w:right w:val="nil"/>
          <w:insideH w:val="nil"/>
          <w:insideV w:val="nil"/>
          <w:tl2br w:val="nil"/>
          <w:tr2bl w:val="nil"/>
        </w:tcBorders>
      </w:tcPr>
    </w:tblStylePr>
  </w:style>
  <w:style w:type="table" w:styleId="97">
    <w:name w:val="Table Classic 3"/>
    <w:basedOn w:val="88"/>
    <w:unhideWhenUsed/>
    <w:qFormat/>
    <w:uiPriority w:val="0"/>
    <w:pPr>
      <w:widowControl w:val="0"/>
      <w:jc w:val="both"/>
    </w:pPr>
    <w:rPr>
      <w:color w:val="000080"/>
    </w:rPr>
    <w:tblPr>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cPr>
      <w:shd w:val="solid" w:color="C0C0C0" w:fill="FFFFFF"/>
    </w:tcPr>
    <w:tblStylePr w:type="firstRow">
      <w:rPr>
        <w:b/>
        <w:bCs/>
        <w:i/>
        <w:iCs/>
        <w:color w:val="FFFFFF"/>
      </w:rPr>
      <w:tblPr/>
      <w:tcPr>
        <w:tcBorders>
          <w:top w:val="nil"/>
          <w:left w:val="nil"/>
          <w:bottom w:val="single" w:color="000000" w:sz="6" w:space="0"/>
          <w:right w:val="nil"/>
          <w:insideH w:val="nil"/>
          <w:insideV w:val="nil"/>
          <w:tl2br w:val="nil"/>
          <w:tr2bl w:val="nil"/>
        </w:tcBorders>
        <w:shd w:val="solid" w:color="000080" w:fill="FFFFFF"/>
      </w:tcPr>
    </w:tblStylePr>
    <w:tblStylePr w:type="lastRow">
      <w:rPr>
        <w:color w:val="000080"/>
      </w:rPr>
      <w:tblPr/>
      <w:tcPr>
        <w:tcBorders>
          <w:top w:val="single" w:color="000000" w:sz="12" w:space="0"/>
          <w:left w:val="nil"/>
          <w:bottom w:val="nil"/>
          <w:right w:val="nil"/>
          <w:insideH w:val="nil"/>
          <w:insideV w:val="nil"/>
          <w:tl2br w:val="nil"/>
          <w:tr2bl w:val="nil"/>
        </w:tcBorders>
        <w:shd w:val="solid" w:color="FFFFFF" w:fill="FFFFFF"/>
      </w:tcPr>
    </w:tblStylePr>
    <w:tblStylePr w:type="firstCol">
      <w:rPr>
        <w:b/>
        <w:bCs/>
        <w:color w:val="000000"/>
      </w:rPr>
      <w:tblPr/>
      <w:tcPr>
        <w:tcBorders>
          <w:top w:val="nil"/>
          <w:left w:val="nil"/>
          <w:bottom w:val="nil"/>
          <w:right w:val="nil"/>
          <w:insideH w:val="nil"/>
          <w:insideV w:val="nil"/>
          <w:tl2br w:val="nil"/>
          <w:tr2bl w:val="nil"/>
        </w:tcBorders>
      </w:tcPr>
    </w:tblStylePr>
  </w:style>
  <w:style w:type="table" w:styleId="98">
    <w:name w:val="Table Classic 4"/>
    <w:basedOn w:val="88"/>
    <w:unhideWhenUsed/>
    <w:qFormat/>
    <w:uiPriority w:val="0"/>
    <w:pPr>
      <w:widowControl w:val="0"/>
      <w:jc w:val="both"/>
    </w:pPr>
    <w:tblPr>
      <w:tblBorders>
        <w:top w:val="single" w:color="000000" w:sz="12" w:space="0"/>
        <w:left w:val="single" w:color="000000" w:sz="6" w:space="0"/>
        <w:bottom w:val="single" w:color="000000" w:sz="12" w:space="0"/>
        <w:right w:val="single" w:color="000000" w:sz="6" w:space="0"/>
      </w:tblBorders>
      <w:tblCellMar>
        <w:top w:w="0" w:type="dxa"/>
        <w:left w:w="108" w:type="dxa"/>
        <w:bottom w:w="0" w:type="dxa"/>
        <w:right w:w="108" w:type="dxa"/>
      </w:tblCellMar>
    </w:tblPr>
    <w:tblStylePr w:type="firstRow">
      <w:rPr>
        <w:b/>
        <w:bCs/>
        <w:i/>
        <w:iCs/>
        <w:color w:val="FFFFFF"/>
      </w:rPr>
      <w:tblPr/>
      <w:tcPr>
        <w:tcBorders>
          <w:top w:val="nil"/>
          <w:left w:val="nil"/>
          <w:bottom w:val="single" w:color="000000" w:sz="6" w:space="0"/>
          <w:right w:val="nil"/>
          <w:insideH w:val="nil"/>
          <w:insideV w:val="nil"/>
          <w:tl2br w:val="nil"/>
          <w:tr2bl w:val="nil"/>
        </w:tcBorders>
        <w:shd w:val="pct50" w:color="000080" w:fill="FFFFFF"/>
      </w:tcPr>
    </w:tblStylePr>
    <w:tblStylePr w:type="lastRow">
      <w:rPr>
        <w:color w:val="000080"/>
      </w:rPr>
      <w:tblPr/>
      <w:tcPr>
        <w:tcBorders>
          <w:top w:val="nil"/>
          <w:left w:val="nil"/>
          <w:bottom w:val="single" w:color="000000" w:sz="6" w:space="0"/>
          <w:right w:val="nil"/>
          <w:insideH w:val="nil"/>
          <w:insideV w:val="nil"/>
          <w:tl2br w:val="nil"/>
          <w:tr2bl w:val="nil"/>
        </w:tcBorders>
        <w:shd w:val="pct50" w:color="000000" w:fill="FFFFFF"/>
      </w:tcPr>
    </w:tblStylePr>
    <w:tblStylePr w:type="firstCol">
      <w:rPr>
        <w:b/>
        <w:bCs/>
      </w:rPr>
      <w:tblPr/>
      <w:tcPr>
        <w:tcBorders>
          <w:top w:val="nil"/>
          <w:left w:val="nil"/>
          <w:bottom w:val="nil"/>
          <w:right w:val="nil"/>
          <w:insideH w:val="nil"/>
          <w:insideV w:val="nil"/>
          <w:tl2br w:val="nil"/>
          <w:tr2bl w:val="nil"/>
        </w:tcBorders>
      </w:tcPr>
    </w:tblStylePr>
    <w:tblStylePr w:type="nwCell">
      <w:rPr>
        <w:b/>
        <w:bCs/>
      </w:rPr>
      <w:tblPr/>
      <w:tcPr>
        <w:tcBorders>
          <w:top w:val="nil"/>
          <w:left w:val="nil"/>
          <w:bottom w:val="nil"/>
          <w:right w:val="nil"/>
          <w:insideH w:val="nil"/>
          <w:insideV w:val="nil"/>
          <w:tl2br w:val="nil"/>
          <w:tr2bl w:val="nil"/>
        </w:tcBorders>
      </w:tcPr>
    </w:tblStylePr>
    <w:tblStylePr w:type="swCell">
      <w:rPr>
        <w:color w:val="000080"/>
      </w:rPr>
      <w:tblPr/>
      <w:tcPr>
        <w:tcBorders>
          <w:top w:val="nil"/>
          <w:left w:val="nil"/>
          <w:bottom w:val="nil"/>
          <w:right w:val="nil"/>
          <w:insideH w:val="nil"/>
          <w:insideV w:val="nil"/>
          <w:tl2br w:val="nil"/>
          <w:tr2bl w:val="nil"/>
        </w:tcBorders>
      </w:tcPr>
    </w:tblStylePr>
  </w:style>
  <w:style w:type="table" w:styleId="99">
    <w:name w:val="Table Simple 1"/>
    <w:basedOn w:val="88"/>
    <w:unhideWhenUsed/>
    <w:qFormat/>
    <w:uiPriority w:val="0"/>
    <w:pPr>
      <w:widowControl w:val="0"/>
      <w:jc w:val="both"/>
    </w:pPr>
    <w:tblPr>
      <w:tblBorders>
        <w:top w:val="single" w:color="008000" w:sz="12" w:space="0"/>
        <w:bottom w:val="single" w:color="008000" w:sz="12" w:space="0"/>
      </w:tblBorders>
      <w:tblCellMar>
        <w:top w:w="0" w:type="dxa"/>
        <w:left w:w="108" w:type="dxa"/>
        <w:bottom w:w="0" w:type="dxa"/>
        <w:right w:w="108" w:type="dxa"/>
      </w:tblCellMar>
    </w:tblPr>
    <w:tblStylePr w:type="firstRow">
      <w:tblPr/>
      <w:tcPr>
        <w:tcBorders>
          <w:top w:val="nil"/>
          <w:left w:val="nil"/>
          <w:bottom w:val="single" w:color="008000" w:sz="6" w:space="0"/>
          <w:right w:val="nil"/>
          <w:insideH w:val="nil"/>
          <w:insideV w:val="nil"/>
          <w:tl2br w:val="nil"/>
          <w:tr2bl w:val="nil"/>
        </w:tcBorders>
      </w:tcPr>
    </w:tblStylePr>
    <w:tblStylePr w:type="lastRow">
      <w:tblPr/>
      <w:tcPr>
        <w:tcBorders>
          <w:top w:val="single" w:color="008000" w:sz="6" w:space="0"/>
          <w:left w:val="nil"/>
          <w:bottom w:val="nil"/>
          <w:right w:val="nil"/>
          <w:insideH w:val="nil"/>
          <w:insideV w:val="nil"/>
          <w:tl2br w:val="nil"/>
          <w:tr2bl w:val="nil"/>
        </w:tcBorders>
      </w:tcPr>
    </w:tblStylePr>
  </w:style>
  <w:style w:type="table" w:styleId="100">
    <w:name w:val="Table Simple 2"/>
    <w:basedOn w:val="88"/>
    <w:unhideWhenUsed/>
    <w:qFormat/>
    <w:uiPriority w:val="0"/>
    <w:pPr>
      <w:widowControl w:val="0"/>
      <w:jc w:val="both"/>
    </w:pPr>
    <w:tblPr>
      <w:tblCellMar>
        <w:top w:w="0" w:type="dxa"/>
        <w:left w:w="108" w:type="dxa"/>
        <w:bottom w:w="0" w:type="dxa"/>
        <w:right w:w="108" w:type="dxa"/>
      </w:tblCellMar>
    </w:tblPr>
    <w:tblStylePr w:type="firstRow">
      <w:rPr>
        <w:b/>
        <w:bCs/>
      </w:rPr>
      <w:tblPr/>
      <w:tcPr>
        <w:tcBorders>
          <w:top w:val="nil"/>
          <w:left w:val="nil"/>
          <w:bottom w:val="single" w:color="000000" w:sz="12" w:space="0"/>
          <w:right w:val="nil"/>
          <w:insideH w:val="nil"/>
          <w:insideV w:val="nil"/>
          <w:tl2br w:val="nil"/>
          <w:tr2bl w:val="nil"/>
        </w:tcBorders>
      </w:tcPr>
    </w:tblStylePr>
    <w:tblStylePr w:type="lastRow">
      <w:rPr>
        <w:b/>
        <w:bCs/>
        <w:color w:val="auto"/>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single" w:color="000000" w:sz="12" w:space="0"/>
          <w:insideH w:val="nil"/>
          <w:insideV w:val="nil"/>
          <w:tl2br w:val="nil"/>
          <w:tr2bl w:val="nil"/>
        </w:tcBorders>
      </w:tcPr>
    </w:tblStylePr>
    <w:tblStylePr w:type="lastCol">
      <w:rPr>
        <w:b/>
        <w:bCs/>
      </w:rPr>
      <w:tblPr/>
      <w:tcPr>
        <w:tcBorders>
          <w:top w:val="nil"/>
          <w:left w:val="single" w:color="000000" w:sz="6" w:space="0"/>
          <w:bottom w:val="nil"/>
          <w:right w:val="nil"/>
          <w:insideH w:val="nil"/>
          <w:insideV w:val="nil"/>
          <w:tl2br w:val="nil"/>
          <w:tr2bl w:val="nil"/>
        </w:tcBorders>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1">
    <w:name w:val="Table Simple 3"/>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blStylePr w:type="firstRow">
      <w:rPr>
        <w:b/>
        <w:bCs/>
        <w:color w:val="FFFFFF"/>
      </w:rPr>
      <w:tblPr/>
      <w:tcPr>
        <w:tcBorders>
          <w:top w:val="nil"/>
          <w:left w:val="nil"/>
          <w:bottom w:val="nil"/>
          <w:right w:val="nil"/>
          <w:insideH w:val="nil"/>
          <w:insideV w:val="nil"/>
          <w:tl2br w:val="nil"/>
          <w:tr2bl w:val="nil"/>
        </w:tcBorders>
        <w:shd w:val="solid" w:color="000000" w:fill="FFFFFF"/>
      </w:tcPr>
    </w:tblStylePr>
  </w:style>
  <w:style w:type="table" w:styleId="102">
    <w:name w:val="Table Subtle 1"/>
    <w:basedOn w:val="88"/>
    <w:unhideWhenUsed/>
    <w:qFormat/>
    <w:uiPriority w:val="0"/>
    <w:pPr>
      <w:widowControl w:val="0"/>
      <w:jc w:val="both"/>
    </w:pPr>
    <w:tblPr>
      <w:tblCellMar>
        <w:top w:w="0" w:type="dxa"/>
        <w:left w:w="108" w:type="dxa"/>
        <w:bottom w:w="0" w:type="dxa"/>
        <w:right w:w="108" w:type="dxa"/>
      </w:tblCellMar>
    </w:tblPr>
    <w:tblStylePr w:type="firstRow">
      <w:tblPr/>
      <w:tcPr>
        <w:tcBorders>
          <w:top w:val="single" w:color="000000" w:sz="6" w:space="0"/>
          <w:left w:val="nil"/>
          <w:bottom w:val="single" w:color="000000" w:sz="12" w:space="0"/>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shd w:val="pct25" w:color="800080" w:fill="FFFFFF"/>
      </w:tcPr>
    </w:tblStylePr>
    <w:tblStylePr w:type="firstCol">
      <w:tblPr/>
      <w:tcPr>
        <w:tcBorders>
          <w:top w:val="nil"/>
          <w:left w:val="nil"/>
          <w:bottom w:val="nil"/>
          <w:right w:val="single" w:color="000000" w:sz="12" w:space="0"/>
          <w:insideH w:val="nil"/>
          <w:insideV w:val="nil"/>
          <w:tl2br w:val="nil"/>
          <w:tr2bl w:val="nil"/>
        </w:tcBorders>
      </w:tcPr>
    </w:tblStylePr>
    <w:tblStylePr w:type="lastCol">
      <w:tblPr/>
      <w:tcPr>
        <w:tcBorders>
          <w:top w:val="nil"/>
          <w:left w:val="single" w:color="000000" w:sz="12" w:space="0"/>
          <w:bottom w:val="nil"/>
          <w:right w:val="nil"/>
          <w:insideH w:val="nil"/>
          <w:insideV w:val="nil"/>
          <w:tl2br w:val="nil"/>
          <w:tr2bl w:val="nil"/>
        </w:tcBorders>
      </w:tcPr>
    </w:tblStylePr>
    <w:tblStylePr w:type="band1Horz">
      <w:tblPr/>
      <w:tcPr>
        <w:tcBorders>
          <w:top w:val="nil"/>
          <w:left w:val="nil"/>
          <w:bottom w:val="single" w:color="000000" w:sz="6" w:space="0"/>
          <w:right w:val="nil"/>
          <w:insideH w:val="nil"/>
          <w:insideV w:val="nil"/>
          <w:tl2br w:val="nil"/>
          <w:tr2bl w:val="nil"/>
        </w:tcBorders>
        <w:shd w:val="pct25" w:color="8080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3">
    <w:name w:val="Table Subtle 2"/>
    <w:basedOn w:val="88"/>
    <w:unhideWhenUsed/>
    <w:qFormat/>
    <w:uiPriority w:val="0"/>
    <w:pPr>
      <w:widowControl w:val="0"/>
      <w:jc w:val="both"/>
    </w:pPr>
    <w:tblPr>
      <w:tblBorders>
        <w:left w:val="single" w:color="000000" w:sz="6" w:space="0"/>
        <w:right w:val="single" w:color="000000" w:sz="6" w:space="0"/>
      </w:tblBorders>
      <w:tblCellMar>
        <w:top w:w="0" w:type="dxa"/>
        <w:left w:w="108" w:type="dxa"/>
        <w:bottom w:w="0" w:type="dxa"/>
        <w:right w:w="108" w:type="dxa"/>
      </w:tblCellMar>
    </w:tblPr>
    <w:tblStylePr w:type="firstRow">
      <w:tblPr/>
      <w:tcPr>
        <w:tcBorders>
          <w:top w:val="nil"/>
          <w:left w:val="nil"/>
          <w:bottom w:val="single" w:color="000000" w:sz="12" w:space="0"/>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tcPr>
    </w:tblStylePr>
    <w:tblStylePr w:type="firstCol">
      <w:tblPr/>
      <w:tcPr>
        <w:tcBorders>
          <w:top w:val="nil"/>
          <w:left w:val="nil"/>
          <w:bottom w:val="nil"/>
          <w:right w:val="single" w:color="000000" w:sz="12" w:space="0"/>
          <w:insideH w:val="nil"/>
          <w:insideV w:val="nil"/>
          <w:tl2br w:val="nil"/>
          <w:tr2bl w:val="nil"/>
        </w:tcBorders>
        <w:shd w:val="pct25" w:color="008000" w:fill="FFFFFF"/>
      </w:tcPr>
    </w:tblStylePr>
    <w:tblStylePr w:type="lastCol">
      <w:tblPr/>
      <w:tcPr>
        <w:tcBorders>
          <w:top w:val="nil"/>
          <w:left w:val="single" w:color="000000" w:sz="12" w:space="0"/>
          <w:bottom w:val="nil"/>
          <w:right w:val="nil"/>
          <w:insideH w:val="nil"/>
          <w:insideV w:val="nil"/>
          <w:tl2br w:val="nil"/>
          <w:tr2bl w:val="nil"/>
        </w:tcBorders>
        <w:shd w:val="pct25" w:color="8080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4">
    <w:name w:val="Table 3D effects 1"/>
    <w:basedOn w:val="88"/>
    <w:unhideWhenUsed/>
    <w:qFormat/>
    <w:uiPriority w:val="0"/>
    <w:pPr>
      <w:widowControl w:val="0"/>
      <w:jc w:val="both"/>
    </w:pPr>
    <w:tblPr>
      <w:tblCellMar>
        <w:top w:w="0" w:type="dxa"/>
        <w:left w:w="108" w:type="dxa"/>
        <w:bottom w:w="0" w:type="dxa"/>
        <w:right w:w="108" w:type="dxa"/>
      </w:tblCellMar>
    </w:tblPr>
    <w:tcPr>
      <w:shd w:val="solid" w:color="C0C0C0" w:fill="FFFFFF"/>
    </w:tcPr>
    <w:tblStylePr w:type="firstRow">
      <w:rPr>
        <w:b/>
        <w:bCs/>
        <w:color w:val="800080"/>
      </w:rPr>
      <w:tblPr/>
      <w:tcPr>
        <w:tcBorders>
          <w:top w:val="nil"/>
          <w:left w:val="nil"/>
          <w:bottom w:val="single" w:color="808080" w:sz="6" w:space="0"/>
          <w:right w:val="nil"/>
          <w:insideH w:val="nil"/>
          <w:insideV w:val="nil"/>
          <w:tl2br w:val="nil"/>
          <w:tr2bl w:val="nil"/>
        </w:tcBorders>
      </w:tcPr>
    </w:tblStylePr>
    <w:tblStylePr w:type="lastRow">
      <w:tblPr/>
      <w:tcPr>
        <w:tcBorders>
          <w:top w:val="single" w:color="FFFFFF" w:sz="6" w:space="0"/>
          <w:left w:val="nil"/>
          <w:bottom w:val="nil"/>
          <w:right w:val="nil"/>
          <w:insideH w:val="nil"/>
          <w:insideV w:val="nil"/>
          <w:tl2br w:val="nil"/>
          <w:tr2bl w:val="nil"/>
        </w:tcBorders>
      </w:tcPr>
    </w:tblStylePr>
    <w:tblStylePr w:type="firstCol">
      <w:rPr>
        <w:b/>
        <w:bCs/>
      </w:rPr>
      <w:tblPr/>
      <w:tcPr>
        <w:tcBorders>
          <w:top w:val="nil"/>
          <w:left w:val="nil"/>
          <w:bottom w:val="nil"/>
          <w:right w:val="single" w:color="808080" w:sz="6" w:space="0"/>
          <w:insideH w:val="nil"/>
          <w:insideV w:val="nil"/>
          <w:tl2br w:val="nil"/>
          <w:tr2bl w:val="nil"/>
        </w:tcBorders>
      </w:tcPr>
    </w:tblStylePr>
    <w:tblStylePr w:type="lastCol">
      <w:tblPr/>
      <w:tcPr>
        <w:tcBorders>
          <w:top w:val="nil"/>
          <w:left w:val="single" w:color="FFFFFF" w:sz="6" w:space="0"/>
          <w:bottom w:val="nil"/>
          <w:right w:val="nil"/>
          <w:insideH w:val="nil"/>
          <w:insideV w:val="nil"/>
          <w:tl2br w:val="nil"/>
          <w:tr2bl w:val="nil"/>
        </w:tcBorders>
      </w:tcPr>
    </w:tblStylePr>
    <w:tblStylePr w:type="neCell">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nil"/>
          <w:tr2bl w:val="nil"/>
        </w:tcBorders>
      </w:tcPr>
    </w:tblStylePr>
    <w:tblStylePr w:type="seCell">
      <w:tblPr/>
      <w:tcPr>
        <w:tcBorders>
          <w:top w:val="nil"/>
          <w:left w:val="nil"/>
          <w:bottom w:val="nil"/>
          <w:right w:val="nil"/>
          <w:insideH w:val="nil"/>
          <w:insideV w:val="nil"/>
          <w:tl2br w:val="nil"/>
          <w:tr2bl w:val="nil"/>
        </w:tcBorders>
      </w:tcPr>
    </w:tblStylePr>
    <w:tblStylePr w:type="swCell">
      <w:rPr>
        <w:color w:val="000080"/>
      </w:rPr>
      <w:tblPr/>
      <w:tcPr>
        <w:tcBorders>
          <w:top w:val="nil"/>
          <w:left w:val="nil"/>
          <w:bottom w:val="nil"/>
          <w:right w:val="nil"/>
          <w:insideH w:val="nil"/>
          <w:insideV w:val="nil"/>
          <w:tl2br w:val="nil"/>
          <w:tr2bl w:val="nil"/>
        </w:tcBorders>
      </w:tcPr>
    </w:tblStylePr>
  </w:style>
  <w:style w:type="table" w:styleId="105">
    <w:name w:val="Table 3D effects 2"/>
    <w:basedOn w:val="88"/>
    <w:unhideWhenUsed/>
    <w:qFormat/>
    <w:uiPriority w:val="0"/>
    <w:pPr>
      <w:widowControl w:val="0"/>
      <w:jc w:val="both"/>
    </w:pPr>
    <w:tblPr>
      <w:tblCellMar>
        <w:top w:w="0" w:type="dxa"/>
        <w:left w:w="108" w:type="dxa"/>
        <w:bottom w:w="0" w:type="dxa"/>
        <w:right w:w="108" w:type="dxa"/>
      </w:tblCellMar>
    </w:tblPr>
    <w:tcPr>
      <w:shd w:val="solid" w:color="C0C0C0" w:fill="FFFFFF"/>
    </w:tcPr>
    <w:tblStylePr w:type="firstRow">
      <w:rPr>
        <w:b/>
        <w:bCs/>
      </w:rPr>
      <w:tblPr/>
      <w:tcPr>
        <w:tcBorders>
          <w:top w:val="nil"/>
          <w:left w:val="nil"/>
          <w:bottom w:val="nil"/>
          <w:right w:val="nil"/>
          <w:insideH w:val="nil"/>
          <w:insideV w:val="nil"/>
          <w:tl2br w:val="nil"/>
          <w:tr2bl w:val="nil"/>
        </w:tcBorders>
      </w:tcPr>
    </w:tblStylePr>
    <w:tblStylePr w:type="firstCol">
      <w:tblPr/>
      <w:tcPr>
        <w:tcBorders>
          <w:top w:val="nil"/>
          <w:left w:val="nil"/>
          <w:bottom w:val="nil"/>
          <w:right w:val="single" w:color="808080" w:sz="6" w:space="0"/>
          <w:insideH w:val="nil"/>
          <w:insideV w:val="nil"/>
          <w:tl2br w:val="nil"/>
          <w:tr2bl w:val="nil"/>
        </w:tcBorders>
      </w:tcPr>
    </w:tblStylePr>
    <w:tblStylePr w:type="lastCol">
      <w:tblPr/>
      <w:tcPr>
        <w:tcBorders>
          <w:top w:val="nil"/>
          <w:left w:val="nil"/>
          <w:bottom w:val="nil"/>
          <w:right w:val="single" w:color="FFFFFF" w:sz="6" w:space="0"/>
          <w:insideH w:val="nil"/>
          <w:insideV w:val="nil"/>
          <w:tl2br w:val="nil"/>
          <w:tr2bl w:val="nil"/>
        </w:tcBorders>
      </w:tcPr>
    </w:tblStylePr>
    <w:tblStylePr w:type="band1Horz">
      <w:tblPr/>
      <w:tcPr>
        <w:tcBorders>
          <w:top w:val="single" w:color="808080" w:sz="6" w:space="0"/>
          <w:left w:val="nil"/>
          <w:bottom w:val="single" w:color="FFFFFF" w:sz="6" w:space="0"/>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6">
    <w:name w:val="Table 3D effects 3"/>
    <w:basedOn w:val="88"/>
    <w:unhideWhenUsed/>
    <w:qFormat/>
    <w:uiPriority w:val="0"/>
    <w:pPr>
      <w:widowControl w:val="0"/>
      <w:jc w:val="both"/>
    </w:pPr>
    <w:tblPr>
      <w:tblCellMar>
        <w:top w:w="0" w:type="dxa"/>
        <w:left w:w="108" w:type="dxa"/>
        <w:bottom w:w="0" w:type="dxa"/>
        <w:right w:w="108" w:type="dxa"/>
      </w:tblCellMar>
    </w:tblPr>
    <w:tblStylePr w:type="firstRow">
      <w:rPr>
        <w:b/>
        <w:bCs/>
      </w:rPr>
      <w:tblPr/>
      <w:tcPr>
        <w:tcBorders>
          <w:top w:val="nil"/>
          <w:left w:val="nil"/>
          <w:bottom w:val="nil"/>
          <w:right w:val="nil"/>
          <w:insideH w:val="nil"/>
          <w:insideV w:val="nil"/>
          <w:tl2br w:val="nil"/>
          <w:tr2bl w:val="nil"/>
        </w:tcBorders>
      </w:tcPr>
    </w:tblStylePr>
    <w:tblStylePr w:type="firstCol">
      <w:tblPr/>
      <w:tcPr>
        <w:tcBorders>
          <w:top w:val="nil"/>
          <w:left w:val="nil"/>
          <w:bottom w:val="nil"/>
          <w:right w:val="single" w:color="808080" w:sz="6" w:space="0"/>
          <w:insideH w:val="nil"/>
          <w:insideV w:val="nil"/>
          <w:tl2br w:val="nil"/>
          <w:tr2bl w:val="nil"/>
        </w:tcBorders>
      </w:tcPr>
    </w:tblStylePr>
    <w:tblStylePr w:type="lastCol">
      <w:tblPr/>
      <w:tcPr>
        <w:tcBorders>
          <w:top w:val="nil"/>
          <w:left w:val="nil"/>
          <w:bottom w:val="nil"/>
          <w:right w:val="single" w:color="FFFFFF" w:sz="6" w:space="0"/>
          <w:insideH w:val="nil"/>
          <w:insideV w:val="nil"/>
          <w:tl2br w:val="nil"/>
          <w:tr2bl w:val="nil"/>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color="808080" w:sz="6" w:space="0"/>
          <w:left w:val="nil"/>
          <w:bottom w:val="single" w:color="FFFFFF" w:sz="6" w:space="0"/>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7">
    <w:name w:val="Table List 1"/>
    <w:basedOn w:val="88"/>
    <w:unhideWhenUsed/>
    <w:qFormat/>
    <w:uiPriority w:val="0"/>
    <w:pPr>
      <w:widowControl w:val="0"/>
      <w:jc w:val="both"/>
    </w:pPr>
    <w:tblPr>
      <w:tblBorders>
        <w:top w:val="single" w:color="008080" w:sz="12" w:space="0"/>
        <w:left w:val="single" w:color="008080" w:sz="6" w:space="0"/>
        <w:bottom w:val="single" w:color="008080" w:sz="12" w:space="0"/>
        <w:right w:val="single" w:color="008080" w:sz="6" w:space="0"/>
      </w:tblBorders>
      <w:tblCellMar>
        <w:top w:w="0" w:type="dxa"/>
        <w:left w:w="108" w:type="dxa"/>
        <w:bottom w:w="0" w:type="dxa"/>
        <w:right w:w="108" w:type="dxa"/>
      </w:tblCellMar>
    </w:tblPr>
    <w:tblStylePr w:type="firstRow">
      <w:rPr>
        <w:b/>
        <w:bCs/>
        <w:i/>
        <w:iCs/>
        <w:color w:val="800000"/>
      </w:rPr>
      <w:tblPr/>
      <w:tcPr>
        <w:tcBorders>
          <w:top w:val="nil"/>
          <w:left w:val="nil"/>
          <w:bottom w:val="single" w:color="000000" w:sz="6" w:space="0"/>
          <w:right w:val="nil"/>
          <w:insideH w:val="nil"/>
          <w:insideV w:val="nil"/>
          <w:tl2br w:val="nil"/>
          <w:tr2bl w:val="nil"/>
        </w:tcBorders>
        <w:shd w:val="solid" w:color="C0C0C0" w:fill="FFFFFF"/>
      </w:tcPr>
    </w:tblStylePr>
    <w:tblStylePr w:type="lastRow">
      <w:tblPr/>
      <w:tcPr>
        <w:tcBorders>
          <w:top w:val="single" w:color="000000" w:sz="6" w:space="0"/>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solid" w:color="C0C0C0" w:fill="FFFFFF"/>
      </w:tcPr>
    </w:tblStylePr>
    <w:tblStylePr w:type="band2Horz">
      <w:rPr>
        <w:color w:val="auto"/>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8">
    <w:name w:val="Table List 2"/>
    <w:basedOn w:val="88"/>
    <w:unhideWhenUsed/>
    <w:qFormat/>
    <w:uiPriority w:val="0"/>
    <w:pPr>
      <w:widowControl w:val="0"/>
      <w:jc w:val="both"/>
    </w:pPr>
    <w:tblPr>
      <w:tblBorders>
        <w:bottom w:val="single" w:color="808080" w:sz="12" w:space="0"/>
      </w:tblBorders>
      <w:tblCellMar>
        <w:top w:w="0" w:type="dxa"/>
        <w:left w:w="108" w:type="dxa"/>
        <w:bottom w:w="0" w:type="dxa"/>
        <w:right w:w="108" w:type="dxa"/>
      </w:tblCellMar>
    </w:tblPr>
    <w:tblStylePr w:type="firstRow">
      <w:rPr>
        <w:b/>
        <w:bCs/>
        <w:color w:val="FFFFFF"/>
      </w:rPr>
      <w:tblPr/>
      <w:tcPr>
        <w:tcBorders>
          <w:top w:val="nil"/>
          <w:left w:val="nil"/>
          <w:bottom w:val="single" w:color="000000" w:sz="6" w:space="0"/>
          <w:right w:val="nil"/>
          <w:insideH w:val="nil"/>
          <w:insideV w:val="nil"/>
          <w:tl2br w:val="nil"/>
          <w:tr2bl w:val="nil"/>
        </w:tcBorders>
        <w:shd w:val="pct75" w:color="008080" w:fill="008000"/>
      </w:tcPr>
    </w:tblStylePr>
    <w:tblStylePr w:type="lastRow">
      <w:tblPr/>
      <w:tcPr>
        <w:tcBorders>
          <w:top w:val="single" w:color="000000" w:sz="6" w:space="0"/>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0" w:color="00FF00" w:fill="FFFFFF"/>
      </w:tcPr>
    </w:tblStylePr>
    <w:tblStylePr w:type="band2Horz">
      <w:rPr>
        <w:color w:val="auto"/>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9">
    <w:name w:val="Table List 3"/>
    <w:basedOn w:val="88"/>
    <w:unhideWhenUsed/>
    <w:qFormat/>
    <w:uiPriority w:val="0"/>
    <w:pPr>
      <w:widowControl w:val="0"/>
      <w:jc w:val="both"/>
    </w:pPr>
    <w:tblPr>
      <w:tblBorders>
        <w:top w:val="single" w:color="000000" w:sz="12" w:space="0"/>
        <w:bottom w:val="single" w:color="000000" w:sz="12" w:space="0"/>
        <w:insideH w:val="single" w:color="000000" w:sz="6" w:space="0"/>
      </w:tblBorders>
      <w:tblCellMar>
        <w:top w:w="0" w:type="dxa"/>
        <w:left w:w="108" w:type="dxa"/>
        <w:bottom w:w="0" w:type="dxa"/>
        <w:right w:w="108" w:type="dxa"/>
      </w:tblCellMar>
    </w:tblPr>
    <w:tblStylePr w:type="firstRow">
      <w:rPr>
        <w:b/>
        <w:bCs/>
        <w:color w:val="000080"/>
      </w:rPr>
      <w:tblPr/>
      <w:tcPr>
        <w:tcBorders>
          <w:top w:val="nil"/>
          <w:left w:val="nil"/>
          <w:bottom w:val="single" w:color="000000" w:sz="12" w:space="0"/>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tcPr>
    </w:tblStylePr>
    <w:tblStylePr w:type="swCell">
      <w:rPr>
        <w:i/>
        <w:iCs/>
        <w:color w:val="000080"/>
      </w:rPr>
      <w:tblPr/>
      <w:tcPr>
        <w:tcBorders>
          <w:top w:val="nil"/>
          <w:left w:val="nil"/>
          <w:bottom w:val="nil"/>
          <w:right w:val="nil"/>
          <w:insideH w:val="nil"/>
          <w:insideV w:val="nil"/>
          <w:tl2br w:val="nil"/>
          <w:tr2bl w:val="nil"/>
        </w:tcBorders>
      </w:tcPr>
    </w:tblStylePr>
  </w:style>
  <w:style w:type="table" w:styleId="110">
    <w:name w:val="Table List 4"/>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tblBorders>
      <w:tblCellMar>
        <w:top w:w="0" w:type="dxa"/>
        <w:left w:w="108" w:type="dxa"/>
        <w:bottom w:w="0" w:type="dxa"/>
        <w:right w:w="108" w:type="dxa"/>
      </w:tblCellMar>
    </w:tblPr>
    <w:tblStylePr w:type="firstRow">
      <w:rPr>
        <w:b/>
        <w:bCs/>
        <w:color w:val="FFFFFF"/>
      </w:rPr>
      <w:tblPr/>
      <w:tcPr>
        <w:tcBorders>
          <w:top w:val="nil"/>
          <w:left w:val="nil"/>
          <w:bottom w:val="single" w:color="000000" w:sz="12" w:space="0"/>
          <w:right w:val="nil"/>
          <w:insideH w:val="nil"/>
          <w:insideV w:val="nil"/>
          <w:tl2br w:val="nil"/>
          <w:tr2bl w:val="nil"/>
        </w:tcBorders>
        <w:shd w:val="solid" w:color="808080" w:fill="FFFFFF"/>
      </w:tcPr>
    </w:tblStylePr>
  </w:style>
  <w:style w:type="table" w:styleId="111">
    <w:name w:val="Table List 5"/>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tblBorders>
      <w:tblCellMar>
        <w:top w:w="0" w:type="dxa"/>
        <w:left w:w="108" w:type="dxa"/>
        <w:bottom w:w="0" w:type="dxa"/>
        <w:right w:w="108" w:type="dxa"/>
      </w:tblCellMar>
    </w:tblPr>
    <w:tblStylePr w:type="firstRow">
      <w:rPr>
        <w:b/>
        <w:bCs/>
      </w:rPr>
      <w:tblPr/>
      <w:tcPr>
        <w:tcBorders>
          <w:top w:val="nil"/>
          <w:left w:val="nil"/>
          <w:bottom w:val="single" w:color="000000" w:sz="12" w:space="0"/>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style>
  <w:style w:type="table" w:styleId="112">
    <w:name w:val="Table List 6"/>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tblBorders>
      <w:tblCellMar>
        <w:top w:w="0" w:type="dxa"/>
        <w:left w:w="108" w:type="dxa"/>
        <w:bottom w:w="0" w:type="dxa"/>
        <w:right w:w="108" w:type="dxa"/>
      </w:tblCellMar>
    </w:tblPr>
    <w:tcPr>
      <w:shd w:val="pct50" w:color="000000" w:fill="FFFFFF"/>
    </w:tcPr>
    <w:tblStylePr w:type="firstRow">
      <w:rPr>
        <w:b/>
        <w:bCs/>
      </w:rPr>
      <w:tblPr/>
      <w:tcPr>
        <w:tcBorders>
          <w:top w:val="nil"/>
          <w:left w:val="nil"/>
          <w:bottom w:val="single" w:color="000000" w:sz="12" w:space="0"/>
          <w:right w:val="nil"/>
          <w:insideH w:val="nil"/>
          <w:insideV w:val="nil"/>
          <w:tl2br w:val="nil"/>
          <w:tr2bl w:val="nil"/>
        </w:tcBorders>
      </w:tcPr>
    </w:tblStylePr>
    <w:tblStylePr w:type="firstCol">
      <w:rPr>
        <w:b/>
        <w:bCs/>
      </w:rPr>
      <w:tblPr/>
      <w:tcPr>
        <w:tcBorders>
          <w:top w:val="nil"/>
          <w:left w:val="nil"/>
          <w:bottom w:val="nil"/>
          <w:right w:val="single" w:color="000000" w:sz="12" w:space="0"/>
          <w:insideH w:val="nil"/>
          <w:insideV w:val="nil"/>
          <w:tl2br w:val="nil"/>
          <w:tr2bl w:val="nil"/>
        </w:tcBorders>
      </w:tcPr>
    </w:tblStylePr>
    <w:tblStylePr w:type="band1Horz">
      <w:tblPr/>
      <w:tcPr>
        <w:tcBorders>
          <w:top w:val="nil"/>
          <w:left w:val="nil"/>
          <w:bottom w:val="nil"/>
          <w:right w:val="nil"/>
          <w:insideH w:val="nil"/>
          <w:insideV w:val="nil"/>
          <w:tl2br w:val="nil"/>
          <w:tr2bl w:val="nil"/>
        </w:tcBorders>
        <w:shd w:val="pct25" w:color="000000" w:fill="FFFFFF"/>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13">
    <w:name w:val="Table List 7"/>
    <w:basedOn w:val="88"/>
    <w:unhideWhenUsed/>
    <w:qFormat/>
    <w:uiPriority w:val="0"/>
    <w:pPr>
      <w:widowControl w:val="0"/>
      <w:jc w:val="both"/>
    </w:pPr>
    <w:tblPr>
      <w:tblBorders>
        <w:top w:val="single" w:color="008000" w:sz="12" w:space="0"/>
        <w:left w:val="single" w:color="008000" w:sz="6" w:space="0"/>
        <w:bottom w:val="single" w:color="008000" w:sz="12" w:space="0"/>
        <w:right w:val="single" w:color="008000" w:sz="6" w:space="0"/>
        <w:insideH w:val="single" w:color="000000" w:sz="6" w:space="0"/>
      </w:tblBorders>
      <w:tblCellMar>
        <w:top w:w="0" w:type="dxa"/>
        <w:left w:w="108" w:type="dxa"/>
        <w:bottom w:w="0" w:type="dxa"/>
        <w:right w:w="108" w:type="dxa"/>
      </w:tblCellMar>
    </w:tblPr>
    <w:tblStylePr w:type="firstRow">
      <w:rPr>
        <w:b/>
        <w:bCs/>
      </w:rPr>
      <w:tblPr/>
      <w:tcPr>
        <w:tcBorders>
          <w:top w:val="nil"/>
          <w:left w:val="nil"/>
          <w:bottom w:val="single" w:color="008000" w:sz="12" w:space="0"/>
          <w:right w:val="nil"/>
          <w:insideH w:val="nil"/>
          <w:insideV w:val="nil"/>
          <w:tl2br w:val="nil"/>
          <w:tr2bl w:val="nil"/>
        </w:tcBorders>
        <w:shd w:val="solid" w:color="C0C0C0" w:fill="FFFFFF"/>
      </w:tcPr>
    </w:tblStylePr>
    <w:tblStylePr w:type="lastRow">
      <w:rPr>
        <w:b/>
        <w:bCs/>
      </w:rPr>
      <w:tblPr/>
      <w:tcPr>
        <w:tcBorders>
          <w:top w:val="single" w:color="008000" w:sz="12"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0" w:color="000000" w:fill="FFFFFF"/>
      </w:tcPr>
    </w:tblStylePr>
    <w:tblStylePr w:type="band2Horz">
      <w:tblPr/>
      <w:tcPr>
        <w:tcBorders>
          <w:top w:val="nil"/>
          <w:left w:val="nil"/>
          <w:bottom w:val="nil"/>
          <w:right w:val="nil"/>
          <w:insideH w:val="nil"/>
          <w:insideV w:val="nil"/>
          <w:tl2br w:val="nil"/>
          <w:tr2bl w:val="nil"/>
        </w:tcBorders>
        <w:shd w:val="pct25" w:color="FFFF00" w:fill="FFFFFF"/>
      </w:tcPr>
    </w:tblStylePr>
  </w:style>
  <w:style w:type="table" w:styleId="114">
    <w:name w:val="Table List 8"/>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V w:val="single" w:color="000000" w:sz="6" w:space="0"/>
      </w:tblBorders>
      <w:tblCellMar>
        <w:top w:w="0" w:type="dxa"/>
        <w:left w:w="108" w:type="dxa"/>
        <w:bottom w:w="0" w:type="dxa"/>
        <w:right w:w="108" w:type="dxa"/>
      </w:tblCellMar>
    </w:tblPr>
    <w:tblStylePr w:type="firstRow">
      <w:rPr>
        <w:b/>
        <w:bCs/>
        <w:i/>
        <w:iCs/>
      </w:rPr>
      <w:tblPr/>
      <w:tcPr>
        <w:tcBorders>
          <w:top w:val="nil"/>
          <w:left w:val="nil"/>
          <w:bottom w:val="single" w:color="000000" w:sz="6" w:space="0"/>
          <w:right w:val="nil"/>
          <w:insideH w:val="nil"/>
          <w:insideV w:val="nil"/>
          <w:tl2br w:val="nil"/>
          <w:tr2bl w:val="nil"/>
        </w:tcBorders>
        <w:shd w:val="solid" w:color="FFFF00" w:fill="FFFFFF"/>
      </w:tcPr>
    </w:tblStylePr>
    <w:tblStylePr w:type="lastRow">
      <w:rPr>
        <w:b/>
        <w:bCs/>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5" w:color="FFFF00" w:fill="FFFFFF"/>
      </w:tcPr>
    </w:tblStylePr>
    <w:tblStylePr w:type="band2Horz">
      <w:tblPr/>
      <w:tcPr>
        <w:tcBorders>
          <w:top w:val="nil"/>
          <w:left w:val="nil"/>
          <w:bottom w:val="nil"/>
          <w:right w:val="nil"/>
          <w:insideH w:val="nil"/>
          <w:insideV w:val="nil"/>
          <w:tl2br w:val="nil"/>
          <w:tr2bl w:val="nil"/>
        </w:tcBorders>
        <w:shd w:val="pct50" w:color="FF0000" w:fill="FFFFFF"/>
      </w:tcPr>
    </w:tblStylePr>
    <w:tblStylePr w:type="nwCell">
      <w:tblPr/>
      <w:tcPr>
        <w:tcBorders>
          <w:top w:val="nil"/>
          <w:left w:val="nil"/>
          <w:bottom w:val="nil"/>
          <w:right w:val="nil"/>
          <w:insideH w:val="nil"/>
          <w:insideV w:val="nil"/>
          <w:tl2br w:val="single" w:color="auto" w:sz="6" w:space="0"/>
          <w:tr2bl w:val="nil"/>
        </w:tcBorders>
      </w:tcPr>
    </w:tblStylePr>
  </w:style>
  <w:style w:type="table" w:styleId="115">
    <w:name w:val="Table Contemporary"/>
    <w:basedOn w:val="88"/>
    <w:unhideWhenUsed/>
    <w:qFormat/>
    <w:uiPriority w:val="0"/>
    <w:pPr>
      <w:widowControl w:val="0"/>
      <w:jc w:val="both"/>
    </w:pPr>
    <w:tblPr>
      <w:tblBorders>
        <w:insideH w:val="single" w:color="FFFFFF" w:sz="18" w:space="0"/>
        <w:insideV w:val="single" w:color="FFFFFF" w:sz="18" w:space="0"/>
      </w:tblBorders>
      <w:tblCellMar>
        <w:top w:w="0" w:type="dxa"/>
        <w:left w:w="108" w:type="dxa"/>
        <w:bottom w:w="0" w:type="dxa"/>
        <w:right w:w="108" w:type="dxa"/>
      </w:tblCellMar>
    </w:tblPr>
    <w:tblStylePr w:type="firstRow">
      <w:rPr>
        <w:b/>
        <w:bCs/>
        <w:color w:val="auto"/>
      </w:rPr>
      <w:tblPr/>
      <w:tcPr>
        <w:tcBorders>
          <w:top w:val="nil"/>
          <w:left w:val="nil"/>
          <w:bottom w:val="nil"/>
          <w:right w:val="nil"/>
          <w:insideH w:val="nil"/>
          <w:insideV w:val="nil"/>
          <w:tl2br w:val="nil"/>
          <w:tr2bl w:val="nil"/>
        </w:tcBorders>
        <w:shd w:val="pct20" w:color="000000" w:fill="FFFFFF"/>
      </w:tcPr>
    </w:tblStylePr>
    <w:tblStylePr w:type="band1Horz">
      <w:rPr>
        <w:color w:val="auto"/>
      </w:rPr>
      <w:tblPr/>
      <w:tcPr>
        <w:tcBorders>
          <w:top w:val="nil"/>
          <w:left w:val="nil"/>
          <w:bottom w:val="nil"/>
          <w:right w:val="nil"/>
          <w:insideH w:val="nil"/>
          <w:insideV w:val="nil"/>
          <w:tl2br w:val="nil"/>
          <w:tr2bl w:val="nil"/>
        </w:tcBorders>
        <w:shd w:val="pct5" w:color="000000" w:fill="FFFFFF"/>
      </w:tcPr>
    </w:tblStylePr>
    <w:tblStylePr w:type="band2Horz">
      <w:rPr>
        <w:color w:val="auto"/>
      </w:rPr>
      <w:tblPr/>
      <w:tcPr>
        <w:tcBorders>
          <w:top w:val="nil"/>
          <w:left w:val="nil"/>
          <w:bottom w:val="nil"/>
          <w:right w:val="nil"/>
          <w:insideH w:val="nil"/>
          <w:insideV w:val="nil"/>
          <w:tl2br w:val="nil"/>
          <w:tr2bl w:val="nil"/>
        </w:tcBorders>
        <w:shd w:val="pct20" w:color="000000" w:fill="FFFFFF"/>
      </w:tcPr>
    </w:tblStylePr>
  </w:style>
  <w:style w:type="table" w:styleId="116">
    <w:name w:val="Table Columns 1"/>
    <w:basedOn w:val="88"/>
    <w:unhideWhenUsed/>
    <w:qFormat/>
    <w:uiPriority w:val="0"/>
    <w:pPr>
      <w:widowControl w:val="0"/>
      <w:jc w:val="both"/>
    </w:pPr>
    <w:rPr>
      <w:b/>
      <w:bCs/>
    </w:rPr>
    <w:tblPr>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blStylePr w:type="firstRow">
      <w:rPr>
        <w:b w:val="0"/>
        <w:bCs w:val="0"/>
      </w:rPr>
      <w:tblPr/>
      <w:tcPr>
        <w:tcBorders>
          <w:top w:val="nil"/>
          <w:left w:val="nil"/>
          <w:bottom w:val="double" w:color="000000" w:sz="6" w:space="0"/>
          <w:right w:val="nil"/>
          <w:insideH w:val="nil"/>
          <w:insideV w:val="nil"/>
          <w:tl2br w:val="nil"/>
          <w:tr2bl w:val="nil"/>
        </w:tcBorders>
      </w:tcPr>
    </w:tblStylePr>
    <w:tblStylePr w:type="lastRow">
      <w:rPr>
        <w:b w:val="0"/>
        <w:bCs w:val="0"/>
      </w:rPr>
      <w:tblPr/>
      <w:tcPr>
        <w:tcBorders>
          <w:top w:val="nil"/>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17">
    <w:name w:val="Table Columns 2"/>
    <w:basedOn w:val="88"/>
    <w:unhideWhenUsed/>
    <w:qFormat/>
    <w:uiPriority w:val="0"/>
    <w:pPr>
      <w:widowControl w:val="0"/>
      <w:jc w:val="both"/>
    </w:pPr>
    <w:rPr>
      <w:b/>
      <w:bCs/>
    </w:rPr>
    <w:tblPr>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solid" w:color="000080" w:fill="FFFFFF"/>
      </w:tcPr>
    </w:tblStylePr>
    <w:tblStylePr w:type="lastRow">
      <w:rPr>
        <w:b w:val="0"/>
        <w:bCs w:val="0"/>
      </w:rPr>
      <w:tblPr/>
      <w:tcPr>
        <w:tcBorders>
          <w:top w:val="nil"/>
          <w:left w:val="nil"/>
          <w:bottom w:val="nil"/>
          <w:right w:val="nil"/>
          <w:insideH w:val="nil"/>
          <w:insideV w:val="nil"/>
          <w:tl2br w:val="nil"/>
          <w:tr2bl w:val="nil"/>
        </w:tcBorders>
      </w:tcPr>
    </w:tblStylePr>
    <w:tblStylePr w:type="firstCol">
      <w:rPr>
        <w:b w:val="0"/>
        <w:bCs w:val="0"/>
        <w:color w:val="00000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18">
    <w:name w:val="Table Columns 3"/>
    <w:basedOn w:val="88"/>
    <w:unhideWhenUsed/>
    <w:qFormat/>
    <w:uiPriority w:val="0"/>
    <w:pPr>
      <w:widowControl w:val="0"/>
      <w:jc w:val="both"/>
    </w:pPr>
    <w:rPr>
      <w:b/>
      <w:bCs/>
    </w:rPr>
    <w:tblPr>
      <w:tblBorders>
        <w:top w:val="single" w:color="000080" w:sz="6" w:space="0"/>
        <w:left w:val="single" w:color="000080" w:sz="6" w:space="0"/>
        <w:bottom w:val="single" w:color="000080" w:sz="6" w:space="0"/>
        <w:right w:val="single" w:color="000080" w:sz="6" w:space="0"/>
        <w:insideV w:val="single" w:color="000080" w:sz="6" w:space="0"/>
      </w:tblBorders>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solid" w:color="000080" w:fill="FFFFFF"/>
      </w:tcPr>
    </w:tblStylePr>
    <w:tblStylePr w:type="lastRow">
      <w:rPr>
        <w:b w:val="0"/>
        <w:bCs w:val="0"/>
      </w:rPr>
      <w:tblPr/>
      <w:tcPr>
        <w:tcBorders>
          <w:top w:val="single" w:color="000080" w:sz="6" w:space="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op w:val="nil"/>
          <w:left w:val="nil"/>
          <w:bottom w:val="nil"/>
          <w:right w:val="nil"/>
          <w:insideH w:val="nil"/>
          <w:insideV w:val="nil"/>
          <w:tl2br w:val="nil"/>
          <w:tr2bl w:val="nil"/>
        </w:tcBorders>
      </w:tcPr>
    </w:tblStylePr>
  </w:style>
  <w:style w:type="table" w:styleId="119">
    <w:name w:val="Table Columns 4"/>
    <w:basedOn w:val="88"/>
    <w:unhideWhenUsed/>
    <w:qFormat/>
    <w:uiPriority w:val="0"/>
    <w:pPr>
      <w:widowControl w:val="0"/>
      <w:jc w:val="both"/>
    </w:pPr>
    <w:tblPr>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solid" w:color="000000" w:fill="FFFFFF"/>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120">
    <w:name w:val="Table Columns 5"/>
    <w:basedOn w:val="88"/>
    <w:unhideWhenUsed/>
    <w:qFormat/>
    <w:uiPriority w:val="0"/>
    <w:pPr>
      <w:widowControl w:val="0"/>
      <w:jc w:val="both"/>
    </w:pPr>
    <w:tblPr>
      <w:tblBorders>
        <w:top w:val="single" w:color="808080" w:sz="12" w:space="0"/>
        <w:left w:val="single" w:color="808080" w:sz="12" w:space="0"/>
        <w:bottom w:val="single" w:color="808080" w:sz="12" w:space="0"/>
        <w:right w:val="single" w:color="808080" w:sz="12" w:space="0"/>
        <w:insideV w:val="single" w:color="C0C0C0" w:sz="6" w:space="0"/>
      </w:tblBorders>
      <w:tblCellMar>
        <w:top w:w="0" w:type="dxa"/>
        <w:left w:w="108" w:type="dxa"/>
        <w:bottom w:w="0" w:type="dxa"/>
        <w:right w:w="108" w:type="dxa"/>
      </w:tblCellMar>
    </w:tblPr>
    <w:tblStylePr w:type="firstRow">
      <w:rPr>
        <w:b/>
        <w:bCs/>
        <w:i/>
        <w:iCs/>
      </w:rPr>
      <w:tblPr/>
      <w:tcPr>
        <w:tcBorders>
          <w:top w:val="nil"/>
          <w:left w:val="nil"/>
          <w:bottom w:val="single" w:color="808080" w:sz="6" w:space="0"/>
          <w:right w:val="nil"/>
          <w:insideH w:val="nil"/>
          <w:insideV w:val="nil"/>
          <w:tl2br w:val="nil"/>
          <w:tr2bl w:val="nil"/>
        </w:tcBorders>
      </w:tcPr>
    </w:tblStylePr>
    <w:tblStylePr w:type="lastRow">
      <w:rPr>
        <w:b/>
        <w:bCs/>
      </w:rPr>
      <w:tblPr/>
      <w:tcPr>
        <w:tcBorders>
          <w:top w:val="single" w:color="80808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Vert">
      <w:rPr>
        <w:color w:val="auto"/>
      </w:rPr>
      <w:tblPr/>
      <w:tcPr>
        <w:shd w:val="solid" w:color="C0C0C0" w:fill="FFFFFF"/>
      </w:tcPr>
    </w:tblStylePr>
    <w:tblStylePr w:type="band2Vert">
      <w:rPr>
        <w:color w:val="auto"/>
      </w:rPr>
    </w:tblStylePr>
  </w:style>
  <w:style w:type="table" w:styleId="121">
    <w:name w:val="Table Grid 1"/>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2">
    <w:name w:val="Table Grid 2"/>
    <w:basedOn w:val="88"/>
    <w:unhideWhenUsed/>
    <w:qFormat/>
    <w:uiPriority w:val="0"/>
    <w:pPr>
      <w:widowControl w:val="0"/>
      <w:jc w:val="both"/>
    </w:pPr>
    <w:tblPr>
      <w:tblBorders>
        <w:insideH w:val="single" w:color="000000" w:sz="6" w:space="0"/>
        <w:insideV w:val="single" w:color="000000" w:sz="6" w:space="0"/>
      </w:tblBorders>
      <w:tblCellMar>
        <w:top w:w="0" w:type="dxa"/>
        <w:left w:w="108" w:type="dxa"/>
        <w:bottom w:w="0" w:type="dxa"/>
        <w:right w:w="108" w:type="dxa"/>
      </w:tblCellMar>
    </w:tblPr>
    <w:tblStylePr w:type="firstRow">
      <w:rPr>
        <w:b/>
        <w:bCs/>
      </w:rPr>
      <w:tblPr/>
      <w:tcPr>
        <w:tcBorders>
          <w:top w:val="nil"/>
          <w:left w:val="nil"/>
          <w:bottom w:val="nil"/>
          <w:right w:val="nil"/>
          <w:insideH w:val="nil"/>
          <w:insideV w:val="nil"/>
          <w:tl2br w:val="nil"/>
          <w:tr2bl w:val="nil"/>
        </w:tcBorders>
      </w:tcPr>
    </w:tblStylePr>
    <w:tblStylePr w:type="lastRow">
      <w:rPr>
        <w:b/>
        <w:bCs/>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style>
  <w:style w:type="table" w:styleId="123">
    <w:name w:val="Table Grid 3"/>
    <w:basedOn w:val="88"/>
    <w:unhideWhenUsed/>
    <w:qFormat/>
    <w:uiPriority w:val="0"/>
    <w:pPr>
      <w:widowControl w:val="0"/>
      <w:jc w:val="both"/>
    </w:pPr>
    <w:tblPr>
      <w:tblBorders>
        <w:top w:val="single" w:color="000000" w:sz="6" w:space="0"/>
        <w:left w:val="single" w:color="000000" w:sz="12" w:space="0"/>
        <w:bottom w:val="single" w:color="000000" w:sz="6" w:space="0"/>
        <w:right w:val="single" w:color="000000" w:sz="12" w:space="0"/>
        <w:insideV w:val="single" w:color="000000" w:sz="6" w:space="0"/>
      </w:tblBorders>
      <w:tblCellMar>
        <w:top w:w="0" w:type="dxa"/>
        <w:left w:w="108" w:type="dxa"/>
        <w:bottom w:w="0" w:type="dxa"/>
        <w:right w:w="108" w:type="dxa"/>
      </w:tblCellMar>
    </w:tblPr>
    <w:tblStylePr w:type="firstRow">
      <w:tblPr/>
      <w:tcPr>
        <w:tcBorders>
          <w:top w:val="nil"/>
          <w:left w:val="nil"/>
          <w:bottom w:val="single" w:color="000000" w:sz="6" w:space="0"/>
          <w:right w:val="nil"/>
          <w:insideH w:val="nil"/>
          <w:insideV w:val="nil"/>
          <w:tl2br w:val="nil"/>
          <w:tr2bl w:val="nil"/>
        </w:tcBorders>
        <w:shd w:val="pct30" w:color="FFFF00" w:fill="FFFFFF"/>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4">
    <w:name w:val="Table Grid 4"/>
    <w:basedOn w:val="88"/>
    <w:unhideWhenUsed/>
    <w:qFormat/>
    <w:uiPriority w:val="0"/>
    <w:pPr>
      <w:widowControl w:val="0"/>
      <w:jc w:val="both"/>
    </w:pPr>
    <w:tblPr>
      <w:tblBorders>
        <w:left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color w:val="auto"/>
      </w:rPr>
      <w:tblPr/>
      <w:tcPr>
        <w:tcBorders>
          <w:top w:val="nil"/>
          <w:left w:val="nil"/>
          <w:bottom w:val="single" w:color="000000" w:sz="6" w:space="0"/>
          <w:right w:val="nil"/>
          <w:insideH w:val="nil"/>
          <w:insideV w:val="nil"/>
          <w:tl2br w:val="nil"/>
          <w:tr2bl w:val="nil"/>
        </w:tcBorders>
        <w:shd w:val="pct30" w:color="FFFF00" w:fill="FFFFFF"/>
      </w:tcPr>
    </w:tblStylePr>
    <w:tblStylePr w:type="lastRow">
      <w:rPr>
        <w:b/>
        <w:bCs/>
        <w:color w:val="auto"/>
      </w:rPr>
      <w:tblPr/>
      <w:tcPr>
        <w:tcBorders>
          <w:top w:val="single" w:color="000000" w:sz="6" w:space="0"/>
          <w:left w:val="nil"/>
          <w:bottom w:val="nil"/>
          <w:right w:val="nil"/>
          <w:insideH w:val="nil"/>
          <w:insideV w:val="nil"/>
          <w:tl2br w:val="nil"/>
          <w:tr2bl w:val="nil"/>
        </w:tcBorders>
        <w:shd w:val="pct30" w:color="FFFF00" w:fill="FFFFFF"/>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125">
    <w:name w:val="Table Grid 5"/>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6">
    <w:name w:val="Table Grid 6"/>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V w:val="single" w:color="000000" w:sz="6" w:space="0"/>
      </w:tblBorders>
      <w:tblCellMar>
        <w:top w:w="0" w:type="dxa"/>
        <w:left w:w="108" w:type="dxa"/>
        <w:bottom w:w="0" w:type="dxa"/>
        <w:right w:w="108" w:type="dxa"/>
      </w:tblCellMar>
    </w:tblPr>
    <w:tblStylePr w:type="firstRow">
      <w:rPr>
        <w:b/>
        <w:bCs/>
      </w:rPr>
      <w:tblPr/>
      <w:tcPr>
        <w:tcBorders>
          <w:top w:val="nil"/>
          <w:left w:val="nil"/>
          <w:bottom w:val="single" w:color="000000" w:sz="6" w:space="0"/>
          <w:right w:val="nil"/>
          <w:insideH w:val="nil"/>
          <w:insideV w:val="nil"/>
          <w:tl2br w:val="nil"/>
          <w:tr2bl w:val="nil"/>
        </w:tcBorders>
      </w:tcPr>
    </w:tblStylePr>
    <w:tblStylePr w:type="lastRow">
      <w:rPr>
        <w:color w:val="auto"/>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7">
    <w:name w:val="Table Grid 7"/>
    <w:basedOn w:val="88"/>
    <w:unhideWhenUsed/>
    <w:qFormat/>
    <w:uiPriority w:val="0"/>
    <w:pPr>
      <w:widowControl w:val="0"/>
      <w:jc w:val="both"/>
    </w:pPr>
    <w:rPr>
      <w:b/>
      <w:bCs/>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b w:val="0"/>
        <w:bCs w:val="0"/>
      </w:rPr>
      <w:tblPr/>
      <w:tcPr>
        <w:tcBorders>
          <w:top w:val="nil"/>
          <w:left w:val="nil"/>
          <w:bottom w:val="single" w:color="000000" w:sz="12" w:space="0"/>
          <w:right w:val="nil"/>
          <w:insideH w:val="nil"/>
          <w:insideV w:val="nil"/>
          <w:tl2br w:val="nil"/>
          <w:tr2bl w:val="nil"/>
        </w:tcBorders>
      </w:tcPr>
    </w:tblStylePr>
    <w:tblStylePr w:type="lastRow">
      <w:rPr>
        <w:b w:val="0"/>
        <w:bCs w:val="0"/>
      </w:rPr>
      <w:tblPr/>
      <w:tcPr>
        <w:tcBorders>
          <w:top w:val="single" w:color="000000" w:sz="6" w:space="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8">
    <w:name w:val="Table Grid 8"/>
    <w:basedOn w:val="88"/>
    <w:unhideWhenUsed/>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129">
    <w:name w:val="Table Web 1"/>
    <w:basedOn w:val="88"/>
    <w:unhideWhenUsed/>
    <w:qFormat/>
    <w:uiPriority w:val="0"/>
    <w:pPr>
      <w:widowControl w:val="0"/>
      <w:jc w:val="both"/>
    </w:pPr>
    <w:tblPr>
      <w:tblCellSpacing w:w="2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30">
    <w:name w:val="Table Web 2"/>
    <w:basedOn w:val="88"/>
    <w:unhideWhenUsed/>
    <w:qFormat/>
    <w:uiPriority w:val="0"/>
    <w:pPr>
      <w:widowControl w:val="0"/>
      <w:jc w:val="both"/>
    </w:pPr>
    <w:tblPr>
      <w:tblCellSpacing w:w="20" w:type="dxa"/>
      <w:tblBorders>
        <w:top w:val="inset" w:color="auto" w:sz="6" w:space="0"/>
        <w:left w:val="inset" w:color="auto" w:sz="6" w:space="0"/>
        <w:bottom w:val="inset" w:color="auto" w:sz="6" w:space="0"/>
        <w:right w:val="inset" w:color="auto" w:sz="6" w:space="0"/>
        <w:insideH w:val="inset" w:color="auto" w:sz="6" w:space="0"/>
        <w:insideV w:val="inset" w:color="auto" w:sz="6" w:space="0"/>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31">
    <w:name w:val="Table Web 3"/>
    <w:basedOn w:val="88"/>
    <w:unhideWhenUsed/>
    <w:qFormat/>
    <w:uiPriority w:val="0"/>
    <w:pPr>
      <w:widowControl w:val="0"/>
      <w:jc w:val="both"/>
    </w:pPr>
    <w:tblPr>
      <w:tblCellSpacing w:w="20" w:type="dxa"/>
      <w:tblBorders>
        <w:top w:val="outset" w:color="auto" w:sz="24" w:space="0"/>
        <w:left w:val="outset" w:color="auto" w:sz="24" w:space="0"/>
        <w:bottom w:val="outset" w:color="auto" w:sz="24" w:space="0"/>
        <w:right w:val="outset" w:color="auto" w:sz="24" w:space="0"/>
        <w:insideH w:val="outset" w:color="auto" w:sz="6" w:space="0"/>
        <w:insideV w:val="outset" w:color="auto" w:sz="6" w:space="0"/>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32">
    <w:name w:val="Table Professional"/>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134">
    <w:name w:val="Strong"/>
    <w:qFormat/>
    <w:uiPriority w:val="0"/>
    <w:rPr>
      <w:b/>
      <w:bCs/>
    </w:rPr>
  </w:style>
  <w:style w:type="character" w:styleId="135">
    <w:name w:val="endnote reference"/>
    <w:qFormat/>
    <w:uiPriority w:val="0"/>
    <w:rPr>
      <w:vertAlign w:val="superscript"/>
    </w:rPr>
  </w:style>
  <w:style w:type="character" w:styleId="136">
    <w:name w:val="page number"/>
    <w:basedOn w:val="133"/>
    <w:qFormat/>
    <w:uiPriority w:val="0"/>
  </w:style>
  <w:style w:type="character" w:styleId="137">
    <w:name w:val="FollowedHyperlink"/>
    <w:qFormat/>
    <w:uiPriority w:val="0"/>
    <w:rPr>
      <w:color w:val="800080"/>
      <w:u w:val="single"/>
    </w:rPr>
  </w:style>
  <w:style w:type="character" w:styleId="138">
    <w:name w:val="Emphasis"/>
    <w:qFormat/>
    <w:uiPriority w:val="0"/>
    <w:rPr>
      <w:i/>
      <w:iCs/>
    </w:rPr>
  </w:style>
  <w:style w:type="character" w:styleId="139">
    <w:name w:val="HTML Typewriter"/>
    <w:unhideWhenUsed/>
    <w:qFormat/>
    <w:uiPriority w:val="0"/>
    <w:rPr>
      <w:rFonts w:hint="default" w:ascii="Courier New" w:hAnsi="Courier New" w:eastAsia="Times New Roman" w:cs="Courier New"/>
      <w:sz w:val="24"/>
      <w:szCs w:val="24"/>
    </w:rPr>
  </w:style>
  <w:style w:type="character" w:styleId="140">
    <w:name w:val="Hyperlink"/>
    <w:basedOn w:val="133"/>
    <w:unhideWhenUsed/>
    <w:qFormat/>
    <w:uiPriority w:val="0"/>
    <w:rPr>
      <w:color w:val="0000FF"/>
      <w:u w:val="single"/>
    </w:rPr>
  </w:style>
  <w:style w:type="character" w:styleId="141">
    <w:name w:val="HTML Code"/>
    <w:unhideWhenUsed/>
    <w:qFormat/>
    <w:uiPriority w:val="0"/>
    <w:rPr>
      <w:rFonts w:hint="default" w:ascii="Courier New" w:hAnsi="Courier New" w:eastAsia="Times New Roman" w:cs="Courier New"/>
      <w:sz w:val="24"/>
      <w:szCs w:val="24"/>
    </w:rPr>
  </w:style>
  <w:style w:type="character" w:styleId="142">
    <w:name w:val="annotation reference"/>
    <w:qFormat/>
    <w:uiPriority w:val="0"/>
    <w:rPr>
      <w:sz w:val="21"/>
      <w:szCs w:val="21"/>
    </w:rPr>
  </w:style>
  <w:style w:type="character" w:styleId="143">
    <w:name w:val="footnote reference"/>
    <w:qFormat/>
    <w:uiPriority w:val="0"/>
    <w:rPr>
      <w:vertAlign w:val="superscript"/>
    </w:rPr>
  </w:style>
  <w:style w:type="character" w:styleId="144">
    <w:name w:val="HTML Keyboard"/>
    <w:unhideWhenUsed/>
    <w:qFormat/>
    <w:uiPriority w:val="0"/>
    <w:rPr>
      <w:rFonts w:hint="default" w:ascii="Courier New" w:hAnsi="Courier New" w:eastAsia="Times New Roman" w:cs="Courier New"/>
      <w:sz w:val="24"/>
      <w:szCs w:val="24"/>
    </w:rPr>
  </w:style>
  <w:style w:type="character" w:styleId="145">
    <w:name w:val="HTML Sample"/>
    <w:unhideWhenUsed/>
    <w:qFormat/>
    <w:uiPriority w:val="0"/>
    <w:rPr>
      <w:rFonts w:hint="default" w:ascii="Courier New" w:hAnsi="Courier New" w:eastAsia="Times New Roman" w:cs="Courier New"/>
    </w:rPr>
  </w:style>
  <w:style w:type="paragraph" w:customStyle="1" w:styleId="146">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147">
    <w:name w:val="正文格式 Char"/>
    <w:link w:val="148"/>
    <w:semiHidden/>
    <w:qFormat/>
    <w:locked/>
    <w:uiPriority w:val="0"/>
    <w:rPr>
      <w:rFonts w:ascii="宋体" w:hAnsi="宋体"/>
      <w:bCs/>
      <w:kern w:val="2"/>
      <w:sz w:val="21"/>
      <w:szCs w:val="21"/>
    </w:rPr>
  </w:style>
  <w:style w:type="paragraph" w:customStyle="1" w:styleId="148">
    <w:name w:val="正文格式"/>
    <w:basedOn w:val="1"/>
    <w:link w:val="147"/>
    <w:semiHidden/>
    <w:qFormat/>
    <w:uiPriority w:val="0"/>
    <w:pPr>
      <w:topLinePunct/>
      <w:ind w:firstLine="420" w:firstLineChars="200"/>
    </w:pPr>
    <w:rPr>
      <w:rFonts w:ascii="宋体" w:hAnsi="宋体"/>
      <w:bCs/>
      <w:szCs w:val="21"/>
    </w:rPr>
  </w:style>
  <w:style w:type="character" w:customStyle="1" w:styleId="149">
    <w:name w:val="Char Char51"/>
    <w:qFormat/>
    <w:uiPriority w:val="0"/>
    <w:rPr>
      <w:kern w:val="2"/>
      <w:sz w:val="21"/>
    </w:rPr>
  </w:style>
  <w:style w:type="character" w:customStyle="1" w:styleId="150">
    <w:name w:val="正文段落格式 Char Char"/>
    <w:link w:val="151"/>
    <w:qFormat/>
    <w:uiPriority w:val="0"/>
    <w:rPr>
      <w:kern w:val="2"/>
      <w:sz w:val="24"/>
      <w:lang w:eastAsia="ar-SA"/>
    </w:rPr>
  </w:style>
  <w:style w:type="paragraph" w:customStyle="1" w:styleId="151">
    <w:name w:val="正文段落格式"/>
    <w:basedOn w:val="1"/>
    <w:link w:val="150"/>
    <w:qFormat/>
    <w:uiPriority w:val="0"/>
    <w:pPr>
      <w:spacing w:afterLines="50" w:line="336" w:lineRule="auto"/>
      <w:ind w:firstLine="480" w:firstLineChars="200"/>
      <w:jc w:val="left"/>
    </w:pPr>
    <w:rPr>
      <w:sz w:val="24"/>
      <w:szCs w:val="20"/>
      <w:lang w:eastAsia="ar-SA"/>
    </w:rPr>
  </w:style>
  <w:style w:type="paragraph" w:customStyle="1" w:styleId="152">
    <w:name w:val="样式 首行缩进:  2 字符"/>
    <w:basedOn w:val="1"/>
    <w:link w:val="365"/>
    <w:qFormat/>
    <w:uiPriority w:val="0"/>
    <w:pPr>
      <w:suppressAutoHyphens/>
      <w:spacing w:line="360" w:lineRule="auto"/>
      <w:ind w:firstLine="480" w:firstLineChars="200"/>
    </w:pPr>
    <w:rPr>
      <w:color w:val="7030A0"/>
      <w:sz w:val="24"/>
      <w:lang w:eastAsia="ar-SA"/>
    </w:rPr>
  </w:style>
  <w:style w:type="character" w:customStyle="1" w:styleId="153">
    <w:name w:val="Char Char16"/>
    <w:qFormat/>
    <w:uiPriority w:val="0"/>
    <w:rPr>
      <w:rFonts w:ascii="@仿宋" w:hAnsi="@仿宋" w:eastAsia="华文行楷" w:cs="@仿宋"/>
      <w:sz w:val="32"/>
      <w:lang w:val="en-US" w:eastAsia="zh-CN" w:bidi="ar-SA"/>
    </w:rPr>
  </w:style>
  <w:style w:type="character" w:customStyle="1" w:styleId="154">
    <w:name w:val="样式 正文缩进Paragraph2Paragraph3Paragraph4Paragraph5Paragraph6表...1 Char"/>
    <w:link w:val="155"/>
    <w:qFormat/>
    <w:uiPriority w:val="0"/>
    <w:rPr>
      <w:rFonts w:ascii="Arial" w:hAnsi="Arial"/>
      <w:snapToGrid/>
      <w:sz w:val="24"/>
    </w:rPr>
  </w:style>
  <w:style w:type="paragraph" w:customStyle="1" w:styleId="155">
    <w:name w:val="样式 正文缩进Paragraph2Paragraph3Paragraph4Paragraph5Paragraph6表...1"/>
    <w:basedOn w:val="43"/>
    <w:link w:val="154"/>
    <w:qFormat/>
    <w:uiPriority w:val="0"/>
    <w:pPr>
      <w:tabs>
        <w:tab w:val="left" w:pos="1470"/>
      </w:tabs>
      <w:autoSpaceDE w:val="0"/>
      <w:autoSpaceDN w:val="0"/>
      <w:adjustRightInd w:val="0"/>
      <w:snapToGrid w:val="0"/>
      <w:spacing w:line="440" w:lineRule="exact"/>
      <w:ind w:left="1187" w:hanging="227"/>
    </w:pPr>
    <w:rPr>
      <w:rFonts w:ascii="Arial" w:hAnsi="Arial"/>
      <w:kern w:val="0"/>
      <w:sz w:val="24"/>
      <w:szCs w:val="20"/>
    </w:rPr>
  </w:style>
  <w:style w:type="character" w:customStyle="1" w:styleId="156">
    <w:name w:val="信息标题 Char"/>
    <w:link w:val="79"/>
    <w:qFormat/>
    <w:uiPriority w:val="0"/>
    <w:rPr>
      <w:rFonts w:ascii="Arial" w:hAnsi="Arial" w:cs="Arial"/>
      <w:kern w:val="2"/>
      <w:sz w:val="24"/>
      <w:szCs w:val="24"/>
      <w:shd w:val="pct20" w:color="auto" w:fill="auto"/>
    </w:rPr>
  </w:style>
  <w:style w:type="character" w:customStyle="1" w:styleId="157">
    <w:name w:val="索引 1 Char Char"/>
    <w:qFormat/>
    <w:uiPriority w:val="0"/>
    <w:rPr>
      <w:rFonts w:eastAsia="宋体"/>
      <w:kern w:val="2"/>
      <w:sz w:val="21"/>
      <w:szCs w:val="24"/>
      <w:lang w:val="en-US" w:eastAsia="zh-CN"/>
    </w:rPr>
  </w:style>
  <w:style w:type="character" w:customStyle="1" w:styleId="158">
    <w:name w:val="标题 2 Char"/>
    <w:link w:val="4"/>
    <w:qFormat/>
    <w:uiPriority w:val="0"/>
    <w:rPr>
      <w:rFonts w:ascii="Arial" w:hAnsi="Arial" w:eastAsia="黑体"/>
      <w:b/>
      <w:sz w:val="44"/>
    </w:rPr>
  </w:style>
  <w:style w:type="character" w:customStyle="1" w:styleId="159">
    <w:name w:val="1级项目符号 Char Char"/>
    <w:link w:val="160"/>
    <w:qFormat/>
    <w:uiPriority w:val="0"/>
    <w:rPr>
      <w:color w:val="7030A0"/>
      <w:kern w:val="2"/>
      <w:sz w:val="24"/>
      <w:szCs w:val="24"/>
    </w:rPr>
  </w:style>
  <w:style w:type="paragraph" w:customStyle="1" w:styleId="160">
    <w:name w:val="1级项目符号"/>
    <w:basedOn w:val="1"/>
    <w:link w:val="159"/>
    <w:qFormat/>
    <w:uiPriority w:val="0"/>
    <w:pPr>
      <w:tabs>
        <w:tab w:val="left" w:pos="0"/>
        <w:tab w:val="left" w:pos="240"/>
      </w:tabs>
      <w:spacing w:line="360" w:lineRule="auto"/>
      <w:jc w:val="left"/>
    </w:pPr>
    <w:rPr>
      <w:color w:val="7030A0"/>
      <w:sz w:val="24"/>
    </w:rPr>
  </w:style>
  <w:style w:type="paragraph" w:customStyle="1" w:styleId="161">
    <w:name w:val="正文首行缩进:  2 字符"/>
    <w:basedOn w:val="1"/>
    <w:link w:val="442"/>
    <w:qFormat/>
    <w:uiPriority w:val="0"/>
    <w:pPr>
      <w:spacing w:line="360" w:lineRule="auto"/>
      <w:ind w:firstLine="480" w:firstLineChars="200"/>
      <w:jc w:val="left"/>
    </w:pPr>
    <w:rPr>
      <w:color w:val="7030A0"/>
      <w:sz w:val="24"/>
    </w:rPr>
  </w:style>
  <w:style w:type="character" w:customStyle="1" w:styleId="162">
    <w:name w:val="sub-dash Char1"/>
    <w:qFormat/>
    <w:uiPriority w:val="0"/>
    <w:rPr>
      <w:rFonts w:eastAsia="宋体"/>
      <w:bCs/>
      <w:kern w:val="2"/>
      <w:sz w:val="24"/>
      <w:szCs w:val="24"/>
      <w:lang w:val="en-US" w:eastAsia="zh-CN"/>
    </w:rPr>
  </w:style>
  <w:style w:type="character" w:customStyle="1" w:styleId="163">
    <w:name w:val="备注 Char"/>
    <w:link w:val="164"/>
    <w:qFormat/>
    <w:uiPriority w:val="0"/>
    <w:rPr>
      <w:kern w:val="2"/>
      <w:sz w:val="21"/>
      <w:szCs w:val="21"/>
    </w:rPr>
  </w:style>
  <w:style w:type="paragraph" w:customStyle="1" w:styleId="164">
    <w:name w:val="备注"/>
    <w:basedOn w:val="1"/>
    <w:link w:val="163"/>
    <w:qFormat/>
    <w:uiPriority w:val="0"/>
    <w:pPr>
      <w:tabs>
        <w:tab w:val="left" w:pos="560"/>
        <w:tab w:val="left" w:pos="1120"/>
      </w:tabs>
      <w:snapToGrid w:val="0"/>
      <w:spacing w:line="400" w:lineRule="atLeast"/>
    </w:pPr>
    <w:rPr>
      <w:szCs w:val="21"/>
    </w:rPr>
  </w:style>
  <w:style w:type="character" w:customStyle="1" w:styleId="165">
    <w:name w:val="HTML 地址 Char1"/>
    <w:qFormat/>
    <w:uiPriority w:val="0"/>
    <w:rPr>
      <w:i/>
      <w:iCs/>
      <w:kern w:val="2"/>
      <w:sz w:val="21"/>
      <w:szCs w:val="24"/>
    </w:rPr>
  </w:style>
  <w:style w:type="character" w:customStyle="1" w:styleId="166">
    <w:name w:val="正文－wjnew Char"/>
    <w:link w:val="167"/>
    <w:qFormat/>
    <w:uiPriority w:val="0"/>
    <w:rPr>
      <w:rFonts w:ascii="宋体"/>
      <w:kern w:val="2"/>
      <w:sz w:val="21"/>
      <w:szCs w:val="21"/>
    </w:rPr>
  </w:style>
  <w:style w:type="paragraph" w:customStyle="1" w:styleId="167">
    <w:name w:val="正文－wjnew"/>
    <w:basedOn w:val="1"/>
    <w:link w:val="166"/>
    <w:qFormat/>
    <w:uiPriority w:val="0"/>
    <w:pPr>
      <w:adjustRightInd w:val="0"/>
      <w:snapToGrid w:val="0"/>
      <w:spacing w:line="360" w:lineRule="auto"/>
      <w:ind w:firstLine="420"/>
    </w:pPr>
    <w:rPr>
      <w:rFonts w:ascii="宋体"/>
      <w:szCs w:val="21"/>
    </w:rPr>
  </w:style>
  <w:style w:type="character" w:customStyle="1" w:styleId="168">
    <w:name w:val="textcontents"/>
    <w:basedOn w:val="133"/>
    <w:qFormat/>
    <w:uiPriority w:val="0"/>
    <w:rPr>
      <w:rFonts w:cs="Times New Roman"/>
    </w:rPr>
  </w:style>
  <w:style w:type="character" w:customStyle="1" w:styleId="169">
    <w:name w:val="Char Char101"/>
    <w:qFormat/>
    <w:uiPriority w:val="0"/>
    <w:rPr>
      <w:rFonts w:ascii="宋体" w:hAnsi="宋体" w:eastAsia="宋体" w:cs="Times New Roman"/>
      <w:kern w:val="2"/>
      <w:sz w:val="24"/>
      <w:szCs w:val="24"/>
      <w:lang w:val="en-US" w:eastAsia="zh-CN"/>
    </w:rPr>
  </w:style>
  <w:style w:type="character" w:customStyle="1" w:styleId="170">
    <w:name w:val="H3 Char1"/>
    <w:qFormat/>
    <w:uiPriority w:val="0"/>
    <w:rPr>
      <w:b/>
      <w:bCs/>
      <w:kern w:val="2"/>
      <w:sz w:val="32"/>
      <w:szCs w:val="32"/>
    </w:rPr>
  </w:style>
  <w:style w:type="character" w:customStyle="1" w:styleId="171">
    <w:name w:val="样式 标题 31.1条标题1.1.1二级节名h3Heading 3 - oldheading 3H3H31H3... Char"/>
    <w:qFormat/>
    <w:uiPriority w:val="0"/>
    <w:rPr>
      <w:rFonts w:eastAsia="黑体"/>
      <w:kern w:val="2"/>
      <w:sz w:val="28"/>
      <w:szCs w:val="28"/>
    </w:rPr>
  </w:style>
  <w:style w:type="character" w:customStyle="1" w:styleId="172">
    <w:name w:val="页码11"/>
    <w:qFormat/>
    <w:uiPriority w:val="0"/>
  </w:style>
  <w:style w:type="character" w:customStyle="1" w:styleId="173">
    <w:name w:val="标题 3 Char1"/>
    <w:qFormat/>
    <w:uiPriority w:val="0"/>
    <w:rPr>
      <w:rFonts w:eastAsia="宋体"/>
      <w:b/>
      <w:bCs/>
      <w:kern w:val="2"/>
      <w:sz w:val="22"/>
      <w:szCs w:val="32"/>
      <w:lang w:val="en-US" w:eastAsia="zh-CN" w:bidi="ar-SA"/>
    </w:rPr>
  </w:style>
  <w:style w:type="character" w:customStyle="1" w:styleId="174">
    <w:name w:val="sub-dash Char"/>
    <w:qFormat/>
    <w:uiPriority w:val="0"/>
    <w:rPr>
      <w:rFonts w:ascii="Arial" w:hAnsi="Arial" w:eastAsia="黑体"/>
      <w:b/>
      <w:bCs/>
      <w:kern w:val="2"/>
      <w:sz w:val="24"/>
      <w:szCs w:val="24"/>
      <w:lang w:val="en-US" w:eastAsia="zh-CN" w:bidi="ar-SA"/>
    </w:rPr>
  </w:style>
  <w:style w:type="character" w:customStyle="1" w:styleId="175">
    <w:name w:val="页眉 Char1"/>
    <w:qFormat/>
    <w:uiPriority w:val="0"/>
    <w:rPr>
      <w:rFonts w:ascii="Times New Roman" w:hAnsi="Times New Roman"/>
      <w:kern w:val="2"/>
      <w:sz w:val="18"/>
      <w:szCs w:val="18"/>
    </w:rPr>
  </w:style>
  <w:style w:type="character" w:customStyle="1" w:styleId="176">
    <w:name w:val="Char Char14"/>
    <w:qFormat/>
    <w:uiPriority w:val="0"/>
    <w:rPr>
      <w:rFonts w:ascii="Calibri" w:hAnsi="Calibri" w:eastAsia="宋体"/>
      <w:b/>
      <w:bCs/>
      <w:kern w:val="2"/>
      <w:sz w:val="28"/>
      <w:szCs w:val="28"/>
      <w:lang w:bidi="ar-SA"/>
    </w:rPr>
  </w:style>
  <w:style w:type="character" w:customStyle="1" w:styleId="177">
    <w:name w:val="样式 Arial"/>
    <w:semiHidden/>
    <w:qFormat/>
    <w:uiPriority w:val="0"/>
    <w:rPr>
      <w:rFonts w:hint="default" w:ascii="Times New Roman" w:hAnsi="Times New Roman" w:eastAsia="宋体" w:cs="Times New Roman"/>
      <w:sz w:val="21"/>
      <w:szCs w:val="21"/>
    </w:rPr>
  </w:style>
  <w:style w:type="character" w:customStyle="1" w:styleId="178">
    <w:name w:val="Char Char13"/>
    <w:qFormat/>
    <w:uiPriority w:val="0"/>
    <w:rPr>
      <w:rFonts w:ascii="宋体" w:hAnsi="宋体" w:eastAsia="宋体" w:cs="Times New Roman"/>
      <w:kern w:val="2"/>
      <w:sz w:val="18"/>
      <w:szCs w:val="18"/>
      <w:lang w:val="en-US" w:eastAsia="zh-CN"/>
    </w:rPr>
  </w:style>
  <w:style w:type="character" w:customStyle="1" w:styleId="179">
    <w:name w:val="级别2 Char Char"/>
    <w:link w:val="180"/>
    <w:qFormat/>
    <w:uiPriority w:val="0"/>
    <w:rPr>
      <w:rFonts w:ascii="宋体" w:hAnsi="宋体"/>
      <w:b/>
      <w:bCs/>
      <w:kern w:val="44"/>
      <w:sz w:val="30"/>
      <w:szCs w:val="24"/>
    </w:rPr>
  </w:style>
  <w:style w:type="paragraph" w:customStyle="1" w:styleId="180">
    <w:name w:val="级别2"/>
    <w:basedOn w:val="1"/>
    <w:link w:val="179"/>
    <w:qFormat/>
    <w:uiPriority w:val="0"/>
    <w:pPr>
      <w:adjustRightInd w:val="0"/>
      <w:snapToGrid w:val="0"/>
      <w:spacing w:line="360" w:lineRule="auto"/>
      <w:jc w:val="left"/>
      <w:outlineLvl w:val="1"/>
    </w:pPr>
    <w:rPr>
      <w:rFonts w:ascii="宋体" w:hAnsi="宋体"/>
      <w:b/>
      <w:bCs/>
      <w:kern w:val="44"/>
      <w:sz w:val="30"/>
    </w:rPr>
  </w:style>
  <w:style w:type="paragraph" w:customStyle="1" w:styleId="181">
    <w:name w:val="标题 11"/>
    <w:basedOn w:val="1"/>
    <w:next w:val="1"/>
    <w:qFormat/>
    <w:uiPriority w:val="0"/>
    <w:pPr>
      <w:numPr>
        <w:ilvl w:val="0"/>
        <w:numId w:val="11"/>
      </w:numPr>
      <w:tabs>
        <w:tab w:val="left" w:pos="360"/>
        <w:tab w:val="left" w:pos="2040"/>
      </w:tabs>
      <w:spacing w:before="320" w:after="320"/>
      <w:jc w:val="left"/>
      <w:outlineLvl w:val="0"/>
    </w:pPr>
    <w:rPr>
      <w:rFonts w:ascii="宋体" w:hAnsi="宋体" w:eastAsia="黑体"/>
      <w:bCs/>
      <w:kern w:val="44"/>
      <w:sz w:val="30"/>
      <w:szCs w:val="21"/>
    </w:rPr>
  </w:style>
  <w:style w:type="character" w:customStyle="1" w:styleId="182">
    <w:name w:val="标题 1 1 Char2"/>
    <w:qFormat/>
    <w:uiPriority w:val="0"/>
    <w:rPr>
      <w:rFonts w:cs="Times New Roman"/>
      <w:b/>
      <w:bCs/>
      <w:kern w:val="44"/>
      <w:sz w:val="44"/>
      <w:szCs w:val="44"/>
    </w:rPr>
  </w:style>
  <w:style w:type="character" w:customStyle="1" w:styleId="183">
    <w:name w:val="article1"/>
    <w:qFormat/>
    <w:uiPriority w:val="0"/>
    <w:rPr>
      <w:spacing w:val="360"/>
      <w:sz w:val="22"/>
      <w:szCs w:val="22"/>
    </w:rPr>
  </w:style>
  <w:style w:type="character" w:customStyle="1" w:styleId="184">
    <w:name w:val="页眉 Char"/>
    <w:link w:val="57"/>
    <w:qFormat/>
    <w:uiPriority w:val="99"/>
    <w:rPr>
      <w:kern w:val="2"/>
      <w:sz w:val="18"/>
      <w:szCs w:val="18"/>
    </w:rPr>
  </w:style>
  <w:style w:type="character" w:customStyle="1" w:styleId="185">
    <w:name w:val="正文文本缩进 Char"/>
    <w:link w:val="35"/>
    <w:qFormat/>
    <w:uiPriority w:val="0"/>
    <w:rPr>
      <w:kern w:val="2"/>
      <w:sz w:val="21"/>
      <w:szCs w:val="24"/>
    </w:rPr>
  </w:style>
  <w:style w:type="character" w:customStyle="1" w:styleId="186">
    <w:name w:val="Char Char11 Char"/>
    <w:qFormat/>
    <w:uiPriority w:val="0"/>
    <w:rPr>
      <w:rFonts w:eastAsia="宋体"/>
      <w:b/>
      <w:bCs/>
      <w:kern w:val="2"/>
      <w:sz w:val="24"/>
      <w:szCs w:val="24"/>
      <w:lang w:val="en-US" w:eastAsia="zh-CN" w:bidi="ar-SA"/>
    </w:rPr>
  </w:style>
  <w:style w:type="character" w:customStyle="1" w:styleId="187">
    <w:name w:val="样式 标题 31.1条标题1.1.1二级节名h3Heading 3 - oldheading 3H3H31H3... Char Char"/>
    <w:link w:val="188"/>
    <w:qFormat/>
    <w:uiPriority w:val="0"/>
    <w:rPr>
      <w:rFonts w:ascii="宋体" w:hAnsi="宋体" w:eastAsia="黑体"/>
      <w:kern w:val="2"/>
      <w:sz w:val="24"/>
      <w:szCs w:val="21"/>
    </w:rPr>
  </w:style>
  <w:style w:type="paragraph" w:customStyle="1" w:styleId="188">
    <w:name w:val="样式 标题 31.1条标题1.1.1二级节名h3Heading 3 - oldheading 3H3H31H3..."/>
    <w:basedOn w:val="1"/>
    <w:link w:val="187"/>
    <w:qFormat/>
    <w:uiPriority w:val="0"/>
    <w:pPr>
      <w:spacing w:before="240" w:after="120" w:line="480" w:lineRule="exact"/>
      <w:jc w:val="left"/>
      <w:outlineLvl w:val="2"/>
    </w:pPr>
    <w:rPr>
      <w:rFonts w:ascii="宋体" w:hAnsi="宋体" w:eastAsia="黑体"/>
      <w:sz w:val="24"/>
      <w:szCs w:val="21"/>
    </w:rPr>
  </w:style>
  <w:style w:type="paragraph" w:customStyle="1" w:styleId="189">
    <w:name w:val="标题 31"/>
    <w:basedOn w:val="1"/>
    <w:next w:val="1"/>
    <w:qFormat/>
    <w:uiPriority w:val="0"/>
    <w:pPr>
      <w:spacing w:before="240" w:after="120"/>
      <w:jc w:val="left"/>
      <w:outlineLvl w:val="2"/>
    </w:pPr>
    <w:rPr>
      <w:rFonts w:ascii="宋体" w:hAnsi="宋体" w:eastAsia="黑体"/>
      <w:bCs/>
      <w:color w:val="FFFF00"/>
      <w:sz w:val="24"/>
      <w:szCs w:val="21"/>
    </w:rPr>
  </w:style>
  <w:style w:type="character" w:customStyle="1" w:styleId="190">
    <w:name w:val="style9"/>
    <w:qFormat/>
    <w:uiPriority w:val="0"/>
  </w:style>
  <w:style w:type="character" w:customStyle="1" w:styleId="191">
    <w:name w:val="宽表格 Char"/>
    <w:link w:val="192"/>
    <w:qFormat/>
    <w:uiPriority w:val="0"/>
    <w:rPr>
      <w:rFonts w:ascii="宋体"/>
      <w:kern w:val="2"/>
      <w:sz w:val="24"/>
      <w:szCs w:val="24"/>
    </w:rPr>
  </w:style>
  <w:style w:type="paragraph" w:customStyle="1" w:styleId="192">
    <w:name w:val="宽表格"/>
    <w:basedOn w:val="1"/>
    <w:link w:val="191"/>
    <w:qFormat/>
    <w:uiPriority w:val="0"/>
    <w:pPr>
      <w:keepNext/>
      <w:jc w:val="center"/>
    </w:pPr>
    <w:rPr>
      <w:rFonts w:ascii="宋体"/>
      <w:sz w:val="24"/>
    </w:rPr>
  </w:style>
  <w:style w:type="paragraph" w:customStyle="1" w:styleId="193">
    <w:name w:val="无间隔111"/>
    <w:link w:val="61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94">
    <w:name w:val="编号标题2 Char Char Char Char Char Char Char Char Char Char Ch"/>
    <w:qFormat/>
    <w:uiPriority w:val="0"/>
    <w:rPr>
      <w:rFonts w:ascii="Arial" w:hAnsi="Arial" w:eastAsia="黑体"/>
      <w:bCs/>
      <w:kern w:val="2"/>
      <w:sz w:val="21"/>
      <w:szCs w:val="32"/>
      <w:lang w:val="en-US" w:eastAsia="zh-CN" w:bidi="ar-SA"/>
    </w:rPr>
  </w:style>
  <w:style w:type="character" w:customStyle="1" w:styleId="195">
    <w:name w:val="5 sub-bullet Char2"/>
    <w:qFormat/>
    <w:uiPriority w:val="0"/>
    <w:rPr>
      <w:rFonts w:ascii="Tahoma" w:hAnsi="Tahoma" w:cs="Tahoma"/>
      <w:bCs/>
      <w:color w:val="FF0000"/>
      <w:kern w:val="24"/>
      <w:sz w:val="24"/>
      <w:szCs w:val="24"/>
    </w:rPr>
  </w:style>
  <w:style w:type="character" w:customStyle="1" w:styleId="196">
    <w:name w:val="编号1. Char"/>
    <w:link w:val="197"/>
    <w:qFormat/>
    <w:locked/>
    <w:uiPriority w:val="0"/>
    <w:rPr>
      <w:kern w:val="2"/>
      <w:sz w:val="28"/>
      <w:szCs w:val="24"/>
    </w:rPr>
  </w:style>
  <w:style w:type="paragraph" w:customStyle="1" w:styleId="197">
    <w:name w:val="编号1."/>
    <w:basedOn w:val="1"/>
    <w:link w:val="196"/>
    <w:qFormat/>
    <w:uiPriority w:val="0"/>
    <w:pPr>
      <w:tabs>
        <w:tab w:val="left" w:pos="547"/>
        <w:tab w:val="left" w:pos="675"/>
        <w:tab w:val="left" w:pos="1080"/>
      </w:tabs>
      <w:spacing w:line="480" w:lineRule="atLeast"/>
      <w:ind w:left="-232" w:firstLine="547"/>
    </w:pPr>
    <w:rPr>
      <w:sz w:val="28"/>
    </w:rPr>
  </w:style>
  <w:style w:type="character" w:customStyle="1" w:styleId="198">
    <w:name w:val="正文文本 Char"/>
    <w:link w:val="34"/>
    <w:qFormat/>
    <w:uiPriority w:val="0"/>
  </w:style>
  <w:style w:type="character" w:customStyle="1" w:styleId="199">
    <w:name w:val="htd01"/>
    <w:qFormat/>
    <w:uiPriority w:val="0"/>
    <w:rPr>
      <w:spacing w:val="240"/>
    </w:rPr>
  </w:style>
  <w:style w:type="character" w:customStyle="1" w:styleId="200">
    <w:name w:val="样式 宋体 小四1"/>
    <w:qFormat/>
    <w:uiPriority w:val="0"/>
    <w:rPr>
      <w:rFonts w:ascii="宋体" w:hAnsi="宋体"/>
      <w:sz w:val="24"/>
    </w:rPr>
  </w:style>
  <w:style w:type="character" w:customStyle="1" w:styleId="201">
    <w:name w:val="标题 3 Char Char Char"/>
    <w:qFormat/>
    <w:uiPriority w:val="0"/>
    <w:rPr>
      <w:rFonts w:eastAsia="宋体"/>
      <w:b/>
      <w:bCs/>
      <w:kern w:val="2"/>
      <w:sz w:val="32"/>
      <w:szCs w:val="32"/>
      <w:lang w:val="en-US" w:eastAsia="zh-CN" w:bidi="ar-SA"/>
    </w:rPr>
  </w:style>
  <w:style w:type="character" w:customStyle="1" w:styleId="202">
    <w:name w:val="Char Char11 Char Char Char Char Char Char Char Char Char Char Char Char Char"/>
    <w:qFormat/>
    <w:uiPriority w:val="0"/>
    <w:rPr>
      <w:rFonts w:eastAsia="宋体"/>
      <w:b/>
      <w:bCs/>
      <w:kern w:val="2"/>
      <w:sz w:val="24"/>
      <w:szCs w:val="24"/>
      <w:lang w:val="en-US" w:eastAsia="zh-CN" w:bidi="ar-SA"/>
    </w:rPr>
  </w:style>
  <w:style w:type="character" w:customStyle="1" w:styleId="203">
    <w:name w:val="Char Char9"/>
    <w:qFormat/>
    <w:uiPriority w:val="0"/>
    <w:rPr>
      <w:kern w:val="2"/>
      <w:sz w:val="21"/>
      <w:szCs w:val="22"/>
      <w:lang w:bidi="ar-SA"/>
    </w:rPr>
  </w:style>
  <w:style w:type="character" w:customStyle="1" w:styleId="204">
    <w:name w:val="样式 标题 2标题 1.1head:2#2 headlinehheadlineS&amp;R2ERMH2Head 2 +... Char"/>
    <w:qFormat/>
    <w:uiPriority w:val="0"/>
    <w:rPr>
      <w:rFonts w:ascii="Arial" w:hAnsi="Arial" w:eastAsia="宋体"/>
      <w:b/>
      <w:bCs/>
      <w:sz w:val="24"/>
      <w:lang w:val="en-US" w:eastAsia="zh-CN" w:bidi="ar-SA"/>
    </w:rPr>
  </w:style>
  <w:style w:type="character" w:customStyle="1" w:styleId="205">
    <w:name w:val="批注主题 Char1"/>
    <w:qFormat/>
    <w:uiPriority w:val="0"/>
    <w:rPr>
      <w:b/>
      <w:bCs/>
      <w:kern w:val="2"/>
      <w:sz w:val="21"/>
      <w:szCs w:val="22"/>
    </w:rPr>
  </w:style>
  <w:style w:type="character" w:customStyle="1" w:styleId="206">
    <w:name w:val="书籍标题1"/>
    <w:qFormat/>
    <w:uiPriority w:val="0"/>
    <w:rPr>
      <w:b/>
      <w:bCs/>
      <w:smallCaps/>
      <w:spacing w:val="5"/>
    </w:rPr>
  </w:style>
  <w:style w:type="character" w:customStyle="1" w:styleId="207">
    <w:name w:val="HTML 地址 Char"/>
    <w:link w:val="41"/>
    <w:qFormat/>
    <w:uiPriority w:val="0"/>
    <w:rPr>
      <w:i/>
      <w:iCs/>
      <w:kern w:val="2"/>
      <w:sz w:val="21"/>
      <w:szCs w:val="24"/>
    </w:rPr>
  </w:style>
  <w:style w:type="character" w:customStyle="1" w:styleId="208">
    <w:name w:val="样式 正文文本 Char Char"/>
    <w:link w:val="209"/>
    <w:qFormat/>
    <w:uiPriority w:val="0"/>
    <w:rPr>
      <w:rFonts w:ascii="Arial" w:hAnsi="Arial"/>
      <w:color w:val="000000"/>
      <w:kern w:val="2"/>
      <w:sz w:val="21"/>
    </w:rPr>
  </w:style>
  <w:style w:type="paragraph" w:customStyle="1" w:styleId="209">
    <w:name w:val="样式 正文文本"/>
    <w:basedOn w:val="1"/>
    <w:link w:val="208"/>
    <w:qFormat/>
    <w:uiPriority w:val="0"/>
    <w:pPr>
      <w:adjustRightInd w:val="0"/>
      <w:snapToGrid w:val="0"/>
      <w:spacing w:line="400" w:lineRule="exact"/>
      <w:ind w:firstLine="200" w:firstLineChars="200"/>
      <w:jc w:val="left"/>
    </w:pPr>
    <w:rPr>
      <w:rFonts w:ascii="Arial" w:hAnsi="Arial"/>
      <w:color w:val="000000"/>
      <w:szCs w:val="20"/>
    </w:rPr>
  </w:style>
  <w:style w:type="character" w:customStyle="1" w:styleId="210">
    <w:name w:val="标题 3 Char Char1"/>
    <w:qFormat/>
    <w:uiPriority w:val="0"/>
    <w:rPr>
      <w:rFonts w:eastAsia="黑体"/>
      <w:bCs/>
      <w:kern w:val="2"/>
      <w:sz w:val="28"/>
      <w:szCs w:val="28"/>
      <w:lang w:val="en-US" w:eastAsia="zh-CN"/>
    </w:rPr>
  </w:style>
  <w:style w:type="character" w:customStyle="1" w:styleId="211">
    <w:name w:val="副标题 Char1"/>
    <w:qFormat/>
    <w:uiPriority w:val="0"/>
    <w:rPr>
      <w:rFonts w:ascii="Cambria" w:hAnsi="Cambria" w:cs="Times New Roman"/>
      <w:b/>
      <w:bCs/>
      <w:kern w:val="28"/>
      <w:sz w:val="32"/>
      <w:szCs w:val="32"/>
    </w:rPr>
  </w:style>
  <w:style w:type="character" w:customStyle="1" w:styleId="212">
    <w:name w:val="正文1 Char"/>
    <w:qFormat/>
    <w:uiPriority w:val="0"/>
    <w:rPr>
      <w:rFonts w:ascii="宋体" w:hAnsi="宋体"/>
      <w:kern w:val="10"/>
      <w:sz w:val="21"/>
      <w:szCs w:val="24"/>
    </w:rPr>
  </w:style>
  <w:style w:type="character" w:customStyle="1" w:styleId="213">
    <w:name w:val="正文 BJ7 Char"/>
    <w:link w:val="214"/>
    <w:qFormat/>
    <w:uiPriority w:val="0"/>
    <w:rPr>
      <w:kern w:val="2"/>
      <w:sz w:val="24"/>
      <w:szCs w:val="24"/>
    </w:rPr>
  </w:style>
  <w:style w:type="paragraph" w:customStyle="1" w:styleId="214">
    <w:name w:val="正文 BJ7"/>
    <w:basedOn w:val="1"/>
    <w:link w:val="213"/>
    <w:qFormat/>
    <w:uiPriority w:val="0"/>
    <w:pPr>
      <w:adjustRightInd w:val="0"/>
      <w:snapToGrid w:val="0"/>
      <w:spacing w:line="360" w:lineRule="auto"/>
      <w:ind w:firstLine="200" w:firstLineChars="200"/>
      <w:jc w:val="left"/>
    </w:pPr>
    <w:rPr>
      <w:sz w:val="24"/>
    </w:rPr>
  </w:style>
  <w:style w:type="character" w:customStyle="1" w:styleId="215">
    <w:name w:val="列表编号3 Char Char"/>
    <w:qFormat/>
    <w:uiPriority w:val="0"/>
    <w:rPr>
      <w:rFonts w:eastAsia="宋体"/>
      <w:b/>
      <w:bCs/>
      <w:kern w:val="2"/>
      <w:sz w:val="32"/>
      <w:szCs w:val="32"/>
      <w:lang w:val="en-US" w:eastAsia="zh-CN"/>
    </w:rPr>
  </w:style>
  <w:style w:type="character" w:customStyle="1" w:styleId="216">
    <w:name w:val="页脚 Char"/>
    <w:link w:val="55"/>
    <w:qFormat/>
    <w:uiPriority w:val="99"/>
    <w:rPr>
      <w:kern w:val="2"/>
      <w:sz w:val="18"/>
      <w:szCs w:val="18"/>
    </w:rPr>
  </w:style>
  <w:style w:type="character" w:customStyle="1" w:styleId="217">
    <w:name w:val="样式 宋体 行距: 固定值 24 磅 Char"/>
    <w:link w:val="218"/>
    <w:qFormat/>
    <w:uiPriority w:val="0"/>
    <w:rPr>
      <w:rFonts w:ascii="宋体"/>
      <w:kern w:val="2"/>
      <w:sz w:val="21"/>
      <w:szCs w:val="21"/>
    </w:rPr>
  </w:style>
  <w:style w:type="paragraph" w:customStyle="1" w:styleId="218">
    <w:name w:val="样式 宋体 行距: 固定值 24 磅"/>
    <w:basedOn w:val="1"/>
    <w:link w:val="217"/>
    <w:qFormat/>
    <w:uiPriority w:val="0"/>
    <w:pPr>
      <w:spacing w:line="440" w:lineRule="exact"/>
      <w:ind w:firstLine="540" w:firstLineChars="225"/>
    </w:pPr>
    <w:rPr>
      <w:rFonts w:ascii="宋体"/>
      <w:szCs w:val="21"/>
    </w:rPr>
  </w:style>
  <w:style w:type="character" w:customStyle="1" w:styleId="219">
    <w:name w:val="标题 6 Char"/>
    <w:link w:val="8"/>
    <w:qFormat/>
    <w:uiPriority w:val="0"/>
    <w:rPr>
      <w:rFonts w:ascii="Arial" w:hAnsi="Arial" w:eastAsia="黑体"/>
      <w:bCs/>
      <w:sz w:val="24"/>
      <w:szCs w:val="24"/>
    </w:rPr>
  </w:style>
  <w:style w:type="character" w:customStyle="1" w:styleId="220">
    <w:name w:val="批注引用2"/>
    <w:qFormat/>
    <w:uiPriority w:val="0"/>
    <w:rPr>
      <w:rFonts w:cs="Times New Roman"/>
      <w:sz w:val="21"/>
      <w:szCs w:val="21"/>
    </w:rPr>
  </w:style>
  <w:style w:type="character" w:customStyle="1" w:styleId="221">
    <w:name w:val="标题 5 Char Char1"/>
    <w:qFormat/>
    <w:uiPriority w:val="0"/>
    <w:rPr>
      <w:rFonts w:eastAsia="宋体"/>
      <w:b/>
      <w:kern w:val="2"/>
      <w:sz w:val="28"/>
      <w:lang w:val="en-US" w:eastAsia="zh-CN" w:bidi="ar-SA"/>
    </w:rPr>
  </w:style>
  <w:style w:type="character" w:customStyle="1" w:styleId="222">
    <w:name w:val="样式 标题 3 + 二号 Char Char Char Char Char"/>
    <w:qFormat/>
    <w:uiPriority w:val="0"/>
    <w:rPr>
      <w:rFonts w:ascii="FangSong_GB2312" w:hAnsi="华文中宋" w:eastAsia="FangSong_GB2312"/>
      <w:bCs/>
      <w:kern w:val="2"/>
      <w:sz w:val="44"/>
      <w:szCs w:val="24"/>
      <w:lang w:val="en-US" w:eastAsia="zh-CN"/>
    </w:rPr>
  </w:style>
  <w:style w:type="character" w:customStyle="1" w:styleId="223">
    <w:name w:val="style291"/>
    <w:qFormat/>
    <w:uiPriority w:val="0"/>
    <w:rPr>
      <w:rFonts w:cs="Times New Roman"/>
      <w:sz w:val="21"/>
      <w:szCs w:val="21"/>
    </w:rPr>
  </w:style>
  <w:style w:type="character" w:customStyle="1" w:styleId="224">
    <w:name w:val="Char Char102"/>
    <w:qFormat/>
    <w:uiPriority w:val="0"/>
    <w:rPr>
      <w:rFonts w:ascii="Arial" w:hAnsi="Arial" w:eastAsia="黑体"/>
      <w:sz w:val="28"/>
      <w:lang w:val="en-US" w:eastAsia="zh-CN" w:bidi="ar-SA"/>
    </w:rPr>
  </w:style>
  <w:style w:type="character" w:customStyle="1" w:styleId="225">
    <w:name w:val="脚注文本 Char"/>
    <w:link w:val="67"/>
    <w:qFormat/>
    <w:uiPriority w:val="0"/>
    <w:rPr>
      <w:kern w:val="2"/>
      <w:sz w:val="18"/>
      <w:szCs w:val="18"/>
    </w:rPr>
  </w:style>
  <w:style w:type="character" w:customStyle="1" w:styleId="226">
    <w:name w:val="表格文字 BJ15 Char Char"/>
    <w:link w:val="227"/>
    <w:qFormat/>
    <w:uiPriority w:val="0"/>
    <w:rPr>
      <w:kern w:val="2"/>
      <w:sz w:val="21"/>
      <w:szCs w:val="21"/>
    </w:rPr>
  </w:style>
  <w:style w:type="paragraph" w:customStyle="1" w:styleId="227">
    <w:name w:val="表格文字 BJ15"/>
    <w:basedOn w:val="1"/>
    <w:link w:val="226"/>
    <w:qFormat/>
    <w:uiPriority w:val="0"/>
    <w:pPr>
      <w:adjustRightInd w:val="0"/>
      <w:snapToGrid w:val="0"/>
      <w:spacing w:line="400" w:lineRule="exact"/>
      <w:ind w:firstLine="200" w:firstLineChars="200"/>
      <w:jc w:val="center"/>
    </w:pPr>
    <w:rPr>
      <w:szCs w:val="21"/>
    </w:rPr>
  </w:style>
  <w:style w:type="character" w:customStyle="1" w:styleId="228">
    <w:name w:val="正文文本 Char2"/>
    <w:qFormat/>
    <w:uiPriority w:val="0"/>
    <w:rPr>
      <w:kern w:val="2"/>
      <w:sz w:val="24"/>
    </w:rPr>
  </w:style>
  <w:style w:type="character" w:customStyle="1" w:styleId="229">
    <w:name w:val="Char Char11"/>
    <w:qFormat/>
    <w:uiPriority w:val="0"/>
    <w:rPr>
      <w:rFonts w:eastAsia="宋体"/>
      <w:b/>
      <w:bCs/>
      <w:kern w:val="2"/>
      <w:sz w:val="24"/>
      <w:szCs w:val="24"/>
      <w:lang w:val="en-US" w:eastAsia="zh-CN" w:bidi="ar-SA"/>
    </w:rPr>
  </w:style>
  <w:style w:type="character" w:customStyle="1" w:styleId="230">
    <w:name w:val="标题 6 Char1"/>
    <w:qFormat/>
    <w:uiPriority w:val="0"/>
    <w:rPr>
      <w:rFonts w:ascii="Times New Roman" w:hAnsi="Times New Roman" w:eastAsia="宋体" w:cs="Times New Roman"/>
      <w:bCs/>
      <w:sz w:val="24"/>
      <w:szCs w:val="24"/>
    </w:rPr>
  </w:style>
  <w:style w:type="character" w:customStyle="1" w:styleId="231">
    <w:name w:val="樣式 標題 3 + (中文) MS Gothic 10.5 點 Char Char Char Char Char Char Char Char"/>
    <w:qFormat/>
    <w:uiPriority w:val="0"/>
    <w:rPr>
      <w:rFonts w:hAnsi="PMingLiU" w:eastAsia="MS Gothic"/>
      <w:snapToGrid w:val="0"/>
      <w:kern w:val="2"/>
      <w:sz w:val="24"/>
      <w:lang w:eastAsia="zh-TW"/>
    </w:rPr>
  </w:style>
  <w:style w:type="character" w:customStyle="1" w:styleId="232">
    <w:name w:val="Char Char22"/>
    <w:qFormat/>
    <w:uiPriority w:val="0"/>
    <w:rPr>
      <w:rFonts w:eastAsia="宋体"/>
      <w:b/>
      <w:bCs/>
      <w:kern w:val="2"/>
      <w:sz w:val="32"/>
      <w:szCs w:val="32"/>
      <w:lang w:val="en-US" w:eastAsia="zh-CN" w:bidi="ar-SA"/>
    </w:rPr>
  </w:style>
  <w:style w:type="character" w:customStyle="1" w:styleId="233">
    <w:name w:val="表格文字图表文字 Char"/>
    <w:link w:val="234"/>
    <w:qFormat/>
    <w:uiPriority w:val="0"/>
    <w:rPr>
      <w:kern w:val="2"/>
      <w:sz w:val="21"/>
    </w:rPr>
  </w:style>
  <w:style w:type="paragraph" w:customStyle="1" w:styleId="234">
    <w:name w:val="表格文字图表文字"/>
    <w:basedOn w:val="1"/>
    <w:link w:val="233"/>
    <w:qFormat/>
    <w:uiPriority w:val="0"/>
    <w:pPr>
      <w:snapToGrid w:val="0"/>
      <w:jc w:val="center"/>
    </w:pPr>
    <w:rPr>
      <w:szCs w:val="20"/>
    </w:rPr>
  </w:style>
  <w:style w:type="character" w:customStyle="1" w:styleId="235">
    <w:name w:val="批注引用6"/>
    <w:qFormat/>
    <w:uiPriority w:val="0"/>
    <w:rPr>
      <w:sz w:val="21"/>
      <w:szCs w:val="21"/>
    </w:rPr>
  </w:style>
  <w:style w:type="character" w:customStyle="1" w:styleId="236">
    <w:name w:val="Heading 8 Char"/>
    <w:qFormat/>
    <w:uiPriority w:val="0"/>
    <w:rPr>
      <w:rFonts w:ascii="Cambria" w:hAnsi="Cambria" w:eastAsia="宋体" w:cs="Times New Roman"/>
      <w:kern w:val="2"/>
      <w:sz w:val="24"/>
      <w:szCs w:val="24"/>
    </w:rPr>
  </w:style>
  <w:style w:type="character" w:customStyle="1" w:styleId="237">
    <w:name w:val="正文文本 Char Char"/>
    <w:qFormat/>
    <w:uiPriority w:val="0"/>
    <w:rPr>
      <w:rFonts w:eastAsia="宋体"/>
      <w:kern w:val="2"/>
      <w:sz w:val="21"/>
      <w:lang w:val="en-US" w:eastAsia="zh-CN" w:bidi="ar-SA"/>
    </w:rPr>
  </w:style>
  <w:style w:type="character" w:customStyle="1" w:styleId="238">
    <w:name w:val="顺序编号-zlb Char Char"/>
    <w:link w:val="239"/>
    <w:qFormat/>
    <w:uiPriority w:val="0"/>
    <w:rPr>
      <w:rFonts w:ascii="宋体" w:hAnsi="宋体"/>
      <w:sz w:val="24"/>
      <w:szCs w:val="24"/>
    </w:rPr>
  </w:style>
  <w:style w:type="paragraph" w:customStyle="1" w:styleId="239">
    <w:name w:val="顺序编号-zlb"/>
    <w:basedOn w:val="1"/>
    <w:link w:val="238"/>
    <w:qFormat/>
    <w:uiPriority w:val="0"/>
    <w:pPr>
      <w:tabs>
        <w:tab w:val="left" w:pos="360"/>
        <w:tab w:val="left" w:pos="2307"/>
        <w:tab w:val="left" w:pos="4407"/>
      </w:tabs>
      <w:adjustRightInd w:val="0"/>
      <w:snapToGrid w:val="0"/>
      <w:spacing w:line="360" w:lineRule="auto"/>
      <w:ind w:left="2670" w:hanging="737"/>
      <w:jc w:val="left"/>
      <w:outlineLvl w:val="8"/>
    </w:pPr>
    <w:rPr>
      <w:rFonts w:ascii="宋体" w:hAnsi="宋体"/>
      <w:kern w:val="0"/>
      <w:sz w:val="24"/>
    </w:rPr>
  </w:style>
  <w:style w:type="paragraph" w:customStyle="1" w:styleId="240">
    <w:name w:val="级别4"/>
    <w:basedOn w:val="180"/>
    <w:qFormat/>
    <w:uiPriority w:val="0"/>
    <w:pPr>
      <w:tabs>
        <w:tab w:val="left" w:pos="360"/>
        <w:tab w:val="left" w:pos="2307"/>
      </w:tabs>
      <w:ind w:left="2307"/>
      <w:outlineLvl w:val="3"/>
    </w:pPr>
    <w:rPr>
      <w:kern w:val="0"/>
    </w:rPr>
  </w:style>
  <w:style w:type="character" w:customStyle="1" w:styleId="241">
    <w:name w:val="标题 Char1"/>
    <w:qFormat/>
    <w:uiPriority w:val="0"/>
    <w:rPr>
      <w:rFonts w:ascii="Cambria" w:hAnsi="Cambria" w:cs="Times New Roman"/>
      <w:b/>
      <w:bCs/>
      <w:kern w:val="2"/>
      <w:sz w:val="32"/>
      <w:szCs w:val="32"/>
    </w:rPr>
  </w:style>
  <w:style w:type="character" w:customStyle="1" w:styleId="242">
    <w:name w:val="批注文字 Char"/>
    <w:link w:val="28"/>
    <w:qFormat/>
    <w:uiPriority w:val="0"/>
    <w:rPr>
      <w:kern w:val="2"/>
      <w:sz w:val="21"/>
      <w:szCs w:val="24"/>
    </w:rPr>
  </w:style>
  <w:style w:type="character" w:customStyle="1" w:styleId="243">
    <w:name w:val="Char Char11 Char Char Char Char Char Char Char Char Char Char Char Char"/>
    <w:qFormat/>
    <w:uiPriority w:val="0"/>
    <w:rPr>
      <w:rFonts w:eastAsia="宋体"/>
      <w:b/>
      <w:bCs/>
      <w:kern w:val="2"/>
      <w:sz w:val="24"/>
      <w:szCs w:val="24"/>
      <w:lang w:val="en-US" w:eastAsia="zh-CN" w:bidi="ar-SA"/>
    </w:rPr>
  </w:style>
  <w:style w:type="character" w:customStyle="1" w:styleId="244">
    <w:name w:val="结束语 Char"/>
    <w:link w:val="32"/>
    <w:qFormat/>
    <w:uiPriority w:val="0"/>
    <w:rPr>
      <w:kern w:val="2"/>
      <w:sz w:val="21"/>
      <w:szCs w:val="24"/>
    </w:rPr>
  </w:style>
  <w:style w:type="character" w:customStyle="1" w:styleId="245">
    <w:name w:val="四级标题格式 Char"/>
    <w:link w:val="246"/>
    <w:qFormat/>
    <w:uiPriority w:val="0"/>
    <w:rPr>
      <w:rFonts w:eastAsia="黑体"/>
      <w:b/>
      <w:bCs/>
      <w:color w:val="5F497A"/>
      <w:kern w:val="2"/>
      <w:sz w:val="28"/>
      <w:szCs w:val="28"/>
    </w:rPr>
  </w:style>
  <w:style w:type="paragraph" w:customStyle="1" w:styleId="246">
    <w:name w:val="四级标题格式"/>
    <w:basedOn w:val="6"/>
    <w:link w:val="245"/>
    <w:qFormat/>
    <w:uiPriority w:val="0"/>
    <w:pPr>
      <w:keepNext w:val="0"/>
      <w:keepLines w:val="0"/>
      <w:tabs>
        <w:tab w:val="left" w:pos="780"/>
      </w:tabs>
      <w:spacing w:before="0" w:afterLines="100" w:line="240" w:lineRule="auto"/>
      <w:ind w:left="780" w:hanging="360"/>
      <w:jc w:val="left"/>
    </w:pPr>
    <w:rPr>
      <w:rFonts w:ascii="Times New Roman" w:hAnsi="Times New Roman"/>
      <w:color w:val="5F497A"/>
    </w:rPr>
  </w:style>
  <w:style w:type="character" w:customStyle="1" w:styleId="247">
    <w:name w:val="标题 4 Char"/>
    <w:link w:val="6"/>
    <w:qFormat/>
    <w:uiPriority w:val="0"/>
    <w:rPr>
      <w:rFonts w:ascii="Arial" w:hAnsi="Arial" w:eastAsia="黑体"/>
      <w:b/>
      <w:bCs/>
      <w:kern w:val="2"/>
      <w:sz w:val="28"/>
      <w:szCs w:val="28"/>
    </w:rPr>
  </w:style>
  <w:style w:type="character" w:customStyle="1" w:styleId="248">
    <w:name w:val="标题 5 Char"/>
    <w:link w:val="7"/>
    <w:qFormat/>
    <w:uiPriority w:val="0"/>
    <w:rPr>
      <w:b/>
      <w:bCs/>
      <w:kern w:val="2"/>
      <w:sz w:val="28"/>
      <w:szCs w:val="28"/>
    </w:rPr>
  </w:style>
  <w:style w:type="character" w:customStyle="1" w:styleId="249">
    <w:name w:val="纯文本 Char1"/>
    <w:link w:val="250"/>
    <w:qFormat/>
    <w:uiPriority w:val="0"/>
    <w:rPr>
      <w:rFonts w:ascii="宋体" w:hAnsi="Courier New"/>
      <w:kern w:val="2"/>
      <w:sz w:val="21"/>
      <w:szCs w:val="21"/>
    </w:rPr>
  </w:style>
  <w:style w:type="paragraph" w:customStyle="1" w:styleId="250">
    <w:name w:val="纯文本21"/>
    <w:basedOn w:val="1"/>
    <w:link w:val="249"/>
    <w:qFormat/>
    <w:uiPriority w:val="0"/>
    <w:pPr>
      <w:adjustRightInd w:val="0"/>
      <w:jc w:val="left"/>
      <w:textAlignment w:val="baseline"/>
    </w:pPr>
    <w:rPr>
      <w:rFonts w:ascii="宋体" w:hAnsi="Courier New"/>
      <w:szCs w:val="21"/>
    </w:rPr>
  </w:style>
  <w:style w:type="character" w:customStyle="1" w:styleId="251">
    <w:name w:val="编号标题2 Char1"/>
    <w:qFormat/>
    <w:uiPriority w:val="0"/>
    <w:rPr>
      <w:rFonts w:ascii="Arial" w:hAnsi="Arial" w:eastAsia="黑体" w:cs="Times New Roman"/>
      <w:b/>
      <w:bCs/>
      <w:kern w:val="2"/>
      <w:sz w:val="32"/>
      <w:szCs w:val="32"/>
      <w:lang w:val="en-US" w:eastAsia="zh-CN"/>
    </w:rPr>
  </w:style>
  <w:style w:type="character" w:customStyle="1" w:styleId="252">
    <w:name w:val="Char Char11 Char Char Char Char Char Char Char Char Char Char Char Char Char Char"/>
    <w:qFormat/>
    <w:uiPriority w:val="0"/>
    <w:rPr>
      <w:rFonts w:eastAsia="宋体"/>
      <w:b/>
      <w:bCs/>
      <w:kern w:val="2"/>
      <w:sz w:val="24"/>
      <w:szCs w:val="24"/>
      <w:lang w:val="en-US" w:eastAsia="zh-CN" w:bidi="ar-SA"/>
    </w:rPr>
  </w:style>
  <w:style w:type="character" w:customStyle="1" w:styleId="253">
    <w:name w:val="Char Char Char1"/>
    <w:qFormat/>
    <w:uiPriority w:val="0"/>
    <w:rPr>
      <w:rFonts w:ascii="宋体" w:hAnsi="Courier New" w:eastAsia="宋体" w:cs="Courier New"/>
      <w:kern w:val="2"/>
      <w:sz w:val="21"/>
      <w:szCs w:val="21"/>
      <w:lang w:val="en-US" w:eastAsia="zh-CN" w:bidi="ar-SA"/>
    </w:rPr>
  </w:style>
  <w:style w:type="character" w:customStyle="1" w:styleId="254">
    <w:name w:val="Title Char"/>
    <w:qFormat/>
    <w:locked/>
    <w:uiPriority w:val="0"/>
    <w:rPr>
      <w:rFonts w:ascii="Arial" w:hAnsi="Arial" w:eastAsia="宋体" w:cs="Arial"/>
      <w:b/>
      <w:bCs/>
      <w:kern w:val="0"/>
      <w:sz w:val="32"/>
      <w:szCs w:val="32"/>
    </w:rPr>
  </w:style>
  <w:style w:type="character" w:customStyle="1" w:styleId="255">
    <w:name w:val="注释标题 Char"/>
    <w:link w:val="16"/>
    <w:qFormat/>
    <w:uiPriority w:val="0"/>
    <w:rPr>
      <w:kern w:val="2"/>
      <w:sz w:val="21"/>
      <w:szCs w:val="24"/>
    </w:rPr>
  </w:style>
  <w:style w:type="character" w:customStyle="1" w:styleId="256">
    <w:name w:val="Char Char11 Char Char Char Char Char Char Char Char Char"/>
    <w:qFormat/>
    <w:uiPriority w:val="0"/>
    <w:rPr>
      <w:rFonts w:eastAsia="宋体"/>
      <w:b/>
      <w:bCs/>
      <w:kern w:val="2"/>
      <w:sz w:val="24"/>
      <w:szCs w:val="24"/>
      <w:lang w:val="en-US" w:eastAsia="zh-CN" w:bidi="ar-SA"/>
    </w:rPr>
  </w:style>
  <w:style w:type="character" w:customStyle="1" w:styleId="257">
    <w:name w:val="正文文本 3 Char"/>
    <w:link w:val="31"/>
    <w:qFormat/>
    <w:uiPriority w:val="0"/>
    <w:rPr>
      <w:kern w:val="2"/>
      <w:sz w:val="16"/>
      <w:szCs w:val="16"/>
    </w:rPr>
  </w:style>
  <w:style w:type="character" w:customStyle="1" w:styleId="258">
    <w:name w:val="正文文本 2 Char"/>
    <w:link w:val="76"/>
    <w:qFormat/>
    <w:uiPriority w:val="0"/>
    <w:rPr>
      <w:kern w:val="2"/>
      <w:sz w:val="21"/>
      <w:szCs w:val="21"/>
    </w:rPr>
  </w:style>
  <w:style w:type="character" w:customStyle="1" w:styleId="259">
    <w:name w:val="日期 Char1"/>
    <w:qFormat/>
    <w:uiPriority w:val="0"/>
    <w:rPr>
      <w:kern w:val="2"/>
      <w:sz w:val="21"/>
      <w:szCs w:val="22"/>
    </w:rPr>
  </w:style>
  <w:style w:type="character" w:customStyle="1" w:styleId="260">
    <w:name w:val="不明显参考1"/>
    <w:qFormat/>
    <w:uiPriority w:val="0"/>
    <w:rPr>
      <w:smallCaps/>
      <w:color w:val="C0504D"/>
      <w:u w:val="single"/>
    </w:rPr>
  </w:style>
  <w:style w:type="character" w:customStyle="1" w:styleId="261">
    <w:name w:val="样式2 Char"/>
    <w:link w:val="262"/>
    <w:qFormat/>
    <w:uiPriority w:val="0"/>
    <w:rPr>
      <w:rFonts w:ascii="EU-F1" w:eastAsia="黑体"/>
      <w:color w:val="000000"/>
      <w:kern w:val="44"/>
      <w:sz w:val="21"/>
      <w:szCs w:val="21"/>
    </w:rPr>
  </w:style>
  <w:style w:type="paragraph" w:customStyle="1" w:styleId="262">
    <w:name w:val="样式2"/>
    <w:basedOn w:val="1"/>
    <w:link w:val="261"/>
    <w:qFormat/>
    <w:uiPriority w:val="0"/>
    <w:pPr>
      <w:widowControl/>
      <w:spacing w:line="312" w:lineRule="exact"/>
      <w:jc w:val="left"/>
    </w:pPr>
    <w:rPr>
      <w:rFonts w:ascii="EU-F1" w:eastAsia="黑体"/>
      <w:color w:val="000000"/>
      <w:kern w:val="44"/>
      <w:szCs w:val="21"/>
    </w:rPr>
  </w:style>
  <w:style w:type="character" w:customStyle="1" w:styleId="263">
    <w:name w:val="表头 Char"/>
    <w:link w:val="264"/>
    <w:qFormat/>
    <w:uiPriority w:val="0"/>
    <w:rPr>
      <w:rFonts w:ascii="EU-F1" w:eastAsia="黑体"/>
      <w:kern w:val="2"/>
      <w:sz w:val="21"/>
      <w:szCs w:val="21"/>
    </w:rPr>
  </w:style>
  <w:style w:type="paragraph" w:customStyle="1" w:styleId="264">
    <w:name w:val="表头"/>
    <w:basedOn w:val="1"/>
    <w:link w:val="263"/>
    <w:qFormat/>
    <w:uiPriority w:val="0"/>
    <w:pPr>
      <w:spacing w:before="160" w:after="60" w:line="312" w:lineRule="exact"/>
      <w:jc w:val="center"/>
    </w:pPr>
    <w:rPr>
      <w:rFonts w:ascii="EU-F1" w:eastAsia="黑体"/>
      <w:szCs w:val="21"/>
    </w:rPr>
  </w:style>
  <w:style w:type="character" w:customStyle="1" w:styleId="265">
    <w:name w:val="电子邮件签名 Char"/>
    <w:link w:val="19"/>
    <w:qFormat/>
    <w:uiPriority w:val="0"/>
    <w:rPr>
      <w:kern w:val="2"/>
      <w:sz w:val="21"/>
      <w:szCs w:val="24"/>
    </w:rPr>
  </w:style>
  <w:style w:type="character" w:customStyle="1" w:styleId="266">
    <w:name w:val="apple-style-span"/>
    <w:qFormat/>
    <w:uiPriority w:val="0"/>
  </w:style>
  <w:style w:type="character" w:customStyle="1" w:styleId="267">
    <w:name w:val="报告正文 Char1 Char"/>
    <w:link w:val="268"/>
    <w:qFormat/>
    <w:uiPriority w:val="0"/>
    <w:rPr>
      <w:rFonts w:ascii="宋体" w:hAnsi="Calibri" w:cs="宋体"/>
      <w:color w:val="0000FF"/>
      <w:sz w:val="28"/>
      <w:szCs w:val="28"/>
      <w:lang w:val="en-US" w:eastAsia="en-US" w:bidi="en-US"/>
    </w:rPr>
  </w:style>
  <w:style w:type="paragraph" w:customStyle="1" w:styleId="268">
    <w:name w:val="报告正文 Char1"/>
    <w:basedOn w:val="1"/>
    <w:link w:val="267"/>
    <w:qFormat/>
    <w:uiPriority w:val="0"/>
    <w:pPr>
      <w:widowControl/>
      <w:spacing w:line="480" w:lineRule="exact"/>
      <w:ind w:firstLine="200" w:firstLineChars="200"/>
      <w:jc w:val="left"/>
    </w:pPr>
    <w:rPr>
      <w:rFonts w:ascii="宋体" w:hAnsi="Calibri" w:cs="宋体"/>
      <w:color w:val="0000FF"/>
      <w:kern w:val="0"/>
      <w:sz w:val="28"/>
      <w:szCs w:val="28"/>
      <w:lang w:eastAsia="en-US" w:bidi="en-US"/>
    </w:rPr>
  </w:style>
  <w:style w:type="character" w:customStyle="1" w:styleId="269">
    <w:name w:val="段落 Char Char"/>
    <w:qFormat/>
    <w:uiPriority w:val="0"/>
    <w:rPr>
      <w:rFonts w:ascii="宋体" w:eastAsia="宋体" w:cs="Times New Roman"/>
      <w:kern w:val="2"/>
      <w:sz w:val="28"/>
    </w:rPr>
  </w:style>
  <w:style w:type="character" w:customStyle="1" w:styleId="270">
    <w:name w:val="Char Char11 Char Char Char Char"/>
    <w:qFormat/>
    <w:uiPriority w:val="0"/>
    <w:rPr>
      <w:rFonts w:eastAsia="宋体"/>
      <w:b/>
      <w:bCs/>
      <w:kern w:val="2"/>
      <w:sz w:val="24"/>
      <w:szCs w:val="24"/>
      <w:lang w:val="en-US" w:eastAsia="zh-CN" w:bidi="ar-SA"/>
    </w:rPr>
  </w:style>
  <w:style w:type="character" w:customStyle="1" w:styleId="271">
    <w:name w:val="Char Char111"/>
    <w:qFormat/>
    <w:uiPriority w:val="0"/>
    <w:rPr>
      <w:rFonts w:eastAsia="宋体"/>
      <w:b/>
      <w:bCs/>
      <w:kern w:val="2"/>
      <w:sz w:val="24"/>
      <w:szCs w:val="24"/>
      <w:lang w:val="en-US" w:eastAsia="zh-CN" w:bidi="ar-SA"/>
    </w:rPr>
  </w:style>
  <w:style w:type="character" w:customStyle="1" w:styleId="272">
    <w:name w:val="正文首行缩进 Char"/>
    <w:link w:val="86"/>
    <w:qFormat/>
    <w:uiPriority w:val="0"/>
    <w:rPr>
      <w:kern w:val="2"/>
      <w:sz w:val="21"/>
      <w:szCs w:val="24"/>
    </w:rPr>
  </w:style>
  <w:style w:type="character" w:customStyle="1" w:styleId="273">
    <w:name w:val="jl 三级 Char Char"/>
    <w:link w:val="274"/>
    <w:semiHidden/>
    <w:qFormat/>
    <w:locked/>
    <w:uiPriority w:val="0"/>
    <w:rPr>
      <w:rFonts w:ascii="宋体" w:hAnsi="宋体"/>
      <w:b/>
      <w:color w:val="000000"/>
      <w:kern w:val="2"/>
      <w:sz w:val="24"/>
      <w:szCs w:val="24"/>
    </w:rPr>
  </w:style>
  <w:style w:type="paragraph" w:customStyle="1" w:styleId="274">
    <w:name w:val="jl 三级 Char"/>
    <w:basedOn w:val="1"/>
    <w:link w:val="273"/>
    <w:semiHidden/>
    <w:qFormat/>
    <w:uiPriority w:val="0"/>
    <w:pPr>
      <w:autoSpaceDE w:val="0"/>
      <w:autoSpaceDN w:val="0"/>
      <w:adjustRightInd w:val="0"/>
      <w:spacing w:beforeLines="50" w:afterLines="50"/>
      <w:ind w:firstLine="480" w:firstLineChars="200"/>
      <w:jc w:val="left"/>
      <w:outlineLvl w:val="2"/>
    </w:pPr>
    <w:rPr>
      <w:rFonts w:ascii="宋体" w:hAnsi="宋体"/>
      <w:b/>
      <w:color w:val="000000"/>
      <w:sz w:val="24"/>
    </w:rPr>
  </w:style>
  <w:style w:type="character" w:customStyle="1" w:styleId="275">
    <w:name w:val="信息标题 Char1"/>
    <w:qFormat/>
    <w:uiPriority w:val="0"/>
    <w:rPr>
      <w:rFonts w:ascii="Cambria" w:hAnsi="Cambria" w:eastAsia="宋体" w:cs="Times New Roman"/>
      <w:kern w:val="2"/>
      <w:sz w:val="24"/>
      <w:szCs w:val="24"/>
      <w:shd w:val="pct20" w:color="auto" w:fill="auto"/>
    </w:rPr>
  </w:style>
  <w:style w:type="character" w:customStyle="1" w:styleId="276">
    <w:name w:val="样式 标题 1 + 加粗 Char"/>
    <w:link w:val="277"/>
    <w:semiHidden/>
    <w:qFormat/>
    <w:locked/>
    <w:uiPriority w:val="0"/>
    <w:rPr>
      <w:rFonts w:ascii="汉仪大宋简" w:hAnsi="宋体" w:eastAsia="黑体"/>
      <w:b/>
      <w:bCs/>
      <w:kern w:val="44"/>
      <w:sz w:val="28"/>
      <w:szCs w:val="28"/>
    </w:rPr>
  </w:style>
  <w:style w:type="paragraph" w:customStyle="1" w:styleId="277">
    <w:name w:val="样式 标题 1 + 加粗"/>
    <w:basedOn w:val="3"/>
    <w:link w:val="276"/>
    <w:semiHidden/>
    <w:qFormat/>
    <w:uiPriority w:val="0"/>
    <w:pPr>
      <w:spacing w:beforeLines="100" w:afterLines="100" w:line="240" w:lineRule="auto"/>
    </w:pPr>
    <w:rPr>
      <w:rFonts w:ascii="汉仪大宋简" w:hAnsi="宋体" w:eastAsia="黑体"/>
      <w:sz w:val="28"/>
      <w:szCs w:val="28"/>
    </w:rPr>
  </w:style>
  <w:style w:type="character" w:customStyle="1" w:styleId="278">
    <w:name w:val="Char Char31"/>
    <w:qFormat/>
    <w:uiPriority w:val="0"/>
    <w:rPr>
      <w:rFonts w:hint="eastAsia" w:ascii="黑体" w:hAnsi="黑体" w:eastAsia="黑体"/>
      <w:sz w:val="21"/>
      <w:lang w:val="en-US" w:eastAsia="zh-CN"/>
    </w:rPr>
  </w:style>
  <w:style w:type="character" w:customStyle="1" w:styleId="279">
    <w:name w:val="附录 Char"/>
    <w:link w:val="280"/>
    <w:semiHidden/>
    <w:qFormat/>
    <w:locked/>
    <w:uiPriority w:val="0"/>
    <w:rPr>
      <w:rFonts w:ascii="宋体" w:hAnsi="宋体" w:eastAsia="黑体" w:cs="宋体"/>
      <w:color w:val="92D050"/>
      <w:kern w:val="44"/>
      <w:sz w:val="21"/>
      <w:szCs w:val="21"/>
      <w:lang w:eastAsia="ar-SA"/>
    </w:rPr>
  </w:style>
  <w:style w:type="paragraph" w:customStyle="1" w:styleId="280">
    <w:name w:val="附录"/>
    <w:basedOn w:val="3"/>
    <w:link w:val="279"/>
    <w:semiHidden/>
    <w:qFormat/>
    <w:uiPriority w:val="0"/>
    <w:pPr>
      <w:topLinePunct/>
      <w:snapToGrid w:val="0"/>
      <w:spacing w:before="500" w:after="180" w:line="312" w:lineRule="exact"/>
      <w:contextualSpacing/>
      <w:jc w:val="center"/>
    </w:pPr>
    <w:rPr>
      <w:rFonts w:ascii="宋体" w:hAnsi="宋体" w:eastAsia="黑体"/>
      <w:b w:val="0"/>
      <w:bCs w:val="0"/>
      <w:color w:val="92D050"/>
      <w:sz w:val="21"/>
      <w:szCs w:val="21"/>
      <w:lang w:eastAsia="ar-SA"/>
    </w:rPr>
  </w:style>
  <w:style w:type="character" w:customStyle="1" w:styleId="281">
    <w:name w:val="ca-01"/>
    <w:qFormat/>
    <w:uiPriority w:val="0"/>
    <w:rPr>
      <w:rFonts w:hint="eastAsia" w:ascii="宋体" w:hAnsi="宋体" w:eastAsia="宋体"/>
      <w:sz w:val="24"/>
      <w:szCs w:val="24"/>
    </w:rPr>
  </w:style>
  <w:style w:type="character" w:customStyle="1" w:styleId="282">
    <w:name w:val="批注文字 Char1"/>
    <w:qFormat/>
    <w:uiPriority w:val="0"/>
    <w:rPr>
      <w:rFonts w:ascii="Times New Roman" w:hAnsi="Times New Roman" w:eastAsia="宋体" w:cs="Times New Roman"/>
      <w:sz w:val="24"/>
      <w:szCs w:val="24"/>
    </w:rPr>
  </w:style>
  <w:style w:type="character" w:customStyle="1" w:styleId="283">
    <w:name w:val="批注主题 Char3"/>
    <w:semiHidden/>
    <w:qFormat/>
    <w:uiPriority w:val="99"/>
    <w:rPr>
      <w:b/>
      <w:bCs/>
      <w:kern w:val="2"/>
      <w:sz w:val="21"/>
      <w:szCs w:val="24"/>
    </w:rPr>
  </w:style>
  <w:style w:type="character" w:customStyle="1" w:styleId="284">
    <w:name w:val="unnamed13"/>
    <w:semiHidden/>
    <w:qFormat/>
    <w:uiPriority w:val="0"/>
    <w:rPr>
      <w:spacing w:val="12"/>
      <w:sz w:val="20"/>
      <w:szCs w:val="20"/>
    </w:rPr>
  </w:style>
  <w:style w:type="character" w:customStyle="1" w:styleId="285">
    <w:name w:val="15"/>
    <w:qFormat/>
    <w:uiPriority w:val="0"/>
    <w:rPr>
      <w:rFonts w:hint="eastAsia" w:ascii="FangSong_GB2312" w:eastAsia="FangSong_GB2312"/>
      <w:b/>
      <w:bCs/>
      <w:sz w:val="24"/>
      <w:szCs w:val="24"/>
    </w:rPr>
  </w:style>
  <w:style w:type="character" w:customStyle="1" w:styleId="286">
    <w:name w:val="search_content1"/>
    <w:qFormat/>
    <w:uiPriority w:val="0"/>
    <w:rPr>
      <w:sz w:val="15"/>
      <w:szCs w:val="15"/>
    </w:rPr>
  </w:style>
  <w:style w:type="character" w:customStyle="1" w:styleId="287">
    <w:name w:val="样式 宋体 四号1"/>
    <w:qFormat/>
    <w:uiPriority w:val="0"/>
    <w:rPr>
      <w:rFonts w:ascii="宋体" w:hAnsi="宋体"/>
      <w:sz w:val="28"/>
    </w:rPr>
  </w:style>
  <w:style w:type="character" w:customStyle="1" w:styleId="288">
    <w:name w:val="front2"/>
    <w:qFormat/>
    <w:uiPriority w:val="0"/>
  </w:style>
  <w:style w:type="character" w:customStyle="1" w:styleId="289">
    <w:name w:val="样式 (西文) Times New Roman (中文) 仿宋_GB2312 行距: 1.5 倍行距 首行缩进:  2 字符 Char"/>
    <w:link w:val="290"/>
    <w:qFormat/>
    <w:uiPriority w:val="0"/>
    <w:rPr>
      <w:rFonts w:eastAsia="FangSong_GB2312"/>
      <w:kern w:val="2"/>
      <w:sz w:val="21"/>
    </w:rPr>
  </w:style>
  <w:style w:type="paragraph" w:customStyle="1" w:styleId="290">
    <w:name w:val="样式 (西文) Times New Roman (中文) 仿宋_GB2312 行距: 1.5 倍行距 首行缩进:  2 字符"/>
    <w:basedOn w:val="1"/>
    <w:link w:val="289"/>
    <w:qFormat/>
    <w:uiPriority w:val="0"/>
    <w:pPr>
      <w:spacing w:line="360" w:lineRule="auto"/>
      <w:ind w:firstLine="420" w:firstLineChars="200"/>
    </w:pPr>
    <w:rPr>
      <w:rFonts w:eastAsia="FangSong_GB2312"/>
      <w:szCs w:val="20"/>
    </w:rPr>
  </w:style>
  <w:style w:type="character" w:customStyle="1" w:styleId="291">
    <w:name w:val="标题2 Char Char"/>
    <w:qFormat/>
    <w:uiPriority w:val="0"/>
    <w:rPr>
      <w:rFonts w:ascii="宋体"/>
      <w:b/>
      <w:kern w:val="44"/>
      <w:sz w:val="30"/>
    </w:rPr>
  </w:style>
  <w:style w:type="character" w:customStyle="1" w:styleId="292">
    <w:name w:val="Char Char17"/>
    <w:qFormat/>
    <w:uiPriority w:val="0"/>
    <w:rPr>
      <w:rFonts w:eastAsia="宋体" w:cs="Times New Roman"/>
      <w:b/>
      <w:bCs/>
      <w:sz w:val="24"/>
      <w:szCs w:val="24"/>
      <w:lang w:val="en-US" w:eastAsia="zh-CN"/>
    </w:rPr>
  </w:style>
  <w:style w:type="character" w:customStyle="1" w:styleId="293">
    <w:name w:val="标题 9 Char1"/>
    <w:qFormat/>
    <w:uiPriority w:val="0"/>
    <w:rPr>
      <w:rFonts w:ascii="Arial" w:hAnsi="Arial" w:eastAsia="黑体"/>
      <w:color w:val="1F497D"/>
      <w:kern w:val="2"/>
      <w:sz w:val="24"/>
      <w:szCs w:val="21"/>
    </w:rPr>
  </w:style>
  <w:style w:type="character" w:customStyle="1" w:styleId="294">
    <w:name w:val="spantable1"/>
    <w:qFormat/>
    <w:uiPriority w:val="0"/>
    <w:rPr>
      <w:rFonts w:hint="default"/>
      <w:spacing w:val="360"/>
      <w:sz w:val="18"/>
      <w:szCs w:val="18"/>
    </w:rPr>
  </w:style>
  <w:style w:type="character" w:customStyle="1" w:styleId="295">
    <w:name w:val="批注引用3"/>
    <w:qFormat/>
    <w:uiPriority w:val="0"/>
    <w:rPr>
      <w:rFonts w:cs="Times New Roman"/>
      <w:sz w:val="21"/>
      <w:szCs w:val="21"/>
    </w:rPr>
  </w:style>
  <w:style w:type="character" w:customStyle="1" w:styleId="296">
    <w:name w:val="L7 Char1"/>
    <w:qFormat/>
    <w:uiPriority w:val="0"/>
    <w:rPr>
      <w:rFonts w:eastAsia="宋体"/>
      <w:bCs/>
      <w:kern w:val="2"/>
      <w:sz w:val="24"/>
      <w:szCs w:val="24"/>
      <w:lang w:val="en-US" w:eastAsia="zh-CN"/>
    </w:rPr>
  </w:style>
  <w:style w:type="character" w:customStyle="1" w:styleId="297">
    <w:name w:val="列表框1 Char Char"/>
    <w:qFormat/>
    <w:uiPriority w:val="0"/>
    <w:rPr>
      <w:rFonts w:ascii="Arial" w:hAnsi="Arial" w:eastAsia="KaiTi_GB2312" w:cs="Arial"/>
      <w:spacing w:val="10"/>
      <w:sz w:val="21"/>
      <w:lang w:val="en-US" w:eastAsia="zh-CN" w:bidi="ar-SA"/>
    </w:rPr>
  </w:style>
  <w:style w:type="character" w:customStyle="1" w:styleId="298">
    <w:name w:val="访问过的超链接11"/>
    <w:qFormat/>
    <w:uiPriority w:val="0"/>
    <w:rPr>
      <w:color w:val="800080"/>
      <w:u w:val="single"/>
    </w:rPr>
  </w:style>
  <w:style w:type="character" w:customStyle="1" w:styleId="299">
    <w:name w:val="表 Char"/>
    <w:link w:val="300"/>
    <w:qFormat/>
    <w:uiPriority w:val="0"/>
    <w:rPr>
      <w:kern w:val="2"/>
      <w:sz w:val="21"/>
      <w:szCs w:val="24"/>
      <w:lang w:val="en-US" w:eastAsia="ar-SA" w:bidi="ar-SA"/>
    </w:rPr>
  </w:style>
  <w:style w:type="paragraph" w:customStyle="1" w:styleId="300">
    <w:name w:val="表"/>
    <w:link w:val="299"/>
    <w:qFormat/>
    <w:uiPriority w:val="0"/>
    <w:pPr>
      <w:snapToGrid w:val="0"/>
      <w:spacing w:line="440" w:lineRule="exact"/>
      <w:jc w:val="center"/>
    </w:pPr>
    <w:rPr>
      <w:rFonts w:ascii="Times New Roman" w:hAnsi="Times New Roman" w:eastAsia="宋体" w:cs="Times New Roman"/>
      <w:kern w:val="2"/>
      <w:sz w:val="21"/>
      <w:szCs w:val="24"/>
      <w:lang w:val="en-US" w:eastAsia="ar-SA" w:bidi="ar-SA"/>
    </w:rPr>
  </w:style>
  <w:style w:type="character" w:customStyle="1" w:styleId="301">
    <w:name w:val="Char Char7"/>
    <w:qFormat/>
    <w:uiPriority w:val="0"/>
    <w:rPr>
      <w:rFonts w:ascii="Arial" w:hAnsi="Arial" w:eastAsia="宋体" w:cs="Arial"/>
      <w:b/>
      <w:bCs/>
      <w:sz w:val="44"/>
      <w:szCs w:val="32"/>
      <w:lang w:val="en-US" w:eastAsia="zh-CN" w:bidi="ar-SA"/>
    </w:rPr>
  </w:style>
  <w:style w:type="character" w:customStyle="1" w:styleId="302">
    <w:name w:val="HTML 预设格式 Char1"/>
    <w:qFormat/>
    <w:uiPriority w:val="0"/>
    <w:rPr>
      <w:rFonts w:ascii="Courier New" w:hAnsi="Courier New" w:eastAsia="宋体" w:cs="Courier New"/>
      <w:sz w:val="20"/>
      <w:szCs w:val="20"/>
    </w:rPr>
  </w:style>
  <w:style w:type="character" w:customStyle="1" w:styleId="303">
    <w:name w:val="mail1"/>
    <w:qFormat/>
    <w:uiPriority w:val="0"/>
    <w:rPr>
      <w:color w:val="000000"/>
      <w:sz w:val="21"/>
      <w:szCs w:val="21"/>
      <w:u w:val="none"/>
    </w:rPr>
  </w:style>
  <w:style w:type="character" w:customStyle="1" w:styleId="304">
    <w:name w:val="普通文字 Char Char"/>
    <w:qFormat/>
    <w:uiPriority w:val="0"/>
    <w:rPr>
      <w:rFonts w:ascii="宋体" w:hAnsi="Courier New" w:cs="Courier New"/>
      <w:kern w:val="2"/>
      <w:sz w:val="21"/>
      <w:szCs w:val="21"/>
    </w:rPr>
  </w:style>
  <w:style w:type="character" w:customStyle="1" w:styleId="305">
    <w:name w:val="Char Char6"/>
    <w:qFormat/>
    <w:uiPriority w:val="0"/>
    <w:rPr>
      <w:rFonts w:ascii="宋体" w:hAnsi="宋体" w:eastAsia="宋体" w:cs="Times New Roman"/>
      <w:kern w:val="2"/>
      <w:sz w:val="24"/>
      <w:lang w:val="en-US" w:eastAsia="zh-CN"/>
    </w:rPr>
  </w:style>
  <w:style w:type="character" w:customStyle="1" w:styleId="306">
    <w:name w:val="biaoti331"/>
    <w:qFormat/>
    <w:uiPriority w:val="0"/>
    <w:rPr>
      <w:rFonts w:cs="Times New Roman"/>
      <w:b/>
      <w:bCs/>
      <w:color w:val="000000"/>
      <w:sz w:val="24"/>
      <w:szCs w:val="24"/>
      <w:u w:val="none"/>
    </w:rPr>
  </w:style>
  <w:style w:type="character" w:customStyle="1" w:styleId="307">
    <w:name w:val="正文文本缩进 Char1"/>
    <w:qFormat/>
    <w:uiPriority w:val="0"/>
    <w:rPr>
      <w:rFonts w:eastAsia="宋体"/>
      <w:sz w:val="24"/>
      <w:szCs w:val="24"/>
      <w:lang w:val="en-US" w:eastAsia="zh-CN"/>
    </w:rPr>
  </w:style>
  <w:style w:type="character" w:customStyle="1" w:styleId="308">
    <w:name w:val="样式 标题 3 + 四号 段前: 0 磅 段后: 0 磅 行距: 固定值 24 磅 Char"/>
    <w:link w:val="309"/>
    <w:qFormat/>
    <w:uiPriority w:val="0"/>
    <w:rPr>
      <w:sz w:val="21"/>
    </w:rPr>
  </w:style>
  <w:style w:type="paragraph" w:customStyle="1" w:styleId="309">
    <w:name w:val="样式 标题 3 + 四号 段前: 0 磅 段后: 0 磅 行距: 固定值 24 磅"/>
    <w:basedOn w:val="34"/>
    <w:link w:val="308"/>
    <w:qFormat/>
    <w:uiPriority w:val="0"/>
    <w:pPr>
      <w:autoSpaceDE w:val="0"/>
      <w:autoSpaceDN w:val="0"/>
      <w:spacing w:after="0" w:line="480" w:lineRule="exact"/>
      <w:ind w:left="0" w:leftChars="0" w:right="0" w:rightChars="0" w:firstLine="560" w:firstLineChars="200"/>
      <w:jc w:val="both"/>
      <w:textAlignment w:val="auto"/>
    </w:pPr>
    <w:rPr>
      <w:sz w:val="21"/>
    </w:rPr>
  </w:style>
  <w:style w:type="character" w:customStyle="1" w:styleId="310">
    <w:name w:val="项目符号 Char Char"/>
    <w:link w:val="311"/>
    <w:qFormat/>
    <w:uiPriority w:val="0"/>
    <w:rPr>
      <w:spacing w:val="8"/>
      <w:kern w:val="2"/>
      <w:sz w:val="24"/>
    </w:rPr>
  </w:style>
  <w:style w:type="paragraph" w:customStyle="1" w:styleId="311">
    <w:name w:val="项目符号"/>
    <w:basedOn w:val="1"/>
    <w:link w:val="310"/>
    <w:qFormat/>
    <w:uiPriority w:val="0"/>
    <w:pPr>
      <w:spacing w:after="120" w:line="360" w:lineRule="auto"/>
    </w:pPr>
    <w:rPr>
      <w:spacing w:val="8"/>
      <w:sz w:val="24"/>
      <w:szCs w:val="20"/>
    </w:rPr>
  </w:style>
  <w:style w:type="paragraph" w:customStyle="1" w:styleId="312">
    <w:name w:val="正文首行缩进1"/>
    <w:basedOn w:val="34"/>
    <w:qFormat/>
    <w:uiPriority w:val="0"/>
    <w:pPr>
      <w:adjustRightInd/>
      <w:spacing w:after="120" w:line="240" w:lineRule="auto"/>
      <w:ind w:left="0" w:leftChars="0" w:right="0" w:rightChars="0" w:firstLine="420" w:firstLineChars="100"/>
      <w:jc w:val="both"/>
      <w:textAlignment w:val="auto"/>
    </w:pPr>
    <w:rPr>
      <w:spacing w:val="8"/>
      <w:kern w:val="2"/>
      <w:sz w:val="21"/>
      <w:szCs w:val="24"/>
    </w:rPr>
  </w:style>
  <w:style w:type="character" w:customStyle="1" w:styleId="313">
    <w:name w:val="样式 宋体 小二 加粗 加宽量  0.7 磅"/>
    <w:qFormat/>
    <w:uiPriority w:val="0"/>
    <w:rPr>
      <w:rFonts w:ascii="宋体" w:hAnsi="宋体" w:eastAsia="宋体"/>
      <w:b/>
      <w:bCs/>
      <w:spacing w:val="14"/>
      <w:sz w:val="32"/>
      <w:szCs w:val="32"/>
    </w:rPr>
  </w:style>
  <w:style w:type="character" w:customStyle="1" w:styleId="314">
    <w:name w:val="zbggtop11 style5"/>
    <w:qFormat/>
    <w:uiPriority w:val="0"/>
  </w:style>
  <w:style w:type="character" w:customStyle="1" w:styleId="315">
    <w:name w:val="标题 1.1 Char2"/>
    <w:qFormat/>
    <w:uiPriority w:val="0"/>
    <w:rPr>
      <w:rFonts w:ascii="Arial" w:hAnsi="Arial" w:eastAsia="黑体" w:cs="Times New Roman"/>
      <w:b/>
      <w:bCs/>
      <w:kern w:val="2"/>
      <w:sz w:val="32"/>
      <w:szCs w:val="32"/>
      <w:lang w:val="en-US" w:eastAsia="zh-CN"/>
    </w:rPr>
  </w:style>
  <w:style w:type="character" w:customStyle="1" w:styleId="316">
    <w:name w:val="标题3 Char Char"/>
    <w:qFormat/>
    <w:uiPriority w:val="0"/>
    <w:rPr>
      <w:rFonts w:ascii="宋体" w:hAnsi="宋体"/>
      <w:b/>
      <w:bCs/>
      <w:kern w:val="44"/>
      <w:sz w:val="24"/>
      <w:szCs w:val="21"/>
    </w:rPr>
  </w:style>
  <w:style w:type="character" w:customStyle="1" w:styleId="317">
    <w:name w:val="样式7 Char"/>
    <w:link w:val="318"/>
    <w:qFormat/>
    <w:uiPriority w:val="0"/>
    <w:rPr>
      <w:kern w:val="2"/>
      <w:sz w:val="21"/>
      <w:szCs w:val="24"/>
    </w:rPr>
  </w:style>
  <w:style w:type="paragraph" w:customStyle="1" w:styleId="318">
    <w:name w:val="样式7"/>
    <w:basedOn w:val="1"/>
    <w:link w:val="317"/>
    <w:qFormat/>
    <w:uiPriority w:val="0"/>
    <w:pPr>
      <w:snapToGrid w:val="0"/>
    </w:pPr>
  </w:style>
  <w:style w:type="character" w:customStyle="1" w:styleId="319">
    <w:name w:val="Char Char211"/>
    <w:qFormat/>
    <w:uiPriority w:val="0"/>
    <w:rPr>
      <w:rFonts w:hint="default" w:ascii="Arial" w:hAnsi="Arial" w:eastAsia="宋体" w:cs="Arial"/>
      <w:b/>
      <w:bCs/>
      <w:kern w:val="2"/>
      <w:sz w:val="32"/>
      <w:szCs w:val="32"/>
      <w:lang w:val="en-US" w:eastAsia="zh-CN" w:bidi="ar-SA"/>
    </w:rPr>
  </w:style>
  <w:style w:type="character" w:customStyle="1" w:styleId="320">
    <w:name w:val="Char Char11 Char Char Char Char Char Char Char"/>
    <w:qFormat/>
    <w:uiPriority w:val="0"/>
    <w:rPr>
      <w:rFonts w:eastAsia="宋体"/>
      <w:b/>
      <w:bCs/>
      <w:kern w:val="2"/>
      <w:sz w:val="24"/>
      <w:szCs w:val="24"/>
      <w:lang w:val="en-US" w:eastAsia="zh-CN" w:bidi="ar-SA"/>
    </w:rPr>
  </w:style>
  <w:style w:type="character" w:customStyle="1" w:styleId="321">
    <w:name w:val="标题 5 Char1"/>
    <w:qFormat/>
    <w:uiPriority w:val="0"/>
    <w:rPr>
      <w:b/>
      <w:bCs/>
      <w:color w:val="7030A0"/>
      <w:kern w:val="2"/>
      <w:sz w:val="28"/>
      <w:szCs w:val="28"/>
    </w:rPr>
  </w:style>
  <w:style w:type="character" w:customStyle="1" w:styleId="322">
    <w:name w:val="标题 4 Char Char Char Char Char Char Char Char Char Char Char Char Char Char Char Char Char Char Char Char Char Char Char Char Char Char Char Char Char Char Char Char Char Char Char Char Char Char Char Char Char Char Char Char Char Char Char Char Char Cha"/>
    <w:qFormat/>
    <w:uiPriority w:val="0"/>
    <w:rPr>
      <w:rFonts w:ascii="Arial" w:hAnsi="Arial" w:eastAsia="黑体"/>
      <w:bCs/>
      <w:szCs w:val="28"/>
    </w:rPr>
  </w:style>
  <w:style w:type="character" w:customStyle="1" w:styleId="323">
    <w:name w:val="项目符号 Char"/>
    <w:qFormat/>
    <w:uiPriority w:val="0"/>
    <w:rPr>
      <w:rFonts w:ascii="宋体"/>
      <w:color w:val="1F497D"/>
      <w:kern w:val="2"/>
      <w:sz w:val="24"/>
      <w:szCs w:val="24"/>
    </w:rPr>
  </w:style>
  <w:style w:type="character" w:customStyle="1" w:styleId="324">
    <w:name w:val="样式 样式 宋体 小四 左侧:  1.85 厘米 段前: 11.15 磅 段后: 11.15 磅 + 图案: 清除 (白色) Char"/>
    <w:link w:val="325"/>
    <w:qFormat/>
    <w:uiPriority w:val="0"/>
    <w:rPr>
      <w:color w:val="1F497D"/>
      <w:kern w:val="2"/>
      <w:sz w:val="24"/>
      <w:szCs w:val="24"/>
    </w:rPr>
  </w:style>
  <w:style w:type="paragraph" w:customStyle="1" w:styleId="325">
    <w:name w:val="样式 样式 宋体 小四 左侧:  1.85 厘米 段前: 11.15 磅 段后: 11.15 磅 + 图案: 清除 (白色)"/>
    <w:basedOn w:val="1"/>
    <w:link w:val="324"/>
    <w:qFormat/>
    <w:uiPriority w:val="0"/>
    <w:pPr>
      <w:snapToGrid w:val="0"/>
      <w:ind w:left="1049" w:firstLine="200" w:firstLineChars="200"/>
      <w:jc w:val="left"/>
    </w:pPr>
    <w:rPr>
      <w:color w:val="1F497D"/>
      <w:sz w:val="24"/>
      <w:shd w:val="clear" w:color="auto" w:fill="FFFFFF"/>
    </w:rPr>
  </w:style>
  <w:style w:type="character" w:customStyle="1" w:styleId="326">
    <w:name w:val="文档结构图 Char2"/>
    <w:qFormat/>
    <w:uiPriority w:val="0"/>
    <w:rPr>
      <w:rFonts w:ascii="宋体" w:hAnsi="Times New Roman"/>
      <w:kern w:val="2"/>
      <w:sz w:val="18"/>
      <w:szCs w:val="18"/>
    </w:rPr>
  </w:style>
  <w:style w:type="character" w:customStyle="1" w:styleId="327">
    <w:name w:val="Char Char81"/>
    <w:link w:val="328"/>
    <w:qFormat/>
    <w:uiPriority w:val="0"/>
    <w:rPr>
      <w:rFonts w:ascii="宋体" w:hAnsi="宋体"/>
      <w:kern w:val="2"/>
      <w:sz w:val="24"/>
    </w:rPr>
  </w:style>
  <w:style w:type="paragraph" w:customStyle="1" w:styleId="328">
    <w:name w:val="Char6"/>
    <w:basedOn w:val="1"/>
    <w:link w:val="327"/>
    <w:qFormat/>
    <w:uiPriority w:val="0"/>
    <w:pPr>
      <w:spacing w:line="360" w:lineRule="auto"/>
      <w:ind w:firstLine="200" w:firstLineChars="200"/>
    </w:pPr>
    <w:rPr>
      <w:rFonts w:ascii="宋体" w:hAnsi="宋体"/>
      <w:sz w:val="24"/>
      <w:szCs w:val="20"/>
    </w:rPr>
  </w:style>
  <w:style w:type="character" w:customStyle="1" w:styleId="329">
    <w:name w:val="text12st_hs1"/>
    <w:qFormat/>
    <w:uiPriority w:val="0"/>
    <w:rPr>
      <w:color w:val="000000"/>
      <w:sz w:val="19"/>
      <w:szCs w:val="19"/>
      <w:u w:val="none"/>
    </w:rPr>
  </w:style>
  <w:style w:type="character" w:customStyle="1" w:styleId="330">
    <w:name w:val="Heading 3 Char Char"/>
    <w:qFormat/>
    <w:uiPriority w:val="0"/>
    <w:rPr>
      <w:rFonts w:ascii="Arial" w:hAnsi="Arial" w:eastAsia="PMingLiU"/>
      <w:sz w:val="24"/>
      <w:lang w:val="en-US" w:eastAsia="zh-TW"/>
    </w:rPr>
  </w:style>
  <w:style w:type="character" w:customStyle="1" w:styleId="331">
    <w:name w:val="Char Char Char"/>
    <w:qFormat/>
    <w:uiPriority w:val="0"/>
    <w:rPr>
      <w:rFonts w:ascii="宋体" w:hAnsi="Courier New" w:eastAsia="宋体" w:cs="Courier New"/>
      <w:kern w:val="2"/>
      <w:sz w:val="21"/>
      <w:szCs w:val="21"/>
      <w:lang w:val="en-US" w:eastAsia="zh-CN" w:bidi="ar-SA"/>
    </w:rPr>
  </w:style>
  <w:style w:type="character" w:customStyle="1" w:styleId="332">
    <w:name w:val="样式 样式1 + Char"/>
    <w:link w:val="333"/>
    <w:semiHidden/>
    <w:qFormat/>
    <w:locked/>
    <w:uiPriority w:val="0"/>
    <w:rPr>
      <w:rFonts w:ascii="EU-F1" w:eastAsia="汉仪大宋简"/>
      <w:bCs/>
      <w:color w:val="000000"/>
      <w:kern w:val="2"/>
      <w:sz w:val="22"/>
      <w:szCs w:val="22"/>
      <w:lang w:val="en-US" w:eastAsia="zh-CN"/>
    </w:rPr>
  </w:style>
  <w:style w:type="paragraph" w:customStyle="1" w:styleId="333">
    <w:name w:val="样式 样式1 +"/>
    <w:basedOn w:val="334"/>
    <w:link w:val="332"/>
    <w:semiHidden/>
    <w:qFormat/>
    <w:uiPriority w:val="0"/>
    <w:pPr>
      <w:keepNext/>
      <w:spacing w:before="0" w:after="0" w:line="480" w:lineRule="auto"/>
      <w:ind w:firstLine="420"/>
      <w:outlineLvl w:val="0"/>
    </w:pPr>
    <w:rPr>
      <w:rFonts w:ascii="EU-F1" w:hAnsi="Times New Roman" w:eastAsia="汉仪大宋简"/>
      <w:b w:val="0"/>
      <w:bCs/>
      <w:color w:val="000000"/>
      <w:sz w:val="22"/>
      <w:szCs w:val="22"/>
    </w:rPr>
  </w:style>
  <w:style w:type="paragraph" w:customStyle="1" w:styleId="334">
    <w:name w:val="样式1"/>
    <w:basedOn w:val="1"/>
    <w:link w:val="355"/>
    <w:qFormat/>
    <w:uiPriority w:val="0"/>
    <w:pPr>
      <w:spacing w:before="120" w:after="120" w:line="300" w:lineRule="auto"/>
    </w:pPr>
    <w:rPr>
      <w:rFonts w:ascii="宋体" w:hAnsi="宋体"/>
      <w:b/>
      <w:sz w:val="24"/>
      <w:szCs w:val="20"/>
    </w:rPr>
  </w:style>
  <w:style w:type="character" w:customStyle="1" w:styleId="335">
    <w:name w:val="标题 9 Char"/>
    <w:link w:val="11"/>
    <w:qFormat/>
    <w:uiPriority w:val="0"/>
    <w:rPr>
      <w:rFonts w:ascii="Arial" w:hAnsi="Arial" w:eastAsia="黑体"/>
      <w:b/>
      <w:sz w:val="21"/>
      <w:szCs w:val="21"/>
    </w:rPr>
  </w:style>
  <w:style w:type="character" w:customStyle="1" w:styleId="336">
    <w:name w:val="标题1 Char"/>
    <w:link w:val="337"/>
    <w:qFormat/>
    <w:uiPriority w:val="0"/>
    <w:rPr>
      <w:rFonts w:ascii="宋体" w:hAnsi="宋体"/>
      <w:b/>
      <w:bCs/>
      <w:kern w:val="44"/>
      <w:sz w:val="36"/>
      <w:szCs w:val="44"/>
    </w:rPr>
  </w:style>
  <w:style w:type="paragraph" w:customStyle="1" w:styleId="337">
    <w:name w:val="标题1"/>
    <w:basedOn w:val="3"/>
    <w:link w:val="336"/>
    <w:qFormat/>
    <w:uiPriority w:val="0"/>
    <w:pPr>
      <w:spacing w:beforeLines="100" w:afterLines="100" w:line="240" w:lineRule="auto"/>
      <w:jc w:val="center"/>
    </w:pPr>
    <w:rPr>
      <w:rFonts w:ascii="宋体" w:hAnsi="宋体"/>
      <w:sz w:val="36"/>
    </w:rPr>
  </w:style>
  <w:style w:type="character" w:customStyle="1" w:styleId="338">
    <w:name w:val="标题 1 Char1"/>
    <w:qFormat/>
    <w:locked/>
    <w:uiPriority w:val="0"/>
    <w:rPr>
      <w:rFonts w:ascii="宋体" w:hAnsi="宋体" w:eastAsia="黑体" w:cs="宋体"/>
      <w:bCs/>
      <w:color w:val="92D050"/>
      <w:kern w:val="44"/>
      <w:sz w:val="30"/>
      <w:szCs w:val="21"/>
      <w:lang w:eastAsia="ar-SA"/>
    </w:rPr>
  </w:style>
  <w:style w:type="character" w:customStyle="1" w:styleId="339">
    <w:name w:val="Char Char8"/>
    <w:link w:val="340"/>
    <w:qFormat/>
    <w:uiPriority w:val="0"/>
    <w:rPr>
      <w:rFonts w:ascii="FangSong_GB2312" w:eastAsia="FangSong_GB2312"/>
      <w:b/>
      <w:kern w:val="2"/>
      <w:sz w:val="32"/>
      <w:szCs w:val="32"/>
    </w:rPr>
  </w:style>
  <w:style w:type="paragraph" w:customStyle="1" w:styleId="340">
    <w:name w:val="Char51"/>
    <w:basedOn w:val="1"/>
    <w:link w:val="339"/>
    <w:qFormat/>
    <w:uiPriority w:val="0"/>
    <w:rPr>
      <w:rFonts w:ascii="FangSong_GB2312" w:eastAsia="FangSong_GB2312"/>
      <w:b/>
      <w:sz w:val="32"/>
      <w:szCs w:val="32"/>
    </w:rPr>
  </w:style>
  <w:style w:type="character" w:customStyle="1" w:styleId="341">
    <w:name w:val="列表框2 Char Char"/>
    <w:link w:val="342"/>
    <w:qFormat/>
    <w:uiPriority w:val="0"/>
    <w:rPr>
      <w:rFonts w:ascii="Arial" w:hAnsi="Arial" w:eastAsia="KaiTi_GB2312" w:cs="Arial"/>
      <w:spacing w:val="10"/>
      <w:sz w:val="21"/>
    </w:rPr>
  </w:style>
  <w:style w:type="paragraph" w:customStyle="1" w:styleId="342">
    <w:name w:val="列表框2"/>
    <w:basedOn w:val="343"/>
    <w:link w:val="341"/>
    <w:qFormat/>
    <w:uiPriority w:val="0"/>
    <w:pPr>
      <w:tabs>
        <w:tab w:val="left" w:pos="2018"/>
        <w:tab w:val="left" w:pos="2086"/>
        <w:tab w:val="left" w:pos="2325"/>
        <w:tab w:val="left" w:pos="2896"/>
      </w:tabs>
      <w:ind w:left="2859" w:leftChars="810" w:right="-12" w:hanging="915" w:hangingChars="398"/>
    </w:pPr>
    <w:rPr>
      <w:rFonts w:cs="Times New Roman"/>
    </w:rPr>
  </w:style>
  <w:style w:type="paragraph" w:customStyle="1" w:styleId="343">
    <w:name w:val="列表框1"/>
    <w:basedOn w:val="1"/>
    <w:next w:val="1"/>
    <w:qFormat/>
    <w:uiPriority w:val="0"/>
    <w:pPr>
      <w:tabs>
        <w:tab w:val="left" w:pos="2018"/>
        <w:tab w:val="left" w:pos="2086"/>
        <w:tab w:val="left" w:pos="2325"/>
      </w:tabs>
      <w:adjustRightInd w:val="0"/>
      <w:snapToGrid w:val="0"/>
      <w:spacing w:afterLines="50" w:line="320" w:lineRule="exact"/>
      <w:ind w:left="2031" w:leftChars="665" w:hanging="435" w:hangingChars="189"/>
      <w:jc w:val="left"/>
    </w:pPr>
    <w:rPr>
      <w:rFonts w:ascii="Arial" w:hAnsi="Arial" w:eastAsia="KaiTi_GB2312" w:cs="Arial"/>
      <w:spacing w:val="10"/>
      <w:kern w:val="0"/>
      <w:szCs w:val="20"/>
    </w:rPr>
  </w:style>
  <w:style w:type="paragraph" w:customStyle="1" w:styleId="344">
    <w:name w:val="应答文本 Char Char Char Char"/>
    <w:basedOn w:val="1"/>
    <w:qFormat/>
    <w:uiPriority w:val="0"/>
    <w:pPr>
      <w:adjustRightInd w:val="0"/>
      <w:spacing w:afterLines="50" w:line="320" w:lineRule="exact"/>
      <w:ind w:left="300" w:leftChars="300" w:firstLine="200" w:firstLineChars="200"/>
      <w:jc w:val="left"/>
    </w:pPr>
    <w:rPr>
      <w:rFonts w:ascii="Arial" w:hAnsi="Arial" w:eastAsia="KaiTi_GB2312"/>
      <w:spacing w:val="10"/>
      <w:kern w:val="0"/>
      <w:szCs w:val="20"/>
    </w:rPr>
  </w:style>
  <w:style w:type="character" w:customStyle="1" w:styleId="345">
    <w:name w:val="样式 降低量 1 磅"/>
    <w:qFormat/>
    <w:uiPriority w:val="0"/>
    <w:rPr>
      <w:kern w:val="0"/>
      <w:position w:val="0"/>
    </w:rPr>
  </w:style>
  <w:style w:type="character" w:customStyle="1" w:styleId="346">
    <w:name w:val="一级标题 Char"/>
    <w:qFormat/>
    <w:uiPriority w:val="0"/>
    <w:rPr>
      <w:rFonts w:hint="eastAsia" w:ascii="隶书" w:eastAsia="黑体"/>
      <w:b/>
      <w:bCs/>
      <w:kern w:val="2"/>
      <w:sz w:val="30"/>
      <w:szCs w:val="30"/>
      <w:lang w:val="en-US" w:eastAsia="zh-CN" w:bidi="ar-SA"/>
    </w:rPr>
  </w:style>
  <w:style w:type="character" w:customStyle="1" w:styleId="347">
    <w:name w:val="标题3 Char"/>
    <w:link w:val="348"/>
    <w:qFormat/>
    <w:uiPriority w:val="0"/>
    <w:rPr>
      <w:rFonts w:ascii="宋体" w:hAnsi="宋体"/>
      <w:b/>
      <w:bCs/>
      <w:kern w:val="44"/>
      <w:sz w:val="24"/>
      <w:szCs w:val="24"/>
    </w:rPr>
  </w:style>
  <w:style w:type="paragraph" w:customStyle="1" w:styleId="348">
    <w:name w:val="标题3"/>
    <w:basedOn w:val="3"/>
    <w:link w:val="347"/>
    <w:qFormat/>
    <w:uiPriority w:val="0"/>
    <w:pPr>
      <w:spacing w:beforeLines="50" w:afterLines="50" w:line="400" w:lineRule="exact"/>
    </w:pPr>
    <w:rPr>
      <w:rFonts w:ascii="宋体" w:hAnsi="宋体"/>
      <w:sz w:val="24"/>
      <w:szCs w:val="24"/>
    </w:rPr>
  </w:style>
  <w:style w:type="character" w:customStyle="1" w:styleId="349">
    <w:name w:val="明显强调1"/>
    <w:qFormat/>
    <w:uiPriority w:val="0"/>
    <w:rPr>
      <w:b/>
      <w:bCs/>
      <w:i/>
      <w:iCs/>
      <w:color w:val="4F81BD"/>
    </w:rPr>
  </w:style>
  <w:style w:type="character" w:customStyle="1" w:styleId="350">
    <w:name w:val="Char Char11 Char Char Char Char Char Char Char Char Char Char"/>
    <w:qFormat/>
    <w:uiPriority w:val="0"/>
    <w:rPr>
      <w:rFonts w:eastAsia="宋体"/>
      <w:b/>
      <w:bCs/>
      <w:kern w:val="2"/>
      <w:sz w:val="24"/>
      <w:szCs w:val="24"/>
      <w:lang w:val="en-US" w:eastAsia="zh-CN" w:bidi="ar-SA"/>
    </w:rPr>
  </w:style>
  <w:style w:type="character" w:customStyle="1" w:styleId="351">
    <w:name w:val="批注引用4"/>
    <w:qFormat/>
    <w:uiPriority w:val="0"/>
    <w:rPr>
      <w:rFonts w:cs="Times New Roman"/>
      <w:sz w:val="21"/>
      <w:szCs w:val="21"/>
    </w:rPr>
  </w:style>
  <w:style w:type="character" w:customStyle="1" w:styleId="352">
    <w:name w:val="样式6 Char"/>
    <w:link w:val="353"/>
    <w:semiHidden/>
    <w:qFormat/>
    <w:locked/>
    <w:uiPriority w:val="0"/>
    <w:rPr>
      <w:rFonts w:ascii="黑体" w:hAnsi="黑体" w:eastAsia="黑体"/>
      <w:kern w:val="2"/>
      <w:sz w:val="21"/>
      <w:szCs w:val="21"/>
    </w:rPr>
  </w:style>
  <w:style w:type="paragraph" w:customStyle="1" w:styleId="353">
    <w:name w:val="样式6"/>
    <w:basedOn w:val="1"/>
    <w:link w:val="352"/>
    <w:semiHidden/>
    <w:qFormat/>
    <w:uiPriority w:val="0"/>
    <w:pPr>
      <w:topLinePunct/>
      <w:spacing w:before="160" w:after="60"/>
      <w:jc w:val="center"/>
    </w:pPr>
    <w:rPr>
      <w:rFonts w:ascii="黑体" w:hAnsi="黑体" w:eastAsia="黑体"/>
      <w:szCs w:val="21"/>
    </w:rPr>
  </w:style>
  <w:style w:type="character" w:customStyle="1" w:styleId="354">
    <w:name w:val="font01"/>
    <w:qFormat/>
    <w:uiPriority w:val="0"/>
    <w:rPr>
      <w:rFonts w:hint="eastAsia" w:ascii="宋体" w:hAnsi="宋体" w:eastAsia="宋体"/>
      <w:color w:val="000000"/>
      <w:sz w:val="22"/>
      <w:szCs w:val="22"/>
      <w:u w:val="none"/>
    </w:rPr>
  </w:style>
  <w:style w:type="character" w:customStyle="1" w:styleId="355">
    <w:name w:val="样式1 Char"/>
    <w:link w:val="334"/>
    <w:qFormat/>
    <w:uiPriority w:val="0"/>
    <w:rPr>
      <w:rFonts w:ascii="宋体" w:hAnsi="宋体"/>
      <w:b/>
      <w:kern w:val="2"/>
      <w:sz w:val="24"/>
    </w:rPr>
  </w:style>
  <w:style w:type="character" w:customStyle="1" w:styleId="356">
    <w:name w:val="称呼 Char1"/>
    <w:qFormat/>
    <w:uiPriority w:val="0"/>
    <w:rPr>
      <w:rFonts w:ascii="Times New Roman" w:hAnsi="Times New Roman" w:eastAsia="宋体" w:cs="Times New Roman"/>
      <w:sz w:val="24"/>
      <w:szCs w:val="24"/>
    </w:rPr>
  </w:style>
  <w:style w:type="character" w:customStyle="1" w:styleId="357">
    <w:name w:val="页脚 Char1"/>
    <w:qFormat/>
    <w:uiPriority w:val="0"/>
    <w:rPr>
      <w:kern w:val="2"/>
      <w:sz w:val="18"/>
      <w:szCs w:val="18"/>
      <w:lang w:eastAsia="ar-SA"/>
    </w:rPr>
  </w:style>
  <w:style w:type="character" w:customStyle="1" w:styleId="358">
    <w:name w:val="content"/>
    <w:qFormat/>
    <w:uiPriority w:val="0"/>
    <w:rPr>
      <w:rFonts w:cs="Times New Roman"/>
    </w:rPr>
  </w:style>
  <w:style w:type="character" w:customStyle="1" w:styleId="359">
    <w:name w:val="结束语 Char1"/>
    <w:qFormat/>
    <w:uiPriority w:val="0"/>
    <w:rPr>
      <w:kern w:val="2"/>
      <w:sz w:val="21"/>
      <w:szCs w:val="24"/>
    </w:rPr>
  </w:style>
  <w:style w:type="character" w:customStyle="1" w:styleId="360">
    <w:name w:val="Table Text Char"/>
    <w:link w:val="361"/>
    <w:qFormat/>
    <w:uiPriority w:val="0"/>
    <w:rPr>
      <w:rFonts w:ascii="Arial" w:hAnsi="Arial"/>
      <w:sz w:val="18"/>
    </w:rPr>
  </w:style>
  <w:style w:type="paragraph" w:customStyle="1" w:styleId="361">
    <w:name w:val="Table Text"/>
    <w:link w:val="360"/>
    <w:qFormat/>
    <w:uiPriority w:val="0"/>
    <w:pPr>
      <w:snapToGrid w:val="0"/>
      <w:spacing w:before="80" w:after="80"/>
    </w:pPr>
    <w:rPr>
      <w:rFonts w:ascii="Arial" w:hAnsi="Arial" w:eastAsia="宋体" w:cs="Times New Roman"/>
      <w:sz w:val="18"/>
      <w:lang w:val="en-US" w:eastAsia="zh-CN" w:bidi="ar-SA"/>
    </w:rPr>
  </w:style>
  <w:style w:type="character" w:customStyle="1" w:styleId="362">
    <w:name w:val="标题（4） Char"/>
    <w:link w:val="363"/>
    <w:qFormat/>
    <w:uiPriority w:val="0"/>
    <w:rPr>
      <w:kern w:val="2"/>
      <w:sz w:val="24"/>
      <w:szCs w:val="24"/>
    </w:rPr>
  </w:style>
  <w:style w:type="paragraph" w:customStyle="1" w:styleId="363">
    <w:name w:val="标题（4）"/>
    <w:basedOn w:val="1"/>
    <w:link w:val="362"/>
    <w:qFormat/>
    <w:uiPriority w:val="0"/>
    <w:pPr>
      <w:tabs>
        <w:tab w:val="left" w:pos="1175"/>
      </w:tabs>
      <w:topLinePunct/>
      <w:spacing w:line="360" w:lineRule="auto"/>
      <w:ind w:left="154" w:firstLine="386"/>
      <w:jc w:val="left"/>
      <w:outlineLvl w:val="3"/>
    </w:pPr>
    <w:rPr>
      <w:sz w:val="24"/>
    </w:rPr>
  </w:style>
  <w:style w:type="character" w:customStyle="1" w:styleId="364">
    <w:name w:val="尾注文本 Char"/>
    <w:link w:val="52"/>
    <w:qFormat/>
    <w:uiPriority w:val="0"/>
    <w:rPr>
      <w:kern w:val="2"/>
      <w:sz w:val="24"/>
      <w:szCs w:val="24"/>
    </w:rPr>
  </w:style>
  <w:style w:type="character" w:customStyle="1" w:styleId="365">
    <w:name w:val="样式 首行缩进:  2 字符 Char1"/>
    <w:link w:val="152"/>
    <w:qFormat/>
    <w:uiPriority w:val="0"/>
    <w:rPr>
      <w:color w:val="7030A0"/>
      <w:kern w:val="2"/>
      <w:sz w:val="24"/>
      <w:szCs w:val="24"/>
      <w:lang w:eastAsia="ar-SA"/>
    </w:rPr>
  </w:style>
  <w:style w:type="character" w:customStyle="1" w:styleId="366">
    <w:name w:val="标题 1 1 Char1"/>
    <w:qFormat/>
    <w:uiPriority w:val="0"/>
    <w:rPr>
      <w:rFonts w:eastAsia="宋体" w:cs="Times New Roman"/>
      <w:b/>
      <w:bCs/>
      <w:kern w:val="44"/>
      <w:sz w:val="44"/>
      <w:szCs w:val="44"/>
      <w:lang w:val="en-US" w:eastAsia="zh-CN"/>
    </w:rPr>
  </w:style>
  <w:style w:type="character" w:customStyle="1" w:styleId="367">
    <w:name w:val="正文缩进 Char"/>
    <w:link w:val="368"/>
    <w:qFormat/>
    <w:uiPriority w:val="0"/>
    <w:rPr>
      <w:kern w:val="2"/>
      <w:sz w:val="21"/>
    </w:rPr>
  </w:style>
  <w:style w:type="paragraph" w:customStyle="1" w:styleId="368">
    <w:name w:val="正文缩进1"/>
    <w:basedOn w:val="1"/>
    <w:link w:val="367"/>
    <w:qFormat/>
    <w:uiPriority w:val="0"/>
    <w:pPr>
      <w:ind w:firstLine="420" w:firstLineChars="200"/>
    </w:pPr>
    <w:rPr>
      <w:szCs w:val="20"/>
    </w:rPr>
  </w:style>
  <w:style w:type="character" w:customStyle="1" w:styleId="369">
    <w:name w:val="样式4 Char"/>
    <w:link w:val="370"/>
    <w:qFormat/>
    <w:uiPriority w:val="0"/>
    <w:rPr>
      <w:rFonts w:ascii="宋体" w:cs="Courier New"/>
      <w:sz w:val="34"/>
    </w:rPr>
  </w:style>
  <w:style w:type="paragraph" w:customStyle="1" w:styleId="370">
    <w:name w:val="样式4"/>
    <w:basedOn w:val="1"/>
    <w:link w:val="369"/>
    <w:qFormat/>
    <w:uiPriority w:val="0"/>
    <w:pPr>
      <w:tabs>
        <w:tab w:val="left" w:pos="2160"/>
      </w:tabs>
      <w:topLinePunct/>
      <w:adjustRightInd w:val="0"/>
      <w:spacing w:before="620" w:after="360" w:line="490" w:lineRule="exact"/>
      <w:jc w:val="center"/>
    </w:pPr>
    <w:rPr>
      <w:rFonts w:ascii="宋体" w:cs="Courier New"/>
      <w:kern w:val="0"/>
      <w:sz w:val="34"/>
      <w:szCs w:val="20"/>
    </w:rPr>
  </w:style>
  <w:style w:type="paragraph" w:customStyle="1" w:styleId="371">
    <w:name w:val="样式3"/>
    <w:basedOn w:val="45"/>
    <w:link w:val="532"/>
    <w:qFormat/>
    <w:uiPriority w:val="0"/>
    <w:pPr>
      <w:topLinePunct/>
      <w:spacing w:line="315" w:lineRule="exact"/>
    </w:pPr>
    <w:rPr>
      <w:rFonts w:ascii="EU-F1" w:hAnsi="Times New Roman" w:eastAsia="黑体"/>
      <w:kern w:val="21"/>
    </w:rPr>
  </w:style>
  <w:style w:type="character" w:customStyle="1" w:styleId="372">
    <w:name w:val="招标文件1.1 Char"/>
    <w:link w:val="373"/>
    <w:qFormat/>
    <w:uiPriority w:val="0"/>
    <w:rPr>
      <w:rFonts w:ascii="宋体"/>
      <w:b/>
      <w:spacing w:val="10"/>
      <w:w w:val="95"/>
      <w:sz w:val="24"/>
    </w:rPr>
  </w:style>
  <w:style w:type="paragraph" w:customStyle="1" w:styleId="373">
    <w:name w:val="招标文件1.1"/>
    <w:link w:val="372"/>
    <w:qFormat/>
    <w:uiPriority w:val="0"/>
    <w:pPr>
      <w:tabs>
        <w:tab w:val="left" w:pos="630"/>
      </w:tabs>
      <w:spacing w:before="120" w:after="120" w:line="480" w:lineRule="exact"/>
      <w:ind w:left="200"/>
      <w:outlineLvl w:val="2"/>
    </w:pPr>
    <w:rPr>
      <w:rFonts w:ascii="宋体" w:hAnsi="Times New Roman" w:eastAsia="宋体" w:cs="Times New Roman"/>
      <w:b/>
      <w:spacing w:val="10"/>
      <w:w w:val="95"/>
      <w:sz w:val="24"/>
      <w:lang w:val="en-US" w:eastAsia="zh-CN" w:bidi="ar-SA"/>
    </w:rPr>
  </w:style>
  <w:style w:type="character" w:customStyle="1" w:styleId="374">
    <w:name w:val="Char Char25"/>
    <w:qFormat/>
    <w:uiPriority w:val="0"/>
    <w:rPr>
      <w:rFonts w:ascii="Arial" w:hAnsi="Arial" w:eastAsia="黑体" w:cs="Times New Roman"/>
      <w:b/>
      <w:bCs/>
      <w:kern w:val="2"/>
      <w:sz w:val="28"/>
      <w:szCs w:val="28"/>
      <w:lang w:val="en-US" w:eastAsia="zh-CN"/>
    </w:rPr>
  </w:style>
  <w:style w:type="character" w:customStyle="1" w:styleId="375">
    <w:name w:val="电子邮件签名 Char1"/>
    <w:qFormat/>
    <w:uiPriority w:val="0"/>
    <w:rPr>
      <w:kern w:val="2"/>
      <w:sz w:val="21"/>
      <w:szCs w:val="24"/>
    </w:rPr>
  </w:style>
  <w:style w:type="character" w:customStyle="1" w:styleId="376">
    <w:name w:val="日期 Char2"/>
    <w:semiHidden/>
    <w:qFormat/>
    <w:uiPriority w:val="99"/>
    <w:rPr>
      <w:kern w:val="2"/>
      <w:sz w:val="21"/>
      <w:szCs w:val="24"/>
    </w:rPr>
  </w:style>
  <w:style w:type="character" w:customStyle="1" w:styleId="377">
    <w:name w:val="正文A Char"/>
    <w:link w:val="378"/>
    <w:qFormat/>
    <w:uiPriority w:val="0"/>
    <w:rPr>
      <w:rFonts w:ascii="宋体" w:hAnsi="宋体"/>
      <w:kern w:val="2"/>
      <w:sz w:val="24"/>
      <w:szCs w:val="24"/>
    </w:rPr>
  </w:style>
  <w:style w:type="paragraph" w:customStyle="1" w:styleId="378">
    <w:name w:val="正文A"/>
    <w:basedOn w:val="1"/>
    <w:link w:val="377"/>
    <w:qFormat/>
    <w:uiPriority w:val="0"/>
    <w:pPr>
      <w:spacing w:line="360" w:lineRule="auto"/>
      <w:ind w:firstLine="480"/>
    </w:pPr>
    <w:rPr>
      <w:rFonts w:ascii="宋体" w:hAnsi="宋体"/>
      <w:sz w:val="24"/>
    </w:rPr>
  </w:style>
  <w:style w:type="character" w:customStyle="1" w:styleId="379">
    <w:name w:val="样式 华文中宋 小四 加粗 Char Char"/>
    <w:qFormat/>
    <w:uiPriority w:val="0"/>
    <w:rPr>
      <w:rFonts w:ascii="华文中宋" w:hAnsi="华文中宋" w:eastAsia="华文中宋"/>
      <w:b/>
      <w:bCs/>
      <w:kern w:val="2"/>
      <w:sz w:val="24"/>
      <w:szCs w:val="24"/>
      <w:lang w:val="en-US" w:eastAsia="zh-CN"/>
    </w:rPr>
  </w:style>
  <w:style w:type="character" w:customStyle="1" w:styleId="380">
    <w:name w:val="Heading 5 Char"/>
    <w:qFormat/>
    <w:uiPriority w:val="0"/>
    <w:rPr>
      <w:b/>
      <w:bCs/>
      <w:kern w:val="2"/>
      <w:sz w:val="28"/>
      <w:szCs w:val="28"/>
    </w:rPr>
  </w:style>
  <w:style w:type="character" w:customStyle="1" w:styleId="381">
    <w:name w:val="样式1 Char Char"/>
    <w:qFormat/>
    <w:uiPriority w:val="0"/>
    <w:rPr>
      <w:rFonts w:eastAsia="宋体"/>
      <w:kern w:val="24"/>
      <w:sz w:val="24"/>
      <w:lang w:val="en-US" w:eastAsia="zh-CN" w:bidi="ar-SA"/>
    </w:rPr>
  </w:style>
  <w:style w:type="character" w:customStyle="1" w:styleId="382">
    <w:name w:val="纯文本 Char2"/>
    <w:qFormat/>
    <w:uiPriority w:val="0"/>
    <w:rPr>
      <w:rFonts w:ascii="宋体" w:hAnsi="Courier New" w:cs="Courier New"/>
      <w:kern w:val="2"/>
      <w:sz w:val="21"/>
      <w:szCs w:val="21"/>
    </w:rPr>
  </w:style>
  <w:style w:type="character" w:customStyle="1" w:styleId="383">
    <w:name w:val="样式 宋体 行距: 固定值 24 磅 Char Char"/>
    <w:qFormat/>
    <w:uiPriority w:val="0"/>
    <w:rPr>
      <w:rFonts w:ascii="宋体" w:cs="宋体"/>
      <w:kern w:val="2"/>
      <w:sz w:val="28"/>
    </w:rPr>
  </w:style>
  <w:style w:type="character" w:customStyle="1" w:styleId="384">
    <w:name w:val="Char Char11 Char Char Char"/>
    <w:qFormat/>
    <w:uiPriority w:val="0"/>
    <w:rPr>
      <w:rFonts w:eastAsia="宋体"/>
      <w:b/>
      <w:bCs/>
      <w:kern w:val="2"/>
      <w:sz w:val="24"/>
      <w:szCs w:val="24"/>
      <w:lang w:val="en-US" w:eastAsia="zh-CN" w:bidi="ar-SA"/>
    </w:rPr>
  </w:style>
  <w:style w:type="character" w:customStyle="1" w:styleId="385">
    <w:name w:val="样式 正文缩进 + 黑色 Char"/>
    <w:link w:val="386"/>
    <w:qFormat/>
    <w:uiPriority w:val="0"/>
    <w:rPr>
      <w:rFonts w:ascii="Calibri" w:hAnsi="Calibri"/>
      <w:color w:val="000000"/>
      <w:kern w:val="2"/>
      <w:sz w:val="28"/>
    </w:rPr>
  </w:style>
  <w:style w:type="paragraph" w:customStyle="1" w:styleId="386">
    <w:name w:val="样式 正文缩进 + 黑色"/>
    <w:basedOn w:val="368"/>
    <w:link w:val="385"/>
    <w:qFormat/>
    <w:uiPriority w:val="0"/>
    <w:pPr>
      <w:tabs>
        <w:tab w:val="left" w:pos="547"/>
        <w:tab w:val="left" w:pos="1080"/>
      </w:tabs>
      <w:spacing w:line="480" w:lineRule="exact"/>
      <w:ind w:firstLine="195" w:firstLineChars="195"/>
    </w:pPr>
    <w:rPr>
      <w:rFonts w:ascii="Calibri" w:hAnsi="Calibri"/>
      <w:color w:val="000000"/>
      <w:sz w:val="28"/>
    </w:rPr>
  </w:style>
  <w:style w:type="character" w:customStyle="1" w:styleId="387">
    <w:name w:val="标题 7 Char1"/>
    <w:qFormat/>
    <w:uiPriority w:val="0"/>
    <w:rPr>
      <w:b/>
      <w:bCs/>
      <w:color w:val="1F497D"/>
      <w:kern w:val="2"/>
      <w:sz w:val="24"/>
      <w:szCs w:val="24"/>
    </w:rPr>
  </w:style>
  <w:style w:type="character" w:customStyle="1" w:styleId="388">
    <w:name w:val="Style 樣式 標題 3 + (中文) MS Gothic 10.5 點 + (Latin) Times New Roman (A... Char"/>
    <w:link w:val="389"/>
    <w:qFormat/>
    <w:uiPriority w:val="0"/>
    <w:rPr>
      <w:rFonts w:hAnsi="PMingLiU" w:eastAsia="PMingLiU"/>
      <w:kern w:val="2"/>
      <w:sz w:val="24"/>
      <w:lang w:val="en-AU" w:eastAsia="zh-TW"/>
    </w:rPr>
  </w:style>
  <w:style w:type="paragraph" w:customStyle="1" w:styleId="389">
    <w:name w:val="Style 樣式 標題 3 + (中文) MS Gothic 10.5 點 + (Latin) Times New Roman (A..."/>
    <w:basedOn w:val="1"/>
    <w:link w:val="388"/>
    <w:qFormat/>
    <w:uiPriority w:val="0"/>
    <w:pPr>
      <w:keepNext/>
      <w:tabs>
        <w:tab w:val="left" w:pos="1200"/>
        <w:tab w:val="left" w:pos="1260"/>
        <w:tab w:val="left" w:pos="1770"/>
        <w:tab w:val="left" w:pos="1801"/>
      </w:tabs>
      <w:ind w:left="1801" w:hanging="360"/>
      <w:outlineLvl w:val="2"/>
    </w:pPr>
    <w:rPr>
      <w:rFonts w:hAnsi="PMingLiU" w:eastAsia="PMingLiU"/>
      <w:sz w:val="24"/>
      <w:szCs w:val="20"/>
      <w:lang w:val="en-AU" w:eastAsia="zh-TW"/>
    </w:rPr>
  </w:style>
  <w:style w:type="paragraph" w:customStyle="1" w:styleId="390">
    <w:name w:val="樣式 標題 3 + (中文) MS Gothic 10.5 點 Char Char Char Char Char Char"/>
    <w:basedOn w:val="5"/>
    <w:qFormat/>
    <w:uiPriority w:val="0"/>
    <w:pPr>
      <w:keepLines w:val="0"/>
      <w:widowControl w:val="0"/>
      <w:tabs>
        <w:tab w:val="left" w:pos="1200"/>
        <w:tab w:val="left" w:pos="1770"/>
        <w:tab w:val="clear" w:pos="720"/>
        <w:tab w:val="clear" w:pos="1260"/>
      </w:tabs>
      <w:spacing w:before="0" w:after="0" w:line="240" w:lineRule="auto"/>
      <w:ind w:left="0" w:firstLine="0"/>
      <w:jc w:val="both"/>
    </w:pPr>
    <w:rPr>
      <w:rFonts w:hAnsi="PMingLiU" w:eastAsia="MS Gothic"/>
      <w:snapToGrid w:val="0"/>
      <w:kern w:val="2"/>
      <w:sz w:val="24"/>
      <w:lang w:val="en-AU" w:eastAsia="zh-TW"/>
    </w:rPr>
  </w:style>
  <w:style w:type="character" w:customStyle="1" w:styleId="391">
    <w:name w:val="Para head"/>
    <w:qFormat/>
    <w:uiPriority w:val="0"/>
    <w:rPr>
      <w:rFonts w:ascii="Arial" w:hAnsi="Arial" w:eastAsia="Times New Roman"/>
      <w:sz w:val="20"/>
    </w:rPr>
  </w:style>
  <w:style w:type="character" w:customStyle="1" w:styleId="392">
    <w:name w:val="Char Char12"/>
    <w:qFormat/>
    <w:uiPriority w:val="0"/>
    <w:rPr>
      <w:rFonts w:ascii="@仿宋" w:hAnsi="@仿宋" w:eastAsia="华文行楷" w:cs="@仿宋"/>
      <w:bCs/>
      <w:sz w:val="24"/>
      <w:szCs w:val="24"/>
      <w:lang w:val="en-US" w:eastAsia="zh-CN" w:bidi="ar-SA"/>
    </w:rPr>
  </w:style>
  <w:style w:type="character" w:customStyle="1" w:styleId="393">
    <w:name w:val="五级标题格式 Char"/>
    <w:link w:val="394"/>
    <w:qFormat/>
    <w:uiPriority w:val="0"/>
    <w:rPr>
      <w:color w:val="31849B"/>
      <w:kern w:val="2"/>
      <w:sz w:val="24"/>
      <w:szCs w:val="28"/>
    </w:rPr>
  </w:style>
  <w:style w:type="paragraph" w:customStyle="1" w:styleId="394">
    <w:name w:val="五级标题格式"/>
    <w:basedOn w:val="7"/>
    <w:link w:val="393"/>
    <w:qFormat/>
    <w:uiPriority w:val="0"/>
    <w:pPr>
      <w:keepNext w:val="0"/>
      <w:keepLines w:val="0"/>
      <w:spacing w:before="0" w:afterLines="50" w:line="336" w:lineRule="auto"/>
      <w:ind w:firstLine="142"/>
      <w:jc w:val="left"/>
    </w:pPr>
    <w:rPr>
      <w:b w:val="0"/>
      <w:bCs w:val="0"/>
      <w:color w:val="31849B"/>
      <w:sz w:val="24"/>
    </w:rPr>
  </w:style>
  <w:style w:type="character" w:customStyle="1" w:styleId="395">
    <w:name w:val="不明显强调1"/>
    <w:qFormat/>
    <w:uiPriority w:val="0"/>
    <w:rPr>
      <w:i/>
      <w:iCs/>
      <w:color w:val="808080"/>
    </w:rPr>
  </w:style>
  <w:style w:type="character" w:customStyle="1" w:styleId="396">
    <w:name w:val="标题 3 Char Char Char Char Char Char Char Char Char Char Char Char Char Char Char Char Char Char Char Char Char Char Char Char Char Char Char Char Char Char Char Char Char Char Char Char Char Char Char Char Char Char Char Char Char Char Char Char Char Cha"/>
    <w:qFormat/>
    <w:uiPriority w:val="0"/>
    <w:rPr>
      <w:rFonts w:ascii="Tahoma" w:hAnsi="宋体" w:eastAsia="黑体"/>
      <w:kern w:val="2"/>
      <w:sz w:val="21"/>
      <w:lang w:val="en-US" w:eastAsia="zh-CN"/>
    </w:rPr>
  </w:style>
  <w:style w:type="character" w:customStyle="1" w:styleId="397">
    <w:name w:val="批注引用11"/>
    <w:qFormat/>
    <w:uiPriority w:val="0"/>
    <w:rPr>
      <w:rFonts w:cs="Times New Roman"/>
      <w:sz w:val="21"/>
      <w:szCs w:val="21"/>
    </w:rPr>
  </w:style>
  <w:style w:type="character" w:customStyle="1" w:styleId="398">
    <w:name w:val="high151"/>
    <w:qFormat/>
    <w:uiPriority w:val="0"/>
    <w:rPr>
      <w:sz w:val="18"/>
    </w:rPr>
  </w:style>
  <w:style w:type="character" w:customStyle="1" w:styleId="399">
    <w:name w:val="批注主题 Char2"/>
    <w:qFormat/>
    <w:uiPriority w:val="0"/>
    <w:rPr>
      <w:rFonts w:ascii="Times New Roman" w:hAnsi="Times New Roman" w:eastAsia="宋体" w:cs="Times New Roman"/>
      <w:b/>
      <w:bCs/>
      <w:kern w:val="2"/>
      <w:sz w:val="21"/>
      <w:szCs w:val="24"/>
    </w:rPr>
  </w:style>
  <w:style w:type="character" w:customStyle="1" w:styleId="400">
    <w:name w:val="(1) Char"/>
    <w:link w:val="401"/>
    <w:qFormat/>
    <w:uiPriority w:val="0"/>
    <w:rPr>
      <w:rFonts w:ascii="宋体" w:hAnsi="宋体"/>
      <w:sz w:val="24"/>
      <w:szCs w:val="24"/>
    </w:rPr>
  </w:style>
  <w:style w:type="paragraph" w:customStyle="1" w:styleId="401">
    <w:name w:val="(1)"/>
    <w:basedOn w:val="1"/>
    <w:next w:val="1"/>
    <w:link w:val="400"/>
    <w:qFormat/>
    <w:uiPriority w:val="0"/>
    <w:pPr>
      <w:numPr>
        <w:ilvl w:val="0"/>
        <w:numId w:val="12"/>
      </w:numPr>
      <w:tabs>
        <w:tab w:val="left" w:pos="425"/>
        <w:tab w:val="left" w:pos="2040"/>
      </w:tabs>
      <w:spacing w:line="360" w:lineRule="auto"/>
    </w:pPr>
    <w:rPr>
      <w:rFonts w:ascii="宋体" w:hAnsi="宋体"/>
      <w:kern w:val="0"/>
      <w:sz w:val="24"/>
    </w:rPr>
  </w:style>
  <w:style w:type="character" w:customStyle="1" w:styleId="402">
    <w:name w:val="f1"/>
    <w:qFormat/>
    <w:uiPriority w:val="0"/>
    <w:rPr>
      <w:color w:val="676767"/>
    </w:rPr>
  </w:style>
  <w:style w:type="character" w:customStyle="1" w:styleId="403">
    <w:name w:val="Char Char1"/>
    <w:qFormat/>
    <w:uiPriority w:val="0"/>
    <w:rPr>
      <w:rFonts w:hint="eastAsia" w:ascii="汉仪大宋简" w:hAnsi="宋体" w:eastAsia="汉仪大宋简"/>
      <w:kern w:val="28"/>
      <w:sz w:val="22"/>
      <w:lang w:val="en-US" w:eastAsia="zh-CN"/>
    </w:rPr>
  </w:style>
  <w:style w:type="character" w:customStyle="1" w:styleId="404">
    <w:name w:val="样式 样式 标题 3 + (中文) 黑体 Char + (中文) 宋体 小四 Char Char Char Char Char Char Char Char Char"/>
    <w:qFormat/>
    <w:uiPriority w:val="0"/>
    <w:rPr>
      <w:rFonts w:ascii="宋体" w:hAnsi="Courier New" w:eastAsia="宋体" w:cs="Courier New"/>
      <w:kern w:val="2"/>
      <w:sz w:val="24"/>
      <w:szCs w:val="21"/>
      <w:lang w:val="en-US" w:eastAsia="zh-CN" w:bidi="ar-SA"/>
    </w:rPr>
  </w:style>
  <w:style w:type="character" w:customStyle="1" w:styleId="405">
    <w:name w:val="批注框文本 Char1"/>
    <w:qFormat/>
    <w:uiPriority w:val="0"/>
    <w:rPr>
      <w:kern w:val="2"/>
      <w:sz w:val="18"/>
      <w:szCs w:val="18"/>
    </w:rPr>
  </w:style>
  <w:style w:type="character" w:customStyle="1" w:styleId="406">
    <w:name w:val="Char Char11 Char Char Char Char Char Char Char Char Char Char Char Char Char Char Char"/>
    <w:qFormat/>
    <w:uiPriority w:val="0"/>
    <w:rPr>
      <w:rFonts w:eastAsia="宋体"/>
      <w:b/>
      <w:bCs/>
      <w:kern w:val="2"/>
      <w:sz w:val="24"/>
      <w:szCs w:val="24"/>
      <w:lang w:val="en-US" w:eastAsia="zh-CN" w:bidi="ar-SA"/>
    </w:rPr>
  </w:style>
  <w:style w:type="character" w:customStyle="1" w:styleId="407">
    <w:name w:val="纯文本 Char"/>
    <w:link w:val="45"/>
    <w:qFormat/>
    <w:uiPriority w:val="0"/>
    <w:rPr>
      <w:rFonts w:ascii="宋体" w:hAnsi="Courier New" w:cs="Courier New"/>
      <w:kern w:val="2"/>
      <w:sz w:val="21"/>
      <w:szCs w:val="21"/>
    </w:rPr>
  </w:style>
  <w:style w:type="character" w:customStyle="1" w:styleId="408">
    <w:name w:val="日期 Char"/>
    <w:link w:val="50"/>
    <w:qFormat/>
    <w:uiPriority w:val="99"/>
    <w:rPr>
      <w:kern w:val="2"/>
      <w:sz w:val="21"/>
      <w:szCs w:val="24"/>
    </w:rPr>
  </w:style>
  <w:style w:type="character" w:customStyle="1" w:styleId="409">
    <w:name w:val="wang正文 Char"/>
    <w:link w:val="410"/>
    <w:qFormat/>
    <w:uiPriority w:val="0"/>
    <w:rPr>
      <w:sz w:val="21"/>
      <w:szCs w:val="24"/>
    </w:rPr>
  </w:style>
  <w:style w:type="paragraph" w:customStyle="1" w:styleId="410">
    <w:name w:val="wang正文"/>
    <w:basedOn w:val="1"/>
    <w:link w:val="409"/>
    <w:qFormat/>
    <w:uiPriority w:val="0"/>
    <w:pPr>
      <w:tabs>
        <w:tab w:val="left" w:pos="6840"/>
      </w:tabs>
      <w:topLinePunct/>
      <w:ind w:firstLine="420"/>
    </w:pPr>
    <w:rPr>
      <w:kern w:val="0"/>
    </w:rPr>
  </w:style>
  <w:style w:type="character" w:customStyle="1" w:styleId="411">
    <w:name w:val="eee"/>
    <w:qFormat/>
    <w:uiPriority w:val="0"/>
  </w:style>
  <w:style w:type="character" w:customStyle="1" w:styleId="412">
    <w:name w:val="Char Char10"/>
    <w:qFormat/>
    <w:uiPriority w:val="0"/>
    <w:rPr>
      <w:rFonts w:ascii="Arial" w:hAnsi="Arial" w:eastAsia="黑体"/>
      <w:sz w:val="28"/>
      <w:lang w:val="en-US" w:eastAsia="zh-CN" w:bidi="ar-SA"/>
    </w:rPr>
  </w:style>
  <w:style w:type="character" w:customStyle="1" w:styleId="413">
    <w:name w:val="(use for figures) Char2"/>
    <w:qFormat/>
    <w:uiPriority w:val="0"/>
    <w:rPr>
      <w:rFonts w:ascii="Arial" w:hAnsi="Arial" w:eastAsia="黑体" w:cs="Times New Roman"/>
      <w:kern w:val="24"/>
      <w:sz w:val="24"/>
      <w:szCs w:val="24"/>
    </w:rPr>
  </w:style>
  <w:style w:type="character" w:customStyle="1" w:styleId="414">
    <w:name w:val="Term下正文 Char"/>
    <w:link w:val="415"/>
    <w:qFormat/>
    <w:uiPriority w:val="0"/>
    <w:rPr>
      <w:rFonts w:ascii="宋体"/>
      <w:kern w:val="2"/>
      <w:sz w:val="24"/>
      <w:szCs w:val="24"/>
    </w:rPr>
  </w:style>
  <w:style w:type="paragraph" w:customStyle="1" w:styleId="415">
    <w:name w:val="Term下正文"/>
    <w:basedOn w:val="1"/>
    <w:link w:val="414"/>
    <w:qFormat/>
    <w:uiPriority w:val="0"/>
    <w:pPr>
      <w:keepNext/>
      <w:spacing w:line="500" w:lineRule="exact"/>
      <w:ind w:left="900" w:leftChars="375" w:firstLine="480" w:firstLineChars="200"/>
    </w:pPr>
    <w:rPr>
      <w:rFonts w:ascii="宋体"/>
      <w:sz w:val="24"/>
    </w:rPr>
  </w:style>
  <w:style w:type="character" w:customStyle="1" w:styleId="416">
    <w:name w:val="批注文字 Char Char"/>
    <w:qFormat/>
    <w:uiPriority w:val="0"/>
    <w:rPr>
      <w:rFonts w:ascii="宋体" w:hAnsi="Times New Roman" w:eastAsia="宋体" w:cs="Times New Roman"/>
      <w:sz w:val="28"/>
      <w:szCs w:val="20"/>
    </w:rPr>
  </w:style>
  <w:style w:type="character" w:customStyle="1" w:styleId="417">
    <w:name w:val="section1"/>
    <w:qFormat/>
    <w:uiPriority w:val="0"/>
  </w:style>
  <w:style w:type="character" w:customStyle="1" w:styleId="418">
    <w:name w:val="标题5 Char Char"/>
    <w:link w:val="419"/>
    <w:qFormat/>
    <w:uiPriority w:val="0"/>
    <w:rPr>
      <w:rFonts w:ascii="Arial" w:hAnsi="Arial"/>
      <w:b/>
      <w:bCs/>
      <w:sz w:val="24"/>
      <w:szCs w:val="32"/>
    </w:rPr>
  </w:style>
  <w:style w:type="paragraph" w:customStyle="1" w:styleId="419">
    <w:name w:val="标题5"/>
    <w:basedOn w:val="5"/>
    <w:link w:val="418"/>
    <w:qFormat/>
    <w:uiPriority w:val="0"/>
    <w:pPr>
      <w:widowControl w:val="0"/>
      <w:tabs>
        <w:tab w:val="clear" w:pos="720"/>
        <w:tab w:val="clear" w:pos="1260"/>
      </w:tabs>
      <w:spacing w:before="260" w:after="260" w:line="413" w:lineRule="auto"/>
      <w:ind w:left="0" w:firstLine="0"/>
      <w:jc w:val="both"/>
    </w:pPr>
    <w:rPr>
      <w:rFonts w:ascii="Arial" w:hAnsi="Arial"/>
      <w:b/>
      <w:bCs/>
      <w:sz w:val="24"/>
      <w:szCs w:val="32"/>
    </w:rPr>
  </w:style>
  <w:style w:type="character" w:customStyle="1" w:styleId="420">
    <w:name w:val="样式 楷体_GB2312 二号 加粗 Char"/>
    <w:qFormat/>
    <w:uiPriority w:val="0"/>
    <w:rPr>
      <w:rFonts w:ascii="KaiTi_GB2312" w:hAnsi="Arial" w:eastAsia="KaiTi_GB2312" w:cs="Arial"/>
      <w:b/>
      <w:kern w:val="2"/>
      <w:sz w:val="44"/>
      <w:szCs w:val="24"/>
      <w:lang w:val="en-US" w:eastAsia="zh-CN" w:bidi="ar-SA"/>
    </w:rPr>
  </w:style>
  <w:style w:type="character" w:customStyle="1" w:styleId="421">
    <w:name w:val="三级标题 Char"/>
    <w:qFormat/>
    <w:uiPriority w:val="0"/>
    <w:rPr>
      <w:rFonts w:hint="eastAsia" w:ascii="宋体" w:hAnsi="宋体" w:eastAsia="宋体"/>
      <w:b/>
      <w:bCs/>
      <w:sz w:val="24"/>
      <w:szCs w:val="24"/>
      <w:lang w:val="en-US" w:eastAsia="zh-CN" w:bidi="ar-SA"/>
    </w:rPr>
  </w:style>
  <w:style w:type="character" w:customStyle="1" w:styleId="422">
    <w:name w:val="签名 Char"/>
    <w:link w:val="58"/>
    <w:qFormat/>
    <w:uiPriority w:val="0"/>
    <w:rPr>
      <w:kern w:val="2"/>
      <w:sz w:val="21"/>
      <w:szCs w:val="24"/>
    </w:rPr>
  </w:style>
  <w:style w:type="character" w:customStyle="1" w:styleId="423">
    <w:name w:val="正文文本缩进 3 Char"/>
    <w:link w:val="70"/>
    <w:qFormat/>
    <w:uiPriority w:val="0"/>
    <w:rPr>
      <w:rFonts w:ascii="FangSong_GB2312" w:eastAsia="FangSong_GB2312"/>
      <w:kern w:val="2"/>
      <w:sz w:val="30"/>
      <w:szCs w:val="24"/>
    </w:rPr>
  </w:style>
  <w:style w:type="character" w:customStyle="1" w:styleId="424">
    <w:name w:val="Bgg Char"/>
    <w:link w:val="425"/>
    <w:semiHidden/>
    <w:qFormat/>
    <w:locked/>
    <w:uiPriority w:val="0"/>
    <w:rPr>
      <w:rFonts w:ascii="宋体" w:hAnsi="宋体"/>
      <w:color w:val="000000"/>
      <w:kern w:val="21"/>
      <w:sz w:val="18"/>
      <w:szCs w:val="18"/>
    </w:rPr>
  </w:style>
  <w:style w:type="paragraph" w:customStyle="1" w:styleId="425">
    <w:name w:val="Bgg"/>
    <w:basedOn w:val="1"/>
    <w:link w:val="424"/>
    <w:semiHidden/>
    <w:qFormat/>
    <w:uiPriority w:val="0"/>
    <w:pPr>
      <w:topLinePunct/>
      <w:snapToGrid w:val="0"/>
      <w:jc w:val="center"/>
    </w:pPr>
    <w:rPr>
      <w:rFonts w:ascii="宋体" w:hAnsi="宋体"/>
      <w:color w:val="000000"/>
      <w:kern w:val="21"/>
      <w:sz w:val="18"/>
      <w:szCs w:val="18"/>
    </w:rPr>
  </w:style>
  <w:style w:type="character" w:customStyle="1" w:styleId="426">
    <w:name w:val="项目符0 Char"/>
    <w:link w:val="427"/>
    <w:qFormat/>
    <w:uiPriority w:val="0"/>
    <w:rPr>
      <w:rFonts w:ascii="Arial" w:hAnsi="Arial"/>
      <w:kern w:val="2"/>
      <w:sz w:val="24"/>
      <w:szCs w:val="24"/>
    </w:rPr>
  </w:style>
  <w:style w:type="paragraph" w:customStyle="1" w:styleId="427">
    <w:name w:val="项目符0"/>
    <w:basedOn w:val="1"/>
    <w:link w:val="426"/>
    <w:qFormat/>
    <w:uiPriority w:val="0"/>
    <w:pPr>
      <w:spacing w:beforeLines="25" w:afterLines="25" w:line="300" w:lineRule="auto"/>
      <w:ind w:left="840" w:right="57" w:rightChars="27" w:hanging="315"/>
    </w:pPr>
    <w:rPr>
      <w:rFonts w:ascii="Arial" w:hAnsi="Arial"/>
      <w:sz w:val="24"/>
    </w:rPr>
  </w:style>
  <w:style w:type="character" w:customStyle="1" w:styleId="428">
    <w:name w:val="even Char Char"/>
    <w:qFormat/>
    <w:uiPriority w:val="0"/>
    <w:rPr>
      <w:rFonts w:cs="Times New Roman"/>
      <w:kern w:val="2"/>
      <w:sz w:val="18"/>
      <w:szCs w:val="18"/>
    </w:rPr>
  </w:style>
  <w:style w:type="character" w:customStyle="1" w:styleId="429">
    <w:name w:val="QN正文 Char Char"/>
    <w:link w:val="430"/>
    <w:qFormat/>
    <w:locked/>
    <w:uiPriority w:val="0"/>
    <w:rPr>
      <w:kern w:val="2"/>
      <w:sz w:val="24"/>
      <w:szCs w:val="24"/>
      <w:lang w:eastAsia="ar-SA"/>
    </w:rPr>
  </w:style>
  <w:style w:type="paragraph" w:customStyle="1" w:styleId="430">
    <w:name w:val="QN正文"/>
    <w:basedOn w:val="1"/>
    <w:link w:val="429"/>
    <w:qFormat/>
    <w:uiPriority w:val="0"/>
    <w:pPr>
      <w:suppressAutoHyphens/>
      <w:spacing w:line="300" w:lineRule="auto"/>
      <w:ind w:firstLine="454"/>
      <w:jc w:val="left"/>
    </w:pPr>
    <w:rPr>
      <w:sz w:val="24"/>
      <w:lang w:eastAsia="ar-SA"/>
    </w:rPr>
  </w:style>
  <w:style w:type="character" w:customStyle="1" w:styleId="431">
    <w:name w:val="列表框2 Char"/>
    <w:qFormat/>
    <w:uiPriority w:val="0"/>
    <w:rPr>
      <w:snapToGrid w:val="0"/>
      <w:color w:val="1F497D"/>
      <w:spacing w:val="10"/>
      <w:sz w:val="24"/>
      <w:szCs w:val="24"/>
    </w:rPr>
  </w:style>
  <w:style w:type="character" w:customStyle="1" w:styleId="432">
    <w:name w:val="ca-31"/>
    <w:qFormat/>
    <w:uiPriority w:val="0"/>
    <w:rPr>
      <w:rFonts w:hint="eastAsia" w:ascii="宋体" w:hAnsi="宋体" w:eastAsia="宋体"/>
      <w:color w:val="FF0000"/>
      <w:sz w:val="24"/>
      <w:szCs w:val="24"/>
    </w:rPr>
  </w:style>
  <w:style w:type="character" w:customStyle="1" w:styleId="433">
    <w:name w:val="签名 Char1"/>
    <w:qFormat/>
    <w:uiPriority w:val="0"/>
    <w:rPr>
      <w:kern w:val="2"/>
      <w:sz w:val="21"/>
      <w:szCs w:val="24"/>
    </w:rPr>
  </w:style>
  <w:style w:type="character" w:customStyle="1" w:styleId="434">
    <w:name w:val="正文 + 小四 Char"/>
    <w:qFormat/>
    <w:uiPriority w:val="0"/>
    <w:rPr>
      <w:rFonts w:eastAsia="宋体"/>
      <w:kern w:val="2"/>
      <w:sz w:val="24"/>
      <w:szCs w:val="24"/>
      <w:lang w:val="en-US" w:eastAsia="zh-CN"/>
    </w:rPr>
  </w:style>
  <w:style w:type="character" w:customStyle="1" w:styleId="435">
    <w:name w:val="样式 首行缩进:  2 字符 Char"/>
    <w:qFormat/>
    <w:uiPriority w:val="0"/>
    <w:rPr>
      <w:rFonts w:eastAsia="宋体" w:cs="宋体"/>
      <w:kern w:val="2"/>
      <w:sz w:val="24"/>
      <w:lang w:val="en-US" w:eastAsia="zh-CN"/>
    </w:rPr>
  </w:style>
  <w:style w:type="character" w:customStyle="1" w:styleId="436">
    <w:name w:val="(use for tables) Char2"/>
    <w:qFormat/>
    <w:uiPriority w:val="0"/>
    <w:rPr>
      <w:rFonts w:ascii="Arial" w:hAnsi="Arial" w:eastAsia="黑体" w:cs="Times New Roman"/>
      <w:kern w:val="24"/>
      <w:sz w:val="21"/>
      <w:szCs w:val="21"/>
    </w:rPr>
  </w:style>
  <w:style w:type="character" w:customStyle="1" w:styleId="437">
    <w:name w:val="font31"/>
    <w:qFormat/>
    <w:uiPriority w:val="0"/>
    <w:rPr>
      <w:rFonts w:hint="eastAsia" w:ascii="宋体" w:hAnsi="宋体" w:eastAsia="宋体"/>
      <w:color w:val="000000"/>
      <w:sz w:val="20"/>
      <w:szCs w:val="20"/>
      <w:u w:val="none"/>
    </w:rPr>
  </w:style>
  <w:style w:type="character" w:customStyle="1" w:styleId="438">
    <w:name w:val="正文1 Char Char"/>
    <w:link w:val="439"/>
    <w:qFormat/>
    <w:uiPriority w:val="0"/>
    <w:rPr>
      <w:rFonts w:ascii="宋体" w:hAnsi="宋体"/>
      <w:color w:val="000000"/>
      <w:kern w:val="2"/>
      <w:sz w:val="24"/>
      <w:szCs w:val="24"/>
    </w:rPr>
  </w:style>
  <w:style w:type="paragraph" w:customStyle="1" w:styleId="439">
    <w:name w:val="正文11"/>
    <w:basedOn w:val="1"/>
    <w:link w:val="438"/>
    <w:qFormat/>
    <w:uiPriority w:val="0"/>
    <w:pPr>
      <w:adjustRightInd w:val="0"/>
      <w:snapToGrid w:val="0"/>
      <w:spacing w:before="120" w:after="120" w:line="360" w:lineRule="auto"/>
      <w:ind w:left="900"/>
    </w:pPr>
    <w:rPr>
      <w:rFonts w:ascii="宋体" w:hAnsi="宋体"/>
      <w:color w:val="000000"/>
      <w:sz w:val="24"/>
    </w:rPr>
  </w:style>
  <w:style w:type="character" w:customStyle="1" w:styleId="440">
    <w:name w:val="表格文字图表文字 Char Char"/>
    <w:qFormat/>
    <w:uiPriority w:val="0"/>
    <w:rPr>
      <w:kern w:val="2"/>
      <w:sz w:val="21"/>
    </w:rPr>
  </w:style>
  <w:style w:type="character" w:customStyle="1" w:styleId="441">
    <w:name w:val="标题 8 Char1"/>
    <w:qFormat/>
    <w:uiPriority w:val="0"/>
    <w:rPr>
      <w:rFonts w:ascii="Arial" w:hAnsi="Arial" w:eastAsia="黑体"/>
      <w:color w:val="1F497D"/>
      <w:kern w:val="2"/>
      <w:sz w:val="24"/>
      <w:szCs w:val="24"/>
    </w:rPr>
  </w:style>
  <w:style w:type="character" w:customStyle="1" w:styleId="442">
    <w:name w:val="正文首行缩进:  2 字符 Char"/>
    <w:link w:val="161"/>
    <w:qFormat/>
    <w:uiPriority w:val="0"/>
    <w:rPr>
      <w:color w:val="7030A0"/>
      <w:kern w:val="2"/>
      <w:sz w:val="24"/>
      <w:szCs w:val="24"/>
    </w:rPr>
  </w:style>
  <w:style w:type="character" w:customStyle="1" w:styleId="443">
    <w:name w:val="Char Char Char1 Char Char"/>
    <w:link w:val="444"/>
    <w:qFormat/>
    <w:uiPriority w:val="0"/>
    <w:rPr>
      <w:rFonts w:ascii="Tahoma" w:hAnsi="Tahoma"/>
      <w:kern w:val="2"/>
      <w:sz w:val="24"/>
    </w:rPr>
  </w:style>
  <w:style w:type="paragraph" w:customStyle="1" w:styleId="444">
    <w:name w:val="Char Char Char1 Char1"/>
    <w:basedOn w:val="1"/>
    <w:link w:val="443"/>
    <w:qFormat/>
    <w:uiPriority w:val="0"/>
    <w:rPr>
      <w:rFonts w:ascii="Tahoma" w:hAnsi="Tahoma"/>
      <w:sz w:val="24"/>
      <w:szCs w:val="20"/>
    </w:rPr>
  </w:style>
  <w:style w:type="character" w:customStyle="1" w:styleId="445">
    <w:name w:val="h21"/>
    <w:qFormat/>
    <w:uiPriority w:val="0"/>
  </w:style>
  <w:style w:type="character" w:customStyle="1" w:styleId="446">
    <w:name w:val="head:1# Char2 Char Char"/>
    <w:qFormat/>
    <w:uiPriority w:val="0"/>
    <w:rPr>
      <w:rFonts w:ascii="Arial" w:hAnsi="Arial" w:eastAsia="PMingLiU"/>
      <w:b/>
      <w:kern w:val="28"/>
      <w:sz w:val="28"/>
      <w:lang w:val="en-US" w:eastAsia="zh-TW"/>
    </w:rPr>
  </w:style>
  <w:style w:type="character" w:customStyle="1" w:styleId="447">
    <w:name w:val="正文－zlb Char Char"/>
    <w:link w:val="448"/>
    <w:qFormat/>
    <w:uiPriority w:val="0"/>
    <w:rPr>
      <w:rFonts w:ascii="宋体"/>
      <w:kern w:val="2"/>
      <w:sz w:val="24"/>
      <w:szCs w:val="24"/>
    </w:rPr>
  </w:style>
  <w:style w:type="paragraph" w:customStyle="1" w:styleId="448">
    <w:name w:val="正文－zlb"/>
    <w:basedOn w:val="1"/>
    <w:link w:val="447"/>
    <w:qFormat/>
    <w:uiPriority w:val="0"/>
    <w:pPr>
      <w:adjustRightInd w:val="0"/>
      <w:snapToGrid w:val="0"/>
      <w:spacing w:line="360" w:lineRule="auto"/>
      <w:ind w:firstLine="420" w:firstLineChars="200"/>
      <w:jc w:val="left"/>
    </w:pPr>
    <w:rPr>
      <w:rFonts w:ascii="宋体"/>
      <w:sz w:val="24"/>
    </w:rPr>
  </w:style>
  <w:style w:type="character" w:customStyle="1" w:styleId="449">
    <w:name w:val="Char Char Char1 Char Char1"/>
    <w:link w:val="450"/>
    <w:qFormat/>
    <w:uiPriority w:val="0"/>
    <w:rPr>
      <w:rFonts w:ascii="Tahoma" w:hAnsi="Tahoma"/>
      <w:kern w:val="2"/>
      <w:sz w:val="24"/>
    </w:rPr>
  </w:style>
  <w:style w:type="paragraph" w:customStyle="1" w:styleId="450">
    <w:name w:val="Char Char Char1 Char"/>
    <w:basedOn w:val="1"/>
    <w:link w:val="449"/>
    <w:qFormat/>
    <w:uiPriority w:val="0"/>
    <w:rPr>
      <w:rFonts w:ascii="Tahoma" w:hAnsi="Tahoma"/>
      <w:sz w:val="24"/>
      <w:szCs w:val="20"/>
    </w:rPr>
  </w:style>
  <w:style w:type="character" w:customStyle="1" w:styleId="451">
    <w:name w:val="font161"/>
    <w:qFormat/>
    <w:uiPriority w:val="0"/>
    <w:rPr>
      <w:rFonts w:cs="Times New Roman"/>
      <w:b/>
      <w:bCs/>
      <w:sz w:val="32"/>
      <w:szCs w:val="32"/>
    </w:rPr>
  </w:style>
  <w:style w:type="character" w:customStyle="1" w:styleId="452">
    <w:name w:val="Char Char5"/>
    <w:qFormat/>
    <w:uiPriority w:val="0"/>
    <w:rPr>
      <w:kern w:val="2"/>
      <w:sz w:val="21"/>
    </w:rPr>
  </w:style>
  <w:style w:type="character" w:customStyle="1" w:styleId="453">
    <w:name w:val="标题 Char"/>
    <w:link w:val="84"/>
    <w:qFormat/>
    <w:uiPriority w:val="0"/>
    <w:rPr>
      <w:rFonts w:ascii="Cambria" w:hAnsi="Cambria"/>
      <w:b/>
      <w:bCs/>
      <w:kern w:val="2"/>
      <w:sz w:val="32"/>
      <w:szCs w:val="32"/>
    </w:rPr>
  </w:style>
  <w:style w:type="character" w:customStyle="1" w:styleId="454">
    <w:name w:val="样式 样式 Char1 + 首行缩进:  2 字符1 + 首行缩进:  2 字符 Char"/>
    <w:link w:val="455"/>
    <w:qFormat/>
    <w:uiPriority w:val="0"/>
    <w:rPr>
      <w:rFonts w:ascii="宋体"/>
      <w:kern w:val="2"/>
      <w:sz w:val="24"/>
    </w:rPr>
  </w:style>
  <w:style w:type="paragraph" w:customStyle="1" w:styleId="455">
    <w:name w:val="样式 样式 Char1 + 首行缩进:  2 字符1 + 首行缩进:  2 字符"/>
    <w:basedOn w:val="1"/>
    <w:link w:val="454"/>
    <w:qFormat/>
    <w:uiPriority w:val="0"/>
    <w:pPr>
      <w:keepNext/>
      <w:spacing w:line="312" w:lineRule="auto"/>
      <w:ind w:firstLine="480" w:firstLineChars="200"/>
    </w:pPr>
    <w:rPr>
      <w:rFonts w:ascii="宋体"/>
      <w:sz w:val="24"/>
      <w:szCs w:val="20"/>
    </w:rPr>
  </w:style>
  <w:style w:type="character" w:customStyle="1" w:styleId="456">
    <w:name w:val="不明显强调2"/>
    <w:qFormat/>
    <w:uiPriority w:val="0"/>
    <w:rPr>
      <w:i/>
      <w:iCs/>
      <w:color w:val="808080"/>
    </w:rPr>
  </w:style>
  <w:style w:type="character" w:customStyle="1" w:styleId="457">
    <w:name w:val="明显参考1"/>
    <w:qFormat/>
    <w:uiPriority w:val="0"/>
    <w:rPr>
      <w:b/>
      <w:bCs/>
      <w:smallCaps/>
      <w:color w:val="C0504D"/>
      <w:spacing w:val="5"/>
      <w:u w:val="single"/>
    </w:rPr>
  </w:style>
  <w:style w:type="character" w:customStyle="1" w:styleId="458">
    <w:name w:val="Char Char82"/>
    <w:qFormat/>
    <w:uiPriority w:val="0"/>
    <w:rPr>
      <w:rFonts w:hint="eastAsia" w:ascii="宋体" w:hAnsi="宋体" w:eastAsia="宋体"/>
      <w:kern w:val="2"/>
      <w:sz w:val="18"/>
      <w:szCs w:val="18"/>
      <w:lang w:val="en-US" w:eastAsia="zh-CN" w:bidi="ar-SA"/>
    </w:rPr>
  </w:style>
  <w:style w:type="character" w:customStyle="1" w:styleId="459">
    <w:name w:val="jl 正文 Char Char Char"/>
    <w:link w:val="460"/>
    <w:semiHidden/>
    <w:qFormat/>
    <w:locked/>
    <w:uiPriority w:val="0"/>
    <w:rPr>
      <w:rFonts w:ascii="宋体" w:hAnsi="宋体"/>
      <w:kern w:val="2"/>
      <w:sz w:val="24"/>
      <w:szCs w:val="24"/>
    </w:rPr>
  </w:style>
  <w:style w:type="paragraph" w:customStyle="1" w:styleId="460">
    <w:name w:val="jl 正文 Char Char"/>
    <w:basedOn w:val="1"/>
    <w:link w:val="459"/>
    <w:semiHidden/>
    <w:qFormat/>
    <w:uiPriority w:val="0"/>
    <w:pPr>
      <w:autoSpaceDE w:val="0"/>
      <w:autoSpaceDN w:val="0"/>
      <w:adjustRightInd w:val="0"/>
      <w:ind w:firstLine="200" w:firstLineChars="200"/>
      <w:jc w:val="left"/>
    </w:pPr>
    <w:rPr>
      <w:rFonts w:ascii="宋体" w:hAnsi="宋体"/>
      <w:sz w:val="24"/>
    </w:rPr>
  </w:style>
  <w:style w:type="character" w:customStyle="1" w:styleId="461">
    <w:name w:val="bold size20 gray1 fontsans"/>
    <w:qFormat/>
    <w:uiPriority w:val="0"/>
  </w:style>
  <w:style w:type="character" w:customStyle="1" w:styleId="462">
    <w:name w:val="正文编号 Char"/>
    <w:qFormat/>
    <w:uiPriority w:val="0"/>
    <w:rPr>
      <w:kern w:val="2"/>
      <w:sz w:val="21"/>
      <w:szCs w:val="24"/>
      <w:lang w:val="en-US" w:eastAsia="zh-CN"/>
    </w:rPr>
  </w:style>
  <w:style w:type="character" w:customStyle="1" w:styleId="463">
    <w:name w:val="符号 Char"/>
    <w:link w:val="464"/>
    <w:qFormat/>
    <w:uiPriority w:val="0"/>
    <w:rPr>
      <w:kern w:val="2"/>
      <w:sz w:val="24"/>
      <w:szCs w:val="24"/>
    </w:rPr>
  </w:style>
  <w:style w:type="paragraph" w:customStyle="1" w:styleId="464">
    <w:name w:val="符号"/>
    <w:basedOn w:val="1"/>
    <w:link w:val="463"/>
    <w:qFormat/>
    <w:uiPriority w:val="0"/>
    <w:pPr>
      <w:tabs>
        <w:tab w:val="left" w:pos="981"/>
      </w:tabs>
      <w:topLinePunct/>
      <w:spacing w:line="360" w:lineRule="auto"/>
      <w:ind w:left="981" w:hanging="420"/>
    </w:pPr>
    <w:rPr>
      <w:sz w:val="24"/>
    </w:rPr>
  </w:style>
  <w:style w:type="character" w:customStyle="1" w:styleId="465">
    <w:name w:val="新增内容"/>
    <w:qFormat/>
    <w:uiPriority w:val="0"/>
    <w:rPr>
      <w:color w:val="FF0000"/>
    </w:rPr>
  </w:style>
  <w:style w:type="character" w:customStyle="1" w:styleId="466">
    <w:name w:val="文档结构图 Char3"/>
    <w:semiHidden/>
    <w:qFormat/>
    <w:uiPriority w:val="99"/>
    <w:rPr>
      <w:rFonts w:ascii="宋体"/>
      <w:kern w:val="2"/>
      <w:sz w:val="18"/>
      <w:szCs w:val="18"/>
    </w:rPr>
  </w:style>
  <w:style w:type="character" w:customStyle="1" w:styleId="467">
    <w:name w:val="样式 宋体 小四 首行缩进:  0.93 厘米 段前: 11.15 磅 段后: 11.15 磅1 Char Char"/>
    <w:link w:val="468"/>
    <w:qFormat/>
    <w:uiPriority w:val="0"/>
    <w:rPr>
      <w:rFonts w:ascii="宋体"/>
      <w:kern w:val="2"/>
      <w:sz w:val="24"/>
    </w:rPr>
  </w:style>
  <w:style w:type="paragraph" w:customStyle="1" w:styleId="468">
    <w:name w:val="样式 宋体 小四 首行缩进:  0.93 厘米 段前: 11.15 磅 段后: 11.15 磅1"/>
    <w:basedOn w:val="1"/>
    <w:link w:val="467"/>
    <w:qFormat/>
    <w:uiPriority w:val="0"/>
    <w:pPr>
      <w:adjustRightInd w:val="0"/>
      <w:snapToGrid w:val="0"/>
      <w:spacing w:line="480" w:lineRule="exact"/>
      <w:ind w:left="200" w:leftChars="200" w:firstLine="200" w:firstLineChars="200"/>
      <w:jc w:val="left"/>
    </w:pPr>
    <w:rPr>
      <w:rFonts w:ascii="宋体"/>
      <w:sz w:val="24"/>
      <w:szCs w:val="20"/>
    </w:rPr>
  </w:style>
  <w:style w:type="character" w:customStyle="1" w:styleId="469">
    <w:name w:val="级别2 Char"/>
    <w:qFormat/>
    <w:uiPriority w:val="0"/>
    <w:rPr>
      <w:rFonts w:eastAsia="黑体"/>
      <w:color w:val="FF0000"/>
      <w:kern w:val="44"/>
      <w:sz w:val="24"/>
      <w:szCs w:val="24"/>
    </w:rPr>
  </w:style>
  <w:style w:type="character" w:customStyle="1" w:styleId="470">
    <w:name w:val="Body Text Indent 2 Char"/>
    <w:qFormat/>
    <w:uiPriority w:val="0"/>
    <w:rPr>
      <w:rFonts w:eastAsia="PMingLiU"/>
      <w:lang w:val="en-US" w:eastAsia="zh-TW"/>
    </w:rPr>
  </w:style>
  <w:style w:type="character" w:customStyle="1" w:styleId="471">
    <w:name w:val="普通文字 Char Char1"/>
    <w:qFormat/>
    <w:uiPriority w:val="0"/>
    <w:rPr>
      <w:rFonts w:ascii="宋体" w:hAnsi="Courier New"/>
      <w:kern w:val="2"/>
      <w:sz w:val="21"/>
    </w:rPr>
  </w:style>
  <w:style w:type="character" w:customStyle="1" w:styleId="472">
    <w:name w:val="文档结构图 Char"/>
    <w:link w:val="26"/>
    <w:qFormat/>
    <w:uiPriority w:val="0"/>
    <w:rPr>
      <w:rFonts w:ascii="宋体"/>
      <w:kern w:val="2"/>
      <w:sz w:val="18"/>
      <w:szCs w:val="18"/>
    </w:rPr>
  </w:style>
  <w:style w:type="character" w:customStyle="1" w:styleId="473">
    <w:name w:val="标题 1 Char"/>
    <w:link w:val="3"/>
    <w:qFormat/>
    <w:uiPriority w:val="0"/>
    <w:rPr>
      <w:b/>
      <w:bCs/>
      <w:kern w:val="44"/>
      <w:sz w:val="44"/>
      <w:szCs w:val="44"/>
    </w:rPr>
  </w:style>
  <w:style w:type="character" w:customStyle="1" w:styleId="474">
    <w:name w:val="Char Char2"/>
    <w:qFormat/>
    <w:uiPriority w:val="0"/>
    <w:rPr>
      <w:rFonts w:eastAsia="宋体"/>
      <w:b/>
      <w:bCs/>
      <w:kern w:val="2"/>
      <w:sz w:val="32"/>
      <w:szCs w:val="32"/>
      <w:lang w:val="en-US" w:eastAsia="zh-CN" w:bidi="ar-SA"/>
    </w:rPr>
  </w:style>
  <w:style w:type="character" w:customStyle="1" w:styleId="475">
    <w:name w:val="unnamed11"/>
    <w:qFormat/>
    <w:uiPriority w:val="0"/>
    <w:rPr>
      <w:sz w:val="18"/>
      <w:szCs w:val="18"/>
    </w:rPr>
  </w:style>
  <w:style w:type="character" w:customStyle="1" w:styleId="476">
    <w:name w:val="jl 正文 Char"/>
    <w:link w:val="477"/>
    <w:semiHidden/>
    <w:qFormat/>
    <w:locked/>
    <w:uiPriority w:val="0"/>
    <w:rPr>
      <w:rFonts w:ascii="宋体" w:hAnsi="宋体"/>
      <w:sz w:val="24"/>
      <w:szCs w:val="24"/>
    </w:rPr>
  </w:style>
  <w:style w:type="paragraph" w:customStyle="1" w:styleId="477">
    <w:name w:val="jl 正文"/>
    <w:basedOn w:val="1"/>
    <w:link w:val="476"/>
    <w:semiHidden/>
    <w:qFormat/>
    <w:uiPriority w:val="0"/>
    <w:pPr>
      <w:autoSpaceDE w:val="0"/>
      <w:autoSpaceDN w:val="0"/>
      <w:adjustRightInd w:val="0"/>
      <w:ind w:firstLine="200" w:firstLineChars="200"/>
      <w:jc w:val="left"/>
    </w:pPr>
    <w:rPr>
      <w:rFonts w:ascii="宋体" w:hAnsi="宋体"/>
      <w:kern w:val="0"/>
      <w:sz w:val="24"/>
    </w:rPr>
  </w:style>
  <w:style w:type="character" w:customStyle="1" w:styleId="478">
    <w:name w:val="正文首行缩进 Char1"/>
    <w:qFormat/>
    <w:uiPriority w:val="0"/>
    <w:rPr>
      <w:rFonts w:ascii="Times New Roman" w:hAnsi="Times New Roman" w:eastAsia="宋体" w:cs="Times New Roman"/>
      <w:sz w:val="24"/>
      <w:szCs w:val="24"/>
    </w:rPr>
  </w:style>
  <w:style w:type="character" w:customStyle="1" w:styleId="479">
    <w:name w:val="样式 样式 Times New Roman1 + 宋体 Char"/>
    <w:qFormat/>
    <w:uiPriority w:val="0"/>
    <w:rPr>
      <w:rFonts w:ascii="宋体" w:hAnsi="宋体" w:cs="宋体"/>
      <w:kern w:val="2"/>
      <w:sz w:val="21"/>
      <w:lang w:val="en-US" w:eastAsia="zh-CN"/>
    </w:rPr>
  </w:style>
  <w:style w:type="character" w:customStyle="1" w:styleId="480">
    <w:name w:val="7 Char"/>
    <w:link w:val="481"/>
    <w:qFormat/>
    <w:uiPriority w:val="0"/>
    <w:rPr>
      <w:kern w:val="2"/>
      <w:sz w:val="28"/>
      <w:szCs w:val="28"/>
    </w:rPr>
  </w:style>
  <w:style w:type="paragraph" w:customStyle="1" w:styleId="481">
    <w:name w:val="7"/>
    <w:basedOn w:val="1"/>
    <w:next w:val="34"/>
    <w:link w:val="480"/>
    <w:qFormat/>
    <w:uiPriority w:val="0"/>
    <w:rPr>
      <w:sz w:val="28"/>
      <w:szCs w:val="28"/>
    </w:rPr>
  </w:style>
  <w:style w:type="character" w:customStyle="1" w:styleId="482">
    <w:name w:val="Char Char212"/>
    <w:qFormat/>
    <w:uiPriority w:val="0"/>
    <w:rPr>
      <w:rFonts w:eastAsia="宋体"/>
      <w:b/>
      <w:bCs/>
      <w:kern w:val="2"/>
      <w:sz w:val="32"/>
      <w:szCs w:val="32"/>
      <w:lang w:val="en-US" w:eastAsia="zh-CN" w:bidi="ar-SA"/>
    </w:rPr>
  </w:style>
  <w:style w:type="character" w:customStyle="1" w:styleId="483">
    <w:name w:val="批注框文本 Char"/>
    <w:link w:val="54"/>
    <w:qFormat/>
    <w:uiPriority w:val="0"/>
    <w:rPr>
      <w:kern w:val="2"/>
      <w:sz w:val="18"/>
      <w:szCs w:val="18"/>
    </w:rPr>
  </w:style>
  <w:style w:type="character" w:customStyle="1" w:styleId="484">
    <w:name w:val="p0 Char"/>
    <w:link w:val="485"/>
    <w:qFormat/>
    <w:locked/>
    <w:uiPriority w:val="0"/>
    <w:rPr>
      <w:sz w:val="21"/>
      <w:szCs w:val="21"/>
    </w:rPr>
  </w:style>
  <w:style w:type="paragraph" w:customStyle="1" w:styleId="485">
    <w:name w:val="p0"/>
    <w:basedOn w:val="1"/>
    <w:link w:val="484"/>
    <w:qFormat/>
    <w:uiPriority w:val="0"/>
    <w:pPr>
      <w:widowControl/>
    </w:pPr>
    <w:rPr>
      <w:kern w:val="0"/>
      <w:szCs w:val="21"/>
    </w:rPr>
  </w:style>
  <w:style w:type="character" w:customStyle="1" w:styleId="486">
    <w:name w:val="Main"/>
    <w:qFormat/>
    <w:uiPriority w:val="0"/>
    <w:rPr>
      <w:rFonts w:ascii="Univers" w:hAnsi="Univers"/>
      <w:sz w:val="24"/>
      <w:lang w:val="en-US"/>
    </w:rPr>
  </w:style>
  <w:style w:type="character" w:customStyle="1" w:styleId="487">
    <w:name w:val="Char Char4"/>
    <w:qFormat/>
    <w:uiPriority w:val="0"/>
    <w:rPr>
      <w:rFonts w:eastAsia="宋体"/>
      <w:kern w:val="2"/>
      <w:sz w:val="21"/>
      <w:szCs w:val="24"/>
      <w:lang w:val="en-US" w:eastAsia="zh-CN" w:bidi="ar-SA"/>
    </w:rPr>
  </w:style>
  <w:style w:type="character" w:customStyle="1" w:styleId="488">
    <w:name w:val="正文文本 Char1"/>
    <w:qFormat/>
    <w:uiPriority w:val="0"/>
    <w:rPr>
      <w:kern w:val="2"/>
      <w:sz w:val="21"/>
      <w:szCs w:val="24"/>
    </w:rPr>
  </w:style>
  <w:style w:type="character" w:customStyle="1" w:styleId="489">
    <w:name w:val="unnamed1"/>
    <w:qFormat/>
    <w:uiPriority w:val="0"/>
  </w:style>
  <w:style w:type="character" w:customStyle="1" w:styleId="490">
    <w:name w:val="标题 3 Char"/>
    <w:link w:val="5"/>
    <w:qFormat/>
    <w:uiPriority w:val="0"/>
    <w:rPr>
      <w:sz w:val="32"/>
    </w:rPr>
  </w:style>
  <w:style w:type="character" w:customStyle="1" w:styleId="491">
    <w:name w:val="卷名 Char"/>
    <w:link w:val="492"/>
    <w:qFormat/>
    <w:uiPriority w:val="0"/>
    <w:rPr>
      <w:rFonts w:ascii="宋体" w:hAnsi="宋体"/>
      <w:b/>
      <w:bCs/>
      <w:kern w:val="44"/>
      <w:sz w:val="72"/>
      <w:szCs w:val="72"/>
    </w:rPr>
  </w:style>
  <w:style w:type="paragraph" w:customStyle="1" w:styleId="492">
    <w:name w:val="卷名"/>
    <w:basedOn w:val="3"/>
    <w:link w:val="491"/>
    <w:qFormat/>
    <w:uiPriority w:val="0"/>
    <w:pPr>
      <w:spacing w:before="0" w:after="0" w:line="240" w:lineRule="auto"/>
      <w:jc w:val="center"/>
    </w:pPr>
    <w:rPr>
      <w:rFonts w:ascii="宋体" w:hAnsi="宋体"/>
      <w:sz w:val="72"/>
      <w:szCs w:val="72"/>
    </w:rPr>
  </w:style>
  <w:style w:type="character" w:customStyle="1" w:styleId="493">
    <w:name w:val="文档结构图 Char1"/>
    <w:qFormat/>
    <w:uiPriority w:val="0"/>
    <w:rPr>
      <w:rFonts w:ascii="宋体"/>
      <w:kern w:val="2"/>
      <w:sz w:val="18"/>
      <w:szCs w:val="18"/>
    </w:rPr>
  </w:style>
  <w:style w:type="character" w:customStyle="1" w:styleId="494">
    <w:name w:val="Char Char91"/>
    <w:qFormat/>
    <w:uiPriority w:val="0"/>
    <w:rPr>
      <w:rFonts w:ascii="宋体" w:hAnsi="宋体" w:eastAsia="宋体" w:cs="Times New Roman"/>
      <w:b/>
      <w:bCs/>
      <w:kern w:val="2"/>
      <w:sz w:val="24"/>
      <w:szCs w:val="24"/>
      <w:lang w:val="en-US" w:eastAsia="zh-CN"/>
    </w:rPr>
  </w:style>
  <w:style w:type="character" w:customStyle="1" w:styleId="495">
    <w:name w:val="标题 3 + 四 段前: 0 磅 段后: 0 磅 行距: 1.5 倍行距 Char"/>
    <w:link w:val="496"/>
    <w:semiHidden/>
    <w:qFormat/>
    <w:locked/>
    <w:uiPriority w:val="0"/>
    <w:rPr>
      <w:rFonts w:ascii="宋体" w:hAnsi="宋体"/>
      <w:b/>
      <w:bCs/>
      <w:kern w:val="2"/>
      <w:sz w:val="28"/>
      <w:szCs w:val="28"/>
    </w:rPr>
  </w:style>
  <w:style w:type="paragraph" w:customStyle="1" w:styleId="496">
    <w:name w:val="标题 3 + 四 段前: 0 磅 段后: 0 磅 行距: 1.5 倍行距"/>
    <w:basedOn w:val="5"/>
    <w:next w:val="5"/>
    <w:link w:val="495"/>
    <w:semiHidden/>
    <w:qFormat/>
    <w:uiPriority w:val="0"/>
    <w:pPr>
      <w:widowControl w:val="0"/>
      <w:tabs>
        <w:tab w:val="clear" w:pos="720"/>
        <w:tab w:val="clear" w:pos="1260"/>
      </w:tabs>
      <w:spacing w:before="0" w:after="0"/>
      <w:ind w:left="0" w:firstLine="0"/>
      <w:jc w:val="both"/>
    </w:pPr>
    <w:rPr>
      <w:rFonts w:ascii="宋体" w:hAnsi="宋体"/>
      <w:b/>
      <w:bCs/>
      <w:kern w:val="2"/>
      <w:sz w:val="28"/>
      <w:szCs w:val="28"/>
    </w:rPr>
  </w:style>
  <w:style w:type="character" w:customStyle="1" w:styleId="497">
    <w:name w:val="unnamed51"/>
    <w:semiHidden/>
    <w:qFormat/>
    <w:uiPriority w:val="0"/>
    <w:rPr>
      <w:spacing w:val="0"/>
      <w:sz w:val="20"/>
      <w:szCs w:val="20"/>
    </w:rPr>
  </w:style>
  <w:style w:type="character" w:customStyle="1" w:styleId="498">
    <w:name w:val="b Char"/>
    <w:link w:val="499"/>
    <w:semiHidden/>
    <w:qFormat/>
    <w:locked/>
    <w:uiPriority w:val="0"/>
    <w:rPr>
      <w:rFonts w:ascii="Arial" w:hAnsi="Arial" w:eastAsia="黑体"/>
      <w:kern w:val="2"/>
      <w:sz w:val="21"/>
      <w:szCs w:val="21"/>
    </w:rPr>
  </w:style>
  <w:style w:type="paragraph" w:customStyle="1" w:styleId="499">
    <w:name w:val="b"/>
    <w:basedOn w:val="264"/>
    <w:link w:val="498"/>
    <w:semiHidden/>
    <w:qFormat/>
    <w:uiPriority w:val="0"/>
    <w:pPr>
      <w:tabs>
        <w:tab w:val="center" w:pos="4706"/>
        <w:tab w:val="right" w:pos="9044"/>
      </w:tabs>
      <w:topLinePunct/>
    </w:pPr>
    <w:rPr>
      <w:rFonts w:ascii="Arial" w:hAnsi="Arial"/>
    </w:rPr>
  </w:style>
  <w:style w:type="character" w:customStyle="1" w:styleId="500">
    <w:name w:val="sub-dash Char2"/>
    <w:qFormat/>
    <w:uiPriority w:val="0"/>
    <w:rPr>
      <w:rFonts w:eastAsia="宋体"/>
      <w:bCs/>
      <w:kern w:val="2"/>
      <w:sz w:val="24"/>
      <w:szCs w:val="24"/>
      <w:lang w:val="en-US" w:eastAsia="zh-CN"/>
    </w:rPr>
  </w:style>
  <w:style w:type="character" w:customStyle="1" w:styleId="501">
    <w:name w:val="Char Char21"/>
    <w:qFormat/>
    <w:uiPriority w:val="0"/>
    <w:rPr>
      <w:rFonts w:eastAsia="宋体" w:cs="Times New Roman"/>
      <w:bCs/>
      <w:kern w:val="2"/>
      <w:sz w:val="24"/>
      <w:szCs w:val="24"/>
      <w:lang w:val="en-US" w:eastAsia="zh-CN"/>
    </w:rPr>
  </w:style>
  <w:style w:type="character" w:customStyle="1" w:styleId="502">
    <w:name w:val="zbggmain style9"/>
    <w:qFormat/>
    <w:uiPriority w:val="0"/>
  </w:style>
  <w:style w:type="character" w:customStyle="1" w:styleId="503">
    <w:name w:val="Char Char171"/>
    <w:qFormat/>
    <w:uiPriority w:val="0"/>
    <w:rPr>
      <w:rFonts w:ascii="Arial" w:hAnsi="Arial" w:eastAsia="Verdana" w:cs="@仿宋"/>
      <w:b/>
      <w:bCs/>
      <w:kern w:val="2"/>
      <w:sz w:val="32"/>
      <w:szCs w:val="32"/>
      <w:lang w:val="en-US" w:eastAsia="zh-CN" w:bidi="ar-SA"/>
    </w:rPr>
  </w:style>
  <w:style w:type="character" w:customStyle="1" w:styleId="504">
    <w:name w:val="样式 样式 首行缩进:  2 字符 段前: 4.65 磅 + 首行缩进:  2 字符 Char"/>
    <w:link w:val="505"/>
    <w:qFormat/>
    <w:uiPriority w:val="0"/>
    <w:rPr>
      <w:kern w:val="2"/>
      <w:sz w:val="24"/>
    </w:rPr>
  </w:style>
  <w:style w:type="paragraph" w:customStyle="1" w:styleId="505">
    <w:name w:val="样式 样式 首行缩进:  2 字符 段前: 4.65 磅 + 首行缩进:  2 字符"/>
    <w:basedOn w:val="1"/>
    <w:link w:val="504"/>
    <w:qFormat/>
    <w:uiPriority w:val="0"/>
    <w:pPr>
      <w:topLinePunct/>
      <w:spacing w:before="93" w:line="360" w:lineRule="auto"/>
      <w:ind w:firstLine="480" w:firstLineChars="200"/>
    </w:pPr>
    <w:rPr>
      <w:sz w:val="24"/>
      <w:szCs w:val="20"/>
    </w:rPr>
  </w:style>
  <w:style w:type="character" w:customStyle="1" w:styleId="506">
    <w:name w:val="TermA Char"/>
    <w:link w:val="507"/>
    <w:qFormat/>
    <w:uiPriority w:val="0"/>
    <w:rPr>
      <w:rFonts w:ascii="宋体" w:hAnsi="宋体"/>
      <w:sz w:val="24"/>
      <w:szCs w:val="24"/>
    </w:rPr>
  </w:style>
  <w:style w:type="paragraph" w:customStyle="1" w:styleId="507">
    <w:name w:val="TermA"/>
    <w:basedOn w:val="1"/>
    <w:link w:val="506"/>
    <w:qFormat/>
    <w:uiPriority w:val="0"/>
    <w:pPr>
      <w:keepNext/>
      <w:widowControl/>
      <w:tabs>
        <w:tab w:val="left" w:pos="540"/>
      </w:tabs>
      <w:spacing w:line="300" w:lineRule="auto"/>
      <w:ind w:left="540" w:hanging="540"/>
      <w:jc w:val="left"/>
    </w:pPr>
    <w:rPr>
      <w:rFonts w:ascii="宋体" w:hAnsi="宋体"/>
      <w:kern w:val="0"/>
      <w:sz w:val="24"/>
    </w:rPr>
  </w:style>
  <w:style w:type="paragraph" w:customStyle="1" w:styleId="508">
    <w:name w:val="B条目编号"/>
    <w:basedOn w:val="1"/>
    <w:link w:val="540"/>
    <w:qFormat/>
    <w:uiPriority w:val="0"/>
    <w:pPr>
      <w:keepNext/>
      <w:widowControl/>
      <w:tabs>
        <w:tab w:val="left" w:pos="540"/>
      </w:tabs>
      <w:spacing w:line="300" w:lineRule="auto"/>
      <w:ind w:left="540" w:hanging="540"/>
      <w:jc w:val="left"/>
    </w:pPr>
    <w:rPr>
      <w:rFonts w:ascii="宋体" w:hAnsi="宋体"/>
      <w:kern w:val="0"/>
      <w:sz w:val="24"/>
      <w:szCs w:val="21"/>
    </w:rPr>
  </w:style>
  <w:style w:type="character" w:customStyle="1" w:styleId="509">
    <w:name w:val="正文首行缩进 2 Char1"/>
    <w:qFormat/>
    <w:uiPriority w:val="0"/>
    <w:rPr>
      <w:rFonts w:ascii="宋体" w:hAnsi="宋体"/>
      <w:kern w:val="2"/>
      <w:sz w:val="21"/>
      <w:szCs w:val="24"/>
    </w:rPr>
  </w:style>
  <w:style w:type="character" w:customStyle="1" w:styleId="510">
    <w:name w:val="无编号正文 Char"/>
    <w:link w:val="511"/>
    <w:qFormat/>
    <w:uiPriority w:val="0"/>
    <w:rPr>
      <w:rFonts w:ascii="宋体" w:hAnsi="宋体"/>
      <w:sz w:val="24"/>
      <w:szCs w:val="24"/>
    </w:rPr>
  </w:style>
  <w:style w:type="paragraph" w:customStyle="1" w:styleId="511">
    <w:name w:val="无编号正文"/>
    <w:basedOn w:val="34"/>
    <w:next w:val="1"/>
    <w:link w:val="510"/>
    <w:qFormat/>
    <w:uiPriority w:val="0"/>
    <w:pPr>
      <w:adjustRightInd/>
      <w:spacing w:after="0" w:line="360" w:lineRule="auto"/>
      <w:ind w:left="200" w:leftChars="200" w:right="0" w:rightChars="0" w:firstLine="200" w:firstLineChars="200"/>
      <w:jc w:val="both"/>
      <w:textAlignment w:val="auto"/>
    </w:pPr>
    <w:rPr>
      <w:rFonts w:ascii="宋体" w:hAnsi="宋体"/>
      <w:sz w:val="24"/>
      <w:szCs w:val="24"/>
    </w:rPr>
  </w:style>
  <w:style w:type="character" w:customStyle="1" w:styleId="512">
    <w:name w:val="2 headline Char Char"/>
    <w:qFormat/>
    <w:uiPriority w:val="0"/>
    <w:rPr>
      <w:rFonts w:eastAsia="黑体"/>
      <w:bCs/>
      <w:kern w:val="2"/>
      <w:sz w:val="28"/>
      <w:szCs w:val="28"/>
      <w:lang w:val="en-US" w:eastAsia="zh-CN" w:bidi="ar-SA"/>
    </w:rPr>
  </w:style>
  <w:style w:type="character" w:customStyle="1" w:styleId="513">
    <w:name w:val="批注主题 Char"/>
    <w:link w:val="85"/>
    <w:qFormat/>
    <w:uiPriority w:val="0"/>
    <w:rPr>
      <w:b/>
      <w:bCs/>
      <w:kern w:val="2"/>
      <w:sz w:val="21"/>
      <w:szCs w:val="24"/>
    </w:rPr>
  </w:style>
  <w:style w:type="character" w:customStyle="1" w:styleId="514">
    <w:name w:val="Char Char52"/>
    <w:qFormat/>
    <w:uiPriority w:val="0"/>
    <w:rPr>
      <w:rFonts w:hint="eastAsia" w:ascii="宋体" w:hAnsi="宋体" w:eastAsia="宋体"/>
      <w:kern w:val="2"/>
      <w:sz w:val="18"/>
      <w:szCs w:val="18"/>
      <w:lang w:val="en-US" w:eastAsia="zh-CN" w:bidi="ar-SA"/>
    </w:rPr>
  </w:style>
  <w:style w:type="character" w:customStyle="1" w:styleId="515">
    <w:name w:val="正文文本缩进 2 Char"/>
    <w:link w:val="51"/>
    <w:qFormat/>
    <w:uiPriority w:val="0"/>
    <w:rPr>
      <w:rFonts w:ascii="宋体" w:hAnsi="MS Sans Serif"/>
      <w:b/>
      <w:spacing w:val="12"/>
      <w:sz w:val="24"/>
    </w:rPr>
  </w:style>
  <w:style w:type="character" w:customStyle="1" w:styleId="516">
    <w:name w:val="标题 8 Char"/>
    <w:link w:val="10"/>
    <w:qFormat/>
    <w:uiPriority w:val="0"/>
    <w:rPr>
      <w:rFonts w:ascii="Arial" w:hAnsi="Arial" w:eastAsia="黑体"/>
      <w:b/>
      <w:sz w:val="24"/>
      <w:szCs w:val="24"/>
    </w:rPr>
  </w:style>
  <w:style w:type="character" w:customStyle="1" w:styleId="517">
    <w:name w:val="标题2 Char"/>
    <w:link w:val="518"/>
    <w:qFormat/>
    <w:uiPriority w:val="0"/>
    <w:rPr>
      <w:rFonts w:ascii="Cambria" w:hAnsi="Cambria"/>
      <w:b/>
      <w:bCs/>
      <w:kern w:val="2"/>
      <w:sz w:val="30"/>
      <w:szCs w:val="24"/>
    </w:rPr>
  </w:style>
  <w:style w:type="paragraph" w:customStyle="1" w:styleId="518">
    <w:name w:val="标题2"/>
    <w:basedOn w:val="84"/>
    <w:link w:val="517"/>
    <w:qFormat/>
    <w:uiPriority w:val="0"/>
    <w:pPr>
      <w:spacing w:after="240"/>
      <w:jc w:val="left"/>
    </w:pPr>
    <w:rPr>
      <w:sz w:val="30"/>
      <w:szCs w:val="24"/>
    </w:rPr>
  </w:style>
  <w:style w:type="character" w:customStyle="1" w:styleId="519">
    <w:name w:val="Char Char19"/>
    <w:qFormat/>
    <w:uiPriority w:val="0"/>
    <w:rPr>
      <w:rFonts w:eastAsia="宋体" w:cs="Times New Roman"/>
      <w:b/>
      <w:sz w:val="28"/>
      <w:lang w:val="en-US" w:eastAsia="zh-CN"/>
    </w:rPr>
  </w:style>
  <w:style w:type="character" w:customStyle="1" w:styleId="520">
    <w:name w:val="正文（首行缩进两字） Char"/>
    <w:qFormat/>
    <w:uiPriority w:val="0"/>
    <w:rPr>
      <w:rFonts w:eastAsia="宋体"/>
      <w:sz w:val="32"/>
      <w:lang w:val="en-US" w:eastAsia="zh-CN" w:bidi="ar-SA"/>
    </w:rPr>
  </w:style>
  <w:style w:type="character" w:customStyle="1" w:styleId="521">
    <w:name w:val="顺序编号-zlb Char"/>
    <w:qFormat/>
    <w:uiPriority w:val="0"/>
    <w:rPr>
      <w:rFonts w:eastAsia="黑体"/>
      <w:b/>
      <w:color w:val="FF0000"/>
      <w:sz w:val="24"/>
      <w:szCs w:val="24"/>
    </w:rPr>
  </w:style>
  <w:style w:type="character" w:customStyle="1" w:styleId="522">
    <w:name w:val="标题 1 1 Char Char"/>
    <w:qFormat/>
    <w:uiPriority w:val="0"/>
    <w:rPr>
      <w:rFonts w:ascii="宋体" w:hAnsi="Arial" w:eastAsia="宋体"/>
      <w:b/>
      <w:color w:val="000000"/>
      <w:kern w:val="44"/>
      <w:sz w:val="44"/>
      <w:szCs w:val="18"/>
      <w:lang w:val="en-US" w:eastAsia="zh-CN"/>
    </w:rPr>
  </w:style>
  <w:style w:type="character" w:customStyle="1" w:styleId="523">
    <w:name w:val="明显引用 Char"/>
    <w:link w:val="524"/>
    <w:qFormat/>
    <w:uiPriority w:val="0"/>
    <w:rPr>
      <w:b/>
      <w:bCs/>
      <w:i/>
      <w:iCs/>
      <w:color w:val="4F81BD"/>
      <w:kern w:val="2"/>
      <w:sz w:val="21"/>
      <w:szCs w:val="22"/>
    </w:rPr>
  </w:style>
  <w:style w:type="paragraph" w:styleId="524">
    <w:name w:val="Intense Quote"/>
    <w:basedOn w:val="1"/>
    <w:next w:val="1"/>
    <w:link w:val="523"/>
    <w:qFormat/>
    <w:uiPriority w:val="0"/>
    <w:pPr>
      <w:pBdr>
        <w:bottom w:val="single" w:color="4F81BD" w:sz="4" w:space="4"/>
      </w:pBdr>
      <w:spacing w:before="200" w:after="280"/>
      <w:ind w:left="936" w:right="936"/>
    </w:pPr>
    <w:rPr>
      <w:b/>
      <w:bCs/>
      <w:i/>
      <w:iCs/>
      <w:color w:val="4F81BD"/>
      <w:szCs w:val="22"/>
    </w:rPr>
  </w:style>
  <w:style w:type="character" w:customStyle="1" w:styleId="525">
    <w:name w:val="Char Char Char2"/>
    <w:qFormat/>
    <w:uiPriority w:val="0"/>
    <w:rPr>
      <w:rFonts w:ascii="宋体" w:hAnsi="Courier New" w:eastAsia="宋体" w:cs="Courier New"/>
      <w:kern w:val="2"/>
      <w:sz w:val="21"/>
      <w:szCs w:val="21"/>
      <w:lang w:val="en-US" w:eastAsia="zh-CN" w:bidi="ar-SA"/>
    </w:rPr>
  </w:style>
  <w:style w:type="character" w:customStyle="1" w:styleId="526">
    <w:name w:val="Char Char3"/>
    <w:qFormat/>
    <w:uiPriority w:val="0"/>
    <w:rPr>
      <w:rFonts w:ascii="@仿宋" w:hAnsi="@仿宋" w:eastAsia="华文行楷" w:cs="@仿宋"/>
      <w:kern w:val="2"/>
      <w:sz w:val="18"/>
      <w:szCs w:val="18"/>
      <w:lang w:val="en-US" w:eastAsia="zh-CN" w:bidi="ar-SA"/>
    </w:rPr>
  </w:style>
  <w:style w:type="character" w:customStyle="1" w:styleId="527">
    <w:name w:val="Char Char112"/>
    <w:qFormat/>
    <w:uiPriority w:val="0"/>
    <w:rPr>
      <w:rFonts w:ascii="Times New Roman" w:hAnsi="Times New Roman" w:eastAsia="宋体" w:cs="Times New Roman"/>
      <w:sz w:val="24"/>
      <w:szCs w:val="24"/>
    </w:rPr>
  </w:style>
  <w:style w:type="character" w:customStyle="1" w:styleId="528">
    <w:name w:val="style391"/>
    <w:qFormat/>
    <w:uiPriority w:val="0"/>
    <w:rPr>
      <w:color w:val="333333"/>
      <w:sz w:val="18"/>
      <w:szCs w:val="18"/>
    </w:rPr>
  </w:style>
  <w:style w:type="character" w:customStyle="1" w:styleId="529">
    <w:name w:val="引用 Char1"/>
    <w:qFormat/>
    <w:uiPriority w:val="29"/>
    <w:rPr>
      <w:i/>
      <w:iCs/>
      <w:color w:val="000000"/>
      <w:kern w:val="2"/>
      <w:sz w:val="21"/>
      <w:szCs w:val="24"/>
    </w:rPr>
  </w:style>
  <w:style w:type="character" w:customStyle="1" w:styleId="530">
    <w:name w:val="标题 3 Char Char"/>
    <w:qFormat/>
    <w:uiPriority w:val="0"/>
    <w:rPr>
      <w:rFonts w:ascii="FangSong_GB2312" w:eastAsia="FangSong_GB2312"/>
      <w:bCs/>
      <w:kern w:val="2"/>
      <w:sz w:val="24"/>
      <w:szCs w:val="24"/>
      <w:lang w:val="en-US" w:eastAsia="zh-CN"/>
    </w:rPr>
  </w:style>
  <w:style w:type="character" w:customStyle="1" w:styleId="531">
    <w:name w:val="正文首行缩进 2 Char"/>
    <w:link w:val="87"/>
    <w:qFormat/>
    <w:uiPriority w:val="0"/>
    <w:rPr>
      <w:kern w:val="2"/>
      <w:sz w:val="21"/>
      <w:szCs w:val="24"/>
    </w:rPr>
  </w:style>
  <w:style w:type="character" w:customStyle="1" w:styleId="532">
    <w:name w:val="样式3 Char"/>
    <w:link w:val="371"/>
    <w:qFormat/>
    <w:locked/>
    <w:uiPriority w:val="0"/>
    <w:rPr>
      <w:rFonts w:ascii="EU-F1" w:eastAsia="黑体" w:cs="Courier New"/>
      <w:kern w:val="21"/>
      <w:sz w:val="21"/>
      <w:szCs w:val="21"/>
    </w:rPr>
  </w:style>
  <w:style w:type="character" w:customStyle="1" w:styleId="533">
    <w:name w:val="3 bullet Char Char Char"/>
    <w:qFormat/>
    <w:uiPriority w:val="0"/>
    <w:rPr>
      <w:rFonts w:ascii="Arial" w:hAnsi="Arial" w:eastAsia="PMingLiU"/>
      <w:sz w:val="24"/>
      <w:lang w:val="en-US" w:eastAsia="zh-TW"/>
    </w:rPr>
  </w:style>
  <w:style w:type="character" w:customStyle="1" w:styleId="534">
    <w:name w:val="样式 宋体 小四 首行缩进:  0.93 厘米 段前: 11.15 磅 段后: 11.15 磅1 Char"/>
    <w:qFormat/>
    <w:uiPriority w:val="0"/>
    <w:rPr>
      <w:rFonts w:ascii="宋体" w:cs="宋体"/>
      <w:color w:val="7030A0"/>
      <w:kern w:val="2"/>
      <w:sz w:val="24"/>
    </w:rPr>
  </w:style>
  <w:style w:type="character" w:customStyle="1" w:styleId="535">
    <w:name w:val="样式 标题 2 + 五号 Char"/>
    <w:link w:val="536"/>
    <w:qFormat/>
    <w:locked/>
    <w:uiPriority w:val="0"/>
    <w:rPr>
      <w:rFonts w:ascii="Arial" w:hAnsi="Arial" w:eastAsia="黑体"/>
      <w:bCs/>
      <w:kern w:val="2"/>
      <w:sz w:val="21"/>
      <w:szCs w:val="21"/>
    </w:rPr>
  </w:style>
  <w:style w:type="paragraph" w:customStyle="1" w:styleId="536">
    <w:name w:val="样式 标题 2 + 五号"/>
    <w:basedOn w:val="4"/>
    <w:link w:val="535"/>
    <w:qFormat/>
    <w:uiPriority w:val="0"/>
    <w:pPr>
      <w:widowControl w:val="0"/>
      <w:autoSpaceDE w:val="0"/>
      <w:autoSpaceDN w:val="0"/>
      <w:adjustRightInd w:val="0"/>
      <w:spacing w:before="0" w:after="0" w:line="240" w:lineRule="auto"/>
      <w:ind w:firstLine="420"/>
      <w:jc w:val="both"/>
    </w:pPr>
    <w:rPr>
      <w:b w:val="0"/>
      <w:bCs/>
      <w:kern w:val="2"/>
      <w:sz w:val="21"/>
      <w:szCs w:val="21"/>
    </w:rPr>
  </w:style>
  <w:style w:type="character" w:customStyle="1" w:styleId="537">
    <w:name w:val="Char Char71"/>
    <w:qFormat/>
    <w:uiPriority w:val="0"/>
    <w:rPr>
      <w:rFonts w:hint="eastAsia" w:ascii="FZXiaoBiaoSong-B05S" w:hAnsi="宋体" w:eastAsia="FZXiaoBiaoSong-B05S"/>
      <w:b/>
      <w:bCs/>
      <w:color w:val="000000"/>
      <w:kern w:val="2"/>
      <w:sz w:val="44"/>
      <w:szCs w:val="44"/>
      <w:lang w:val="en-US" w:eastAsia="zh-CN" w:bidi="ar-SA"/>
    </w:rPr>
  </w:style>
  <w:style w:type="character" w:customStyle="1" w:styleId="538">
    <w:name w:val="正文段落格式 Char"/>
    <w:qFormat/>
    <w:uiPriority w:val="0"/>
  </w:style>
  <w:style w:type="character" w:customStyle="1" w:styleId="539">
    <w:name w:val="H2 Char1"/>
    <w:qFormat/>
    <w:uiPriority w:val="0"/>
    <w:rPr>
      <w:rFonts w:ascii="Arial" w:hAnsi="Arial" w:eastAsia="黑体"/>
      <w:b/>
      <w:kern w:val="2"/>
      <w:sz w:val="21"/>
      <w:lang w:val="en-US" w:eastAsia="zh-CN"/>
    </w:rPr>
  </w:style>
  <w:style w:type="character" w:customStyle="1" w:styleId="540">
    <w:name w:val="B条目编号 Char"/>
    <w:link w:val="508"/>
    <w:qFormat/>
    <w:uiPriority w:val="0"/>
    <w:rPr>
      <w:rFonts w:ascii="宋体" w:hAnsi="宋体"/>
      <w:sz w:val="24"/>
      <w:szCs w:val="21"/>
    </w:rPr>
  </w:style>
  <w:style w:type="character" w:customStyle="1" w:styleId="541">
    <w:name w:val="书籍标题11"/>
    <w:qFormat/>
    <w:uiPriority w:val="33"/>
    <w:rPr>
      <w:b/>
      <w:bCs/>
      <w:smallCaps/>
      <w:spacing w:val="5"/>
    </w:rPr>
  </w:style>
  <w:style w:type="character" w:customStyle="1" w:styleId="542">
    <w:name w:val="正文 BJ8 Char Char"/>
    <w:link w:val="543"/>
    <w:qFormat/>
    <w:uiPriority w:val="0"/>
    <w:rPr>
      <w:kern w:val="2"/>
      <w:sz w:val="24"/>
      <w:szCs w:val="24"/>
    </w:rPr>
  </w:style>
  <w:style w:type="paragraph" w:customStyle="1" w:styleId="543">
    <w:name w:val="正文 BJ8"/>
    <w:basedOn w:val="1"/>
    <w:link w:val="542"/>
    <w:qFormat/>
    <w:uiPriority w:val="0"/>
    <w:pPr>
      <w:adjustRightInd w:val="0"/>
      <w:snapToGrid w:val="0"/>
      <w:spacing w:line="360" w:lineRule="auto"/>
      <w:ind w:firstLine="200" w:firstLineChars="200"/>
      <w:jc w:val="left"/>
    </w:pPr>
    <w:rPr>
      <w:sz w:val="24"/>
    </w:rPr>
  </w:style>
  <w:style w:type="character" w:customStyle="1" w:styleId="544">
    <w:name w:val="Heading 9 Char"/>
    <w:qFormat/>
    <w:uiPriority w:val="0"/>
    <w:rPr>
      <w:rFonts w:ascii="Cambria" w:hAnsi="Cambria" w:eastAsia="宋体" w:cs="Times New Roman"/>
      <w:kern w:val="2"/>
      <w:sz w:val="21"/>
      <w:szCs w:val="21"/>
    </w:rPr>
  </w:style>
  <w:style w:type="character" w:customStyle="1" w:styleId="545">
    <w:name w:val="批注引用1"/>
    <w:qFormat/>
    <w:uiPriority w:val="0"/>
    <w:rPr>
      <w:sz w:val="21"/>
      <w:szCs w:val="21"/>
    </w:rPr>
  </w:style>
  <w:style w:type="character" w:customStyle="1" w:styleId="546">
    <w:name w:val="Char Char11 Char Char Char Char Char Char Char Char"/>
    <w:qFormat/>
    <w:uiPriority w:val="0"/>
    <w:rPr>
      <w:rFonts w:eastAsia="宋体"/>
      <w:b/>
      <w:bCs/>
      <w:kern w:val="2"/>
      <w:sz w:val="24"/>
      <w:szCs w:val="24"/>
      <w:lang w:val="en-US" w:eastAsia="zh-CN" w:bidi="ar-SA"/>
    </w:rPr>
  </w:style>
  <w:style w:type="character" w:customStyle="1" w:styleId="547">
    <w:name w:val="表图名称 Char Char"/>
    <w:link w:val="548"/>
    <w:qFormat/>
    <w:uiPriority w:val="0"/>
    <w:rPr>
      <w:rFonts w:ascii="黑体" w:hAnsi="宋体" w:eastAsia="黑体"/>
      <w:kern w:val="2"/>
      <w:sz w:val="24"/>
      <w:szCs w:val="24"/>
    </w:rPr>
  </w:style>
  <w:style w:type="paragraph" w:customStyle="1" w:styleId="548">
    <w:name w:val="表图名称"/>
    <w:link w:val="547"/>
    <w:qFormat/>
    <w:uiPriority w:val="0"/>
    <w:pPr>
      <w:widowControl w:val="0"/>
      <w:tabs>
        <w:tab w:val="left" w:pos="6120"/>
        <w:tab w:val="left" w:pos="13784"/>
      </w:tabs>
      <w:adjustRightInd w:val="0"/>
      <w:snapToGrid w:val="0"/>
      <w:spacing w:line="360" w:lineRule="auto"/>
      <w:jc w:val="center"/>
    </w:pPr>
    <w:rPr>
      <w:rFonts w:ascii="黑体" w:hAnsi="宋体" w:eastAsia="黑体" w:cs="Times New Roman"/>
      <w:kern w:val="2"/>
      <w:sz w:val="24"/>
      <w:szCs w:val="24"/>
      <w:lang w:val="en-US" w:eastAsia="zh-CN" w:bidi="ar-SA"/>
    </w:rPr>
  </w:style>
  <w:style w:type="character" w:customStyle="1" w:styleId="549">
    <w:name w:val="dash6b63_6587__char1"/>
    <w:qFormat/>
    <w:uiPriority w:val="0"/>
    <w:rPr>
      <w:rFonts w:ascii="Calibri" w:hAnsi="Calibri" w:cs="Calibri"/>
      <w:sz w:val="20"/>
      <w:szCs w:val="20"/>
    </w:rPr>
  </w:style>
  <w:style w:type="character" w:customStyle="1" w:styleId="550">
    <w:name w:val="point_normal"/>
    <w:qFormat/>
    <w:uiPriority w:val="0"/>
  </w:style>
  <w:style w:type="character" w:customStyle="1" w:styleId="551">
    <w:name w:val="样式 超链接 + 仿宋_GB2312 小四 加粗"/>
    <w:qFormat/>
    <w:uiPriority w:val="0"/>
    <w:rPr>
      <w:rFonts w:ascii="FangSong_GB2312" w:hAnsi="FangSong_GB2312" w:eastAsia="黑体"/>
      <w:b/>
      <w:bCs/>
      <w:color w:val="auto"/>
      <w:sz w:val="24"/>
      <w:u w:val="none"/>
    </w:rPr>
  </w:style>
  <w:style w:type="character" w:customStyle="1" w:styleId="552">
    <w:name w:val="章节 Char Char Char Char"/>
    <w:qFormat/>
    <w:uiPriority w:val="0"/>
    <w:rPr>
      <w:rFonts w:eastAsia="宋体"/>
      <w:b/>
      <w:kern w:val="2"/>
      <w:sz w:val="32"/>
      <w:szCs w:val="32"/>
      <w:lang w:val="en-US" w:eastAsia="zh-CN" w:bidi="ar-SA"/>
    </w:rPr>
  </w:style>
  <w:style w:type="character" w:customStyle="1" w:styleId="553">
    <w:name w:val="Char Char121"/>
    <w:qFormat/>
    <w:uiPriority w:val="0"/>
    <w:rPr>
      <w:rFonts w:ascii="宋体" w:hAnsi="宋体" w:eastAsia="宋体" w:cs="Times New Roman"/>
      <w:kern w:val="2"/>
      <w:sz w:val="18"/>
      <w:szCs w:val="18"/>
      <w:lang w:val="en-US" w:eastAsia="zh-CN"/>
    </w:rPr>
  </w:style>
  <w:style w:type="character" w:customStyle="1" w:styleId="554">
    <w:name w:val="Head 6 Char Char"/>
    <w:qFormat/>
    <w:uiPriority w:val="0"/>
    <w:rPr>
      <w:rFonts w:ascii="Arial" w:hAnsi="Arial" w:eastAsia="黑体" w:cs="Times New Roman"/>
      <w:b/>
      <w:bCs/>
      <w:kern w:val="2"/>
      <w:sz w:val="24"/>
      <w:szCs w:val="24"/>
    </w:rPr>
  </w:style>
  <w:style w:type="character" w:customStyle="1" w:styleId="555">
    <w:name w:val="数字"/>
    <w:qFormat/>
    <w:uiPriority w:val="0"/>
    <w:rPr>
      <w:rFonts w:eastAsia="黑体"/>
      <w:b/>
      <w:sz w:val="21"/>
    </w:rPr>
  </w:style>
  <w:style w:type="character" w:customStyle="1" w:styleId="556">
    <w:name w:val="宏文本 Char1"/>
    <w:link w:val="2"/>
    <w:qFormat/>
    <w:uiPriority w:val="0"/>
    <w:rPr>
      <w:rFonts w:ascii="Courier New" w:hAnsi="Courier New" w:cs="Courier New"/>
      <w:kern w:val="2"/>
      <w:sz w:val="24"/>
      <w:szCs w:val="24"/>
    </w:rPr>
  </w:style>
  <w:style w:type="character" w:customStyle="1" w:styleId="557">
    <w:name w:val="Report Text Char Char"/>
    <w:link w:val="558"/>
    <w:qFormat/>
    <w:uiPriority w:val="0"/>
    <w:rPr>
      <w:sz w:val="22"/>
      <w:lang w:eastAsia="en-US"/>
    </w:rPr>
  </w:style>
  <w:style w:type="paragraph" w:customStyle="1" w:styleId="558">
    <w:name w:val="Report Text"/>
    <w:basedOn w:val="1"/>
    <w:link w:val="557"/>
    <w:qFormat/>
    <w:uiPriority w:val="0"/>
    <w:pPr>
      <w:widowControl/>
      <w:spacing w:after="138"/>
      <w:ind w:left="1080"/>
      <w:jc w:val="left"/>
    </w:pPr>
    <w:rPr>
      <w:kern w:val="0"/>
      <w:sz w:val="22"/>
      <w:szCs w:val="20"/>
      <w:lang w:eastAsia="en-US"/>
    </w:rPr>
  </w:style>
  <w:style w:type="character" w:customStyle="1" w:styleId="559">
    <w:name w:val="Char Char11 Char Char Char Char Char Char Char Char Char Char Char"/>
    <w:qFormat/>
    <w:uiPriority w:val="0"/>
    <w:rPr>
      <w:rFonts w:eastAsia="宋体"/>
      <w:b/>
      <w:bCs/>
      <w:kern w:val="2"/>
      <w:sz w:val="24"/>
      <w:szCs w:val="24"/>
      <w:lang w:val="en-US" w:eastAsia="zh-CN" w:bidi="ar-SA"/>
    </w:rPr>
  </w:style>
  <w:style w:type="character" w:customStyle="1" w:styleId="560">
    <w:name w:val="！main_c Char Char"/>
    <w:link w:val="561"/>
    <w:qFormat/>
    <w:uiPriority w:val="0"/>
    <w:rPr>
      <w:kern w:val="2"/>
      <w:sz w:val="28"/>
      <w:szCs w:val="28"/>
    </w:rPr>
  </w:style>
  <w:style w:type="paragraph" w:customStyle="1" w:styleId="561">
    <w:name w:val="！main_c"/>
    <w:basedOn w:val="1"/>
    <w:link w:val="560"/>
    <w:qFormat/>
    <w:uiPriority w:val="0"/>
    <w:pPr>
      <w:adjustRightInd w:val="0"/>
      <w:snapToGrid w:val="0"/>
      <w:spacing w:beforeLines="50" w:line="480" w:lineRule="exact"/>
      <w:ind w:firstLine="560" w:firstLineChars="200"/>
      <w:jc w:val="left"/>
    </w:pPr>
    <w:rPr>
      <w:sz w:val="28"/>
      <w:szCs w:val="28"/>
    </w:rPr>
  </w:style>
  <w:style w:type="character" w:customStyle="1" w:styleId="562">
    <w:name w:val="Char Char61"/>
    <w:qFormat/>
    <w:uiPriority w:val="0"/>
    <w:rPr>
      <w:rFonts w:eastAsia="宋体"/>
      <w:kern w:val="2"/>
      <w:sz w:val="18"/>
      <w:szCs w:val="18"/>
      <w:lang w:val="en-US" w:eastAsia="zh-CN" w:bidi="ar-SA"/>
    </w:rPr>
  </w:style>
  <w:style w:type="character" w:customStyle="1" w:styleId="563">
    <w:name w:val="樣式 標題 3 + (中文) MS Gothic 10.5 點 Char Char Char Char Char Char Char Char Char Char Char Char"/>
    <w:link w:val="564"/>
    <w:qFormat/>
    <w:uiPriority w:val="0"/>
    <w:rPr>
      <w:rFonts w:hAnsi="PMingLiU" w:eastAsia="MS Gothic"/>
      <w:kern w:val="2"/>
      <w:sz w:val="24"/>
      <w:lang w:val="en-AU" w:eastAsia="zh-TW"/>
    </w:rPr>
  </w:style>
  <w:style w:type="paragraph" w:customStyle="1" w:styleId="564">
    <w:name w:val="樣式 標題 3 + (中文) MS Gothic 10.5 點 Char Char Char Char Char Char Char Char Char Char Char"/>
    <w:basedOn w:val="5"/>
    <w:link w:val="563"/>
    <w:qFormat/>
    <w:uiPriority w:val="0"/>
    <w:pPr>
      <w:keepLines w:val="0"/>
      <w:widowControl w:val="0"/>
      <w:tabs>
        <w:tab w:val="left" w:pos="1440"/>
        <w:tab w:val="clear" w:pos="720"/>
        <w:tab w:val="clear" w:pos="1260"/>
      </w:tabs>
      <w:spacing w:before="0" w:after="0" w:line="240" w:lineRule="auto"/>
      <w:ind w:left="1440" w:hanging="480"/>
      <w:jc w:val="both"/>
    </w:pPr>
    <w:rPr>
      <w:rFonts w:hAnsi="PMingLiU" w:eastAsia="MS Gothic"/>
      <w:kern w:val="2"/>
      <w:sz w:val="24"/>
      <w:lang w:val="en-AU" w:eastAsia="zh-TW"/>
    </w:rPr>
  </w:style>
  <w:style w:type="character" w:customStyle="1" w:styleId="565">
    <w:name w:val="样式 (符号) Symbol 蓝色 图案: 清除 (白色)"/>
    <w:qFormat/>
    <w:uiPriority w:val="0"/>
    <w:rPr>
      <w:color w:val="auto"/>
      <w:shd w:val="clear" w:color="auto" w:fill="FFFFFF"/>
    </w:rPr>
  </w:style>
  <w:style w:type="character" w:customStyle="1" w:styleId="566">
    <w:name w:val="ca-21"/>
    <w:qFormat/>
    <w:uiPriority w:val="0"/>
    <w:rPr>
      <w:rFonts w:hint="default" w:ascii="Times New Roman" w:hAnsi="Times New Roman" w:cs="Times New Roman"/>
      <w:color w:val="FF0000"/>
      <w:sz w:val="24"/>
      <w:szCs w:val="24"/>
    </w:rPr>
  </w:style>
  <w:style w:type="character" w:customStyle="1" w:styleId="567">
    <w:name w:val="text"/>
    <w:qFormat/>
    <w:uiPriority w:val="0"/>
  </w:style>
  <w:style w:type="character" w:customStyle="1" w:styleId="568">
    <w:name w:val="Char Char62"/>
    <w:qFormat/>
    <w:uiPriority w:val="0"/>
    <w:rPr>
      <w:rFonts w:eastAsia="宋体"/>
      <w:kern w:val="2"/>
      <w:sz w:val="18"/>
      <w:szCs w:val="18"/>
      <w:lang w:val="en-US" w:eastAsia="zh-CN" w:bidi="ar-SA"/>
    </w:rPr>
  </w:style>
  <w:style w:type="character" w:customStyle="1" w:styleId="569">
    <w:name w:val="标题 7 Char"/>
    <w:link w:val="9"/>
    <w:qFormat/>
    <w:uiPriority w:val="0"/>
    <w:rPr>
      <w:bCs/>
      <w:sz w:val="24"/>
      <w:szCs w:val="24"/>
    </w:rPr>
  </w:style>
  <w:style w:type="character" w:customStyle="1" w:styleId="570">
    <w:name w:val="访问过的超链接1"/>
    <w:qFormat/>
    <w:uiPriority w:val="0"/>
    <w:rPr>
      <w:color w:val="800080"/>
      <w:u w:val="single"/>
    </w:rPr>
  </w:style>
  <w:style w:type="character" w:customStyle="1" w:styleId="571">
    <w:name w:val="msonormal0"/>
    <w:qFormat/>
    <w:uiPriority w:val="0"/>
  </w:style>
  <w:style w:type="character" w:customStyle="1" w:styleId="572">
    <w:name w:val="称呼 Char"/>
    <w:link w:val="30"/>
    <w:qFormat/>
    <w:uiPriority w:val="0"/>
    <w:rPr>
      <w:kern w:val="2"/>
      <w:sz w:val="21"/>
      <w:szCs w:val="24"/>
    </w:rPr>
  </w:style>
  <w:style w:type="character" w:customStyle="1" w:styleId="573">
    <w:name w:val="标题 2 Char1"/>
    <w:qFormat/>
    <w:uiPriority w:val="0"/>
    <w:rPr>
      <w:rFonts w:hint="eastAsia" w:ascii="黑体" w:hAnsi="黑体" w:eastAsia="黑体"/>
      <w:bCs/>
      <w:kern w:val="2"/>
      <w:sz w:val="21"/>
      <w:szCs w:val="21"/>
      <w:lang w:val="en-US" w:eastAsia="zh-CN" w:bidi="ar-SA"/>
    </w:rPr>
  </w:style>
  <w:style w:type="character" w:customStyle="1" w:styleId="574">
    <w:name w:val="Char Char15"/>
    <w:qFormat/>
    <w:uiPriority w:val="0"/>
    <w:rPr>
      <w:rFonts w:ascii="Arial" w:hAnsi="Arial" w:eastAsia="黑体" w:cs="Times New Roman"/>
      <w:sz w:val="21"/>
      <w:szCs w:val="21"/>
      <w:lang w:val="en-US" w:eastAsia="zh-CN"/>
    </w:rPr>
  </w:style>
  <w:style w:type="character" w:customStyle="1" w:styleId="575">
    <w:name w:val="Heading 7 Char"/>
    <w:qFormat/>
    <w:uiPriority w:val="0"/>
    <w:rPr>
      <w:b/>
      <w:bCs/>
      <w:kern w:val="2"/>
      <w:sz w:val="24"/>
      <w:szCs w:val="24"/>
    </w:rPr>
  </w:style>
  <w:style w:type="character" w:customStyle="1" w:styleId="576">
    <w:name w:val="表格 Char"/>
    <w:link w:val="577"/>
    <w:qFormat/>
    <w:locked/>
    <w:uiPriority w:val="0"/>
    <w:rPr>
      <w:rFonts w:ascii="宋体" w:hAnsi="宋体"/>
      <w:kern w:val="2"/>
      <w:sz w:val="21"/>
      <w:szCs w:val="24"/>
    </w:rPr>
  </w:style>
  <w:style w:type="paragraph" w:customStyle="1" w:styleId="577">
    <w:name w:val="表格"/>
    <w:basedOn w:val="35"/>
    <w:link w:val="576"/>
    <w:qFormat/>
    <w:uiPriority w:val="0"/>
    <w:pPr>
      <w:snapToGrid w:val="0"/>
      <w:spacing w:after="0" w:line="360" w:lineRule="auto"/>
      <w:ind w:left="0" w:leftChars="0"/>
    </w:pPr>
    <w:rPr>
      <w:rFonts w:ascii="宋体" w:hAnsi="宋体"/>
    </w:rPr>
  </w:style>
  <w:style w:type="character" w:customStyle="1" w:styleId="578">
    <w:name w:val="样式 宋体 小四"/>
    <w:qFormat/>
    <w:uiPriority w:val="0"/>
    <w:rPr>
      <w:rFonts w:ascii="宋体" w:hAnsi="宋体"/>
      <w:sz w:val="24"/>
    </w:rPr>
  </w:style>
  <w:style w:type="character" w:customStyle="1" w:styleId="579">
    <w:name w:val="(use for appendix) Char2"/>
    <w:qFormat/>
    <w:uiPriority w:val="0"/>
    <w:rPr>
      <w:rFonts w:cs="Times New Roman"/>
      <w:b/>
      <w:bCs/>
      <w:kern w:val="24"/>
      <w:sz w:val="24"/>
      <w:szCs w:val="24"/>
    </w:rPr>
  </w:style>
  <w:style w:type="character" w:customStyle="1" w:styleId="580">
    <w:name w:val="题注 Char"/>
    <w:link w:val="581"/>
    <w:qFormat/>
    <w:uiPriority w:val="0"/>
    <w:rPr>
      <w:rFonts w:ascii="Arial" w:hAnsi="Arial"/>
      <w:color w:val="0070C0"/>
      <w:kern w:val="2"/>
      <w:sz w:val="24"/>
    </w:rPr>
  </w:style>
  <w:style w:type="paragraph" w:customStyle="1" w:styleId="581">
    <w:name w:val="题注1"/>
    <w:basedOn w:val="1"/>
    <w:next w:val="1"/>
    <w:link w:val="580"/>
    <w:qFormat/>
    <w:uiPriority w:val="0"/>
    <w:pPr>
      <w:numPr>
        <w:ilvl w:val="0"/>
        <w:numId w:val="13"/>
      </w:numPr>
      <w:tabs>
        <w:tab w:val="left" w:pos="360"/>
        <w:tab w:val="left" w:pos="780"/>
      </w:tabs>
      <w:spacing w:line="480" w:lineRule="exact"/>
      <w:jc w:val="left"/>
      <w:outlineLvl w:val="6"/>
    </w:pPr>
    <w:rPr>
      <w:rFonts w:ascii="Arial" w:hAnsi="Arial"/>
      <w:color w:val="0070C0"/>
      <w:sz w:val="24"/>
      <w:szCs w:val="20"/>
    </w:rPr>
  </w:style>
  <w:style w:type="character" w:customStyle="1" w:styleId="582">
    <w:name w:val="正文 Char"/>
    <w:qFormat/>
    <w:uiPriority w:val="0"/>
    <w:rPr>
      <w:rFonts w:ascii="宋体" w:hAnsi="宋体"/>
      <w:color w:val="000000"/>
      <w:kern w:val="2"/>
      <w:sz w:val="21"/>
      <w:szCs w:val="24"/>
    </w:rPr>
  </w:style>
  <w:style w:type="character" w:customStyle="1" w:styleId="583">
    <w:name w:val="注释标题 Char1"/>
    <w:qFormat/>
    <w:uiPriority w:val="0"/>
    <w:rPr>
      <w:rFonts w:ascii="Times New Roman" w:hAnsi="Times New Roman" w:eastAsia="宋体" w:cs="Times New Roman"/>
      <w:sz w:val="24"/>
      <w:szCs w:val="24"/>
    </w:rPr>
  </w:style>
  <w:style w:type="character" w:customStyle="1" w:styleId="584">
    <w:name w:val="Char Char18"/>
    <w:qFormat/>
    <w:uiPriority w:val="0"/>
    <w:rPr>
      <w:rFonts w:ascii="Arial" w:hAnsi="Arial" w:eastAsia="黑体" w:cs="Times New Roman"/>
      <w:b/>
      <w:bCs/>
      <w:sz w:val="24"/>
      <w:szCs w:val="24"/>
      <w:lang w:val="en-US" w:eastAsia="zh-CN"/>
    </w:rPr>
  </w:style>
  <w:style w:type="character" w:customStyle="1" w:styleId="585">
    <w:name w:val="Char Char161"/>
    <w:qFormat/>
    <w:uiPriority w:val="0"/>
    <w:rPr>
      <w:rFonts w:ascii="Arial" w:hAnsi="Arial" w:eastAsia="黑体" w:cs="Times New Roman"/>
      <w:sz w:val="24"/>
      <w:szCs w:val="24"/>
      <w:lang w:val="en-US" w:eastAsia="zh-CN"/>
    </w:rPr>
  </w:style>
  <w:style w:type="character" w:customStyle="1" w:styleId="586">
    <w:name w:val="样式 正文文本 Char"/>
    <w:qFormat/>
    <w:uiPriority w:val="0"/>
    <w:rPr>
      <w:rFonts w:ascii="Arial" w:hAnsi="Arial" w:cs="宋体"/>
      <w:color w:val="000000"/>
      <w:kern w:val="2"/>
      <w:sz w:val="24"/>
    </w:rPr>
  </w:style>
  <w:style w:type="character" w:customStyle="1" w:styleId="587">
    <w:name w:val="样式 样式 标题 3 + (中文) 黑体 Char + (中文) 宋体 小四 Char Char Char Char Char Char"/>
    <w:link w:val="588"/>
    <w:qFormat/>
    <w:uiPriority w:val="0"/>
    <w:rPr>
      <w:rFonts w:ascii="宋体" w:hAnsi="Courier New"/>
      <w:kern w:val="2"/>
      <w:sz w:val="24"/>
      <w:szCs w:val="21"/>
    </w:rPr>
  </w:style>
  <w:style w:type="paragraph" w:customStyle="1" w:styleId="588">
    <w:name w:val="样式 样式 标题 3 + (中文) 黑体 Char + (中文) 宋体 小四 Char Char Char Char Char"/>
    <w:basedOn w:val="1"/>
    <w:link w:val="587"/>
    <w:qFormat/>
    <w:uiPriority w:val="0"/>
    <w:pPr>
      <w:spacing w:line="400" w:lineRule="exact"/>
      <w:ind w:left="400" w:leftChars="400"/>
    </w:pPr>
    <w:rPr>
      <w:rFonts w:ascii="宋体" w:hAnsi="Courier New"/>
      <w:sz w:val="24"/>
      <w:szCs w:val="21"/>
    </w:rPr>
  </w:style>
  <w:style w:type="character" w:customStyle="1" w:styleId="589">
    <w:name w:val="样式 样式1 + 非加粗 Char"/>
    <w:link w:val="590"/>
    <w:semiHidden/>
    <w:qFormat/>
    <w:locked/>
    <w:uiPriority w:val="0"/>
    <w:rPr>
      <w:rFonts w:ascii="EU-F1" w:eastAsia="汉仪大宋简"/>
      <w:color w:val="000000"/>
      <w:kern w:val="2"/>
      <w:sz w:val="22"/>
      <w:szCs w:val="22"/>
    </w:rPr>
  </w:style>
  <w:style w:type="paragraph" w:customStyle="1" w:styleId="590">
    <w:name w:val="样式 样式1 + 非加粗"/>
    <w:basedOn w:val="334"/>
    <w:link w:val="589"/>
    <w:semiHidden/>
    <w:qFormat/>
    <w:uiPriority w:val="0"/>
    <w:pPr>
      <w:keepNext/>
      <w:spacing w:before="0" w:after="0" w:line="480" w:lineRule="auto"/>
      <w:ind w:firstLine="420"/>
      <w:outlineLvl w:val="0"/>
    </w:pPr>
    <w:rPr>
      <w:rFonts w:ascii="EU-F1" w:hAnsi="Times New Roman" w:eastAsia="汉仪大宋简"/>
      <w:b w:val="0"/>
      <w:color w:val="000000"/>
      <w:sz w:val="22"/>
      <w:szCs w:val="22"/>
    </w:rPr>
  </w:style>
  <w:style w:type="character" w:customStyle="1" w:styleId="591">
    <w:name w:val="标题 4 Char2"/>
    <w:link w:val="592"/>
    <w:qFormat/>
    <w:uiPriority w:val="0"/>
    <w:rPr>
      <w:bCs/>
      <w:color w:val="00B050"/>
      <w:kern w:val="2"/>
      <w:sz w:val="24"/>
      <w:szCs w:val="28"/>
    </w:rPr>
  </w:style>
  <w:style w:type="paragraph" w:customStyle="1" w:styleId="592">
    <w:name w:val="标题 41"/>
    <w:basedOn w:val="1"/>
    <w:next w:val="1"/>
    <w:link w:val="591"/>
    <w:qFormat/>
    <w:uiPriority w:val="0"/>
    <w:pPr>
      <w:spacing w:before="120"/>
      <w:jc w:val="left"/>
      <w:outlineLvl w:val="3"/>
    </w:pPr>
    <w:rPr>
      <w:bCs/>
      <w:color w:val="00B050"/>
      <w:sz w:val="24"/>
      <w:szCs w:val="28"/>
    </w:rPr>
  </w:style>
  <w:style w:type="character" w:customStyle="1" w:styleId="593">
    <w:name w:val="副标题 Char"/>
    <w:link w:val="64"/>
    <w:qFormat/>
    <w:uiPriority w:val="0"/>
    <w:rPr>
      <w:rFonts w:ascii="Cambria" w:hAnsi="Cambria"/>
      <w:b/>
      <w:bCs/>
      <w:kern w:val="28"/>
      <w:sz w:val="32"/>
      <w:szCs w:val="32"/>
    </w:rPr>
  </w:style>
  <w:style w:type="character" w:customStyle="1" w:styleId="594">
    <w:name w:val="Char Char41"/>
    <w:qFormat/>
    <w:uiPriority w:val="0"/>
    <w:rPr>
      <w:rFonts w:eastAsia="黑体" w:cs="Times New Roman"/>
      <w:bCs/>
      <w:kern w:val="2"/>
      <w:sz w:val="28"/>
      <w:szCs w:val="28"/>
      <w:lang w:val="en-US" w:eastAsia="zh-CN"/>
    </w:rPr>
  </w:style>
  <w:style w:type="character" w:customStyle="1" w:styleId="595">
    <w:name w:val="正文缩进 Char1"/>
    <w:qFormat/>
    <w:uiPriority w:val="0"/>
    <w:rPr>
      <w:rFonts w:ascii="宋体"/>
      <w:color w:val="7030A0"/>
      <w:sz w:val="24"/>
    </w:rPr>
  </w:style>
  <w:style w:type="character" w:customStyle="1" w:styleId="596">
    <w:name w:val="标题4 Char Char"/>
    <w:link w:val="597"/>
    <w:qFormat/>
    <w:uiPriority w:val="0"/>
    <w:rPr>
      <w:rFonts w:ascii="Arial" w:hAnsi="Arial"/>
      <w:b/>
      <w:bCs/>
      <w:sz w:val="24"/>
      <w:szCs w:val="32"/>
    </w:rPr>
  </w:style>
  <w:style w:type="paragraph" w:customStyle="1" w:styleId="597">
    <w:name w:val="标题4"/>
    <w:basedOn w:val="4"/>
    <w:next w:val="42"/>
    <w:link w:val="596"/>
    <w:qFormat/>
    <w:uiPriority w:val="0"/>
    <w:pPr>
      <w:widowControl w:val="0"/>
      <w:spacing w:line="413" w:lineRule="auto"/>
      <w:jc w:val="both"/>
    </w:pPr>
    <w:rPr>
      <w:rFonts w:eastAsia="宋体"/>
      <w:bCs/>
      <w:sz w:val="24"/>
      <w:szCs w:val="32"/>
    </w:rPr>
  </w:style>
  <w:style w:type="character" w:customStyle="1" w:styleId="598">
    <w:name w:val="Char Char103"/>
    <w:qFormat/>
    <w:uiPriority w:val="0"/>
    <w:rPr>
      <w:rFonts w:ascii="Arial" w:hAnsi="Arial" w:eastAsia="黑体"/>
      <w:sz w:val="28"/>
      <w:lang w:val="en-US" w:eastAsia="zh-CN" w:bidi="ar-SA"/>
    </w:rPr>
  </w:style>
  <w:style w:type="character" w:customStyle="1" w:styleId="599">
    <w:name w:val="明显引用 Char1"/>
    <w:qFormat/>
    <w:uiPriority w:val="30"/>
    <w:rPr>
      <w:b/>
      <w:bCs/>
      <w:i/>
      <w:iCs/>
      <w:color w:val="4F81BD"/>
      <w:kern w:val="2"/>
      <w:sz w:val="21"/>
      <w:szCs w:val="24"/>
    </w:rPr>
  </w:style>
  <w:style w:type="character" w:customStyle="1" w:styleId="600">
    <w:name w:val="HTML 预设格式 Char"/>
    <w:link w:val="80"/>
    <w:qFormat/>
    <w:uiPriority w:val="0"/>
    <w:rPr>
      <w:rFonts w:ascii="Courier New" w:hAnsi="Courier New" w:cs="Courier New"/>
      <w:kern w:val="2"/>
    </w:rPr>
  </w:style>
  <w:style w:type="character" w:customStyle="1" w:styleId="601">
    <w:name w:val="引用 Char"/>
    <w:link w:val="602"/>
    <w:qFormat/>
    <w:uiPriority w:val="0"/>
    <w:rPr>
      <w:i/>
      <w:iCs/>
      <w:color w:val="000000"/>
      <w:kern w:val="2"/>
      <w:sz w:val="21"/>
      <w:szCs w:val="22"/>
    </w:rPr>
  </w:style>
  <w:style w:type="paragraph" w:styleId="602">
    <w:name w:val="Quote"/>
    <w:basedOn w:val="1"/>
    <w:next w:val="1"/>
    <w:link w:val="601"/>
    <w:qFormat/>
    <w:uiPriority w:val="0"/>
    <w:rPr>
      <w:i/>
      <w:iCs/>
      <w:color w:val="000000"/>
      <w:szCs w:val="22"/>
    </w:rPr>
  </w:style>
  <w:style w:type="character" w:customStyle="1" w:styleId="603">
    <w:name w:val="Char Char Char Char Char"/>
    <w:link w:val="604"/>
    <w:qFormat/>
    <w:locked/>
    <w:uiPriority w:val="0"/>
    <w:rPr>
      <w:rFonts w:ascii="宋体" w:hAnsi="宋体"/>
      <w:kern w:val="2"/>
      <w:sz w:val="24"/>
      <w:szCs w:val="24"/>
    </w:rPr>
  </w:style>
  <w:style w:type="paragraph" w:customStyle="1" w:styleId="604">
    <w:name w:val="Char Char Char Char"/>
    <w:basedOn w:val="1"/>
    <w:link w:val="603"/>
    <w:qFormat/>
    <w:uiPriority w:val="0"/>
    <w:pPr>
      <w:spacing w:line="360" w:lineRule="auto"/>
      <w:ind w:firstLine="200" w:firstLineChars="200"/>
    </w:pPr>
    <w:rPr>
      <w:rFonts w:ascii="宋体" w:hAnsi="宋体"/>
      <w:sz w:val="24"/>
    </w:rPr>
  </w:style>
  <w:style w:type="character" w:customStyle="1" w:styleId="605">
    <w:name w:val="页码1"/>
    <w:qFormat/>
    <w:uiPriority w:val="0"/>
  </w:style>
  <w:style w:type="character" w:customStyle="1" w:styleId="606">
    <w:name w:val="Level.2 Char Char Char"/>
    <w:link w:val="607"/>
    <w:qFormat/>
    <w:uiPriority w:val="0"/>
    <w:rPr>
      <w:rFonts w:eastAsia="PMingLiU"/>
      <w:kern w:val="2"/>
      <w:sz w:val="24"/>
      <w:lang w:eastAsia="zh-TW"/>
    </w:rPr>
  </w:style>
  <w:style w:type="paragraph" w:customStyle="1" w:styleId="607">
    <w:name w:val="Level.2 Char Char"/>
    <w:basedOn w:val="1"/>
    <w:link w:val="606"/>
    <w:qFormat/>
    <w:uiPriority w:val="0"/>
    <w:pPr>
      <w:widowControl/>
      <w:tabs>
        <w:tab w:val="left" w:pos="1560"/>
        <w:tab w:val="left" w:pos="1723"/>
      </w:tabs>
      <w:spacing w:afterLines="100"/>
      <w:ind w:left="1269" w:right="306" w:firstLine="171"/>
    </w:pPr>
    <w:rPr>
      <w:rFonts w:eastAsia="PMingLiU"/>
      <w:sz w:val="24"/>
      <w:szCs w:val="20"/>
      <w:lang w:eastAsia="zh-TW"/>
    </w:rPr>
  </w:style>
  <w:style w:type="character" w:customStyle="1" w:styleId="608">
    <w:name w:val="ca-11"/>
    <w:qFormat/>
    <w:uiPriority w:val="0"/>
    <w:rPr>
      <w:rFonts w:hint="default" w:ascii="Times New Roman" w:hAnsi="Times New Roman" w:cs="Times New Roman"/>
      <w:sz w:val="24"/>
      <w:szCs w:val="24"/>
    </w:rPr>
  </w:style>
  <w:style w:type="character" w:customStyle="1" w:styleId="609">
    <w:name w:val="应答文本 Char Char"/>
    <w:qFormat/>
    <w:uiPriority w:val="0"/>
    <w:rPr>
      <w:rFonts w:ascii="Arial" w:hAnsi="Arial" w:eastAsia="KaiTi_GB2312" w:cs="宋体"/>
      <w:spacing w:val="10"/>
      <w:sz w:val="21"/>
      <w:lang w:val="en-US" w:eastAsia="zh-CN" w:bidi="ar-SA"/>
    </w:rPr>
  </w:style>
  <w:style w:type="character" w:customStyle="1" w:styleId="610">
    <w:name w:val="Char Char32"/>
    <w:qFormat/>
    <w:uiPriority w:val="0"/>
    <w:rPr>
      <w:sz w:val="18"/>
      <w:szCs w:val="18"/>
    </w:rPr>
  </w:style>
  <w:style w:type="character" w:customStyle="1" w:styleId="611">
    <w:name w:val="无间隔 Char"/>
    <w:link w:val="193"/>
    <w:qFormat/>
    <w:uiPriority w:val="0"/>
    <w:rPr>
      <w:kern w:val="2"/>
      <w:sz w:val="21"/>
      <w:szCs w:val="24"/>
    </w:rPr>
  </w:style>
  <w:style w:type="character" w:customStyle="1" w:styleId="612">
    <w:name w:val="Heading 3 Char1 Char1"/>
    <w:qFormat/>
    <w:uiPriority w:val="0"/>
    <w:rPr>
      <w:rFonts w:eastAsia="黑体"/>
      <w:bCs/>
      <w:kern w:val="2"/>
      <w:sz w:val="28"/>
      <w:szCs w:val="28"/>
      <w:lang w:val="en-US" w:eastAsia="zh-CN"/>
    </w:rPr>
  </w:style>
  <w:style w:type="character" w:customStyle="1" w:styleId="613">
    <w:name w:val="1.2.1 环境（标准） Char"/>
    <w:link w:val="614"/>
    <w:qFormat/>
    <w:uiPriority w:val="0"/>
    <w:rPr>
      <w:rFonts w:ascii="宋体" w:hAnsi="Arial"/>
      <w:spacing w:val="1"/>
      <w:kern w:val="2"/>
      <w:sz w:val="24"/>
    </w:rPr>
  </w:style>
  <w:style w:type="paragraph" w:customStyle="1" w:styleId="614">
    <w:name w:val="1.2.1 环境（标准）"/>
    <w:basedOn w:val="1"/>
    <w:link w:val="613"/>
    <w:qFormat/>
    <w:uiPriority w:val="0"/>
    <w:pPr>
      <w:tabs>
        <w:tab w:val="left" w:pos="360"/>
      </w:tabs>
      <w:spacing w:before="200" w:after="200" w:line="360" w:lineRule="auto"/>
      <w:outlineLvl w:val="2"/>
    </w:pPr>
    <w:rPr>
      <w:rFonts w:ascii="宋体" w:hAnsi="Arial"/>
      <w:spacing w:val="1"/>
      <w:sz w:val="24"/>
      <w:szCs w:val="20"/>
    </w:rPr>
  </w:style>
  <w:style w:type="character" w:customStyle="1" w:styleId="615">
    <w:name w:val="宏文本 Char"/>
    <w:link w:val="616"/>
    <w:qFormat/>
    <w:uiPriority w:val="0"/>
    <w:rPr>
      <w:rFonts w:ascii="Courier New" w:hAnsi="Courier New" w:cs="Courier New"/>
      <w:kern w:val="2"/>
      <w:sz w:val="24"/>
      <w:szCs w:val="24"/>
    </w:rPr>
  </w:style>
  <w:style w:type="paragraph" w:customStyle="1" w:styleId="616">
    <w:name w:val="宏文本1"/>
    <w:link w:val="615"/>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character" w:customStyle="1" w:styleId="617">
    <w:name w:val="middle1"/>
    <w:qFormat/>
    <w:uiPriority w:val="0"/>
    <w:rPr>
      <w:rFonts w:hint="default"/>
      <w:spacing w:val="285"/>
      <w:sz w:val="21"/>
      <w:szCs w:val="21"/>
    </w:rPr>
  </w:style>
  <w:style w:type="character" w:customStyle="1" w:styleId="618">
    <w:name w:val="批注引用5"/>
    <w:qFormat/>
    <w:uiPriority w:val="0"/>
    <w:rPr>
      <w:sz w:val="21"/>
      <w:szCs w:val="21"/>
    </w:rPr>
  </w:style>
  <w:style w:type="character" w:customStyle="1" w:styleId="619">
    <w:name w:val="Char Char11 Char Char"/>
    <w:qFormat/>
    <w:uiPriority w:val="0"/>
    <w:rPr>
      <w:rFonts w:eastAsia="宋体"/>
      <w:b/>
      <w:bCs/>
      <w:kern w:val="2"/>
      <w:sz w:val="24"/>
      <w:szCs w:val="24"/>
      <w:lang w:val="en-US" w:eastAsia="zh-CN" w:bidi="ar-SA"/>
    </w:rPr>
  </w:style>
  <w:style w:type="character" w:customStyle="1" w:styleId="620">
    <w:name w:val="Right Par 8"/>
    <w:qFormat/>
    <w:uiPriority w:val="0"/>
  </w:style>
  <w:style w:type="character" w:customStyle="1" w:styleId="621">
    <w:name w:val="Char Char11 Char Char Char Char Char"/>
    <w:qFormat/>
    <w:uiPriority w:val="0"/>
    <w:rPr>
      <w:rFonts w:eastAsia="宋体"/>
      <w:b/>
      <w:bCs/>
      <w:kern w:val="2"/>
      <w:sz w:val="24"/>
      <w:szCs w:val="24"/>
      <w:lang w:val="en-US" w:eastAsia="zh-CN" w:bidi="ar-SA"/>
    </w:rPr>
  </w:style>
  <w:style w:type="character" w:customStyle="1" w:styleId="622">
    <w:name w:val="Char Char11 Char Char Char Char Char Char"/>
    <w:qFormat/>
    <w:uiPriority w:val="0"/>
    <w:rPr>
      <w:rFonts w:eastAsia="宋体"/>
      <w:b/>
      <w:bCs/>
      <w:kern w:val="2"/>
      <w:sz w:val="24"/>
      <w:szCs w:val="24"/>
      <w:lang w:val="en-US" w:eastAsia="zh-CN" w:bidi="ar-SA"/>
    </w:rPr>
  </w:style>
  <w:style w:type="character" w:customStyle="1" w:styleId="623">
    <w:name w:val="末级 Char Char Char"/>
    <w:link w:val="624"/>
    <w:qFormat/>
    <w:uiPriority w:val="0"/>
    <w:rPr>
      <w:kern w:val="2"/>
      <w:sz w:val="24"/>
      <w:szCs w:val="24"/>
    </w:rPr>
  </w:style>
  <w:style w:type="paragraph" w:customStyle="1" w:styleId="624">
    <w:name w:val="末级 Char Char"/>
    <w:basedOn w:val="1"/>
    <w:link w:val="623"/>
    <w:qFormat/>
    <w:uiPriority w:val="0"/>
    <w:pPr>
      <w:numPr>
        <w:ilvl w:val="0"/>
        <w:numId w:val="14"/>
      </w:numPr>
      <w:tabs>
        <w:tab w:val="left" w:pos="720"/>
        <w:tab w:val="left" w:pos="780"/>
      </w:tabs>
      <w:spacing w:line="360" w:lineRule="auto"/>
    </w:pPr>
    <w:rPr>
      <w:sz w:val="24"/>
    </w:rPr>
  </w:style>
  <w:style w:type="character" w:customStyle="1" w:styleId="625">
    <w:name w:val="正文 + 标题 3 Char"/>
    <w:qFormat/>
    <w:uiPriority w:val="0"/>
    <w:rPr>
      <w:rFonts w:eastAsia="宋体"/>
      <w:b/>
      <w:bCs/>
      <w:kern w:val="2"/>
      <w:sz w:val="32"/>
      <w:szCs w:val="32"/>
      <w:lang w:val="en-US" w:eastAsia="zh-CN" w:bidi="ar-SA"/>
    </w:rPr>
  </w:style>
  <w:style w:type="character" w:customStyle="1" w:styleId="626">
    <w:name w:val="Char Char151"/>
    <w:qFormat/>
    <w:uiPriority w:val="0"/>
    <w:rPr>
      <w:rFonts w:ascii="Arial" w:hAnsi="Arial" w:eastAsia="黑体"/>
      <w:b/>
      <w:bCs/>
      <w:kern w:val="2"/>
      <w:sz w:val="28"/>
      <w:szCs w:val="28"/>
      <w:lang w:val="en-US" w:eastAsia="zh-CN" w:bidi="ar-SA"/>
    </w:rPr>
  </w:style>
  <w:style w:type="character" w:customStyle="1" w:styleId="627">
    <w:name w:val="Char Char131"/>
    <w:qFormat/>
    <w:uiPriority w:val="0"/>
    <w:rPr>
      <w:rFonts w:ascii="Arial" w:hAnsi="Arial" w:eastAsia="Verdana" w:cs="@仿宋"/>
      <w:bCs/>
      <w:sz w:val="24"/>
      <w:szCs w:val="24"/>
      <w:lang w:val="en-US" w:eastAsia="zh-CN" w:bidi="ar-SA"/>
    </w:rPr>
  </w:style>
  <w:style w:type="character" w:customStyle="1" w:styleId="628">
    <w:name w:val="Char Char181"/>
    <w:qFormat/>
    <w:uiPriority w:val="0"/>
    <w:rPr>
      <w:rFonts w:ascii="Verdana" w:hAnsi="@仿宋" w:eastAsia="Verdana" w:cs="@仿宋"/>
      <w:b/>
      <w:sz w:val="52"/>
      <w:lang w:val="en-US" w:eastAsia="zh-CN" w:bidi="ar-SA"/>
    </w:rPr>
  </w:style>
  <w:style w:type="paragraph" w:customStyle="1" w:styleId="629">
    <w:name w:val="main"/>
    <w:basedOn w:val="1"/>
    <w:qFormat/>
    <w:uiPriority w:val="0"/>
    <w:pPr>
      <w:widowControl/>
      <w:spacing w:before="100" w:beforeAutospacing="1" w:after="100" w:afterAutospacing="1"/>
      <w:jc w:val="left"/>
    </w:pPr>
    <w:rPr>
      <w:rFonts w:ascii="宋体" w:hAnsi="宋体"/>
      <w:color w:val="000000"/>
      <w:kern w:val="0"/>
      <w:sz w:val="24"/>
    </w:rPr>
  </w:style>
  <w:style w:type="paragraph" w:customStyle="1" w:styleId="630">
    <w:name w:val="样式 样式 正文首行缩进 + 首行缩进:  2 字符 段前: 5 磅 段后: 5 磅"/>
    <w:basedOn w:val="1"/>
    <w:qFormat/>
    <w:uiPriority w:val="0"/>
    <w:pPr>
      <w:spacing w:line="400" w:lineRule="exact"/>
      <w:ind w:firstLine="200" w:firstLineChars="200"/>
    </w:pPr>
    <w:rPr>
      <w:rFonts w:ascii="宋体" w:hAnsi="宋体" w:cs="宋体"/>
      <w:kern w:val="24"/>
      <w:szCs w:val="20"/>
    </w:rPr>
  </w:style>
  <w:style w:type="paragraph" w:customStyle="1" w:styleId="631">
    <w:name w:val="xl140"/>
    <w:basedOn w:val="1"/>
    <w:qFormat/>
    <w:uiPriority w:val="0"/>
    <w:pPr>
      <w:widowControl/>
      <w:shd w:val="clear" w:color="000000" w:fill="FFFFFF"/>
      <w:spacing w:before="100" w:beforeAutospacing="1" w:after="100" w:afterAutospacing="1"/>
      <w:jc w:val="center"/>
    </w:pPr>
    <w:rPr>
      <w:rFonts w:ascii="宋体" w:hAnsi="宋体" w:cs="宋体"/>
      <w:b/>
      <w:bCs/>
      <w:kern w:val="0"/>
      <w:sz w:val="36"/>
      <w:szCs w:val="36"/>
    </w:rPr>
  </w:style>
  <w:style w:type="paragraph" w:customStyle="1" w:styleId="632">
    <w:name w:val="样式 Times New Roman 首行缩进:  2 字符 左  2 字符"/>
    <w:basedOn w:val="1"/>
    <w:qFormat/>
    <w:uiPriority w:val="0"/>
    <w:pPr>
      <w:spacing w:line="560" w:lineRule="exact"/>
      <w:ind w:left="600" w:leftChars="200" w:firstLine="600" w:firstLineChars="200"/>
    </w:pPr>
    <w:rPr>
      <w:rFonts w:cs="宋体"/>
      <w:sz w:val="28"/>
      <w:szCs w:val="20"/>
    </w:rPr>
  </w:style>
  <w:style w:type="paragraph" w:customStyle="1" w:styleId="633">
    <w:name w:val="投标 - 正文符号1"/>
    <w:basedOn w:val="1"/>
    <w:qFormat/>
    <w:uiPriority w:val="0"/>
    <w:pPr>
      <w:keepNext/>
      <w:widowControl/>
      <w:suppressLineNumbers/>
      <w:tabs>
        <w:tab w:val="left" w:pos="360"/>
      </w:tabs>
      <w:suppressAutoHyphens/>
      <w:spacing w:beforeLines="50"/>
      <w:jc w:val="left"/>
    </w:pPr>
    <w:rPr>
      <w:rFonts w:ascii="Arial" w:hAnsi="Arial"/>
      <w:kern w:val="0"/>
      <w:sz w:val="24"/>
      <w:szCs w:val="20"/>
      <w:lang w:eastAsia="en-US"/>
    </w:rPr>
  </w:style>
  <w:style w:type="paragraph" w:customStyle="1" w:styleId="634">
    <w:name w:val="xl49"/>
    <w:basedOn w:val="1"/>
    <w:qFormat/>
    <w:uiPriority w:val="0"/>
    <w:pPr>
      <w:widowControl/>
      <w:pBdr>
        <w:left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635">
    <w:name w:val="Appendix Index"/>
    <w:basedOn w:val="1"/>
    <w:qFormat/>
    <w:uiPriority w:val="0"/>
    <w:pPr>
      <w:tabs>
        <w:tab w:val="left" w:pos="432"/>
      </w:tabs>
      <w:ind w:left="432" w:hanging="432"/>
      <w:jc w:val="left"/>
    </w:pPr>
    <w:rPr>
      <w:rFonts w:eastAsia="PMingLiU"/>
      <w:kern w:val="0"/>
      <w:sz w:val="24"/>
    </w:rPr>
  </w:style>
  <w:style w:type="paragraph" w:customStyle="1" w:styleId="636">
    <w:name w:val="样式 标题 1 + 首行缩进:  2 字符 段前: 1 行 段后: 1 行"/>
    <w:basedOn w:val="3"/>
    <w:qFormat/>
    <w:uiPriority w:val="0"/>
    <w:pPr>
      <w:spacing w:beforeLines="100" w:afterLines="100" w:line="240" w:lineRule="auto"/>
    </w:pPr>
    <w:rPr>
      <w:rFonts w:eastAsia="黑体" w:cs="宋体"/>
      <w:b w:val="0"/>
      <w:bCs w:val="0"/>
      <w:sz w:val="28"/>
      <w:szCs w:val="20"/>
    </w:rPr>
  </w:style>
  <w:style w:type="paragraph" w:customStyle="1" w:styleId="637">
    <w:name w:val="xl654"/>
    <w:basedOn w:val="1"/>
    <w:qFormat/>
    <w:uiPriority w:val="0"/>
    <w:pPr>
      <w:widowControl/>
      <w:spacing w:before="100" w:beforeAutospacing="1" w:after="100" w:afterAutospacing="1"/>
      <w:jc w:val="right"/>
      <w:textAlignment w:val="bottom"/>
    </w:pPr>
    <w:rPr>
      <w:rFonts w:ascii="宋体" w:hAnsi="宋体" w:cs="宋体"/>
      <w:color w:val="000000"/>
      <w:kern w:val="0"/>
      <w:sz w:val="20"/>
      <w:szCs w:val="20"/>
    </w:rPr>
  </w:style>
  <w:style w:type="paragraph" w:customStyle="1" w:styleId="638">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39">
    <w:name w:val="样式 样式 标题 1标题 1 1 + 三号 + 左侧:  0 厘米 首行缩进:  0 厘米"/>
    <w:basedOn w:val="1"/>
    <w:qFormat/>
    <w:uiPriority w:val="0"/>
    <w:pPr>
      <w:adjustRightInd w:val="0"/>
      <w:snapToGrid w:val="0"/>
      <w:spacing w:before="140" w:after="140" w:line="440" w:lineRule="exact"/>
      <w:outlineLvl w:val="0"/>
    </w:pPr>
    <w:rPr>
      <w:rFonts w:cs="宋体"/>
      <w:b/>
      <w:bCs/>
      <w:color w:val="000000"/>
      <w:sz w:val="32"/>
      <w:szCs w:val="20"/>
    </w:rPr>
  </w:style>
  <w:style w:type="paragraph" w:customStyle="1" w:styleId="640">
    <w:name w:val="3305051"/>
    <w:basedOn w:val="1"/>
    <w:qFormat/>
    <w:uiPriority w:val="0"/>
    <w:pPr>
      <w:widowControl/>
      <w:spacing w:before="100" w:beforeAutospacing="1" w:after="100" w:afterAutospacing="1"/>
      <w:jc w:val="left"/>
    </w:pPr>
    <w:rPr>
      <w:rFonts w:ascii="Arial Unicode MS" w:hAnsi="Arial Unicode MS" w:eastAsia="Arial Unicode MS" w:cs="Arial Unicode MS"/>
      <w:kern w:val="0"/>
      <w:sz w:val="24"/>
    </w:rPr>
  </w:style>
  <w:style w:type="paragraph" w:customStyle="1" w:styleId="641">
    <w:name w:val="样式 段前: 0.5 行 段后: 0.5 行1"/>
    <w:basedOn w:val="1"/>
    <w:qFormat/>
    <w:uiPriority w:val="0"/>
    <w:pPr>
      <w:jc w:val="center"/>
    </w:pPr>
    <w:rPr>
      <w:rFonts w:cs="宋体"/>
      <w:szCs w:val="20"/>
    </w:rPr>
  </w:style>
  <w:style w:type="paragraph" w:customStyle="1" w:styleId="642">
    <w:name w:val="xl98"/>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color w:val="000000"/>
      <w:kern w:val="0"/>
      <w:sz w:val="20"/>
      <w:szCs w:val="20"/>
    </w:rPr>
  </w:style>
  <w:style w:type="paragraph" w:customStyle="1" w:styleId="643">
    <w:name w:val="正表格内容"/>
    <w:basedOn w:val="1"/>
    <w:qFormat/>
    <w:uiPriority w:val="0"/>
    <w:pPr>
      <w:keepNext/>
      <w:keepLines/>
      <w:widowControl/>
      <w:suppressLineNumbers/>
      <w:tabs>
        <w:tab w:val="left" w:pos="480"/>
      </w:tabs>
      <w:suppressAutoHyphens/>
      <w:autoSpaceDE w:val="0"/>
      <w:autoSpaceDN w:val="0"/>
      <w:adjustRightInd w:val="0"/>
      <w:jc w:val="center"/>
      <w:textAlignment w:val="bottom"/>
    </w:pPr>
    <w:rPr>
      <w:rFonts w:ascii="宋体"/>
      <w:kern w:val="0"/>
      <w:sz w:val="18"/>
      <w:szCs w:val="20"/>
    </w:rPr>
  </w:style>
  <w:style w:type="paragraph" w:customStyle="1" w:styleId="644">
    <w:name w:val="Sub title 1"/>
    <w:basedOn w:val="1"/>
    <w:qFormat/>
    <w:uiPriority w:val="0"/>
    <w:pPr>
      <w:tabs>
        <w:tab w:val="left" w:pos="1304"/>
      </w:tabs>
      <w:autoSpaceDE w:val="0"/>
      <w:autoSpaceDN w:val="0"/>
      <w:adjustRightInd w:val="0"/>
      <w:spacing w:before="170" w:line="300" w:lineRule="atLeast"/>
      <w:ind w:left="1304" w:hanging="170"/>
    </w:pPr>
    <w:rPr>
      <w:kern w:val="0"/>
      <w:sz w:val="24"/>
      <w:szCs w:val="20"/>
    </w:rPr>
  </w:style>
  <w:style w:type="paragraph" w:customStyle="1" w:styleId="645">
    <w:name w:val="CM133"/>
    <w:basedOn w:val="1"/>
    <w:next w:val="1"/>
    <w:qFormat/>
    <w:uiPriority w:val="0"/>
    <w:pPr>
      <w:autoSpaceDE w:val="0"/>
      <w:autoSpaceDN w:val="0"/>
      <w:adjustRightInd w:val="0"/>
      <w:spacing w:after="205"/>
      <w:jc w:val="left"/>
    </w:pPr>
    <w:rPr>
      <w:rFonts w:ascii="黑体" w:eastAsia="黑体"/>
      <w:kern w:val="0"/>
      <w:sz w:val="24"/>
    </w:rPr>
  </w:style>
  <w:style w:type="paragraph" w:customStyle="1" w:styleId="646">
    <w:name w:val="正文文本 21"/>
    <w:basedOn w:val="1"/>
    <w:qFormat/>
    <w:uiPriority w:val="0"/>
    <w:pPr>
      <w:spacing w:line="360" w:lineRule="auto"/>
    </w:pPr>
    <w:rPr>
      <w:color w:val="0000FF"/>
      <w:sz w:val="24"/>
      <w:szCs w:val="20"/>
    </w:rPr>
  </w:style>
  <w:style w:type="paragraph" w:customStyle="1" w:styleId="647">
    <w:name w:val="表格正文"/>
    <w:basedOn w:val="1"/>
    <w:next w:val="1"/>
    <w:qFormat/>
    <w:uiPriority w:val="0"/>
    <w:pPr>
      <w:suppressAutoHyphens/>
      <w:adjustRightInd w:val="0"/>
      <w:snapToGrid w:val="0"/>
      <w:jc w:val="center"/>
    </w:pPr>
    <w:rPr>
      <w:color w:val="548DD4"/>
      <w:lang w:eastAsia="ar-SA"/>
    </w:rPr>
  </w:style>
  <w:style w:type="paragraph" w:customStyle="1" w:styleId="648">
    <w:name w:val="正文文本缩进 211"/>
    <w:basedOn w:val="1"/>
    <w:qFormat/>
    <w:uiPriority w:val="0"/>
    <w:pPr>
      <w:spacing w:line="440" w:lineRule="exact"/>
      <w:ind w:left="1" w:firstLine="490" w:firstLineChars="204"/>
      <w:jc w:val="left"/>
    </w:pPr>
    <w:rPr>
      <w:rFonts w:eastAsia="FangSong_GB2312"/>
      <w:color w:val="000000"/>
      <w:kern w:val="0"/>
      <w:sz w:val="24"/>
      <w:szCs w:val="20"/>
    </w:rPr>
  </w:style>
  <w:style w:type="paragraph" w:customStyle="1" w:styleId="649">
    <w:name w:val="font18"/>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650">
    <w:name w:val="招标文件A）"/>
    <w:qFormat/>
    <w:uiPriority w:val="0"/>
    <w:pPr>
      <w:spacing w:before="120" w:after="120" w:line="300" w:lineRule="auto"/>
      <w:outlineLvl w:val="6"/>
    </w:pPr>
    <w:rPr>
      <w:rFonts w:ascii="宋体" w:hAnsi="Times New Roman" w:eastAsia="宋体" w:cs="Times New Roman"/>
      <w:spacing w:val="10"/>
      <w:w w:val="95"/>
      <w:sz w:val="21"/>
      <w:lang w:val="en-US" w:eastAsia="zh-CN" w:bidi="ar-SA"/>
    </w:rPr>
  </w:style>
  <w:style w:type="paragraph" w:customStyle="1" w:styleId="651">
    <w:name w:val="xl27"/>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left"/>
    </w:pPr>
    <w:rPr>
      <w:kern w:val="0"/>
      <w:sz w:val="16"/>
      <w:szCs w:val="16"/>
    </w:rPr>
  </w:style>
  <w:style w:type="paragraph" w:customStyle="1" w:styleId="652">
    <w:name w:val="技术报告正文"/>
    <w:basedOn w:val="1"/>
    <w:qFormat/>
    <w:uiPriority w:val="0"/>
    <w:pPr>
      <w:spacing w:beforeLines="50" w:line="440" w:lineRule="exact"/>
      <w:ind w:firstLine="538" w:firstLineChars="192"/>
    </w:pPr>
    <w:rPr>
      <w:rFonts w:cs="Arial"/>
      <w:bCs/>
      <w:sz w:val="28"/>
    </w:rPr>
  </w:style>
  <w:style w:type="paragraph" w:customStyle="1" w:styleId="653">
    <w:name w:val="CM6"/>
    <w:basedOn w:val="146"/>
    <w:next w:val="146"/>
    <w:qFormat/>
    <w:uiPriority w:val="0"/>
    <w:pPr>
      <w:spacing w:line="468" w:lineRule="atLeast"/>
    </w:pPr>
    <w:rPr>
      <w:rFonts w:ascii="黑体" w:eastAsia="黑体" w:cs="Times New Roman"/>
      <w:color w:val="auto"/>
    </w:rPr>
  </w:style>
  <w:style w:type="paragraph" w:customStyle="1" w:styleId="654">
    <w:name w:val="文档结构图5"/>
    <w:basedOn w:val="1"/>
    <w:qFormat/>
    <w:uiPriority w:val="0"/>
    <w:pPr>
      <w:shd w:val="clear" w:color="auto" w:fill="000080"/>
    </w:pPr>
    <w:rPr>
      <w:shd w:val="clear" w:color="auto" w:fill="000080"/>
    </w:rPr>
  </w:style>
  <w:style w:type="paragraph" w:customStyle="1" w:styleId="655">
    <w:name w:val="xl30"/>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656">
    <w:name w:val="默认段落字体 Para Char Char Char Char"/>
    <w:basedOn w:val="1"/>
    <w:qFormat/>
    <w:uiPriority w:val="0"/>
    <w:rPr>
      <w:rFonts w:ascii="宋体" w:hAnsi="宋体"/>
      <w:b/>
      <w:color w:val="000000"/>
      <w:sz w:val="24"/>
    </w:rPr>
  </w:style>
  <w:style w:type="paragraph" w:customStyle="1" w:styleId="657">
    <w:name w:val="样式 Times New Roman 左侧:  2.96 厘米"/>
    <w:basedOn w:val="1"/>
    <w:qFormat/>
    <w:uiPriority w:val="0"/>
    <w:pPr>
      <w:spacing w:line="560" w:lineRule="exact"/>
      <w:ind w:left="1680" w:firstLine="420"/>
    </w:pPr>
    <w:rPr>
      <w:rFonts w:eastAsia="Times New Roman" w:cs="宋体"/>
      <w:sz w:val="28"/>
      <w:szCs w:val="20"/>
    </w:rPr>
  </w:style>
  <w:style w:type="paragraph" w:customStyle="1" w:styleId="658">
    <w:name w:val="xl31"/>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659">
    <w:name w:val="xl6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60">
    <w:name w:val="青岛正文"/>
    <w:basedOn w:val="1"/>
    <w:qFormat/>
    <w:uiPriority w:val="0"/>
    <w:pPr>
      <w:spacing w:line="360" w:lineRule="auto"/>
    </w:pPr>
    <w:rPr>
      <w:sz w:val="28"/>
    </w:rPr>
  </w:style>
  <w:style w:type="paragraph" w:customStyle="1" w:styleId="661">
    <w:name w:val="CM131"/>
    <w:basedOn w:val="146"/>
    <w:next w:val="146"/>
    <w:qFormat/>
    <w:uiPriority w:val="0"/>
    <w:pPr>
      <w:spacing w:after="650"/>
    </w:pPr>
    <w:rPr>
      <w:rFonts w:ascii="黑体" w:eastAsia="黑体" w:cs="Times New Roman"/>
      <w:color w:val="auto"/>
    </w:rPr>
  </w:style>
  <w:style w:type="paragraph" w:customStyle="1" w:styleId="662">
    <w:name w:val="Body2a"/>
    <w:basedOn w:val="1"/>
    <w:next w:val="1"/>
    <w:qFormat/>
    <w:uiPriority w:val="0"/>
    <w:pPr>
      <w:keepNext/>
      <w:widowControl/>
      <w:tabs>
        <w:tab w:val="left" w:pos="2592"/>
      </w:tabs>
      <w:ind w:left="1152"/>
      <w:jc w:val="left"/>
    </w:pPr>
    <w:rPr>
      <w:rFonts w:ascii="Arial" w:hAnsi="Arial" w:eastAsia="PMingLiU"/>
      <w:kern w:val="0"/>
      <w:sz w:val="24"/>
      <w:szCs w:val="20"/>
      <w:lang w:eastAsia="zh-TW"/>
    </w:rPr>
  </w:style>
  <w:style w:type="paragraph" w:customStyle="1" w:styleId="663">
    <w:name w:val="CM139"/>
    <w:basedOn w:val="146"/>
    <w:next w:val="146"/>
    <w:qFormat/>
    <w:uiPriority w:val="0"/>
    <w:pPr>
      <w:spacing w:after="105"/>
    </w:pPr>
    <w:rPr>
      <w:rFonts w:ascii="黑体" w:eastAsia="黑体" w:cs="Times New Roman"/>
      <w:color w:val="auto"/>
    </w:rPr>
  </w:style>
  <w:style w:type="paragraph" w:customStyle="1" w:styleId="664">
    <w:name w:val="xl56"/>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20"/>
      <w:szCs w:val="20"/>
    </w:rPr>
  </w:style>
  <w:style w:type="paragraph" w:customStyle="1" w:styleId="665">
    <w:name w:val="五号线1"/>
    <w:qFormat/>
    <w:uiPriority w:val="0"/>
    <w:pPr>
      <w:pageBreakBefore/>
      <w:tabs>
        <w:tab w:val="left" w:pos="1385"/>
        <w:tab w:val="left" w:pos="1440"/>
      </w:tabs>
      <w:spacing w:before="120" w:after="120" w:line="500" w:lineRule="exact"/>
      <w:jc w:val="center"/>
      <w:outlineLvl w:val="0"/>
    </w:pPr>
    <w:rPr>
      <w:rFonts w:ascii="宋体" w:hAnsi="Times New Roman" w:eastAsia="宋体" w:cs="Times New Roman"/>
      <w:b/>
      <w:spacing w:val="6"/>
      <w:w w:val="95"/>
      <w:sz w:val="36"/>
      <w:lang w:val="en-US" w:eastAsia="zh-CN" w:bidi="ar-SA"/>
    </w:rPr>
  </w:style>
  <w:style w:type="paragraph" w:customStyle="1" w:styleId="666">
    <w:name w:val="正文文本缩进 32"/>
    <w:basedOn w:val="1"/>
    <w:qFormat/>
    <w:uiPriority w:val="0"/>
    <w:pPr>
      <w:autoSpaceDE w:val="0"/>
      <w:autoSpaceDN w:val="0"/>
      <w:adjustRightInd w:val="0"/>
      <w:spacing w:line="480" w:lineRule="exact"/>
      <w:ind w:firstLine="525" w:firstLineChars="200"/>
      <w:jc w:val="left"/>
      <w:textAlignment w:val="baseline"/>
    </w:pPr>
    <w:rPr>
      <w:color w:val="1F497D"/>
      <w:sz w:val="24"/>
    </w:rPr>
  </w:style>
  <w:style w:type="paragraph" w:customStyle="1" w:styleId="667">
    <w:name w:val="xl175"/>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68">
    <w:name w:val="编号(1)"/>
    <w:basedOn w:val="1"/>
    <w:qFormat/>
    <w:uiPriority w:val="0"/>
    <w:pPr>
      <w:tabs>
        <w:tab w:val="left" w:pos="547"/>
        <w:tab w:val="left" w:pos="720"/>
        <w:tab w:val="left" w:pos="1080"/>
      </w:tabs>
      <w:snapToGrid w:val="0"/>
      <w:spacing w:line="480" w:lineRule="atLeast"/>
      <w:ind w:left="360" w:hanging="360"/>
    </w:pPr>
    <w:rPr>
      <w:sz w:val="28"/>
    </w:rPr>
  </w:style>
  <w:style w:type="paragraph" w:customStyle="1" w:styleId="669">
    <w:name w:val="CM9"/>
    <w:basedOn w:val="146"/>
    <w:next w:val="146"/>
    <w:qFormat/>
    <w:uiPriority w:val="0"/>
    <w:pPr>
      <w:spacing w:line="468" w:lineRule="atLeast"/>
    </w:pPr>
    <w:rPr>
      <w:rFonts w:ascii="黑体" w:eastAsia="黑体" w:cs="Times New Roman"/>
      <w:color w:val="auto"/>
    </w:rPr>
  </w:style>
  <w:style w:type="paragraph" w:customStyle="1" w:styleId="670">
    <w:name w:val="Report Level 1"/>
    <w:basedOn w:val="1"/>
    <w:next w:val="558"/>
    <w:qFormat/>
    <w:uiPriority w:val="0"/>
    <w:pPr>
      <w:keepNext/>
      <w:widowControl/>
      <w:tabs>
        <w:tab w:val="left" w:pos="1080"/>
      </w:tabs>
      <w:spacing w:before="240" w:after="120"/>
      <w:ind w:left="1080" w:hanging="1080"/>
      <w:jc w:val="left"/>
      <w:outlineLvl w:val="0"/>
    </w:pPr>
    <w:rPr>
      <w:rFonts w:ascii="Arial" w:hAnsi="Arial"/>
      <w:b/>
      <w:caps/>
      <w:kern w:val="0"/>
      <w:sz w:val="24"/>
      <w:szCs w:val="20"/>
      <w:lang w:eastAsia="en-US"/>
    </w:rPr>
  </w:style>
  <w:style w:type="paragraph" w:customStyle="1" w:styleId="671">
    <w:name w:val="xl65"/>
    <w:basedOn w:val="1"/>
    <w:qFormat/>
    <w:uiPriority w:val="0"/>
    <w:pPr>
      <w:widowControl/>
      <w:pBdr>
        <w:top w:val="single" w:color="auto" w:sz="4" w:space="0"/>
        <w:left w:val="single" w:color="auto" w:sz="4" w:space="0"/>
      </w:pBdr>
      <w:spacing w:before="100" w:beforeAutospacing="1" w:after="100" w:afterAutospacing="1"/>
      <w:jc w:val="center"/>
    </w:pPr>
    <w:rPr>
      <w:rFonts w:ascii="宋体" w:hAnsi="宋体"/>
      <w:kern w:val="0"/>
      <w:sz w:val="20"/>
      <w:szCs w:val="20"/>
    </w:rPr>
  </w:style>
  <w:style w:type="paragraph" w:customStyle="1" w:styleId="672">
    <w:name w:val="列表编号 41"/>
    <w:basedOn w:val="1"/>
    <w:qFormat/>
    <w:uiPriority w:val="0"/>
    <w:pPr>
      <w:keepNext/>
      <w:tabs>
        <w:tab w:val="left" w:pos="1620"/>
      </w:tabs>
      <w:spacing w:before="120" w:after="120" w:line="360" w:lineRule="auto"/>
      <w:ind w:left="1616" w:hanging="357" w:firstLineChars="200"/>
      <w:jc w:val="left"/>
    </w:pPr>
  </w:style>
  <w:style w:type="paragraph" w:customStyle="1" w:styleId="673">
    <w:name w:val="投标标题3"/>
    <w:qFormat/>
    <w:uiPriority w:val="0"/>
    <w:pPr>
      <w:spacing w:line="520" w:lineRule="exact"/>
    </w:pPr>
    <w:rPr>
      <w:rFonts w:ascii="Times New Roman" w:hAnsi="Times New Roman" w:eastAsia="宋体" w:cs="Times New Roman"/>
      <w:b/>
      <w:sz w:val="28"/>
      <w:lang w:val="en-US" w:eastAsia="zh-CN" w:bidi="ar-SA"/>
    </w:rPr>
  </w:style>
  <w:style w:type="paragraph" w:customStyle="1" w:styleId="674">
    <w:name w:val="正文文本缩进1"/>
    <w:basedOn w:val="1"/>
    <w:qFormat/>
    <w:uiPriority w:val="0"/>
    <w:pPr>
      <w:spacing w:line="360" w:lineRule="auto"/>
      <w:ind w:left="1" w:firstLine="538"/>
    </w:pPr>
    <w:rPr>
      <w:rFonts w:ascii="宋体" w:hAnsi="宋体"/>
      <w:sz w:val="28"/>
      <w:szCs w:val="20"/>
    </w:rPr>
  </w:style>
  <w:style w:type="paragraph" w:customStyle="1" w:styleId="675">
    <w:name w:val="索引 11"/>
    <w:basedOn w:val="1"/>
    <w:next w:val="1"/>
    <w:qFormat/>
    <w:uiPriority w:val="0"/>
    <w:pPr>
      <w:spacing w:line="480" w:lineRule="exact"/>
    </w:pPr>
    <w:rPr>
      <w:sz w:val="24"/>
    </w:rPr>
  </w:style>
  <w:style w:type="paragraph" w:customStyle="1" w:styleId="676">
    <w:name w:val="xl9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677">
    <w:name w:val="xl113"/>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678">
    <w:name w:val="样式 标题 4 + 小三 加粗"/>
    <w:basedOn w:val="592"/>
    <w:qFormat/>
    <w:uiPriority w:val="0"/>
    <w:pPr>
      <w:tabs>
        <w:tab w:val="left" w:pos="1440"/>
      </w:tabs>
      <w:adjustRightInd w:val="0"/>
      <w:spacing w:before="0" w:line="360" w:lineRule="atLeast"/>
      <w:textAlignment w:val="baseline"/>
    </w:pPr>
    <w:rPr>
      <w:kern w:val="0"/>
      <w:szCs w:val="20"/>
    </w:rPr>
  </w:style>
  <w:style w:type="paragraph" w:customStyle="1" w:styleId="679">
    <w:name w:val="xl1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680">
    <w:name w:val="样式 样式2 + 四号 自动设置 段前: 0 磅 段后: 0 磅 行距: 固定值 24 磅"/>
    <w:basedOn w:val="646"/>
    <w:qFormat/>
    <w:uiPriority w:val="0"/>
    <w:pPr>
      <w:spacing w:line="480" w:lineRule="exact"/>
      <w:ind w:firstLine="840" w:firstLineChars="300"/>
    </w:pPr>
    <w:rPr>
      <w:rFonts w:cs="宋体"/>
      <w:color w:val="auto"/>
      <w:sz w:val="28"/>
    </w:rPr>
  </w:style>
  <w:style w:type="paragraph" w:customStyle="1" w:styleId="681">
    <w:name w:val="font22"/>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682">
    <w:name w:val="xl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683">
    <w:name w:val="图说"/>
    <w:basedOn w:val="1"/>
    <w:semiHidden/>
    <w:qFormat/>
    <w:uiPriority w:val="0"/>
    <w:pPr>
      <w:topLinePunct/>
      <w:snapToGrid w:val="0"/>
      <w:spacing w:before="60" w:after="160" w:line="312" w:lineRule="exact"/>
      <w:jc w:val="center"/>
    </w:pPr>
    <w:rPr>
      <w:rFonts w:ascii="EU-F1" w:eastAsia="黑体"/>
      <w:szCs w:val="21"/>
    </w:rPr>
  </w:style>
  <w:style w:type="paragraph" w:customStyle="1" w:styleId="684">
    <w:name w:val="图片"/>
    <w:basedOn w:val="1"/>
    <w:qFormat/>
    <w:uiPriority w:val="0"/>
    <w:pPr>
      <w:topLinePunct/>
      <w:snapToGrid w:val="0"/>
      <w:spacing w:before="160" w:after="160"/>
      <w:jc w:val="center"/>
    </w:pPr>
    <w:rPr>
      <w:szCs w:val="21"/>
    </w:rPr>
  </w:style>
  <w:style w:type="paragraph" w:customStyle="1" w:styleId="685">
    <w:name w:val="签名1"/>
    <w:basedOn w:val="1"/>
    <w:qFormat/>
    <w:uiPriority w:val="0"/>
    <w:pPr>
      <w:ind w:left="100" w:leftChars="2100"/>
    </w:pPr>
    <w:rPr>
      <w:rFonts w:ascii="Arial" w:hAnsi="Arial"/>
      <w:kern w:val="0"/>
      <w:sz w:val="20"/>
    </w:rPr>
  </w:style>
  <w:style w:type="paragraph" w:customStyle="1" w:styleId="686">
    <w:name w:val="样式 标题 3 + 四号 行距: 固定值 24 磅"/>
    <w:basedOn w:val="5"/>
    <w:qFormat/>
    <w:uiPriority w:val="0"/>
    <w:pPr>
      <w:tabs>
        <w:tab w:val="clear" w:pos="720"/>
        <w:tab w:val="clear" w:pos="1260"/>
      </w:tabs>
      <w:autoSpaceDE w:val="0"/>
      <w:autoSpaceDN w:val="0"/>
      <w:adjustRightInd w:val="0"/>
      <w:snapToGrid w:val="0"/>
      <w:spacing w:before="0" w:after="0" w:line="480" w:lineRule="exact"/>
      <w:ind w:left="0" w:firstLine="200" w:firstLineChars="200"/>
      <w:jc w:val="both"/>
    </w:pPr>
    <w:rPr>
      <w:rFonts w:ascii="宋体" w:cs="宋体"/>
      <w:kern w:val="2"/>
      <w:sz w:val="28"/>
    </w:rPr>
  </w:style>
  <w:style w:type="paragraph" w:customStyle="1" w:styleId="687">
    <w:name w:val="表格5"/>
    <w:basedOn w:val="1"/>
    <w:qFormat/>
    <w:uiPriority w:val="0"/>
    <w:pPr>
      <w:adjustRightInd w:val="0"/>
      <w:spacing w:line="420" w:lineRule="atLeast"/>
      <w:ind w:left="1021" w:hanging="284" w:firstLineChars="200"/>
      <w:jc w:val="left"/>
      <w:textAlignment w:val="baseline"/>
    </w:pPr>
    <w:rPr>
      <w:rFonts w:ascii="宋体"/>
      <w:color w:val="1F497D"/>
      <w:kern w:val="0"/>
      <w:sz w:val="24"/>
    </w:rPr>
  </w:style>
  <w:style w:type="paragraph" w:customStyle="1" w:styleId="688">
    <w:name w:val="表格2"/>
    <w:basedOn w:val="1"/>
    <w:qFormat/>
    <w:uiPriority w:val="0"/>
    <w:pPr>
      <w:adjustRightInd w:val="0"/>
      <w:spacing w:line="420" w:lineRule="atLeast"/>
      <w:ind w:left="284" w:firstLine="454" w:firstLineChars="200"/>
      <w:jc w:val="left"/>
      <w:textAlignment w:val="baseline"/>
    </w:pPr>
    <w:rPr>
      <w:color w:val="1F497D"/>
      <w:kern w:val="0"/>
      <w:sz w:val="24"/>
    </w:rPr>
  </w:style>
  <w:style w:type="paragraph" w:customStyle="1" w:styleId="689">
    <w:name w:val="et60"/>
    <w:basedOn w:val="1"/>
    <w:qFormat/>
    <w:uiPriority w:val="0"/>
    <w:pPr>
      <w:widowControl/>
      <w:spacing w:before="100" w:beforeAutospacing="1" w:after="100" w:afterAutospacing="1"/>
      <w:jc w:val="center"/>
      <w:textAlignment w:val="center"/>
    </w:pPr>
    <w:rPr>
      <w:rFonts w:ascii="宋体" w:hAnsi="宋体" w:cs="宋体"/>
      <w:b/>
      <w:bCs/>
      <w:color w:val="000000"/>
      <w:kern w:val="0"/>
      <w:sz w:val="28"/>
      <w:szCs w:val="28"/>
    </w:rPr>
  </w:style>
  <w:style w:type="paragraph" w:customStyle="1" w:styleId="690">
    <w:name w:val="方案正文"/>
    <w:qFormat/>
    <w:uiPriority w:val="0"/>
    <w:pPr>
      <w:widowControl w:val="0"/>
      <w:adjustRightInd w:val="0"/>
      <w:snapToGrid w:val="0"/>
      <w:spacing w:line="440" w:lineRule="exact"/>
      <w:ind w:firstLine="200" w:firstLineChars="200"/>
    </w:pPr>
    <w:rPr>
      <w:rFonts w:ascii="Times New Roman" w:hAnsi="Times New Roman" w:eastAsia="宋体" w:cs="Times New Roman"/>
      <w:sz w:val="26"/>
      <w:lang w:val="en-US" w:eastAsia="zh-CN" w:bidi="ar-SA"/>
    </w:rPr>
  </w:style>
  <w:style w:type="paragraph" w:customStyle="1" w:styleId="691">
    <w:name w:val="xl169"/>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692">
    <w:name w:val="CM97"/>
    <w:basedOn w:val="146"/>
    <w:next w:val="146"/>
    <w:qFormat/>
    <w:uiPriority w:val="0"/>
    <w:rPr>
      <w:rFonts w:ascii="黑体" w:eastAsia="黑体" w:cs="Times New Roman"/>
      <w:color w:val="auto"/>
    </w:rPr>
  </w:style>
  <w:style w:type="paragraph" w:customStyle="1" w:styleId="693">
    <w:name w:val="CM37"/>
    <w:basedOn w:val="146"/>
    <w:next w:val="146"/>
    <w:qFormat/>
    <w:uiPriority w:val="0"/>
    <w:pPr>
      <w:spacing w:line="468" w:lineRule="atLeast"/>
    </w:pPr>
    <w:rPr>
      <w:rFonts w:ascii="黑体" w:eastAsia="黑体" w:cs="Times New Roman"/>
      <w:color w:val="auto"/>
    </w:rPr>
  </w:style>
  <w:style w:type="paragraph" w:customStyle="1" w:styleId="694">
    <w:name w:val="条文 1"/>
    <w:next w:val="1"/>
    <w:qFormat/>
    <w:uiPriority w:val="0"/>
    <w:pPr>
      <w:spacing w:line="310" w:lineRule="exact"/>
      <w:ind w:left="420"/>
    </w:pPr>
    <w:rPr>
      <w:rFonts w:ascii="Times New Roman" w:hAnsi="Times New Roman" w:eastAsia="黑体" w:cs="Times New Roman"/>
      <w:sz w:val="21"/>
      <w:lang w:val="en-US" w:eastAsia="zh-CN" w:bidi="ar-SA"/>
    </w:rPr>
  </w:style>
  <w:style w:type="paragraph" w:customStyle="1" w:styleId="695">
    <w:name w:val="列表编号 21"/>
    <w:basedOn w:val="1"/>
    <w:qFormat/>
    <w:uiPriority w:val="0"/>
    <w:pPr>
      <w:keepNext/>
      <w:tabs>
        <w:tab w:val="left" w:pos="780"/>
      </w:tabs>
      <w:spacing w:before="120" w:after="120" w:line="360" w:lineRule="auto"/>
      <w:ind w:left="400" w:leftChars="200" w:hanging="200" w:hangingChars="200"/>
      <w:jc w:val="left"/>
    </w:pPr>
  </w:style>
  <w:style w:type="paragraph" w:customStyle="1" w:styleId="696">
    <w:name w:val="招标文件正文"/>
    <w:qFormat/>
    <w:uiPriority w:val="0"/>
    <w:pPr>
      <w:spacing w:before="120" w:after="120" w:line="300" w:lineRule="auto"/>
      <w:ind w:firstLine="200" w:firstLineChars="200"/>
    </w:pPr>
    <w:rPr>
      <w:rFonts w:ascii="宋体" w:hAnsi="Times New Roman" w:eastAsia="宋体" w:cs="Times New Roman"/>
      <w:spacing w:val="10"/>
      <w:w w:val="95"/>
      <w:sz w:val="21"/>
      <w:lang w:val="en-US" w:eastAsia="zh-CN" w:bidi="ar-SA"/>
    </w:rPr>
  </w:style>
  <w:style w:type="paragraph" w:customStyle="1" w:styleId="697">
    <w:name w:val="小标题一"/>
    <w:basedOn w:val="1"/>
    <w:next w:val="1"/>
    <w:qFormat/>
    <w:uiPriority w:val="0"/>
    <w:pPr>
      <w:tabs>
        <w:tab w:val="left" w:pos="2356"/>
      </w:tabs>
      <w:spacing w:line="500" w:lineRule="exact"/>
      <w:ind w:left="1984" w:hanging="708"/>
    </w:pPr>
    <w:rPr>
      <w:sz w:val="28"/>
    </w:rPr>
  </w:style>
  <w:style w:type="paragraph" w:customStyle="1" w:styleId="698">
    <w:name w:val="xl10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99">
    <w:name w:val="正文文本缩进 21"/>
    <w:basedOn w:val="1"/>
    <w:qFormat/>
    <w:uiPriority w:val="0"/>
    <w:pPr>
      <w:spacing w:line="360" w:lineRule="auto"/>
      <w:ind w:firstLine="425"/>
    </w:pPr>
    <w:rPr>
      <w:sz w:val="28"/>
      <w:szCs w:val="20"/>
    </w:rPr>
  </w:style>
  <w:style w:type="paragraph" w:customStyle="1" w:styleId="700">
    <w:name w:val="文本框-小五居中"/>
    <w:qFormat/>
    <w:uiPriority w:val="0"/>
    <w:pPr>
      <w:keepNext/>
      <w:jc w:val="center"/>
    </w:pPr>
    <w:rPr>
      <w:rFonts w:ascii="Times New Roman" w:hAnsi="Times New Roman" w:eastAsia="宋体" w:cs="Times New Roman"/>
      <w:kern w:val="2"/>
      <w:sz w:val="18"/>
      <w:szCs w:val="24"/>
      <w:lang w:val="en-US" w:eastAsia="zh-CN" w:bidi="ar-SA"/>
    </w:rPr>
  </w:style>
  <w:style w:type="paragraph" w:customStyle="1" w:styleId="701">
    <w:name w:val="xl15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FF0000"/>
      <w:kern w:val="0"/>
      <w:sz w:val="20"/>
      <w:szCs w:val="20"/>
    </w:rPr>
  </w:style>
  <w:style w:type="paragraph" w:customStyle="1" w:styleId="702">
    <w:name w:val="列表4"/>
    <w:basedOn w:val="1"/>
    <w:qFormat/>
    <w:uiPriority w:val="0"/>
    <w:pPr>
      <w:widowControl/>
      <w:tabs>
        <w:tab w:val="left" w:pos="432"/>
      </w:tabs>
      <w:spacing w:before="120" w:after="120"/>
      <w:ind w:left="432" w:hanging="432"/>
    </w:pPr>
    <w:rPr>
      <w:rFonts w:ascii="宋体" w:hAnsi="宋体"/>
      <w:kern w:val="0"/>
      <w:sz w:val="24"/>
      <w:lang w:eastAsia="en-US"/>
    </w:rPr>
  </w:style>
  <w:style w:type="paragraph" w:customStyle="1" w:styleId="703">
    <w:name w:val="列表框1 Char"/>
    <w:basedOn w:val="1"/>
    <w:next w:val="1"/>
    <w:qFormat/>
    <w:uiPriority w:val="0"/>
    <w:pPr>
      <w:tabs>
        <w:tab w:val="left" w:pos="2018"/>
        <w:tab w:val="left" w:pos="2086"/>
      </w:tabs>
      <w:adjustRightInd w:val="0"/>
      <w:snapToGrid w:val="0"/>
      <w:spacing w:afterLines="50" w:line="320" w:lineRule="exact"/>
      <w:ind w:left="2031" w:leftChars="665" w:hanging="435" w:hangingChars="189"/>
      <w:jc w:val="left"/>
    </w:pPr>
    <w:rPr>
      <w:rFonts w:ascii="Arial" w:hAnsi="Arial" w:eastAsia="KaiTi_GB2312" w:cs="Arial"/>
      <w:spacing w:val="10"/>
    </w:rPr>
  </w:style>
  <w:style w:type="paragraph" w:customStyle="1" w:styleId="704">
    <w:name w:val="CM132"/>
    <w:basedOn w:val="146"/>
    <w:next w:val="146"/>
    <w:qFormat/>
    <w:uiPriority w:val="0"/>
    <w:pPr>
      <w:spacing w:after="343"/>
    </w:pPr>
    <w:rPr>
      <w:rFonts w:ascii="黑体" w:eastAsia="黑体" w:cs="Times New Roman"/>
      <w:color w:val="auto"/>
    </w:rPr>
  </w:style>
  <w:style w:type="paragraph" w:customStyle="1" w:styleId="705">
    <w:name w:val="Report Level 3"/>
    <w:basedOn w:val="670"/>
    <w:next w:val="558"/>
    <w:qFormat/>
    <w:uiPriority w:val="0"/>
    <w:pPr>
      <w:tabs>
        <w:tab w:val="left" w:pos="360"/>
        <w:tab w:val="left" w:pos="1680"/>
        <w:tab w:val="clear" w:pos="1080"/>
      </w:tabs>
      <w:spacing w:before="120"/>
      <w:ind w:left="360" w:hanging="360"/>
      <w:outlineLvl w:val="2"/>
    </w:pPr>
    <w:rPr>
      <w:caps w:val="0"/>
      <w:sz w:val="20"/>
    </w:rPr>
  </w:style>
  <w:style w:type="paragraph" w:customStyle="1" w:styleId="706">
    <w:name w:val="StandardOhneEinzug"/>
    <w:basedOn w:val="1"/>
    <w:qFormat/>
    <w:uiPriority w:val="0"/>
    <w:pPr>
      <w:widowControl/>
      <w:tabs>
        <w:tab w:val="left" w:pos="560"/>
      </w:tabs>
      <w:spacing w:after="240" w:line="288" w:lineRule="auto"/>
      <w:ind w:left="200"/>
      <w:jc w:val="left"/>
    </w:pPr>
    <w:rPr>
      <w:rFonts w:ascii="Arial" w:hAnsi="Arial"/>
      <w:kern w:val="0"/>
      <w:sz w:val="22"/>
      <w:szCs w:val="20"/>
    </w:rPr>
  </w:style>
  <w:style w:type="paragraph" w:customStyle="1" w:styleId="707">
    <w:name w:val="Blockquote"/>
    <w:basedOn w:val="1"/>
    <w:qFormat/>
    <w:uiPriority w:val="0"/>
    <w:pPr>
      <w:autoSpaceDE w:val="0"/>
      <w:autoSpaceDN w:val="0"/>
      <w:adjustRightInd w:val="0"/>
      <w:spacing w:before="100" w:after="100"/>
      <w:ind w:left="360" w:right="360"/>
      <w:jc w:val="left"/>
    </w:pPr>
    <w:rPr>
      <w:kern w:val="0"/>
      <w:sz w:val="24"/>
      <w:szCs w:val="20"/>
    </w:rPr>
  </w:style>
  <w:style w:type="paragraph" w:customStyle="1" w:styleId="708">
    <w:name w:val="缺省文本"/>
    <w:basedOn w:val="1"/>
    <w:qFormat/>
    <w:uiPriority w:val="0"/>
    <w:pPr>
      <w:autoSpaceDE w:val="0"/>
      <w:autoSpaceDN w:val="0"/>
      <w:adjustRightInd w:val="0"/>
      <w:jc w:val="left"/>
    </w:pPr>
    <w:rPr>
      <w:kern w:val="0"/>
      <w:sz w:val="24"/>
    </w:rPr>
  </w:style>
  <w:style w:type="paragraph" w:customStyle="1" w:styleId="709">
    <w:name w:val="xl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710">
    <w:name w:val="序号"/>
    <w:basedOn w:val="1"/>
    <w:qFormat/>
    <w:uiPriority w:val="0"/>
    <w:pPr>
      <w:tabs>
        <w:tab w:val="left" w:pos="560"/>
        <w:tab w:val="left" w:pos="1120"/>
      </w:tabs>
      <w:snapToGrid w:val="0"/>
      <w:spacing w:line="480" w:lineRule="atLeast"/>
      <w:ind w:firstLine="547"/>
    </w:pPr>
    <w:rPr>
      <w:sz w:val="28"/>
      <w:szCs w:val="28"/>
    </w:rPr>
  </w:style>
  <w:style w:type="paragraph" w:customStyle="1" w:styleId="711">
    <w:name w:val="CM141"/>
    <w:basedOn w:val="146"/>
    <w:next w:val="146"/>
    <w:qFormat/>
    <w:uiPriority w:val="0"/>
    <w:pPr>
      <w:spacing w:after="400"/>
    </w:pPr>
    <w:rPr>
      <w:rFonts w:ascii="黑体" w:eastAsia="黑体" w:cs="Times New Roman"/>
      <w:color w:val="auto"/>
    </w:rPr>
  </w:style>
  <w:style w:type="paragraph" w:customStyle="1" w:styleId="712">
    <w:name w:val="标题 2 FS"/>
    <w:basedOn w:val="4"/>
    <w:qFormat/>
    <w:uiPriority w:val="0"/>
    <w:pPr>
      <w:widowControl w:val="0"/>
      <w:tabs>
        <w:tab w:val="left" w:pos="210"/>
      </w:tabs>
      <w:autoSpaceDE w:val="0"/>
      <w:autoSpaceDN w:val="0"/>
      <w:adjustRightInd w:val="0"/>
      <w:snapToGrid w:val="0"/>
      <w:spacing w:beforeLines="50" w:afterLines="50" w:line="360" w:lineRule="auto"/>
      <w:jc w:val="left"/>
    </w:pPr>
    <w:rPr>
      <w:rFonts w:ascii="Times New Roman" w:hAnsi="Times New Roman" w:eastAsia="宋体"/>
      <w:kern w:val="2"/>
      <w:sz w:val="28"/>
      <w:szCs w:val="28"/>
    </w:rPr>
  </w:style>
  <w:style w:type="paragraph" w:customStyle="1" w:styleId="713">
    <w:name w:val="正文2"/>
    <w:basedOn w:val="1"/>
    <w:qFormat/>
    <w:uiPriority w:val="0"/>
    <w:pPr>
      <w:jc w:val="center"/>
    </w:pPr>
    <w:rPr>
      <w:rFonts w:eastAsia="幼圆"/>
      <w:sz w:val="28"/>
      <w:szCs w:val="28"/>
    </w:rPr>
  </w:style>
  <w:style w:type="paragraph" w:customStyle="1" w:styleId="714">
    <w:name w:val="样式 标题 3 + (中文) 黑体 小四 非加粗 段前: 7.8 磅 段后: 0 磅 行距: 固定值 20 磅"/>
    <w:basedOn w:val="5"/>
    <w:link w:val="1907"/>
    <w:qFormat/>
    <w:uiPriority w:val="0"/>
    <w:pPr>
      <w:widowControl w:val="0"/>
      <w:tabs>
        <w:tab w:val="clear" w:pos="720"/>
        <w:tab w:val="clear" w:pos="1260"/>
      </w:tabs>
      <w:spacing w:before="0" w:after="0" w:line="400" w:lineRule="exact"/>
      <w:ind w:left="0" w:firstLine="0"/>
      <w:jc w:val="both"/>
    </w:pPr>
    <w:rPr>
      <w:rFonts w:eastAsia="黑体" w:cs="宋体"/>
      <w:sz w:val="24"/>
    </w:rPr>
  </w:style>
  <w:style w:type="paragraph" w:customStyle="1" w:styleId="715">
    <w:name w:val="xl48"/>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20"/>
      <w:szCs w:val="20"/>
    </w:rPr>
  </w:style>
  <w:style w:type="paragraph" w:customStyle="1" w:styleId="716">
    <w:name w:val="样式 表格文字 BJ15"/>
    <w:basedOn w:val="1"/>
    <w:qFormat/>
    <w:uiPriority w:val="0"/>
    <w:pPr>
      <w:adjustRightInd w:val="0"/>
      <w:snapToGrid w:val="0"/>
      <w:spacing w:line="400" w:lineRule="exact"/>
      <w:jc w:val="center"/>
    </w:pPr>
    <w:rPr>
      <w:rFonts w:cs="宋体"/>
      <w:szCs w:val="20"/>
    </w:rPr>
  </w:style>
  <w:style w:type="paragraph" w:customStyle="1" w:styleId="717">
    <w:name w:val="一级条标题"/>
    <w:basedOn w:val="1"/>
    <w:next w:val="1"/>
    <w:qFormat/>
    <w:uiPriority w:val="0"/>
    <w:pPr>
      <w:widowControl/>
      <w:spacing w:beforeLines="50" w:afterLines="50"/>
      <w:outlineLvl w:val="2"/>
    </w:pPr>
    <w:rPr>
      <w:rFonts w:ascii="黑体" w:eastAsia="黑体"/>
      <w:kern w:val="0"/>
      <w:szCs w:val="20"/>
    </w:rPr>
  </w:style>
  <w:style w:type="paragraph" w:customStyle="1" w:styleId="718">
    <w:name w:val="章标题"/>
    <w:next w:val="1"/>
    <w:qFormat/>
    <w:uiPriority w:val="0"/>
    <w:pPr>
      <w:spacing w:beforeLines="50" w:afterLines="50"/>
      <w:jc w:val="both"/>
      <w:outlineLvl w:val="1"/>
    </w:pPr>
    <w:rPr>
      <w:rFonts w:ascii="黑体" w:hAnsi="Times New Roman" w:eastAsia="黑体" w:cs="Times New Roman"/>
      <w:sz w:val="21"/>
      <w:lang w:val="en-US" w:eastAsia="zh-CN" w:bidi="ar-SA"/>
    </w:rPr>
  </w:style>
  <w:style w:type="paragraph" w:customStyle="1" w:styleId="719">
    <w:name w:val="正文1"/>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720">
    <w:name w:val="xl1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21">
    <w:name w:val="xl16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22">
    <w:name w:val="纯文本1"/>
    <w:basedOn w:val="1"/>
    <w:qFormat/>
    <w:uiPriority w:val="0"/>
    <w:rPr>
      <w:rFonts w:ascii="宋体" w:hAnsi="Courier New"/>
      <w:szCs w:val="21"/>
    </w:rPr>
  </w:style>
  <w:style w:type="paragraph" w:customStyle="1" w:styleId="723">
    <w:name w:val="xl26"/>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724">
    <w:name w:val="xl123"/>
    <w:basedOn w:val="1"/>
    <w:qFormat/>
    <w:uiPriority w:val="0"/>
    <w:pPr>
      <w:widowControl/>
      <w:spacing w:before="100" w:beforeAutospacing="1" w:after="100" w:afterAutospacing="1"/>
      <w:jc w:val="center"/>
    </w:pPr>
    <w:rPr>
      <w:rFonts w:ascii="宋体" w:hAnsi="宋体" w:cs="宋体"/>
      <w:kern w:val="0"/>
      <w:sz w:val="20"/>
      <w:szCs w:val="20"/>
    </w:rPr>
  </w:style>
  <w:style w:type="paragraph" w:customStyle="1" w:styleId="725">
    <w:name w:val="样式 wang正文 + 首行缩进:  2 字符1"/>
    <w:basedOn w:val="410"/>
    <w:semiHidden/>
    <w:qFormat/>
    <w:uiPriority w:val="0"/>
    <w:pPr>
      <w:ind w:firstLine="640"/>
    </w:pPr>
  </w:style>
  <w:style w:type="paragraph" w:customStyle="1" w:styleId="726">
    <w:name w:val="招标文件1"/>
    <w:basedOn w:val="1"/>
    <w:qFormat/>
    <w:uiPriority w:val="0"/>
    <w:pPr>
      <w:tabs>
        <w:tab w:val="left" w:pos="420"/>
        <w:tab w:val="left" w:pos="840"/>
      </w:tabs>
      <w:spacing w:before="120" w:after="120" w:line="480" w:lineRule="exact"/>
      <w:ind w:left="840" w:hanging="420"/>
      <w:jc w:val="left"/>
      <w:outlineLvl w:val="1"/>
    </w:pPr>
    <w:rPr>
      <w:rFonts w:ascii="宋体"/>
      <w:b/>
      <w:spacing w:val="10"/>
      <w:w w:val="95"/>
      <w:kern w:val="0"/>
      <w:sz w:val="28"/>
    </w:rPr>
  </w:style>
  <w:style w:type="paragraph" w:customStyle="1" w:styleId="727">
    <w:name w:val="补充"/>
    <w:basedOn w:val="368"/>
    <w:qFormat/>
    <w:uiPriority w:val="0"/>
    <w:pPr>
      <w:spacing w:line="360" w:lineRule="auto"/>
      <w:ind w:firstLine="0" w:firstLineChars="0"/>
    </w:pPr>
    <w:rPr>
      <w:b/>
      <w:szCs w:val="24"/>
    </w:rPr>
  </w:style>
  <w:style w:type="paragraph" w:customStyle="1" w:styleId="728">
    <w:name w:val="xl28"/>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729">
    <w:name w:val="样式 样式 标题 2 + 段前: 0.5 行 段后: 0.5 行 + 首行缩进:  2 字符 段前: 0.5 行 段后: 0..."/>
    <w:basedOn w:val="1"/>
    <w:semiHidden/>
    <w:qFormat/>
    <w:uiPriority w:val="0"/>
    <w:pPr>
      <w:keepNext/>
      <w:keepLines/>
      <w:adjustRightInd w:val="0"/>
      <w:spacing w:beforeLines="50" w:afterLines="50"/>
      <w:jc w:val="left"/>
      <w:outlineLvl w:val="1"/>
    </w:pPr>
    <w:rPr>
      <w:rFonts w:eastAsia="黑体" w:cs="宋体"/>
      <w:kern w:val="0"/>
      <w:szCs w:val="20"/>
    </w:rPr>
  </w:style>
  <w:style w:type="paragraph" w:customStyle="1" w:styleId="730">
    <w:name w:val="样式 标题 2 + 段前: 0.5 行 段后: 0.5 行"/>
    <w:basedOn w:val="4"/>
    <w:semiHidden/>
    <w:qFormat/>
    <w:uiPriority w:val="0"/>
    <w:pPr>
      <w:widowControl w:val="0"/>
      <w:adjustRightInd w:val="0"/>
      <w:spacing w:beforeLines="50" w:afterLines="50" w:line="240" w:lineRule="auto"/>
      <w:ind w:firstLine="200" w:firstLineChars="200"/>
      <w:jc w:val="left"/>
    </w:pPr>
    <w:rPr>
      <w:rFonts w:ascii="Times New Roman" w:hAnsi="Times New Roman" w:cs="宋体"/>
      <w:b w:val="0"/>
      <w:bCs/>
      <w:sz w:val="21"/>
      <w:szCs w:val="21"/>
    </w:rPr>
  </w:style>
  <w:style w:type="paragraph" w:customStyle="1" w:styleId="731">
    <w:name w:val="xl9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732">
    <w:name w:val="标书表格正文"/>
    <w:basedOn w:val="1"/>
    <w:qFormat/>
    <w:uiPriority w:val="0"/>
    <w:pPr>
      <w:jc w:val="left"/>
    </w:pPr>
    <w:rPr>
      <w:rFonts w:ascii="Arial" w:hAnsi="Arial"/>
    </w:rPr>
  </w:style>
  <w:style w:type="paragraph" w:customStyle="1" w:styleId="733">
    <w:name w:val="Table Description"/>
    <w:next w:val="1"/>
    <w:qFormat/>
    <w:uiPriority w:val="0"/>
    <w:pPr>
      <w:keepNext/>
      <w:snapToGrid w:val="0"/>
      <w:spacing w:before="160" w:after="80"/>
      <w:jc w:val="center"/>
    </w:pPr>
    <w:rPr>
      <w:rFonts w:ascii="Arial" w:hAnsi="Arial" w:eastAsia="黑体" w:cs="Times New Roman"/>
      <w:sz w:val="18"/>
      <w:lang w:val="en-US" w:eastAsia="zh-CN" w:bidi="ar-SA"/>
    </w:rPr>
  </w:style>
  <w:style w:type="paragraph" w:customStyle="1" w:styleId="734">
    <w:name w:val="正文文本缩进 31"/>
    <w:basedOn w:val="1"/>
    <w:qFormat/>
    <w:uiPriority w:val="0"/>
    <w:pPr>
      <w:spacing w:line="360" w:lineRule="auto"/>
      <w:ind w:firstLine="480"/>
    </w:pPr>
    <w:rPr>
      <w:sz w:val="24"/>
      <w:szCs w:val="20"/>
    </w:rPr>
  </w:style>
  <w:style w:type="paragraph" w:customStyle="1" w:styleId="735">
    <w:name w:val="CM107"/>
    <w:basedOn w:val="146"/>
    <w:next w:val="146"/>
    <w:qFormat/>
    <w:uiPriority w:val="0"/>
    <w:pPr>
      <w:spacing w:line="468" w:lineRule="atLeast"/>
    </w:pPr>
    <w:rPr>
      <w:rFonts w:ascii="黑体" w:eastAsia="黑体" w:cs="Times New Roman"/>
      <w:color w:val="auto"/>
    </w:rPr>
  </w:style>
  <w:style w:type="paragraph" w:customStyle="1" w:styleId="736">
    <w:name w:val="CM258"/>
    <w:basedOn w:val="146"/>
    <w:next w:val="146"/>
    <w:qFormat/>
    <w:uiPriority w:val="0"/>
    <w:pPr>
      <w:spacing w:after="9170"/>
    </w:pPr>
    <w:rPr>
      <w:rFonts w:cs="Times New Roman"/>
      <w:color w:val="auto"/>
      <w:szCs w:val="20"/>
    </w:rPr>
  </w:style>
  <w:style w:type="paragraph" w:customStyle="1" w:styleId="737">
    <w:name w:val="级别1"/>
    <w:basedOn w:val="181"/>
    <w:qFormat/>
    <w:uiPriority w:val="0"/>
    <w:pPr>
      <w:numPr>
        <w:numId w:val="0"/>
      </w:numPr>
      <w:tabs>
        <w:tab w:val="left" w:pos="-1620"/>
        <w:tab w:val="clear" w:pos="360"/>
        <w:tab w:val="clear" w:pos="2040"/>
      </w:tabs>
      <w:adjustRightInd w:val="0"/>
      <w:snapToGrid w:val="0"/>
      <w:spacing w:before="0" w:after="0" w:line="360" w:lineRule="auto"/>
      <w:jc w:val="center"/>
    </w:pPr>
    <w:rPr>
      <w:bCs w:val="0"/>
      <w:sz w:val="28"/>
      <w:szCs w:val="24"/>
    </w:rPr>
  </w:style>
  <w:style w:type="paragraph" w:customStyle="1" w:styleId="738">
    <w:name w:val="图示注释"/>
    <w:basedOn w:val="1"/>
    <w:qFormat/>
    <w:uiPriority w:val="0"/>
    <w:pPr>
      <w:jc w:val="center"/>
    </w:pPr>
    <w:rPr>
      <w:rFonts w:ascii="Calibri" w:hAnsi="Calibri"/>
      <w:b/>
      <w:szCs w:val="22"/>
    </w:rPr>
  </w:style>
  <w:style w:type="paragraph" w:customStyle="1" w:styleId="739">
    <w:name w:val="图表目录1"/>
    <w:basedOn w:val="1"/>
    <w:next w:val="1"/>
    <w:qFormat/>
    <w:uiPriority w:val="0"/>
    <w:pPr>
      <w:spacing w:line="480" w:lineRule="exact"/>
      <w:ind w:left="200" w:leftChars="200" w:hanging="200" w:hangingChars="200"/>
    </w:pPr>
    <w:rPr>
      <w:sz w:val="24"/>
    </w:rPr>
  </w:style>
  <w:style w:type="paragraph" w:customStyle="1" w:styleId="740">
    <w:name w:val="xl50"/>
    <w:basedOn w:val="1"/>
    <w:qFormat/>
    <w:uiPriority w:val="0"/>
    <w:pPr>
      <w:widowControl/>
      <w:topLinePunct/>
      <w:spacing w:before="100" w:beforeAutospacing="1" w:after="100" w:afterAutospacing="1"/>
      <w:jc w:val="center"/>
    </w:pPr>
    <w:rPr>
      <w:rFonts w:ascii="宋体" w:hAnsi="宋体"/>
      <w:kern w:val="0"/>
      <w:sz w:val="24"/>
    </w:rPr>
  </w:style>
  <w:style w:type="paragraph" w:customStyle="1" w:styleId="741">
    <w:name w:val="表格文字小 (左对齐)"/>
    <w:basedOn w:val="1"/>
    <w:qFormat/>
    <w:uiPriority w:val="0"/>
    <w:pPr>
      <w:adjustRightInd w:val="0"/>
      <w:spacing w:line="312" w:lineRule="atLeast"/>
      <w:textAlignment w:val="baseline"/>
    </w:pPr>
    <w:rPr>
      <w:rFonts w:ascii="宋体"/>
      <w:sz w:val="18"/>
      <w:szCs w:val="18"/>
    </w:rPr>
  </w:style>
  <w:style w:type="paragraph" w:customStyle="1" w:styleId="742">
    <w:name w:val="样式 标题 3 + 段前: 0.5 行 段后: 0.5 行"/>
    <w:basedOn w:val="5"/>
    <w:qFormat/>
    <w:uiPriority w:val="0"/>
    <w:pPr>
      <w:widowControl w:val="0"/>
      <w:tabs>
        <w:tab w:val="clear" w:pos="720"/>
        <w:tab w:val="clear" w:pos="1260"/>
      </w:tabs>
      <w:spacing w:before="156" w:after="156" w:line="240" w:lineRule="auto"/>
      <w:ind w:left="0" w:firstLine="0"/>
      <w:jc w:val="left"/>
    </w:pPr>
    <w:rPr>
      <w:rFonts w:cs="宋体"/>
      <w:b/>
      <w:bCs/>
      <w:kern w:val="2"/>
      <w:sz w:val="21"/>
    </w:rPr>
  </w:style>
  <w:style w:type="paragraph" w:customStyle="1" w:styleId="743">
    <w:name w:val="Char1 Char Char Char"/>
    <w:basedOn w:val="1"/>
    <w:qFormat/>
    <w:uiPriority w:val="0"/>
    <w:rPr>
      <w:rFonts w:ascii="FangSong_GB2312" w:eastAsia="FangSong_GB2312"/>
      <w:b/>
      <w:sz w:val="32"/>
      <w:szCs w:val="32"/>
    </w:rPr>
  </w:style>
  <w:style w:type="paragraph" w:customStyle="1" w:styleId="744">
    <w:name w:val="xl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745">
    <w:name w:val="三级."/>
    <w:basedOn w:val="1"/>
    <w:qFormat/>
    <w:uiPriority w:val="0"/>
    <w:pPr>
      <w:autoSpaceDE w:val="0"/>
      <w:autoSpaceDN w:val="0"/>
      <w:adjustRightInd w:val="0"/>
      <w:spacing w:line="480" w:lineRule="exact"/>
      <w:ind w:firstLine="200" w:firstLineChars="200"/>
      <w:outlineLvl w:val="2"/>
    </w:pPr>
    <w:rPr>
      <w:rFonts w:cs="宋体"/>
      <w:color w:val="000000"/>
      <w:sz w:val="28"/>
      <w:szCs w:val="20"/>
    </w:rPr>
  </w:style>
  <w:style w:type="paragraph" w:customStyle="1" w:styleId="746">
    <w:name w:val="样式 样式 样式 标题 3 + 四号 段前: 0 磅 段后: 0 磅 行距: 固定值 24 磅 + Times New Roma..."/>
    <w:basedOn w:val="1"/>
    <w:qFormat/>
    <w:uiPriority w:val="0"/>
    <w:pPr>
      <w:autoSpaceDE w:val="0"/>
      <w:autoSpaceDN w:val="0"/>
      <w:adjustRightInd w:val="0"/>
      <w:spacing w:line="480" w:lineRule="exact"/>
      <w:ind w:firstLine="200" w:firstLineChars="200"/>
    </w:pPr>
    <w:rPr>
      <w:rFonts w:cs="宋体"/>
      <w:color w:val="000000"/>
      <w:sz w:val="28"/>
      <w:szCs w:val="20"/>
    </w:rPr>
  </w:style>
  <w:style w:type="paragraph" w:customStyle="1" w:styleId="747">
    <w:name w:val="xl66"/>
    <w:basedOn w:val="1"/>
    <w:qFormat/>
    <w:uiPriority w:val="0"/>
    <w:pPr>
      <w:widowControl/>
      <w:pBdr>
        <w:top w:val="single" w:color="auto" w:sz="4" w:space="0"/>
        <w:left w:val="single" w:color="auto" w:sz="4" w:space="0"/>
      </w:pBdr>
      <w:spacing w:before="100" w:beforeAutospacing="1" w:after="100" w:afterAutospacing="1"/>
      <w:jc w:val="right"/>
    </w:pPr>
    <w:rPr>
      <w:b/>
      <w:bCs/>
      <w:kern w:val="0"/>
      <w:sz w:val="20"/>
      <w:szCs w:val="20"/>
    </w:rPr>
  </w:style>
  <w:style w:type="paragraph" w:customStyle="1" w:styleId="748">
    <w:name w:val="列表 41"/>
    <w:basedOn w:val="1"/>
    <w:qFormat/>
    <w:uiPriority w:val="0"/>
    <w:pPr>
      <w:ind w:left="100" w:leftChars="600" w:hanging="200" w:hangingChars="200"/>
    </w:pPr>
  </w:style>
  <w:style w:type="paragraph" w:customStyle="1" w:styleId="749">
    <w:name w:val="CM54"/>
    <w:basedOn w:val="146"/>
    <w:next w:val="146"/>
    <w:qFormat/>
    <w:uiPriority w:val="0"/>
    <w:pPr>
      <w:spacing w:line="468" w:lineRule="atLeast"/>
    </w:pPr>
    <w:rPr>
      <w:rFonts w:ascii="黑体" w:eastAsia="黑体" w:cs="Times New Roman"/>
      <w:color w:val="auto"/>
    </w:rPr>
  </w:style>
  <w:style w:type="paragraph" w:customStyle="1" w:styleId="750">
    <w:name w:val="a"/>
    <w:basedOn w:val="1"/>
    <w:qFormat/>
    <w:uiPriority w:val="0"/>
    <w:pPr>
      <w:widowControl/>
      <w:spacing w:before="100" w:beforeAutospacing="1" w:after="100" w:afterAutospacing="1"/>
      <w:jc w:val="left"/>
    </w:pPr>
    <w:rPr>
      <w:rFonts w:ascii="宋体" w:hAnsi="宋体" w:cs="宋体"/>
      <w:kern w:val="0"/>
      <w:sz w:val="24"/>
    </w:rPr>
  </w:style>
  <w:style w:type="paragraph" w:customStyle="1" w:styleId="751">
    <w:name w:val="font15"/>
    <w:basedOn w:val="1"/>
    <w:qFormat/>
    <w:uiPriority w:val="0"/>
    <w:pPr>
      <w:widowControl/>
      <w:spacing w:before="100" w:beforeAutospacing="1" w:after="100" w:afterAutospacing="1"/>
      <w:jc w:val="left"/>
    </w:pPr>
    <w:rPr>
      <w:rFonts w:ascii="Tahoma" w:hAnsi="Tahoma" w:cs="Tahoma"/>
      <w:color w:val="000000"/>
      <w:kern w:val="0"/>
      <w:sz w:val="20"/>
      <w:szCs w:val="20"/>
    </w:rPr>
  </w:style>
  <w:style w:type="paragraph" w:customStyle="1" w:styleId="752">
    <w:name w:val="dash6b63_65871"/>
    <w:basedOn w:val="1"/>
    <w:qFormat/>
    <w:uiPriority w:val="0"/>
    <w:pPr>
      <w:widowControl/>
    </w:pPr>
    <w:rPr>
      <w:rFonts w:ascii="Calibri" w:hAnsi="Calibri" w:cs="Calibri"/>
      <w:kern w:val="0"/>
      <w:sz w:val="20"/>
      <w:szCs w:val="20"/>
    </w:rPr>
  </w:style>
  <w:style w:type="paragraph" w:customStyle="1" w:styleId="753">
    <w:name w:val="xl65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754">
    <w:name w:val="xl12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755">
    <w:name w:val="字元 字元 Char Char Char Char Char Char Char"/>
    <w:basedOn w:val="1"/>
    <w:qFormat/>
    <w:uiPriority w:val="0"/>
    <w:rPr>
      <w:rFonts w:ascii="Tahoma" w:hAnsi="Tahoma" w:cs="FangSong_GB2312"/>
      <w:sz w:val="24"/>
      <w:szCs w:val="20"/>
    </w:rPr>
  </w:style>
  <w:style w:type="paragraph" w:customStyle="1" w:styleId="756">
    <w:name w:val="CM1"/>
    <w:basedOn w:val="146"/>
    <w:next w:val="146"/>
    <w:qFormat/>
    <w:uiPriority w:val="0"/>
    <w:pPr>
      <w:spacing w:line="626" w:lineRule="atLeast"/>
    </w:pPr>
    <w:rPr>
      <w:rFonts w:ascii="黑体" w:eastAsia="黑体" w:cs="Times New Roman"/>
      <w:color w:val="auto"/>
    </w:rPr>
  </w:style>
  <w:style w:type="paragraph" w:customStyle="1" w:styleId="757">
    <w:name w:val="索引 91"/>
    <w:basedOn w:val="1"/>
    <w:next w:val="1"/>
    <w:qFormat/>
    <w:uiPriority w:val="0"/>
    <w:pPr>
      <w:spacing w:line="480" w:lineRule="exact"/>
      <w:ind w:left="1600" w:leftChars="1600"/>
    </w:pPr>
    <w:rPr>
      <w:sz w:val="24"/>
    </w:rPr>
  </w:style>
  <w:style w:type="paragraph" w:customStyle="1" w:styleId="758">
    <w:name w:val="列表5"/>
    <w:basedOn w:val="1"/>
    <w:qFormat/>
    <w:uiPriority w:val="0"/>
    <w:pPr>
      <w:ind w:left="200" w:hanging="200" w:hangingChars="200"/>
    </w:pPr>
    <w:rPr>
      <w:sz w:val="28"/>
      <w:szCs w:val="20"/>
    </w:rPr>
  </w:style>
  <w:style w:type="paragraph" w:customStyle="1" w:styleId="759">
    <w:name w:val="xl10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760">
    <w:name w:val="标准文本"/>
    <w:basedOn w:val="1"/>
    <w:qFormat/>
    <w:uiPriority w:val="0"/>
    <w:pPr>
      <w:spacing w:line="480" w:lineRule="exact"/>
      <w:ind w:firstLine="522"/>
    </w:pPr>
    <w:rPr>
      <w:sz w:val="24"/>
    </w:rPr>
  </w:style>
  <w:style w:type="paragraph" w:customStyle="1" w:styleId="761">
    <w:name w:val="项目符号1"/>
    <w:basedOn w:val="1"/>
    <w:qFormat/>
    <w:uiPriority w:val="0"/>
    <w:pPr>
      <w:tabs>
        <w:tab w:val="left" w:pos="1958"/>
      </w:tabs>
      <w:ind w:left="1958" w:hanging="681"/>
    </w:pPr>
    <w:rPr>
      <w:szCs w:val="20"/>
    </w:rPr>
  </w:style>
  <w:style w:type="paragraph" w:customStyle="1" w:styleId="762">
    <w:name w:val="Char2"/>
    <w:basedOn w:val="1"/>
    <w:qFormat/>
    <w:uiPriority w:val="0"/>
    <w:rPr>
      <w:rFonts w:ascii="FangSong_GB2312" w:eastAsia="FangSong_GB2312"/>
      <w:b/>
      <w:sz w:val="32"/>
      <w:szCs w:val="32"/>
    </w:rPr>
  </w:style>
  <w:style w:type="paragraph" w:customStyle="1" w:styleId="763">
    <w:name w:val="1"/>
    <w:basedOn w:val="1"/>
    <w:qFormat/>
    <w:uiPriority w:val="0"/>
    <w:rPr>
      <w:sz w:val="28"/>
      <w:szCs w:val="20"/>
    </w:rPr>
  </w:style>
  <w:style w:type="paragraph" w:customStyle="1" w:styleId="764">
    <w:name w:val="段"/>
    <w:qFormat/>
    <w:uiPriority w:val="0"/>
    <w:pPr>
      <w:ind w:firstLine="200" w:firstLineChars="200"/>
      <w:jc w:val="both"/>
    </w:pPr>
    <w:rPr>
      <w:rFonts w:ascii="宋体" w:hAnsi="Times New Roman" w:eastAsia="宋体" w:cs="Times New Roman"/>
      <w:sz w:val="21"/>
      <w:szCs w:val="21"/>
      <w:lang w:val="en-US" w:eastAsia="zh-CN" w:bidi="ar-SA"/>
    </w:rPr>
  </w:style>
  <w:style w:type="paragraph" w:customStyle="1" w:styleId="765">
    <w:name w:val="样式 样式 样式 标题 3 + 仿宋_GB2312 小四 段前: 0 磅 段后: 0 磅 + 段前: 0.5 行 + 段前: 0..."/>
    <w:basedOn w:val="1"/>
    <w:qFormat/>
    <w:uiPriority w:val="0"/>
    <w:pPr>
      <w:keepNext/>
      <w:keepLines/>
      <w:spacing w:beforeLines="100" w:afterLines="50" w:line="413" w:lineRule="auto"/>
      <w:jc w:val="center"/>
      <w:outlineLvl w:val="2"/>
    </w:pPr>
    <w:rPr>
      <w:rFonts w:ascii="FangSong_GB2312" w:eastAsia="FangSong_GB2312" w:cs="宋体"/>
      <w:b/>
      <w:bCs/>
      <w:kern w:val="0"/>
      <w:sz w:val="24"/>
      <w:szCs w:val="20"/>
    </w:rPr>
  </w:style>
  <w:style w:type="paragraph" w:customStyle="1" w:styleId="766">
    <w:name w:val="样式 样式 标题 3 + 仿宋_GB2312 小四 段前: 0 磅 段后: 0 磅 + 段前: 0.5 行"/>
    <w:basedOn w:val="1"/>
    <w:qFormat/>
    <w:uiPriority w:val="0"/>
    <w:pPr>
      <w:keepNext/>
      <w:keepLines/>
      <w:spacing w:beforeLines="50" w:afterLines="50" w:line="413" w:lineRule="auto"/>
      <w:jc w:val="center"/>
      <w:outlineLvl w:val="2"/>
    </w:pPr>
    <w:rPr>
      <w:rFonts w:ascii="FangSong_GB2312" w:eastAsia="FangSong_GB2312" w:cs="宋体"/>
      <w:b/>
      <w:bCs/>
      <w:kern w:val="0"/>
      <w:sz w:val="24"/>
      <w:szCs w:val="20"/>
    </w:rPr>
  </w:style>
  <w:style w:type="paragraph" w:customStyle="1" w:styleId="767">
    <w:name w:val="样式 标题 3 + 仿宋_GB2312 小四 段前: 0 磅 段后: 0 磅"/>
    <w:basedOn w:val="5"/>
    <w:qFormat/>
    <w:uiPriority w:val="0"/>
    <w:pPr>
      <w:widowControl w:val="0"/>
      <w:tabs>
        <w:tab w:val="clear" w:pos="720"/>
        <w:tab w:val="clear" w:pos="1260"/>
      </w:tabs>
      <w:spacing w:beforeLines="50" w:after="0" w:line="413" w:lineRule="auto"/>
      <w:ind w:left="0" w:firstLine="0"/>
    </w:pPr>
    <w:rPr>
      <w:rFonts w:ascii="FangSong_GB2312" w:eastAsia="FangSong_GB2312" w:cs="宋体"/>
      <w:b/>
      <w:bCs/>
      <w:sz w:val="24"/>
    </w:rPr>
  </w:style>
  <w:style w:type="paragraph" w:customStyle="1" w:styleId="768">
    <w:name w:val="三级标题"/>
    <w:basedOn w:val="5"/>
    <w:semiHidden/>
    <w:qFormat/>
    <w:uiPriority w:val="0"/>
    <w:pPr>
      <w:widowControl w:val="0"/>
      <w:tabs>
        <w:tab w:val="clear" w:pos="720"/>
        <w:tab w:val="clear" w:pos="1260"/>
      </w:tabs>
      <w:topLinePunct/>
      <w:adjustRightInd w:val="0"/>
      <w:spacing w:beforeLines="50" w:afterLines="50" w:line="240" w:lineRule="auto"/>
      <w:ind w:left="0" w:firstLine="200" w:firstLineChars="200"/>
      <w:jc w:val="left"/>
    </w:pPr>
    <w:rPr>
      <w:b/>
      <w:bCs/>
      <w:sz w:val="24"/>
      <w:szCs w:val="24"/>
    </w:rPr>
  </w:style>
  <w:style w:type="paragraph" w:customStyle="1" w:styleId="769">
    <w:name w:val="修订1"/>
    <w:qFormat/>
    <w:uiPriority w:val="0"/>
    <w:rPr>
      <w:rFonts w:ascii="Times New Roman" w:hAnsi="Times New Roman" w:eastAsia="宋体" w:cs="Times New Roman"/>
      <w:kern w:val="2"/>
      <w:sz w:val="21"/>
      <w:szCs w:val="24"/>
      <w:lang w:val="en-US" w:eastAsia="zh-CN" w:bidi="ar-SA"/>
    </w:rPr>
  </w:style>
  <w:style w:type="paragraph" w:customStyle="1" w:styleId="770">
    <w:name w:val="正表头"/>
    <w:basedOn w:val="1"/>
    <w:qFormat/>
    <w:uiPriority w:val="0"/>
    <w:pPr>
      <w:tabs>
        <w:tab w:val="left" w:pos="480"/>
      </w:tabs>
      <w:autoSpaceDE w:val="0"/>
      <w:autoSpaceDN w:val="0"/>
      <w:adjustRightInd w:val="0"/>
      <w:jc w:val="center"/>
    </w:pPr>
    <w:rPr>
      <w:rFonts w:hint="eastAsia" w:ascii="宋体" w:hAnsi="Tms Rmn"/>
      <w:kern w:val="0"/>
      <w:szCs w:val="20"/>
    </w:rPr>
  </w:style>
  <w:style w:type="paragraph" w:customStyle="1" w:styleId="771">
    <w:name w:val="注释标题1"/>
    <w:basedOn w:val="1"/>
    <w:next w:val="1"/>
    <w:qFormat/>
    <w:uiPriority w:val="0"/>
    <w:pPr>
      <w:jc w:val="center"/>
    </w:pPr>
  </w:style>
  <w:style w:type="paragraph" w:customStyle="1" w:styleId="772">
    <w:name w:val="xl646"/>
    <w:basedOn w:val="1"/>
    <w:qFormat/>
    <w:uiPriority w:val="0"/>
    <w:pPr>
      <w:widowControl/>
      <w:spacing w:before="100" w:beforeAutospacing="1" w:after="100" w:afterAutospacing="1"/>
      <w:jc w:val="left"/>
      <w:textAlignment w:val="bottom"/>
    </w:pPr>
    <w:rPr>
      <w:rFonts w:ascii="宋体" w:hAnsi="宋体" w:cs="宋体"/>
      <w:color w:val="000000"/>
      <w:kern w:val="0"/>
      <w:sz w:val="20"/>
      <w:szCs w:val="20"/>
    </w:rPr>
  </w:style>
  <w:style w:type="paragraph" w:customStyle="1" w:styleId="773">
    <w:name w:val="xl15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styleId="774">
    <w:name w:val="List Paragraph"/>
    <w:basedOn w:val="1"/>
    <w:qFormat/>
    <w:uiPriority w:val="0"/>
    <w:pPr>
      <w:ind w:firstLine="420" w:firstLineChars="200"/>
    </w:pPr>
    <w:rPr>
      <w:rFonts w:ascii="Calibri" w:hAnsi="Calibri"/>
      <w:szCs w:val="22"/>
    </w:rPr>
  </w:style>
  <w:style w:type="paragraph" w:customStyle="1" w:styleId="775">
    <w:name w:val="正文标题1"/>
    <w:basedOn w:val="1"/>
    <w:next w:val="1"/>
    <w:semiHidden/>
    <w:qFormat/>
    <w:uiPriority w:val="0"/>
    <w:pPr>
      <w:tabs>
        <w:tab w:val="left" w:pos="360"/>
        <w:tab w:val="left" w:pos="840"/>
      </w:tabs>
      <w:topLinePunct/>
      <w:spacing w:before="120" w:after="120" w:line="360" w:lineRule="auto"/>
      <w:ind w:left="840" w:hanging="840"/>
    </w:pPr>
    <w:rPr>
      <w:b/>
      <w:bCs/>
      <w:sz w:val="32"/>
      <w:szCs w:val="32"/>
    </w:rPr>
  </w:style>
  <w:style w:type="paragraph" w:customStyle="1" w:styleId="776">
    <w:name w:val="样式 标题 3列表编号3H33 bulletbulletbullets2nd order hd2nd order..."/>
    <w:basedOn w:val="5"/>
    <w:qFormat/>
    <w:uiPriority w:val="0"/>
    <w:pPr>
      <w:widowControl w:val="0"/>
      <w:tabs>
        <w:tab w:val="clear" w:pos="720"/>
        <w:tab w:val="clear" w:pos="1260"/>
      </w:tabs>
      <w:adjustRightInd w:val="0"/>
      <w:snapToGrid w:val="0"/>
      <w:spacing w:before="0" w:after="0" w:line="440" w:lineRule="exact"/>
      <w:ind w:left="0" w:firstLine="0"/>
      <w:jc w:val="left"/>
    </w:pPr>
    <w:rPr>
      <w:rFonts w:ascii="宋体" w:cs="宋体"/>
      <w:kern w:val="2"/>
      <w:sz w:val="24"/>
    </w:rPr>
  </w:style>
  <w:style w:type="paragraph" w:customStyle="1" w:styleId="777">
    <w:name w:val="xl144"/>
    <w:basedOn w:val="1"/>
    <w:qFormat/>
    <w:uiPriority w:val="0"/>
    <w:pPr>
      <w:widowControl/>
      <w:pBdr>
        <w:bottom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778">
    <w:name w:val="空半行"/>
    <w:basedOn w:val="1"/>
    <w:qFormat/>
    <w:uiPriority w:val="0"/>
    <w:pPr>
      <w:adjustRightInd w:val="0"/>
      <w:spacing w:line="120" w:lineRule="exact"/>
      <w:textAlignment w:val="baseline"/>
    </w:pPr>
    <w:rPr>
      <w:rFonts w:eastAsia="FangSong_GB2312"/>
      <w:color w:val="FFFFFF"/>
      <w:kern w:val="0"/>
      <w:sz w:val="30"/>
      <w:szCs w:val="20"/>
    </w:rPr>
  </w:style>
  <w:style w:type="paragraph" w:customStyle="1" w:styleId="779">
    <w:name w:val="xl176"/>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80">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81">
    <w:name w:val="条文 4"/>
    <w:next w:val="1"/>
    <w:qFormat/>
    <w:uiPriority w:val="0"/>
    <w:pPr>
      <w:spacing w:line="310" w:lineRule="exact"/>
    </w:pPr>
    <w:rPr>
      <w:rFonts w:ascii="Times New Roman" w:hAnsi="Times New Roman" w:eastAsia="黑体" w:cs="Times New Roman"/>
      <w:sz w:val="21"/>
      <w:lang w:val="en-US" w:eastAsia="zh-CN" w:bidi="ar-SA"/>
    </w:rPr>
  </w:style>
  <w:style w:type="paragraph" w:customStyle="1" w:styleId="782">
    <w:name w:val="样式 表格文字图表文字"/>
    <w:basedOn w:val="234"/>
    <w:qFormat/>
    <w:uiPriority w:val="0"/>
    <w:rPr>
      <w:rFonts w:ascii="宋体" w:hAnsi="宋体"/>
    </w:rPr>
  </w:style>
  <w:style w:type="paragraph" w:customStyle="1" w:styleId="783">
    <w:name w:val="样式 标题 3 + 四号 加粗 左侧:  0 厘米 悬挂缩进: 4.7 字符 段前: 0 磅 段后: 0 磅 行距:..."/>
    <w:basedOn w:val="5"/>
    <w:qFormat/>
    <w:uiPriority w:val="0"/>
    <w:pPr>
      <w:widowControl w:val="0"/>
      <w:tabs>
        <w:tab w:val="clear" w:pos="720"/>
        <w:tab w:val="clear" w:pos="1260"/>
      </w:tabs>
      <w:spacing w:before="0" w:after="0"/>
      <w:ind w:left="470" w:hanging="470" w:hangingChars="470"/>
      <w:jc w:val="both"/>
      <w:outlineLvl w:val="1"/>
    </w:pPr>
    <w:rPr>
      <w:rFonts w:cs="宋体"/>
      <w:b/>
      <w:bCs/>
      <w:kern w:val="2"/>
      <w:sz w:val="28"/>
    </w:rPr>
  </w:style>
  <w:style w:type="paragraph" w:customStyle="1" w:styleId="784">
    <w:name w:val="xl664"/>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785">
    <w:name w:val="范本使用说明"/>
    <w:basedOn w:val="1"/>
    <w:semiHidden/>
    <w:qFormat/>
    <w:uiPriority w:val="0"/>
    <w:pPr>
      <w:jc w:val="center"/>
    </w:pPr>
    <w:rPr>
      <w:rFonts w:ascii="黑体" w:eastAsia="黑体"/>
      <w:b/>
      <w:sz w:val="32"/>
      <w:szCs w:val="32"/>
    </w:rPr>
  </w:style>
  <w:style w:type="paragraph" w:customStyle="1" w:styleId="786">
    <w:name w:val="xl62"/>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b/>
      <w:bCs/>
      <w:kern w:val="0"/>
      <w:sz w:val="20"/>
      <w:szCs w:val="20"/>
    </w:rPr>
  </w:style>
  <w:style w:type="paragraph" w:customStyle="1" w:styleId="787">
    <w:name w:val="四号线第三级"/>
    <w:basedOn w:val="1"/>
    <w:qFormat/>
    <w:uiPriority w:val="0"/>
    <w:pPr>
      <w:tabs>
        <w:tab w:val="left" w:pos="57"/>
      </w:tabs>
      <w:ind w:left="57"/>
    </w:pPr>
  </w:style>
  <w:style w:type="paragraph" w:customStyle="1" w:styleId="788">
    <w:name w:val="条文 0"/>
    <w:next w:val="1"/>
    <w:qFormat/>
    <w:uiPriority w:val="0"/>
    <w:pPr>
      <w:spacing w:before="240" w:after="240"/>
    </w:pPr>
    <w:rPr>
      <w:rFonts w:ascii="Times New Roman" w:hAnsi="Times New Roman" w:eastAsia="黑体" w:cs="Times New Roman"/>
      <w:sz w:val="21"/>
      <w:lang w:val="en-US" w:eastAsia="zh-CN" w:bidi="ar-SA"/>
    </w:rPr>
  </w:style>
  <w:style w:type="paragraph" w:customStyle="1" w:styleId="789">
    <w:name w:val="pt9"/>
    <w:basedOn w:val="1"/>
    <w:qFormat/>
    <w:uiPriority w:val="0"/>
    <w:pPr>
      <w:widowControl/>
      <w:spacing w:before="100" w:beforeAutospacing="1" w:after="100" w:afterAutospacing="1"/>
      <w:jc w:val="left"/>
    </w:pPr>
    <w:rPr>
      <w:rFonts w:ascii="宋体" w:hAnsi="宋体"/>
      <w:kern w:val="0"/>
      <w:sz w:val="24"/>
    </w:rPr>
  </w:style>
  <w:style w:type="paragraph" w:customStyle="1" w:styleId="790">
    <w:name w:val="总1"/>
    <w:basedOn w:val="1"/>
    <w:qFormat/>
    <w:uiPriority w:val="0"/>
    <w:pPr>
      <w:widowControl/>
      <w:spacing w:line="360" w:lineRule="auto"/>
      <w:jc w:val="left"/>
    </w:pPr>
    <w:rPr>
      <w:rFonts w:ascii="宋体"/>
      <w:b/>
      <w:bCs/>
      <w:kern w:val="0"/>
      <w:sz w:val="24"/>
      <w:szCs w:val="20"/>
    </w:rPr>
  </w:style>
  <w:style w:type="paragraph" w:customStyle="1" w:styleId="791">
    <w:name w:val="xl70"/>
    <w:basedOn w:val="1"/>
    <w:qFormat/>
    <w:uiPriority w:val="0"/>
    <w:pPr>
      <w:widowControl/>
      <w:pBdr>
        <w:left w:val="single" w:color="auto" w:sz="4" w:space="0"/>
      </w:pBdr>
      <w:spacing w:before="100" w:beforeAutospacing="1" w:after="100" w:afterAutospacing="1"/>
      <w:jc w:val="center"/>
    </w:pPr>
    <w:rPr>
      <w:rFonts w:ascii="宋体" w:hAnsi="宋体"/>
      <w:kern w:val="0"/>
      <w:sz w:val="20"/>
      <w:szCs w:val="20"/>
    </w:rPr>
  </w:style>
  <w:style w:type="paragraph" w:customStyle="1" w:styleId="792">
    <w:name w:val="Char Char Char Char1"/>
    <w:basedOn w:val="1"/>
    <w:qFormat/>
    <w:uiPriority w:val="0"/>
    <w:rPr>
      <w:rFonts w:ascii="FangSong_GB2312" w:eastAsia="FangSong_GB2312" w:cs="FangSong_GB2312"/>
      <w:b/>
      <w:bCs/>
      <w:sz w:val="32"/>
      <w:szCs w:val="32"/>
    </w:rPr>
  </w:style>
  <w:style w:type="paragraph" w:customStyle="1" w:styleId="793">
    <w:name w:val="样式 样式 Times New Roman 首行缩进:  2 字符 + 首行缩进:  2 字符"/>
    <w:basedOn w:val="1"/>
    <w:qFormat/>
    <w:uiPriority w:val="0"/>
    <w:pPr>
      <w:spacing w:line="560" w:lineRule="exact"/>
      <w:ind w:firstLine="200" w:firstLineChars="200"/>
    </w:pPr>
    <w:rPr>
      <w:rFonts w:cs="宋体"/>
      <w:sz w:val="28"/>
      <w:szCs w:val="20"/>
    </w:rPr>
  </w:style>
  <w:style w:type="paragraph" w:customStyle="1" w:styleId="794">
    <w:name w:val="CM117"/>
    <w:basedOn w:val="146"/>
    <w:next w:val="146"/>
    <w:qFormat/>
    <w:uiPriority w:val="0"/>
    <w:rPr>
      <w:rFonts w:ascii="黑体" w:eastAsia="黑体" w:cs="Times New Roman"/>
      <w:color w:val="auto"/>
    </w:rPr>
  </w:style>
  <w:style w:type="paragraph" w:customStyle="1" w:styleId="795">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96">
    <w:name w:val="CM232"/>
    <w:basedOn w:val="146"/>
    <w:next w:val="146"/>
    <w:qFormat/>
    <w:uiPriority w:val="0"/>
    <w:pPr>
      <w:spacing w:after="605"/>
    </w:pPr>
    <w:rPr>
      <w:rFonts w:cs="Times New Roman"/>
      <w:color w:val="auto"/>
      <w:szCs w:val="20"/>
    </w:rPr>
  </w:style>
  <w:style w:type="paragraph" w:customStyle="1" w:styleId="797">
    <w:name w:val="样式 图表 + 五号"/>
    <w:basedOn w:val="1"/>
    <w:qFormat/>
    <w:uiPriority w:val="0"/>
    <w:pPr>
      <w:spacing w:line="320" w:lineRule="exact"/>
      <w:ind w:left="-2" w:leftChars="-1" w:firstLine="72" w:firstLineChars="38"/>
    </w:pPr>
    <w:rPr>
      <w:color w:val="000000"/>
      <w:spacing w:val="-10"/>
      <w:szCs w:val="28"/>
    </w:rPr>
  </w:style>
  <w:style w:type="paragraph" w:customStyle="1" w:styleId="798">
    <w:name w:val="xl68"/>
    <w:basedOn w:val="1"/>
    <w:qFormat/>
    <w:uiPriority w:val="0"/>
    <w:pPr>
      <w:widowControl/>
      <w:pBdr>
        <w:bottom w:val="single" w:color="auto" w:sz="4" w:space="0"/>
      </w:pBdr>
      <w:spacing w:before="100" w:beforeAutospacing="1" w:after="100" w:afterAutospacing="1"/>
      <w:jc w:val="center"/>
    </w:pPr>
    <w:rPr>
      <w:rFonts w:ascii="宋体" w:hAnsi="宋体"/>
      <w:kern w:val="0"/>
      <w:sz w:val="20"/>
      <w:szCs w:val="20"/>
    </w:rPr>
  </w:style>
  <w:style w:type="paragraph" w:customStyle="1" w:styleId="799">
    <w:name w:val="xl672"/>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800">
    <w:name w:val="文档结构图11"/>
    <w:basedOn w:val="1"/>
    <w:qFormat/>
    <w:uiPriority w:val="0"/>
    <w:pPr>
      <w:shd w:val="clear" w:color="auto" w:fill="000080"/>
    </w:pPr>
    <w:rPr>
      <w:kern w:val="0"/>
      <w:sz w:val="20"/>
      <w:shd w:val="clear" w:color="auto" w:fill="000080"/>
    </w:rPr>
  </w:style>
  <w:style w:type="paragraph" w:customStyle="1" w:styleId="801">
    <w:name w:val="CM121"/>
    <w:basedOn w:val="146"/>
    <w:next w:val="146"/>
    <w:qFormat/>
    <w:uiPriority w:val="0"/>
    <w:pPr>
      <w:spacing w:line="468" w:lineRule="atLeast"/>
    </w:pPr>
    <w:rPr>
      <w:rFonts w:ascii="黑体" w:eastAsia="黑体" w:cs="Times New Roman"/>
      <w:color w:val="auto"/>
    </w:rPr>
  </w:style>
  <w:style w:type="paragraph" w:customStyle="1" w:styleId="802">
    <w:name w:val="Char Char Char Char Char Char Char Char Char"/>
    <w:basedOn w:val="1"/>
    <w:qFormat/>
    <w:uiPriority w:val="0"/>
    <w:pPr>
      <w:widowControl/>
      <w:spacing w:after="160" w:line="240" w:lineRule="exact"/>
      <w:jc w:val="left"/>
    </w:pPr>
    <w:rPr>
      <w:rFonts w:ascii="Verdana" w:hAnsi="Verdana" w:eastAsia="FangSong_GB2312"/>
      <w:b/>
      <w:kern w:val="0"/>
      <w:sz w:val="24"/>
      <w:szCs w:val="20"/>
      <w:lang w:eastAsia="en-US"/>
    </w:rPr>
  </w:style>
  <w:style w:type="paragraph" w:customStyle="1" w:styleId="803">
    <w:name w:val="CM215"/>
    <w:basedOn w:val="146"/>
    <w:next w:val="146"/>
    <w:qFormat/>
    <w:uiPriority w:val="0"/>
    <w:pPr>
      <w:spacing w:line="260" w:lineRule="atLeast"/>
    </w:pPr>
    <w:rPr>
      <w:rFonts w:cs="Times New Roman"/>
      <w:color w:val="auto"/>
      <w:szCs w:val="20"/>
    </w:rPr>
  </w:style>
  <w:style w:type="paragraph" w:customStyle="1" w:styleId="804">
    <w:name w:val="font19"/>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805">
    <w:name w:val="表格文字小 (居中)"/>
    <w:basedOn w:val="1"/>
    <w:qFormat/>
    <w:uiPriority w:val="0"/>
    <w:pPr>
      <w:adjustRightInd w:val="0"/>
      <w:spacing w:line="240" w:lineRule="atLeast"/>
      <w:jc w:val="center"/>
      <w:textAlignment w:val="baseline"/>
    </w:pPr>
    <w:rPr>
      <w:rFonts w:ascii="宋体"/>
      <w:sz w:val="18"/>
      <w:szCs w:val="18"/>
    </w:rPr>
  </w:style>
  <w:style w:type="paragraph" w:customStyle="1" w:styleId="806">
    <w:name w:val="et59"/>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00"/>
      <w:spacing w:before="100" w:beforeAutospacing="1" w:after="100" w:afterAutospacing="1"/>
      <w:jc w:val="left"/>
      <w:textAlignment w:val="center"/>
    </w:pPr>
    <w:rPr>
      <w:rFonts w:ascii="宋体" w:hAnsi="宋体" w:cs="宋体"/>
      <w:color w:val="000000"/>
      <w:kern w:val="0"/>
      <w:sz w:val="20"/>
      <w:szCs w:val="20"/>
    </w:rPr>
  </w:style>
  <w:style w:type="paragraph" w:customStyle="1" w:styleId="807">
    <w:name w:val="样式 正文首行缩进 Char"/>
    <w:basedOn w:val="1"/>
    <w:qFormat/>
    <w:uiPriority w:val="0"/>
    <w:pPr>
      <w:spacing w:line="400" w:lineRule="exact"/>
      <w:ind w:firstLine="200" w:firstLineChars="200"/>
    </w:pPr>
    <w:rPr>
      <w:rFonts w:ascii="宋体" w:hAnsi="宋体"/>
      <w:kern w:val="24"/>
      <w:szCs w:val="21"/>
    </w:rPr>
  </w:style>
  <w:style w:type="paragraph" w:customStyle="1" w:styleId="808">
    <w:name w:val="封面标准英文名称"/>
    <w:semiHidden/>
    <w:qFormat/>
    <w:uiPriority w:val="0"/>
    <w:pPr>
      <w:widowControl w:val="0"/>
      <w:spacing w:before="370" w:line="400" w:lineRule="exact"/>
      <w:jc w:val="center"/>
    </w:pPr>
    <w:rPr>
      <w:rFonts w:ascii="Times New Roman" w:hAnsi="Times New Roman" w:eastAsia="宋体" w:cs="Times New Roman"/>
      <w:sz w:val="28"/>
      <w:szCs w:val="28"/>
      <w:lang w:val="en-US" w:eastAsia="zh-CN" w:bidi="ar-SA"/>
    </w:rPr>
  </w:style>
  <w:style w:type="paragraph" w:customStyle="1" w:styleId="809">
    <w:name w:val="招标文件正文居中"/>
    <w:qFormat/>
    <w:uiPriority w:val="0"/>
    <w:pPr>
      <w:spacing w:before="120" w:after="120" w:line="300" w:lineRule="auto"/>
      <w:jc w:val="center"/>
    </w:pPr>
    <w:rPr>
      <w:rFonts w:ascii="宋体" w:hAnsi="Times New Roman" w:eastAsia="宋体" w:cs="Times New Roman"/>
      <w:spacing w:val="10"/>
      <w:w w:val="95"/>
      <w:sz w:val="21"/>
      <w:lang w:val="en-US" w:eastAsia="zh-CN" w:bidi="ar-SA"/>
    </w:rPr>
  </w:style>
  <w:style w:type="paragraph" w:customStyle="1" w:styleId="810">
    <w:name w:val="xl131"/>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18"/>
      <w:szCs w:val="18"/>
    </w:rPr>
  </w:style>
  <w:style w:type="paragraph" w:customStyle="1" w:styleId="811">
    <w:name w:val="索引标题1"/>
    <w:basedOn w:val="1"/>
    <w:next w:val="675"/>
    <w:qFormat/>
    <w:uiPriority w:val="0"/>
    <w:pPr>
      <w:spacing w:line="480" w:lineRule="exact"/>
    </w:pPr>
    <w:rPr>
      <w:rFonts w:ascii="Arial" w:hAnsi="Arial" w:cs="Arial"/>
      <w:b/>
      <w:bCs/>
      <w:sz w:val="24"/>
    </w:rPr>
  </w:style>
  <w:style w:type="paragraph" w:customStyle="1" w:styleId="812">
    <w:name w:val="4正文 Char"/>
    <w:basedOn w:val="1"/>
    <w:qFormat/>
    <w:uiPriority w:val="0"/>
    <w:pPr>
      <w:spacing w:after="156" w:line="480" w:lineRule="exact"/>
      <w:ind w:firstLine="420" w:firstLineChars="200"/>
    </w:pPr>
    <w:rPr>
      <w:rFonts w:hAnsi="宋体"/>
      <w:sz w:val="24"/>
      <w:szCs w:val="20"/>
    </w:rPr>
  </w:style>
  <w:style w:type="paragraph" w:customStyle="1" w:styleId="813">
    <w:name w:val="默认段落字体 Para Char Char Char Char Char"/>
    <w:basedOn w:val="1"/>
    <w:semiHidden/>
    <w:qFormat/>
    <w:uiPriority w:val="0"/>
    <w:rPr>
      <w:rFonts w:ascii="宋体" w:hAnsi="宋体"/>
      <w:b/>
      <w:color w:val="000000"/>
      <w:sz w:val="24"/>
    </w:rPr>
  </w:style>
  <w:style w:type="paragraph" w:customStyle="1" w:styleId="814">
    <w:name w:val="样式－正文文字标记2"/>
    <w:basedOn w:val="1"/>
    <w:qFormat/>
    <w:uiPriority w:val="0"/>
    <w:pPr>
      <w:widowControl/>
      <w:tabs>
        <w:tab w:val="left" w:pos="360"/>
      </w:tabs>
      <w:spacing w:beforeLines="50" w:line="360" w:lineRule="exact"/>
      <w:jc w:val="left"/>
    </w:pPr>
    <w:rPr>
      <w:rFonts w:ascii="Arial" w:hAnsi="Arial"/>
      <w:sz w:val="24"/>
    </w:rPr>
  </w:style>
  <w:style w:type="paragraph" w:customStyle="1" w:styleId="815">
    <w:name w:val="修订2"/>
    <w:qFormat/>
    <w:uiPriority w:val="0"/>
    <w:rPr>
      <w:rFonts w:ascii="Times New Roman" w:hAnsi="Times New Roman" w:eastAsia="宋体" w:cs="Times New Roman"/>
      <w:kern w:val="2"/>
      <w:sz w:val="21"/>
      <w:szCs w:val="24"/>
      <w:lang w:val="en-US" w:eastAsia="zh-CN" w:bidi="ar-SA"/>
    </w:rPr>
  </w:style>
  <w:style w:type="paragraph" w:customStyle="1" w:styleId="816">
    <w:name w:val="样式 (中文) 黑体 三号 居中 行距: 多倍行距 1.35 字行"/>
    <w:basedOn w:val="1"/>
    <w:qFormat/>
    <w:uiPriority w:val="0"/>
    <w:pPr>
      <w:spacing w:line="480" w:lineRule="exact"/>
      <w:ind w:firstLine="200" w:firstLineChars="200"/>
      <w:jc w:val="center"/>
    </w:pPr>
    <w:rPr>
      <w:color w:val="1F497D"/>
      <w:sz w:val="18"/>
      <w:szCs w:val="18"/>
    </w:rPr>
  </w:style>
  <w:style w:type="paragraph" w:customStyle="1" w:styleId="817">
    <w:name w:val="Subhead 1"/>
    <w:basedOn w:val="1"/>
    <w:qFormat/>
    <w:uiPriority w:val="0"/>
    <w:pPr>
      <w:keepNext/>
      <w:pageBreakBefore/>
      <w:widowControl/>
      <w:tabs>
        <w:tab w:val="left" w:pos="1134"/>
        <w:tab w:val="left" w:pos="2552"/>
      </w:tabs>
      <w:autoSpaceDE w:val="0"/>
      <w:autoSpaceDN w:val="0"/>
      <w:adjustRightInd w:val="0"/>
      <w:spacing w:before="510" w:after="400" w:line="420" w:lineRule="atLeast"/>
      <w:ind w:left="1134" w:hanging="1134" w:firstLineChars="200"/>
      <w:jc w:val="left"/>
    </w:pPr>
    <w:rPr>
      <w:rFonts w:ascii="Arial" w:hAnsi="Arial" w:eastAsia="黑体"/>
      <w:b/>
      <w:color w:val="1F497D"/>
      <w:kern w:val="0"/>
      <w:sz w:val="32"/>
    </w:rPr>
  </w:style>
  <w:style w:type="paragraph" w:customStyle="1" w:styleId="818">
    <w:name w:val="xl66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819">
    <w:name w:val="xl1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000000"/>
      <w:kern w:val="0"/>
      <w:sz w:val="20"/>
      <w:szCs w:val="20"/>
    </w:rPr>
  </w:style>
  <w:style w:type="paragraph" w:customStyle="1" w:styleId="820">
    <w:name w:val="Char1"/>
    <w:basedOn w:val="1"/>
    <w:qFormat/>
    <w:uiPriority w:val="0"/>
    <w:pPr>
      <w:spacing w:afterLines="200"/>
    </w:pPr>
    <w:rPr>
      <w:rFonts w:ascii="黑体" w:eastAsia="黑体"/>
      <w:sz w:val="36"/>
      <w:szCs w:val="36"/>
    </w:rPr>
  </w:style>
  <w:style w:type="paragraph" w:customStyle="1" w:styleId="821">
    <w:name w:val="样式5"/>
    <w:semiHidden/>
    <w:qFormat/>
    <w:uiPriority w:val="0"/>
    <w:pPr>
      <w:snapToGrid w:val="0"/>
      <w:spacing w:before="160" w:after="40"/>
      <w:jc w:val="center"/>
    </w:pPr>
    <w:rPr>
      <w:rFonts w:ascii="Times New Roman" w:hAnsi="Times New Roman" w:eastAsia="宋体" w:cs="宋体"/>
      <w:kern w:val="2"/>
      <w:sz w:val="18"/>
      <w:lang w:val="en-US" w:eastAsia="zh-CN" w:bidi="ar-SA"/>
    </w:rPr>
  </w:style>
  <w:style w:type="paragraph" w:customStyle="1" w:styleId="822">
    <w:name w:val="样式 宋体 小四 加粗 行距: 1.5 倍行距2"/>
    <w:basedOn w:val="7"/>
    <w:next w:val="1"/>
    <w:qFormat/>
    <w:uiPriority w:val="0"/>
    <w:pPr>
      <w:widowControl/>
      <w:tabs>
        <w:tab w:val="left" w:pos="840"/>
      </w:tabs>
      <w:spacing w:beforeLines="50" w:afterLines="50" w:line="240" w:lineRule="auto"/>
      <w:ind w:left="839" w:hanging="839"/>
      <w:jc w:val="left"/>
      <w:outlineLvl w:val="2"/>
    </w:pPr>
    <w:rPr>
      <w:rFonts w:ascii="宋体" w:hAnsi="宋体" w:cs="宋体"/>
      <w:bCs w:val="0"/>
      <w:kern w:val="0"/>
      <w:sz w:val="24"/>
      <w:szCs w:val="20"/>
    </w:rPr>
  </w:style>
  <w:style w:type="paragraph" w:customStyle="1" w:styleId="823">
    <w:name w:val="标题1－前"/>
    <w:basedOn w:val="3"/>
    <w:semiHidden/>
    <w:qFormat/>
    <w:uiPriority w:val="0"/>
    <w:pPr>
      <w:keepNext w:val="0"/>
      <w:keepLines w:val="0"/>
      <w:tabs>
        <w:tab w:val="left" w:pos="360"/>
      </w:tabs>
      <w:topLinePunct/>
      <w:snapToGrid w:val="0"/>
      <w:spacing w:before="0" w:after="0" w:line="360" w:lineRule="exact"/>
    </w:pPr>
    <w:rPr>
      <w:kern w:val="28"/>
      <w:sz w:val="28"/>
      <w:szCs w:val="28"/>
    </w:rPr>
  </w:style>
  <w:style w:type="paragraph" w:customStyle="1" w:styleId="824">
    <w:name w:val="HTML 预设格式1"/>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hAnsi="Arial Unicode MS" w:eastAsia="Arial Unicode MS"/>
      <w:kern w:val="0"/>
      <w:sz w:val="20"/>
      <w:szCs w:val="20"/>
    </w:rPr>
  </w:style>
  <w:style w:type="paragraph" w:customStyle="1" w:styleId="825">
    <w:name w:val="文本块1"/>
    <w:basedOn w:val="1"/>
    <w:qFormat/>
    <w:uiPriority w:val="0"/>
    <w:pPr>
      <w:spacing w:line="360" w:lineRule="auto"/>
      <w:ind w:left="993" w:right="235"/>
    </w:pPr>
    <w:rPr>
      <w:color w:val="000000"/>
      <w:sz w:val="24"/>
    </w:rPr>
  </w:style>
  <w:style w:type="paragraph" w:customStyle="1" w:styleId="826">
    <w:name w:val="font17"/>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827">
    <w:name w:val="称呼1"/>
    <w:basedOn w:val="1"/>
    <w:next w:val="1"/>
    <w:qFormat/>
    <w:uiPriority w:val="0"/>
    <w:rPr>
      <w:sz w:val="24"/>
      <w:szCs w:val="20"/>
    </w:rPr>
  </w:style>
  <w:style w:type="paragraph" w:customStyle="1" w:styleId="828">
    <w:name w:val="xl10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829">
    <w:name w:val="xl138"/>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830">
    <w:name w:val="正文文本2"/>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831">
    <w:name w:val="CM93"/>
    <w:basedOn w:val="146"/>
    <w:next w:val="146"/>
    <w:qFormat/>
    <w:uiPriority w:val="0"/>
    <w:pPr>
      <w:spacing w:line="468" w:lineRule="atLeast"/>
    </w:pPr>
    <w:rPr>
      <w:rFonts w:ascii="黑体" w:eastAsia="黑体" w:cs="Times New Roman"/>
      <w:color w:val="auto"/>
    </w:rPr>
  </w:style>
  <w:style w:type="paragraph" w:customStyle="1" w:styleId="832">
    <w:name w:val="CM70"/>
    <w:basedOn w:val="146"/>
    <w:next w:val="146"/>
    <w:qFormat/>
    <w:uiPriority w:val="0"/>
    <w:pPr>
      <w:spacing w:line="468" w:lineRule="atLeast"/>
    </w:pPr>
    <w:rPr>
      <w:rFonts w:ascii="黑体" w:eastAsia="黑体" w:cs="Times New Roman"/>
      <w:color w:val="auto"/>
    </w:rPr>
  </w:style>
  <w:style w:type="paragraph" w:customStyle="1" w:styleId="833">
    <w:name w:val="CM66"/>
    <w:basedOn w:val="146"/>
    <w:next w:val="146"/>
    <w:qFormat/>
    <w:uiPriority w:val="0"/>
    <w:rPr>
      <w:rFonts w:ascii="黑体" w:eastAsia="黑体" w:cs="Times New Roman"/>
      <w:color w:val="auto"/>
    </w:rPr>
  </w:style>
  <w:style w:type="paragraph" w:customStyle="1" w:styleId="834">
    <w:name w:val="标题 42"/>
    <w:basedOn w:val="1"/>
    <w:qFormat/>
    <w:uiPriority w:val="0"/>
    <w:pPr>
      <w:widowControl/>
      <w:tabs>
        <w:tab w:val="left" w:pos="864"/>
      </w:tabs>
      <w:spacing w:line="480" w:lineRule="exact"/>
      <w:ind w:left="864" w:hanging="864" w:firstLineChars="200"/>
      <w:jc w:val="left"/>
    </w:pPr>
    <w:rPr>
      <w:color w:val="1F497D"/>
      <w:kern w:val="0"/>
      <w:sz w:val="20"/>
    </w:rPr>
  </w:style>
  <w:style w:type="paragraph" w:customStyle="1" w:styleId="835">
    <w:name w:val="xl669"/>
    <w:basedOn w:val="1"/>
    <w:qFormat/>
    <w:uiPriority w:val="0"/>
    <w:pPr>
      <w:widowControl/>
      <w:pBdr>
        <w:top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836">
    <w:name w:val="xl63"/>
    <w:basedOn w:val="1"/>
    <w:qFormat/>
    <w:uiPriority w:val="0"/>
    <w:pPr>
      <w:widowControl/>
      <w:pBdr>
        <w:top w:val="single" w:color="auto" w:sz="4" w:space="0"/>
        <w:left w:val="single" w:color="auto" w:sz="4" w:space="0"/>
      </w:pBdr>
      <w:spacing w:before="100" w:beforeAutospacing="1" w:after="100" w:afterAutospacing="1"/>
      <w:jc w:val="left"/>
    </w:pPr>
    <w:rPr>
      <w:rFonts w:ascii="宋体" w:hAnsi="宋体"/>
      <w:kern w:val="0"/>
      <w:sz w:val="20"/>
      <w:szCs w:val="20"/>
    </w:rPr>
  </w:style>
  <w:style w:type="paragraph" w:customStyle="1" w:styleId="837">
    <w:name w:val="Char Char Char3"/>
    <w:basedOn w:val="1"/>
    <w:semiHidden/>
    <w:qFormat/>
    <w:uiPriority w:val="0"/>
  </w:style>
  <w:style w:type="paragraph" w:customStyle="1" w:styleId="838">
    <w:name w:val="Char Char Char Char Char Char Char"/>
    <w:basedOn w:val="1"/>
    <w:qFormat/>
    <w:uiPriority w:val="0"/>
  </w:style>
  <w:style w:type="paragraph" w:customStyle="1" w:styleId="839">
    <w:name w:val="样式 居中"/>
    <w:basedOn w:val="1"/>
    <w:qFormat/>
    <w:uiPriority w:val="0"/>
    <w:pPr>
      <w:snapToGrid w:val="0"/>
      <w:jc w:val="center"/>
    </w:pPr>
    <w:rPr>
      <w:rFonts w:cs="宋体"/>
      <w:sz w:val="24"/>
      <w:szCs w:val="20"/>
    </w:rPr>
  </w:style>
  <w:style w:type="paragraph" w:customStyle="1" w:styleId="840">
    <w:name w:val="xl67"/>
    <w:basedOn w:val="1"/>
    <w:qFormat/>
    <w:uiPriority w:val="0"/>
    <w:pPr>
      <w:widowControl/>
      <w:pBdr>
        <w:left w:val="single" w:color="auto" w:sz="4" w:space="0"/>
      </w:pBdr>
      <w:spacing w:before="100" w:beforeAutospacing="1" w:after="100" w:afterAutospacing="1"/>
      <w:jc w:val="left"/>
    </w:pPr>
    <w:rPr>
      <w:rFonts w:ascii="宋体" w:hAnsi="宋体"/>
      <w:kern w:val="0"/>
      <w:sz w:val="20"/>
      <w:szCs w:val="20"/>
    </w:rPr>
  </w:style>
  <w:style w:type="paragraph" w:customStyle="1" w:styleId="841">
    <w:name w:val="样式 Times New Roman1"/>
    <w:basedOn w:val="1"/>
    <w:qFormat/>
    <w:uiPriority w:val="0"/>
    <w:rPr>
      <w:rFonts w:eastAsia="Times New Roman" w:cs="宋体"/>
      <w:szCs w:val="20"/>
    </w:rPr>
  </w:style>
  <w:style w:type="paragraph" w:customStyle="1" w:styleId="842">
    <w:name w:val="需求书4"/>
    <w:basedOn w:val="368"/>
    <w:next w:val="1"/>
    <w:qFormat/>
    <w:uiPriority w:val="0"/>
    <w:pPr>
      <w:widowControl/>
      <w:tabs>
        <w:tab w:val="left" w:pos="840"/>
      </w:tabs>
      <w:adjustRightInd w:val="0"/>
      <w:snapToGrid w:val="0"/>
      <w:spacing w:before="60" w:line="360" w:lineRule="auto"/>
      <w:ind w:left="840" w:hanging="840" w:firstLineChars="0"/>
    </w:pPr>
    <w:rPr>
      <w:kern w:val="0"/>
      <w:sz w:val="24"/>
    </w:rPr>
  </w:style>
  <w:style w:type="paragraph" w:customStyle="1" w:styleId="843">
    <w:name w:val="级别5"/>
    <w:basedOn w:val="240"/>
    <w:qFormat/>
    <w:uiPriority w:val="0"/>
    <w:pPr>
      <w:tabs>
        <w:tab w:val="left" w:pos="992"/>
        <w:tab w:val="left" w:pos="2727"/>
        <w:tab w:val="clear" w:pos="360"/>
        <w:tab w:val="clear" w:pos="2307"/>
      </w:tabs>
      <w:ind w:left="992"/>
      <w:outlineLvl w:val="4"/>
    </w:pPr>
  </w:style>
  <w:style w:type="paragraph" w:customStyle="1" w:styleId="844">
    <w:name w:val="xl39"/>
    <w:basedOn w:val="1"/>
    <w:qFormat/>
    <w:uiPriority w:val="0"/>
    <w:pPr>
      <w:widowControl/>
      <w:pBdr>
        <w:top w:val="single" w:color="auto" w:sz="4" w:space="0"/>
        <w:left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845">
    <w:name w:val="篇与册格式"/>
    <w:basedOn w:val="1"/>
    <w:qFormat/>
    <w:uiPriority w:val="0"/>
    <w:pPr>
      <w:spacing w:beforeLines="100" w:afterLines="100"/>
      <w:jc w:val="center"/>
      <w:outlineLvl w:val="0"/>
    </w:pPr>
    <w:rPr>
      <w:rFonts w:ascii="黑体" w:eastAsia="黑体"/>
      <w:color w:val="C00000"/>
      <w:sz w:val="32"/>
      <w:szCs w:val="32"/>
    </w:rPr>
  </w:style>
  <w:style w:type="paragraph" w:customStyle="1" w:styleId="846">
    <w:name w:val="文档结构图1"/>
    <w:basedOn w:val="1"/>
    <w:qFormat/>
    <w:uiPriority w:val="99"/>
    <w:rPr>
      <w:rFonts w:ascii="宋体"/>
      <w:sz w:val="18"/>
      <w:szCs w:val="18"/>
    </w:rPr>
  </w:style>
  <w:style w:type="paragraph" w:customStyle="1" w:styleId="847">
    <w:name w:val="font7"/>
    <w:basedOn w:val="1"/>
    <w:qFormat/>
    <w:uiPriority w:val="0"/>
    <w:pPr>
      <w:widowControl/>
      <w:topLinePunct/>
      <w:spacing w:before="100" w:beforeAutospacing="1" w:after="100" w:afterAutospacing="1"/>
      <w:jc w:val="left"/>
    </w:pPr>
    <w:rPr>
      <w:color w:val="000000"/>
      <w:kern w:val="0"/>
      <w:sz w:val="20"/>
      <w:szCs w:val="20"/>
    </w:rPr>
  </w:style>
  <w:style w:type="paragraph" w:customStyle="1" w:styleId="848">
    <w:name w:val="表格文字"/>
    <w:basedOn w:val="234"/>
    <w:qFormat/>
    <w:uiPriority w:val="0"/>
  </w:style>
  <w:style w:type="paragraph" w:customStyle="1" w:styleId="849">
    <w:name w:val="默认段落字体 Para Char Char Char Char Char Char Char Char Char Char"/>
    <w:basedOn w:val="1"/>
    <w:qFormat/>
    <w:uiPriority w:val="0"/>
    <w:pPr>
      <w:widowControl/>
      <w:snapToGrid w:val="0"/>
      <w:spacing w:before="80" w:after="80"/>
      <w:ind w:left="1701"/>
    </w:pPr>
    <w:rPr>
      <w:rFonts w:ascii="Arial" w:hAnsi="Arial" w:cs="Arial"/>
    </w:rPr>
  </w:style>
  <w:style w:type="paragraph" w:customStyle="1" w:styleId="850">
    <w:name w:val="xl667"/>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right"/>
    </w:pPr>
    <w:rPr>
      <w:rFonts w:ascii="宋体" w:hAnsi="宋体" w:cs="宋体"/>
      <w:color w:val="000000"/>
      <w:kern w:val="0"/>
      <w:sz w:val="18"/>
      <w:szCs w:val="18"/>
    </w:rPr>
  </w:style>
  <w:style w:type="paragraph" w:customStyle="1" w:styleId="851">
    <w:name w:val="xl64"/>
    <w:basedOn w:val="1"/>
    <w:qFormat/>
    <w:uiPriority w:val="0"/>
    <w:pPr>
      <w:widowControl/>
      <w:pBdr>
        <w:top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852">
    <w:name w:val="xl171"/>
    <w:basedOn w:val="1"/>
    <w:qFormat/>
    <w:uiPriority w:val="0"/>
    <w:pPr>
      <w:widowControl/>
      <w:spacing w:before="100" w:beforeAutospacing="1" w:after="100" w:afterAutospacing="1"/>
      <w:jc w:val="center"/>
    </w:pPr>
    <w:rPr>
      <w:rFonts w:ascii="宋体" w:hAnsi="宋体" w:cs="宋体"/>
      <w:b/>
      <w:bCs/>
      <w:kern w:val="0"/>
      <w:sz w:val="36"/>
      <w:szCs w:val="36"/>
    </w:rPr>
  </w:style>
  <w:style w:type="paragraph" w:customStyle="1" w:styleId="853">
    <w:name w:val="xl75"/>
    <w:basedOn w:val="1"/>
    <w:qFormat/>
    <w:uiPriority w:val="0"/>
    <w:pPr>
      <w:widowControl/>
      <w:pBdr>
        <w:right w:val="single" w:color="auto" w:sz="4" w:space="0"/>
      </w:pBdr>
      <w:spacing w:before="100" w:beforeAutospacing="1" w:after="100" w:afterAutospacing="1"/>
      <w:jc w:val="center"/>
    </w:pPr>
    <w:rPr>
      <w:rFonts w:ascii="宋体" w:hAnsi="宋体"/>
      <w:kern w:val="0"/>
      <w:sz w:val="20"/>
      <w:szCs w:val="20"/>
    </w:rPr>
  </w:style>
  <w:style w:type="paragraph" w:customStyle="1" w:styleId="854">
    <w:name w:val="xl14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855">
    <w:name w:val="样式 样式 标题 1标题 1 1 + 三号 + 左侧:  0 厘米 首行缩进:  0 厘米1"/>
    <w:basedOn w:val="1"/>
    <w:qFormat/>
    <w:uiPriority w:val="0"/>
    <w:pPr>
      <w:keepNext/>
      <w:keepLines/>
      <w:tabs>
        <w:tab w:val="left" w:pos="737"/>
      </w:tabs>
      <w:spacing w:before="140" w:after="140" w:line="440" w:lineRule="exact"/>
      <w:outlineLvl w:val="0"/>
    </w:pPr>
    <w:rPr>
      <w:rFonts w:cs="宋体"/>
      <w:b/>
      <w:bCs/>
      <w:color w:val="000000"/>
      <w:sz w:val="32"/>
      <w:szCs w:val="20"/>
    </w:rPr>
  </w:style>
  <w:style w:type="paragraph" w:customStyle="1" w:styleId="856">
    <w:name w:val="样式 标题 1标题 1 1 + 三号"/>
    <w:basedOn w:val="3"/>
    <w:qFormat/>
    <w:uiPriority w:val="0"/>
    <w:pPr>
      <w:tabs>
        <w:tab w:val="left" w:pos="737"/>
      </w:tabs>
      <w:adjustRightInd w:val="0"/>
      <w:snapToGrid w:val="0"/>
      <w:spacing w:before="140" w:after="140" w:line="440" w:lineRule="exact"/>
      <w:ind w:left="737" w:hanging="737"/>
    </w:pPr>
    <w:rPr>
      <w:color w:val="000000"/>
      <w:kern w:val="2"/>
      <w:sz w:val="32"/>
    </w:rPr>
  </w:style>
  <w:style w:type="paragraph" w:customStyle="1" w:styleId="857">
    <w:name w:val="xl142"/>
    <w:basedOn w:val="1"/>
    <w:qFormat/>
    <w:uiPriority w:val="0"/>
    <w:pPr>
      <w:widowControl/>
      <w:shd w:val="clear" w:color="000000" w:fill="FFFFFF"/>
      <w:spacing w:before="100" w:beforeAutospacing="1" w:after="100" w:afterAutospacing="1"/>
      <w:jc w:val="center"/>
    </w:pPr>
    <w:rPr>
      <w:rFonts w:ascii="宋体" w:hAnsi="宋体" w:cs="宋体"/>
      <w:b/>
      <w:bCs/>
      <w:kern w:val="0"/>
      <w:sz w:val="28"/>
      <w:szCs w:val="28"/>
    </w:rPr>
  </w:style>
  <w:style w:type="paragraph" w:customStyle="1" w:styleId="858">
    <w:name w:val="正文1缩进"/>
    <w:basedOn w:val="439"/>
    <w:qFormat/>
    <w:uiPriority w:val="0"/>
    <w:pPr>
      <w:spacing w:before="0"/>
      <w:ind w:left="840" w:leftChars="350"/>
    </w:pPr>
  </w:style>
  <w:style w:type="paragraph" w:customStyle="1" w:styleId="859">
    <w:name w:val="重要文字1"/>
    <w:basedOn w:val="1"/>
    <w:qFormat/>
    <w:uiPriority w:val="0"/>
    <w:pPr>
      <w:tabs>
        <w:tab w:val="left" w:pos="907"/>
      </w:tabs>
      <w:ind w:firstLine="200" w:firstLineChars="200"/>
    </w:pPr>
    <w:rPr>
      <w:sz w:val="24"/>
    </w:rPr>
  </w:style>
  <w:style w:type="paragraph" w:customStyle="1" w:styleId="860">
    <w:name w:val="et1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861">
    <w:name w:val="xl14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0"/>
      <w:szCs w:val="20"/>
    </w:rPr>
  </w:style>
  <w:style w:type="paragraph" w:customStyle="1" w:styleId="862">
    <w:name w:val="et3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FF0000"/>
      <w:kern w:val="0"/>
      <w:sz w:val="20"/>
      <w:szCs w:val="20"/>
    </w:rPr>
  </w:style>
  <w:style w:type="paragraph" w:customStyle="1" w:styleId="863">
    <w:name w:val="招标文件1.1.1"/>
    <w:qFormat/>
    <w:uiPriority w:val="0"/>
    <w:pPr>
      <w:spacing w:before="120" w:after="120" w:line="480" w:lineRule="exact"/>
      <w:ind w:left="200"/>
      <w:outlineLvl w:val="3"/>
    </w:pPr>
    <w:rPr>
      <w:rFonts w:ascii="宋体" w:hAnsi="Times New Roman" w:eastAsia="宋体" w:cs="Times New Roman"/>
      <w:b/>
      <w:spacing w:val="10"/>
      <w:w w:val="95"/>
      <w:sz w:val="21"/>
      <w:lang w:val="en-US" w:eastAsia="zh-CN" w:bidi="ar-SA"/>
    </w:rPr>
  </w:style>
  <w:style w:type="paragraph" w:customStyle="1" w:styleId="864">
    <w:name w:val="Char Char Char Char Char Char Char Char Char Char Char Char Char Char Char Char1"/>
    <w:basedOn w:val="1"/>
    <w:qFormat/>
    <w:uiPriority w:val="0"/>
    <w:rPr>
      <w:rFonts w:ascii="Tahoma" w:hAnsi="Tahoma" w:eastAsia="FangSong_GB2312"/>
      <w:b/>
      <w:sz w:val="24"/>
      <w:szCs w:val="20"/>
    </w:rPr>
  </w:style>
  <w:style w:type="paragraph" w:customStyle="1" w:styleId="865">
    <w:name w:val="Appendix Index level 2"/>
    <w:basedOn w:val="1"/>
    <w:qFormat/>
    <w:uiPriority w:val="0"/>
    <w:pPr>
      <w:tabs>
        <w:tab w:val="left" w:pos="567"/>
      </w:tabs>
      <w:ind w:left="567" w:hanging="567"/>
      <w:jc w:val="left"/>
    </w:pPr>
    <w:rPr>
      <w:rFonts w:eastAsia="PMingLiU"/>
      <w:kern w:val="0"/>
      <w:sz w:val="24"/>
      <w:lang w:eastAsia="en-US"/>
    </w:rPr>
  </w:style>
  <w:style w:type="paragraph" w:customStyle="1" w:styleId="866">
    <w:name w:val="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867">
    <w:name w:val="A*条目编号"/>
    <w:basedOn w:val="368"/>
    <w:qFormat/>
    <w:uiPriority w:val="0"/>
    <w:pPr>
      <w:keepNext/>
      <w:widowControl/>
      <w:tabs>
        <w:tab w:val="left" w:pos="1985"/>
      </w:tabs>
      <w:spacing w:line="360" w:lineRule="auto"/>
      <w:ind w:left="1985" w:hanging="851" w:firstLineChars="0"/>
      <w:jc w:val="left"/>
    </w:pPr>
    <w:rPr>
      <w:rFonts w:ascii="宋体" w:hAnsi="宋体" w:eastAsia="Times New Roman"/>
      <w:szCs w:val="21"/>
    </w:rPr>
  </w:style>
  <w:style w:type="paragraph" w:customStyle="1" w:styleId="868">
    <w:name w:val="日期4"/>
    <w:basedOn w:val="1"/>
    <w:next w:val="1"/>
    <w:qFormat/>
    <w:uiPriority w:val="0"/>
    <w:pPr>
      <w:ind w:left="100" w:leftChars="2500"/>
    </w:pPr>
    <w:rPr>
      <w:kern w:val="0"/>
      <w:sz w:val="20"/>
    </w:rPr>
  </w:style>
  <w:style w:type="paragraph" w:customStyle="1" w:styleId="869">
    <w:name w:val="et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870">
    <w:name w:val="容量"/>
    <w:basedOn w:val="1"/>
    <w:qFormat/>
    <w:uiPriority w:val="0"/>
    <w:pPr>
      <w:adjustRightInd w:val="0"/>
      <w:spacing w:line="312" w:lineRule="atLeast"/>
      <w:textAlignment w:val="baseline"/>
    </w:pPr>
    <w:rPr>
      <w:kern w:val="0"/>
      <w:sz w:val="24"/>
      <w:szCs w:val="20"/>
    </w:rPr>
  </w:style>
  <w:style w:type="paragraph" w:customStyle="1" w:styleId="871">
    <w:name w:val="xl690"/>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872">
    <w:name w:val="表格内字体字号"/>
    <w:basedOn w:val="1"/>
    <w:semiHidden/>
    <w:qFormat/>
    <w:uiPriority w:val="0"/>
    <w:pPr>
      <w:topLinePunct/>
      <w:snapToGrid w:val="0"/>
      <w:spacing w:beforeLines="20" w:afterLines="20"/>
      <w:ind w:left="30" w:leftChars="30" w:right="30" w:rightChars="30"/>
      <w:jc w:val="center"/>
    </w:pPr>
    <w:rPr>
      <w:sz w:val="18"/>
      <w:szCs w:val="18"/>
    </w:rPr>
  </w:style>
  <w:style w:type="paragraph" w:customStyle="1" w:styleId="873">
    <w:name w:val="xl44"/>
    <w:basedOn w:val="1"/>
    <w:qFormat/>
    <w:uiPriority w:val="0"/>
    <w:pPr>
      <w:widowControl/>
      <w:pBdr>
        <w:top w:val="single" w:color="auto" w:sz="4" w:space="0"/>
        <w:left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874">
    <w:name w:val="样式 Arial 首行缩进:  2 字符"/>
    <w:basedOn w:val="1"/>
    <w:semiHidden/>
    <w:qFormat/>
    <w:uiPriority w:val="0"/>
    <w:pPr>
      <w:ind w:firstLine="403" w:firstLineChars="200"/>
    </w:pPr>
    <w:rPr>
      <w:rFonts w:cs="华文新魏"/>
      <w:szCs w:val="21"/>
    </w:rPr>
  </w:style>
  <w:style w:type="paragraph" w:customStyle="1" w:styleId="875">
    <w:name w:val="CM102"/>
    <w:basedOn w:val="146"/>
    <w:next w:val="146"/>
    <w:qFormat/>
    <w:uiPriority w:val="0"/>
    <w:rPr>
      <w:rFonts w:ascii="黑体" w:eastAsia="黑体" w:cs="Times New Roman"/>
      <w:color w:val="auto"/>
    </w:rPr>
  </w:style>
  <w:style w:type="paragraph" w:customStyle="1" w:styleId="876">
    <w:name w:val="一"/>
    <w:basedOn w:val="3"/>
    <w:qFormat/>
    <w:uiPriority w:val="0"/>
    <w:pPr>
      <w:tabs>
        <w:tab w:val="left" w:pos="432"/>
      </w:tabs>
      <w:autoSpaceDE w:val="0"/>
      <w:autoSpaceDN w:val="0"/>
      <w:adjustRightInd w:val="0"/>
      <w:spacing w:before="0" w:after="0" w:line="360" w:lineRule="auto"/>
      <w:ind w:left="432" w:hanging="432"/>
      <w:jc w:val="left"/>
    </w:pPr>
    <w:rPr>
      <w:rFonts w:ascii="宋体" w:hAnsi="宋体"/>
      <w:kern w:val="0"/>
      <w:sz w:val="28"/>
      <w:szCs w:val="20"/>
    </w:rPr>
  </w:style>
  <w:style w:type="paragraph" w:customStyle="1" w:styleId="877">
    <w:name w:val="样式34"/>
    <w:basedOn w:val="1"/>
    <w:qFormat/>
    <w:uiPriority w:val="0"/>
    <w:pPr>
      <w:numPr>
        <w:ilvl w:val="3"/>
        <w:numId w:val="15"/>
      </w:numPr>
      <w:tabs>
        <w:tab w:val="left" w:pos="900"/>
        <w:tab w:val="left" w:pos="1200"/>
      </w:tabs>
    </w:pPr>
    <w:rPr>
      <w:rFonts w:ascii="宋体" w:hAnsi="宋体"/>
      <w:sz w:val="24"/>
    </w:rPr>
  </w:style>
  <w:style w:type="paragraph" w:customStyle="1" w:styleId="878">
    <w:name w:val="表内容"/>
    <w:basedOn w:val="1"/>
    <w:qFormat/>
    <w:uiPriority w:val="0"/>
    <w:pPr>
      <w:tabs>
        <w:tab w:val="left" w:pos="1680"/>
      </w:tabs>
      <w:adjustRightInd w:val="0"/>
      <w:spacing w:line="520" w:lineRule="atLeast"/>
      <w:jc w:val="center"/>
    </w:pPr>
    <w:rPr>
      <w:color w:val="FF0000"/>
      <w:sz w:val="24"/>
    </w:rPr>
  </w:style>
  <w:style w:type="paragraph" w:customStyle="1" w:styleId="879">
    <w:name w:val="font5"/>
    <w:basedOn w:val="1"/>
    <w:qFormat/>
    <w:uiPriority w:val="0"/>
    <w:pPr>
      <w:widowControl/>
      <w:topLinePunct/>
      <w:spacing w:before="100" w:beforeAutospacing="1" w:after="100" w:afterAutospacing="1"/>
      <w:jc w:val="left"/>
    </w:pPr>
    <w:rPr>
      <w:rFonts w:ascii="宋体" w:hAnsi="宋体"/>
      <w:kern w:val="0"/>
      <w:sz w:val="18"/>
      <w:szCs w:val="18"/>
    </w:rPr>
  </w:style>
  <w:style w:type="paragraph" w:customStyle="1" w:styleId="880">
    <w:name w:val="二级条标题"/>
    <w:basedOn w:val="717"/>
    <w:next w:val="1"/>
    <w:qFormat/>
    <w:uiPriority w:val="0"/>
    <w:pPr>
      <w:outlineLvl w:val="3"/>
    </w:pPr>
  </w:style>
  <w:style w:type="paragraph" w:customStyle="1" w:styleId="881">
    <w:name w:val="图"/>
    <w:qFormat/>
    <w:uiPriority w:val="0"/>
    <w:pPr>
      <w:jc w:val="center"/>
    </w:pPr>
    <w:rPr>
      <w:rFonts w:ascii="Times New Roman" w:hAnsi="Times New Roman" w:eastAsia="宋体" w:cs="Times New Roman"/>
      <w:kern w:val="2"/>
      <w:sz w:val="21"/>
      <w:szCs w:val="24"/>
      <w:lang w:val="en-US" w:eastAsia="zh-CN" w:bidi="ar-SA"/>
    </w:rPr>
  </w:style>
  <w:style w:type="paragraph" w:customStyle="1" w:styleId="882">
    <w:name w:val="font10"/>
    <w:basedOn w:val="1"/>
    <w:qFormat/>
    <w:uiPriority w:val="0"/>
    <w:pPr>
      <w:widowControl/>
      <w:spacing w:before="100" w:beforeAutospacing="1" w:after="100" w:afterAutospacing="1"/>
      <w:jc w:val="left"/>
    </w:pPr>
    <w:rPr>
      <w:kern w:val="0"/>
      <w:sz w:val="20"/>
      <w:szCs w:val="20"/>
    </w:rPr>
  </w:style>
  <w:style w:type="paragraph" w:styleId="883">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884">
    <w:name w:val="封面_黑体四号"/>
    <w:qFormat/>
    <w:uiPriority w:val="0"/>
    <w:pPr>
      <w:keepNext/>
      <w:jc w:val="center"/>
    </w:pPr>
    <w:rPr>
      <w:rFonts w:ascii="Times New Roman" w:hAnsi="Times New Roman" w:eastAsia="黑体" w:cs="Times New Roman"/>
      <w:kern w:val="2"/>
      <w:sz w:val="28"/>
      <w:szCs w:val="24"/>
      <w:lang w:val="en-US" w:eastAsia="zh-CN" w:bidi="ar-SA"/>
    </w:rPr>
  </w:style>
  <w:style w:type="paragraph" w:customStyle="1" w:styleId="885">
    <w:name w:val="xl674"/>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886">
    <w:name w:val="CM25"/>
    <w:basedOn w:val="146"/>
    <w:next w:val="146"/>
    <w:qFormat/>
    <w:uiPriority w:val="0"/>
    <w:pPr>
      <w:spacing w:line="468" w:lineRule="atLeast"/>
    </w:pPr>
    <w:rPr>
      <w:rFonts w:ascii="黑体" w:eastAsia="黑体" w:cs="Times New Roman"/>
      <w:color w:val="auto"/>
    </w:rPr>
  </w:style>
  <w:style w:type="paragraph" w:customStyle="1" w:styleId="887">
    <w:name w:val="正文(首行缩进)"/>
    <w:basedOn w:val="1"/>
    <w:qFormat/>
    <w:uiPriority w:val="0"/>
    <w:pPr>
      <w:spacing w:line="420" w:lineRule="atLeast"/>
      <w:ind w:firstLine="200" w:firstLineChars="200"/>
    </w:pPr>
    <w:rPr>
      <w:rFonts w:eastAsia="FangSong_GB2312"/>
      <w:kern w:val="0"/>
      <w:sz w:val="24"/>
    </w:rPr>
  </w:style>
  <w:style w:type="paragraph" w:customStyle="1" w:styleId="888">
    <w:name w:val="font14"/>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889">
    <w:name w:val="xl133"/>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18"/>
      <w:szCs w:val="18"/>
    </w:rPr>
  </w:style>
  <w:style w:type="paragraph" w:customStyle="1" w:styleId="890">
    <w:name w:val="Char12"/>
    <w:basedOn w:val="1"/>
    <w:qFormat/>
    <w:uiPriority w:val="0"/>
    <w:pPr>
      <w:widowControl/>
      <w:spacing w:after="160" w:line="240" w:lineRule="exact"/>
      <w:jc w:val="left"/>
    </w:pPr>
    <w:rPr>
      <w:rFonts w:ascii="宋体" w:hAnsi="宋体"/>
      <w:kern w:val="0"/>
      <w:sz w:val="20"/>
      <w:szCs w:val="20"/>
      <w:lang w:eastAsia="en-US"/>
    </w:rPr>
  </w:style>
  <w:style w:type="paragraph" w:customStyle="1" w:styleId="891">
    <w:name w:val="CM18"/>
    <w:basedOn w:val="146"/>
    <w:next w:val="146"/>
    <w:qFormat/>
    <w:uiPriority w:val="0"/>
    <w:pPr>
      <w:spacing w:line="468" w:lineRule="atLeast"/>
    </w:pPr>
    <w:rPr>
      <w:rFonts w:ascii="黑体" w:eastAsia="黑体" w:cs="Times New Roman"/>
      <w:color w:val="auto"/>
    </w:rPr>
  </w:style>
  <w:style w:type="paragraph" w:customStyle="1" w:styleId="892">
    <w:name w:val="列表1下文字"/>
    <w:basedOn w:val="24"/>
    <w:qFormat/>
    <w:uiPriority w:val="0"/>
    <w:pPr>
      <w:keepNext/>
      <w:widowControl/>
      <w:tabs>
        <w:tab w:val="left" w:pos="924"/>
        <w:tab w:val="left" w:pos="987"/>
      </w:tabs>
      <w:spacing w:line="300" w:lineRule="auto"/>
      <w:ind w:left="914" w:firstLine="0"/>
      <w:jc w:val="left"/>
    </w:pPr>
  </w:style>
  <w:style w:type="paragraph" w:customStyle="1" w:styleId="893">
    <w:name w:val="数字列表1"/>
    <w:basedOn w:val="1"/>
    <w:next w:val="34"/>
    <w:qFormat/>
    <w:uiPriority w:val="0"/>
    <w:pPr>
      <w:spacing w:beforeLines="50" w:afterLines="25"/>
      <w:ind w:left="150" w:leftChars="150"/>
    </w:pPr>
    <w:rPr>
      <w:rFonts w:ascii="Arial" w:hAnsi="Arial"/>
      <w:sz w:val="24"/>
    </w:rPr>
  </w:style>
  <w:style w:type="paragraph" w:customStyle="1" w:styleId="894">
    <w:name w:val="font20"/>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895">
    <w:name w:val="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896">
    <w:name w:val="CM21"/>
    <w:basedOn w:val="146"/>
    <w:next w:val="146"/>
    <w:qFormat/>
    <w:uiPriority w:val="0"/>
    <w:rPr>
      <w:rFonts w:ascii="黑体" w:eastAsia="黑体" w:cs="Times New Roman"/>
      <w:color w:val="auto"/>
    </w:rPr>
  </w:style>
  <w:style w:type="paragraph" w:customStyle="1" w:styleId="897">
    <w:name w:val="Report Table"/>
    <w:basedOn w:val="558"/>
    <w:qFormat/>
    <w:uiPriority w:val="0"/>
    <w:pPr>
      <w:spacing w:before="60" w:after="60"/>
      <w:ind w:left="0"/>
    </w:pPr>
    <w:rPr>
      <w:sz w:val="20"/>
    </w:rPr>
  </w:style>
  <w:style w:type="paragraph" w:customStyle="1" w:styleId="898">
    <w:name w:val="xl174"/>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899">
    <w:name w:val="序号1"/>
    <w:basedOn w:val="1"/>
    <w:qFormat/>
    <w:uiPriority w:val="0"/>
    <w:pPr>
      <w:tabs>
        <w:tab w:val="left" w:pos="1080"/>
      </w:tabs>
      <w:snapToGrid w:val="0"/>
      <w:spacing w:line="360" w:lineRule="auto"/>
      <w:ind w:firstLine="560" w:firstLineChars="200"/>
    </w:pPr>
    <w:rPr>
      <w:rFonts w:ascii="宋体" w:hAnsi="宋体"/>
      <w:kern w:val="0"/>
      <w:sz w:val="24"/>
    </w:rPr>
  </w:style>
  <w:style w:type="paragraph" w:customStyle="1" w:styleId="900">
    <w:name w:val="CM12"/>
    <w:basedOn w:val="146"/>
    <w:next w:val="146"/>
    <w:qFormat/>
    <w:uiPriority w:val="0"/>
    <w:pPr>
      <w:spacing w:line="468" w:lineRule="atLeast"/>
    </w:pPr>
    <w:rPr>
      <w:rFonts w:ascii="黑体" w:eastAsia="黑体" w:cs="Times New Roman"/>
      <w:color w:val="auto"/>
    </w:rPr>
  </w:style>
  <w:style w:type="paragraph" w:customStyle="1" w:styleId="901">
    <w:name w:val="CM34"/>
    <w:basedOn w:val="146"/>
    <w:next w:val="146"/>
    <w:qFormat/>
    <w:uiPriority w:val="0"/>
    <w:pPr>
      <w:spacing w:line="468" w:lineRule="atLeast"/>
    </w:pPr>
    <w:rPr>
      <w:rFonts w:ascii="黑体" w:eastAsia="黑体" w:cs="Times New Roman"/>
      <w:color w:val="auto"/>
    </w:rPr>
  </w:style>
  <w:style w:type="paragraph" w:customStyle="1" w:styleId="902">
    <w:name w:val="xl46"/>
    <w:basedOn w:val="1"/>
    <w:qFormat/>
    <w:uiPriority w:val="0"/>
    <w:pPr>
      <w:widowControl/>
      <w:pBdr>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903">
    <w:name w:val="表标题(小)"/>
    <w:basedOn w:val="1"/>
    <w:next w:val="674"/>
    <w:qFormat/>
    <w:uiPriority w:val="0"/>
    <w:pPr>
      <w:keepNext/>
      <w:spacing w:line="360" w:lineRule="auto"/>
      <w:jc w:val="center"/>
      <w:outlineLvl w:val="8"/>
    </w:pPr>
    <w:rPr>
      <w:rFonts w:ascii="宋体"/>
      <w:sz w:val="18"/>
      <w:szCs w:val="18"/>
    </w:rPr>
  </w:style>
  <w:style w:type="paragraph" w:customStyle="1" w:styleId="904">
    <w:name w:val="4正文无编号"/>
    <w:basedOn w:val="1"/>
    <w:qFormat/>
    <w:uiPriority w:val="0"/>
    <w:pPr>
      <w:spacing w:afterLines="50" w:line="480" w:lineRule="exact"/>
      <w:ind w:right="420" w:rightChars="200" w:firstLine="480" w:firstLineChars="200"/>
    </w:pPr>
    <w:rPr>
      <w:rFonts w:hAnsi="宋体" w:cs="宋体"/>
      <w:sz w:val="24"/>
      <w:szCs w:val="20"/>
    </w:rPr>
  </w:style>
  <w:style w:type="paragraph" w:customStyle="1" w:styleId="905">
    <w:name w:val="5图名"/>
    <w:basedOn w:val="1"/>
    <w:next w:val="1"/>
    <w:qFormat/>
    <w:uiPriority w:val="0"/>
    <w:pPr>
      <w:spacing w:afterLines="50" w:line="400" w:lineRule="exact"/>
      <w:ind w:right="4" w:rightChars="2" w:firstLine="2520" w:firstLineChars="1050"/>
      <w:jc w:val="right"/>
    </w:pPr>
    <w:rPr>
      <w:rFonts w:hAnsi="宋体"/>
      <w:sz w:val="24"/>
    </w:rPr>
  </w:style>
  <w:style w:type="paragraph" w:customStyle="1" w:styleId="906">
    <w:name w:val="xl15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7030A0"/>
      <w:kern w:val="0"/>
      <w:sz w:val="20"/>
      <w:szCs w:val="20"/>
    </w:rPr>
  </w:style>
  <w:style w:type="paragraph" w:customStyle="1" w:styleId="907">
    <w:name w:val="标书列表1"/>
    <w:basedOn w:val="1"/>
    <w:qFormat/>
    <w:uiPriority w:val="0"/>
    <w:pPr>
      <w:tabs>
        <w:tab w:val="left" w:pos="420"/>
      </w:tabs>
      <w:adjustRightInd w:val="0"/>
      <w:snapToGrid w:val="0"/>
      <w:spacing w:line="360" w:lineRule="auto"/>
      <w:ind w:left="420" w:hanging="420"/>
    </w:pPr>
    <w:rPr>
      <w:rFonts w:ascii="Arial Narrow" w:hAnsi="宋体"/>
      <w:sz w:val="24"/>
    </w:rPr>
  </w:style>
  <w:style w:type="paragraph" w:customStyle="1" w:styleId="908">
    <w:name w:val="font0"/>
    <w:basedOn w:val="1"/>
    <w:qFormat/>
    <w:uiPriority w:val="0"/>
    <w:pPr>
      <w:widowControl/>
      <w:spacing w:before="100" w:beforeAutospacing="1" w:after="100" w:afterAutospacing="1"/>
      <w:jc w:val="left"/>
    </w:pPr>
    <w:rPr>
      <w:rFonts w:ascii="宋体"/>
      <w:kern w:val="0"/>
      <w:sz w:val="24"/>
    </w:rPr>
  </w:style>
  <w:style w:type="paragraph" w:customStyle="1" w:styleId="909">
    <w:name w:val="报告正文"/>
    <w:basedOn w:val="1"/>
    <w:qFormat/>
    <w:uiPriority w:val="0"/>
    <w:pPr>
      <w:spacing w:line="480" w:lineRule="exact"/>
      <w:ind w:firstLine="200" w:firstLineChars="200"/>
    </w:pPr>
    <w:rPr>
      <w:rFonts w:ascii="宋体"/>
      <w:color w:val="0000FF"/>
      <w:sz w:val="28"/>
      <w:szCs w:val="28"/>
    </w:rPr>
  </w:style>
  <w:style w:type="paragraph" w:customStyle="1" w:styleId="910">
    <w:name w:val="各级正文"/>
    <w:basedOn w:val="699"/>
    <w:qFormat/>
    <w:uiPriority w:val="0"/>
    <w:pPr>
      <w:spacing w:before="120"/>
      <w:ind w:left="200" w:leftChars="200" w:firstLine="0"/>
    </w:pPr>
  </w:style>
  <w:style w:type="paragraph" w:customStyle="1" w:styleId="911">
    <w:name w:val="et47"/>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912">
    <w:name w:val="CM50"/>
    <w:basedOn w:val="146"/>
    <w:next w:val="146"/>
    <w:qFormat/>
    <w:uiPriority w:val="0"/>
    <w:rPr>
      <w:rFonts w:ascii="黑体" w:eastAsia="黑体" w:cs="Times New Roman"/>
      <w:color w:val="auto"/>
    </w:rPr>
  </w:style>
  <w:style w:type="paragraph" w:customStyle="1" w:styleId="913">
    <w:name w:val="表格内文"/>
    <w:basedOn w:val="1"/>
    <w:qFormat/>
    <w:uiPriority w:val="0"/>
    <w:pPr>
      <w:overflowPunct w:val="0"/>
      <w:adjustRightInd w:val="0"/>
      <w:snapToGrid w:val="0"/>
      <w:spacing w:line="240" w:lineRule="atLeast"/>
    </w:pPr>
    <w:rPr>
      <w:rFonts w:ascii="宋体"/>
      <w:kern w:val="0"/>
      <w:szCs w:val="20"/>
    </w:rPr>
  </w:style>
  <w:style w:type="paragraph" w:customStyle="1" w:styleId="914">
    <w:name w:val="样式 标题 1 + 黑体 三号 非加粗 居中 段前: 6 磅 段后: 6 磅 行距: 固定值 20 磅"/>
    <w:basedOn w:val="3"/>
    <w:qFormat/>
    <w:uiPriority w:val="0"/>
    <w:pPr>
      <w:spacing w:before="120" w:after="120" w:line="400" w:lineRule="exact"/>
      <w:jc w:val="center"/>
    </w:pPr>
    <w:rPr>
      <w:rFonts w:ascii="黑体" w:hAnsi="黑体" w:eastAsia="黑体" w:cs="宋体"/>
      <w:b w:val="0"/>
      <w:bCs w:val="0"/>
      <w:sz w:val="32"/>
      <w:szCs w:val="20"/>
    </w:rPr>
  </w:style>
  <w:style w:type="paragraph" w:customStyle="1" w:styleId="915">
    <w:name w:val="招标文件格式1"/>
    <w:basedOn w:val="1"/>
    <w:qFormat/>
    <w:uiPriority w:val="0"/>
    <w:pPr>
      <w:pageBreakBefore/>
      <w:tabs>
        <w:tab w:val="left" w:pos="420"/>
        <w:tab w:val="left" w:pos="1304"/>
      </w:tabs>
      <w:spacing w:before="120" w:after="120" w:line="480" w:lineRule="exact"/>
      <w:ind w:left="1304" w:hanging="420"/>
      <w:jc w:val="left"/>
      <w:outlineLvl w:val="1"/>
    </w:pPr>
    <w:rPr>
      <w:rFonts w:ascii="宋体"/>
      <w:b/>
      <w:spacing w:val="10"/>
      <w:w w:val="95"/>
      <w:kern w:val="0"/>
      <w:sz w:val="28"/>
    </w:rPr>
  </w:style>
  <w:style w:type="paragraph" w:customStyle="1" w:styleId="916">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17">
    <w:name w:val="xl45"/>
    <w:basedOn w:val="1"/>
    <w:qFormat/>
    <w:uiPriority w:val="0"/>
    <w:pPr>
      <w:widowControl/>
      <w:pBdr>
        <w:left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918">
    <w:name w:val="xl678"/>
    <w:basedOn w:val="1"/>
    <w:qFormat/>
    <w:uiPriority w:val="0"/>
    <w:pPr>
      <w:widowControl/>
      <w:pBdr>
        <w:top w:val="single" w:color="000000" w:sz="4" w:space="0"/>
        <w:left w:val="single" w:color="000000" w:sz="4" w:space="0"/>
        <w:bottom w:val="single" w:color="000000" w:sz="4" w:space="0"/>
      </w:pBdr>
      <w:spacing w:before="100" w:beforeAutospacing="1" w:after="100" w:afterAutospacing="1"/>
      <w:jc w:val="right"/>
    </w:pPr>
    <w:rPr>
      <w:rFonts w:ascii="宋体" w:hAnsi="宋体" w:cs="宋体"/>
      <w:color w:val="000000"/>
      <w:kern w:val="0"/>
      <w:sz w:val="18"/>
      <w:szCs w:val="18"/>
    </w:rPr>
  </w:style>
  <w:style w:type="paragraph" w:customStyle="1" w:styleId="919">
    <w:name w:val="图名格式"/>
    <w:basedOn w:val="234"/>
    <w:qFormat/>
    <w:uiPriority w:val="0"/>
    <w:pPr>
      <w:spacing w:beforeLines="50" w:afterLines="50"/>
    </w:pPr>
    <w:rPr>
      <w:rFonts w:cs="宋体"/>
      <w:b/>
      <w:color w:val="CC3399"/>
    </w:rPr>
  </w:style>
  <w:style w:type="paragraph" w:customStyle="1" w:styleId="920">
    <w:name w:val="正文文本1"/>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921">
    <w:name w:val="xl1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22">
    <w:name w:val="xl47"/>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kern w:val="0"/>
      <w:sz w:val="20"/>
      <w:szCs w:val="20"/>
    </w:rPr>
  </w:style>
  <w:style w:type="paragraph" w:customStyle="1" w:styleId="923">
    <w:name w:val="CM53"/>
    <w:basedOn w:val="146"/>
    <w:next w:val="146"/>
    <w:qFormat/>
    <w:uiPriority w:val="0"/>
    <w:pPr>
      <w:spacing w:line="468" w:lineRule="atLeast"/>
    </w:pPr>
    <w:rPr>
      <w:rFonts w:ascii="黑体" w:eastAsia="黑体" w:cs="Times New Roman"/>
      <w:color w:val="auto"/>
    </w:rPr>
  </w:style>
  <w:style w:type="paragraph" w:customStyle="1" w:styleId="924">
    <w:name w:val="文档结构图7"/>
    <w:basedOn w:val="1"/>
    <w:qFormat/>
    <w:uiPriority w:val="0"/>
    <w:pPr>
      <w:shd w:val="clear" w:color="auto" w:fill="000080"/>
      <w:autoSpaceDE w:val="0"/>
      <w:autoSpaceDN w:val="0"/>
      <w:adjustRightInd w:val="0"/>
      <w:spacing w:line="480" w:lineRule="exact"/>
      <w:ind w:firstLine="200" w:firstLineChars="200"/>
      <w:jc w:val="left"/>
      <w:textAlignment w:val="baseline"/>
    </w:pPr>
    <w:rPr>
      <w:color w:val="1F497D"/>
      <w:sz w:val="24"/>
    </w:rPr>
  </w:style>
  <w:style w:type="paragraph" w:customStyle="1" w:styleId="925">
    <w:name w:val="xl653"/>
    <w:basedOn w:val="1"/>
    <w:qFormat/>
    <w:uiPriority w:val="0"/>
    <w:pPr>
      <w:widowControl/>
      <w:spacing w:before="100" w:beforeAutospacing="1" w:after="100" w:afterAutospacing="1"/>
      <w:jc w:val="center"/>
      <w:textAlignment w:val="bottom"/>
    </w:pPr>
    <w:rPr>
      <w:rFonts w:ascii="宋体" w:hAnsi="宋体" w:cs="宋体"/>
      <w:color w:val="000000"/>
      <w:kern w:val="0"/>
      <w:sz w:val="20"/>
      <w:szCs w:val="20"/>
    </w:rPr>
  </w:style>
  <w:style w:type="paragraph" w:customStyle="1" w:styleId="926">
    <w:name w:val="Char"/>
    <w:basedOn w:val="1"/>
    <w:qFormat/>
    <w:uiPriority w:val="0"/>
    <w:pPr>
      <w:spacing w:line="360" w:lineRule="auto"/>
      <w:ind w:firstLine="200" w:firstLineChars="200"/>
    </w:pPr>
    <w:rPr>
      <w:rFonts w:ascii="宋体" w:hAnsi="宋体" w:cs="宋体"/>
      <w:sz w:val="24"/>
      <w:szCs w:val="20"/>
    </w:rPr>
  </w:style>
  <w:style w:type="paragraph" w:customStyle="1" w:styleId="927">
    <w:name w:val="xl54"/>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20"/>
      <w:szCs w:val="20"/>
    </w:rPr>
  </w:style>
  <w:style w:type="paragraph" w:customStyle="1" w:styleId="928">
    <w:name w:val="点项"/>
    <w:basedOn w:val="1"/>
    <w:qFormat/>
    <w:uiPriority w:val="0"/>
    <w:pPr>
      <w:tabs>
        <w:tab w:val="left" w:pos="198"/>
      </w:tabs>
      <w:spacing w:line="520" w:lineRule="exact"/>
    </w:pPr>
    <w:rPr>
      <w:kern w:val="26"/>
      <w:sz w:val="26"/>
      <w:szCs w:val="26"/>
    </w:rPr>
  </w:style>
  <w:style w:type="paragraph" w:customStyle="1" w:styleId="929">
    <w:name w:val="默认段落字体 Para Char Char Char Char Char Char Char Char Char2"/>
    <w:basedOn w:val="1"/>
    <w:qFormat/>
    <w:uiPriority w:val="0"/>
    <w:rPr>
      <w:rFonts w:ascii="Tahoma" w:hAnsi="Tahoma"/>
      <w:sz w:val="24"/>
      <w:szCs w:val="20"/>
    </w:rPr>
  </w:style>
  <w:style w:type="paragraph" w:customStyle="1" w:styleId="930">
    <w:name w:val="表格中 5号居中无空格"/>
    <w:basedOn w:val="1"/>
    <w:qFormat/>
    <w:uiPriority w:val="0"/>
    <w:pPr>
      <w:spacing w:line="360" w:lineRule="auto"/>
      <w:jc w:val="center"/>
    </w:pPr>
    <w:rPr>
      <w:rFonts w:hAnsi="宋体" w:cs="宋体"/>
      <w:bCs/>
      <w:spacing w:val="1"/>
      <w:szCs w:val="20"/>
    </w:rPr>
  </w:style>
  <w:style w:type="paragraph" w:customStyle="1" w:styleId="931">
    <w:name w:val="CM68"/>
    <w:basedOn w:val="146"/>
    <w:next w:val="146"/>
    <w:qFormat/>
    <w:uiPriority w:val="0"/>
    <w:pPr>
      <w:spacing w:line="468" w:lineRule="atLeast"/>
    </w:pPr>
    <w:rPr>
      <w:rFonts w:ascii="黑体" w:eastAsia="黑体" w:cs="Times New Roman"/>
      <w:color w:val="auto"/>
    </w:rPr>
  </w:style>
  <w:style w:type="paragraph" w:customStyle="1" w:styleId="932">
    <w:name w:val="xl112"/>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color w:val="000000"/>
      <w:kern w:val="0"/>
      <w:sz w:val="20"/>
      <w:szCs w:val="20"/>
    </w:rPr>
  </w:style>
  <w:style w:type="paragraph" w:customStyle="1" w:styleId="933">
    <w:name w:val="xl6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934">
    <w:name w:val="flNote"/>
    <w:basedOn w:val="1"/>
    <w:qFormat/>
    <w:uiPriority w:val="0"/>
    <w:pPr>
      <w:adjustRightInd w:val="0"/>
      <w:spacing w:before="320" w:after="160" w:line="360" w:lineRule="atLeast"/>
      <w:jc w:val="center"/>
      <w:textAlignment w:val="baseline"/>
    </w:pPr>
    <w:rPr>
      <w:rFonts w:ascii="Arial" w:eastAsia="黑体"/>
      <w:kern w:val="0"/>
      <w:sz w:val="30"/>
      <w:szCs w:val="20"/>
    </w:rPr>
  </w:style>
  <w:style w:type="paragraph" w:customStyle="1" w:styleId="935">
    <w:name w:val="xl16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36">
    <w:name w:val="四号线正文 Char1"/>
    <w:basedOn w:val="1"/>
    <w:qFormat/>
    <w:uiPriority w:val="0"/>
    <w:pPr>
      <w:spacing w:line="500" w:lineRule="exact"/>
      <w:ind w:firstLine="425"/>
      <w:jc w:val="left"/>
    </w:pPr>
    <w:rPr>
      <w:rFonts w:ascii="宋体" w:hAnsi="宋体"/>
      <w:sz w:val="24"/>
      <w:szCs w:val="28"/>
    </w:rPr>
  </w:style>
  <w:style w:type="paragraph" w:customStyle="1" w:styleId="937">
    <w:name w:val="xl9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38">
    <w:name w:val="页眉1"/>
    <w:basedOn w:val="1"/>
    <w:qFormat/>
    <w:uiPriority w:val="0"/>
    <w:pPr>
      <w:pBdr>
        <w:bottom w:val="thinThickSmallGap" w:color="auto" w:sz="24" w:space="1"/>
      </w:pBdr>
      <w:tabs>
        <w:tab w:val="center" w:pos="4153"/>
        <w:tab w:val="right" w:pos="8306"/>
      </w:tabs>
      <w:snapToGrid w:val="0"/>
      <w:ind w:firstLine="200" w:firstLineChars="200"/>
      <w:jc w:val="left"/>
    </w:pPr>
    <w:rPr>
      <w:sz w:val="18"/>
      <w:szCs w:val="18"/>
    </w:rPr>
  </w:style>
  <w:style w:type="paragraph" w:customStyle="1" w:styleId="939">
    <w:name w:val="xl1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940">
    <w:name w:val="xl25"/>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941">
    <w:name w:val="Xie图文中"/>
    <w:qFormat/>
    <w:uiPriority w:val="0"/>
    <w:pPr>
      <w:widowControl w:val="0"/>
      <w:adjustRightInd w:val="0"/>
      <w:snapToGrid w:val="0"/>
      <w:jc w:val="center"/>
    </w:pPr>
    <w:rPr>
      <w:rFonts w:ascii="Times New Roman" w:hAnsi="Times New Roman" w:eastAsia="FangSong_GB2312" w:cs="Times New Roman"/>
      <w:sz w:val="24"/>
      <w:lang w:val="en-US" w:eastAsia="zh-CN" w:bidi="ar-SA"/>
    </w:rPr>
  </w:style>
  <w:style w:type="paragraph" w:customStyle="1" w:styleId="942">
    <w:name w:val="样式 宋体 小四 行距: 1.5 倍行距"/>
    <w:basedOn w:val="1"/>
    <w:qFormat/>
    <w:uiPriority w:val="0"/>
    <w:rPr>
      <w:rFonts w:ascii="宋体" w:hAnsi="宋体"/>
      <w:kern w:val="10"/>
      <w:sz w:val="24"/>
      <w:szCs w:val="20"/>
    </w:rPr>
  </w:style>
  <w:style w:type="paragraph" w:customStyle="1" w:styleId="943">
    <w:name w:val="*"/>
    <w:basedOn w:val="1"/>
    <w:qFormat/>
    <w:uiPriority w:val="0"/>
    <w:pPr>
      <w:tabs>
        <w:tab w:val="left" w:pos="851"/>
      </w:tabs>
      <w:spacing w:line="360" w:lineRule="auto"/>
      <w:ind w:left="851" w:hanging="284"/>
    </w:pPr>
    <w:rPr>
      <w:rFonts w:ascii="宋体" w:hAnsi="宋体"/>
      <w:kern w:val="0"/>
      <w:sz w:val="24"/>
      <w:szCs w:val="20"/>
    </w:rPr>
  </w:style>
  <w:style w:type="paragraph" w:customStyle="1" w:styleId="944">
    <w:name w:val="xl59"/>
    <w:basedOn w:val="1"/>
    <w:qFormat/>
    <w:uiPriority w:val="0"/>
    <w:pPr>
      <w:widowControl/>
      <w:pBdr>
        <w:top w:val="single" w:color="auto" w:sz="4" w:space="0"/>
        <w:left w:val="single" w:color="auto" w:sz="4" w:space="0"/>
        <w:bottom w:val="single" w:color="auto" w:sz="8" w:space="0"/>
      </w:pBdr>
      <w:spacing w:before="100" w:after="100"/>
      <w:jc w:val="right"/>
      <w:textAlignment w:val="center"/>
    </w:pPr>
    <w:rPr>
      <w:rFonts w:ascii="宋体" w:hAnsi="宋体"/>
      <w:kern w:val="0"/>
      <w:sz w:val="20"/>
      <w:szCs w:val="20"/>
    </w:rPr>
  </w:style>
  <w:style w:type="paragraph" w:customStyle="1" w:styleId="945">
    <w:name w:val="xl33"/>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946">
    <w:name w:val="CM129"/>
    <w:basedOn w:val="146"/>
    <w:next w:val="146"/>
    <w:qFormat/>
    <w:uiPriority w:val="0"/>
    <w:pPr>
      <w:spacing w:line="468" w:lineRule="atLeast"/>
    </w:pPr>
    <w:rPr>
      <w:rFonts w:ascii="黑体" w:eastAsia="黑体" w:cs="Times New Roman"/>
      <w:color w:val="auto"/>
    </w:rPr>
  </w:style>
  <w:style w:type="paragraph" w:customStyle="1" w:styleId="947">
    <w:name w:val="CM94"/>
    <w:basedOn w:val="146"/>
    <w:next w:val="146"/>
    <w:qFormat/>
    <w:uiPriority w:val="0"/>
    <w:pPr>
      <w:spacing w:line="313" w:lineRule="atLeast"/>
    </w:pPr>
    <w:rPr>
      <w:rFonts w:cs="Times New Roman"/>
      <w:color w:val="auto"/>
      <w:szCs w:val="20"/>
    </w:rPr>
  </w:style>
  <w:style w:type="paragraph" w:customStyle="1" w:styleId="948">
    <w:name w:val="CM40"/>
    <w:basedOn w:val="146"/>
    <w:next w:val="146"/>
    <w:qFormat/>
    <w:uiPriority w:val="0"/>
    <w:pPr>
      <w:spacing w:line="468" w:lineRule="atLeast"/>
    </w:pPr>
    <w:rPr>
      <w:rFonts w:ascii="黑体" w:eastAsia="黑体" w:cs="Times New Roman"/>
      <w:color w:val="auto"/>
    </w:rPr>
  </w:style>
  <w:style w:type="paragraph" w:customStyle="1" w:styleId="949">
    <w:name w:val="CM26"/>
    <w:basedOn w:val="146"/>
    <w:next w:val="146"/>
    <w:qFormat/>
    <w:uiPriority w:val="0"/>
    <w:pPr>
      <w:spacing w:line="468" w:lineRule="atLeast"/>
    </w:pPr>
    <w:rPr>
      <w:rFonts w:ascii="黑体" w:eastAsia="黑体" w:cs="Times New Roman"/>
      <w:color w:val="auto"/>
    </w:rPr>
  </w:style>
  <w:style w:type="paragraph" w:customStyle="1" w:styleId="950">
    <w:name w:val="xl650"/>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951">
    <w:name w:val="xl1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952">
    <w:name w:val="无间隔1"/>
    <w:qFormat/>
    <w:uiPriority w:val="0"/>
    <w:pPr>
      <w:widowControl w:val="0"/>
      <w:jc w:val="both"/>
    </w:pPr>
    <w:rPr>
      <w:rFonts w:ascii="Calibri" w:hAnsi="Calibri" w:eastAsia="宋体" w:cs="Times New Roman"/>
      <w:kern w:val="2"/>
      <w:sz w:val="21"/>
      <w:szCs w:val="22"/>
      <w:lang w:val="en-US" w:eastAsia="zh-CN" w:bidi="ar-SA"/>
    </w:rPr>
  </w:style>
  <w:style w:type="paragraph" w:customStyle="1" w:styleId="953">
    <w:name w:val="font1"/>
    <w:basedOn w:val="1"/>
    <w:qFormat/>
    <w:uiPriority w:val="0"/>
    <w:pPr>
      <w:widowControl/>
      <w:spacing w:before="100" w:after="100"/>
      <w:jc w:val="left"/>
    </w:pPr>
    <w:rPr>
      <w:rFonts w:hint="eastAsia" w:ascii="宋体" w:hAnsi="宋体"/>
      <w:kern w:val="0"/>
      <w:sz w:val="24"/>
      <w:szCs w:val="20"/>
    </w:rPr>
  </w:style>
  <w:style w:type="paragraph" w:customStyle="1" w:styleId="954">
    <w:name w:val="样式 标题 1 + 加粗1"/>
    <w:basedOn w:val="3"/>
    <w:semiHidden/>
    <w:qFormat/>
    <w:uiPriority w:val="0"/>
    <w:pPr>
      <w:adjustRightInd w:val="0"/>
      <w:spacing w:beforeLines="100" w:afterLines="100" w:line="240" w:lineRule="auto"/>
    </w:pPr>
    <w:rPr>
      <w:rFonts w:eastAsia="黑体"/>
      <w:b w:val="0"/>
      <w:sz w:val="28"/>
      <w:szCs w:val="28"/>
    </w:rPr>
  </w:style>
  <w:style w:type="paragraph" w:customStyle="1" w:styleId="955">
    <w:name w:val="xl15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7030A0"/>
      <w:kern w:val="0"/>
      <w:sz w:val="20"/>
      <w:szCs w:val="20"/>
    </w:rPr>
  </w:style>
  <w:style w:type="paragraph" w:customStyle="1" w:styleId="956">
    <w:name w:val="样式 首行缩进:  0 厘米 行距: 单倍行距 Char"/>
    <w:basedOn w:val="1"/>
    <w:semiHidden/>
    <w:qFormat/>
    <w:uiPriority w:val="0"/>
    <w:pPr>
      <w:adjustRightInd w:val="0"/>
    </w:pPr>
    <w:rPr>
      <w:kern w:val="0"/>
      <w:szCs w:val="21"/>
    </w:rPr>
  </w:style>
  <w:style w:type="paragraph" w:customStyle="1" w:styleId="957">
    <w:name w:val="目录3"/>
    <w:basedOn w:val="1"/>
    <w:qFormat/>
    <w:uiPriority w:val="0"/>
    <w:pPr>
      <w:adjustRightInd w:val="0"/>
      <w:spacing w:line="420" w:lineRule="atLeast"/>
      <w:ind w:left="454" w:firstLine="200" w:firstLineChars="200"/>
      <w:jc w:val="left"/>
      <w:textAlignment w:val="baseline"/>
    </w:pPr>
    <w:rPr>
      <w:color w:val="1F497D"/>
      <w:kern w:val="0"/>
      <w:sz w:val="24"/>
    </w:rPr>
  </w:style>
  <w:style w:type="paragraph" w:customStyle="1" w:styleId="958">
    <w:name w:val="技术标题2"/>
    <w:basedOn w:val="1"/>
    <w:qFormat/>
    <w:uiPriority w:val="0"/>
    <w:pPr>
      <w:keepNext/>
      <w:keepLines/>
      <w:adjustRightInd w:val="0"/>
      <w:snapToGrid w:val="0"/>
      <w:spacing w:beforeLines="150" w:afterLines="50"/>
      <w:outlineLvl w:val="3"/>
    </w:pPr>
    <w:rPr>
      <w:rFonts w:ascii="Arial" w:hAnsi="Arial"/>
      <w:b/>
      <w:bCs/>
      <w:color w:val="000000"/>
      <w:spacing w:val="6"/>
      <w:sz w:val="24"/>
      <w:szCs w:val="28"/>
    </w:rPr>
  </w:style>
  <w:style w:type="paragraph" w:customStyle="1" w:styleId="959">
    <w:name w:val="索引 71"/>
    <w:basedOn w:val="1"/>
    <w:next w:val="1"/>
    <w:qFormat/>
    <w:uiPriority w:val="0"/>
    <w:pPr>
      <w:spacing w:line="480" w:lineRule="exact"/>
      <w:ind w:left="1200" w:leftChars="1200"/>
    </w:pPr>
    <w:rPr>
      <w:sz w:val="24"/>
    </w:rPr>
  </w:style>
  <w:style w:type="paragraph" w:customStyle="1" w:styleId="960">
    <w:name w:val="CM63"/>
    <w:basedOn w:val="146"/>
    <w:next w:val="146"/>
    <w:qFormat/>
    <w:uiPriority w:val="0"/>
    <w:pPr>
      <w:spacing w:line="468" w:lineRule="atLeast"/>
    </w:pPr>
    <w:rPr>
      <w:rFonts w:ascii="黑体" w:eastAsia="黑体" w:cs="Times New Roman"/>
      <w:color w:val="auto"/>
    </w:rPr>
  </w:style>
  <w:style w:type="paragraph" w:customStyle="1" w:styleId="961">
    <w:name w:val="表1"/>
    <w:basedOn w:val="1"/>
    <w:qFormat/>
    <w:uiPriority w:val="0"/>
    <w:pPr>
      <w:widowControl/>
      <w:wordWrap w:val="0"/>
      <w:adjustRightInd w:val="0"/>
      <w:snapToGrid w:val="0"/>
      <w:spacing w:line="240" w:lineRule="atLeast"/>
      <w:jc w:val="left"/>
      <w:textAlignment w:val="center"/>
    </w:pPr>
    <w:rPr>
      <w:rFonts w:ascii="黑体"/>
      <w:sz w:val="18"/>
    </w:rPr>
  </w:style>
  <w:style w:type="paragraph" w:customStyle="1" w:styleId="962">
    <w:name w:val="技术标题1"/>
    <w:basedOn w:val="6"/>
    <w:qFormat/>
    <w:uiPriority w:val="0"/>
    <w:pPr>
      <w:adjustRightInd w:val="0"/>
      <w:snapToGrid w:val="0"/>
      <w:spacing w:beforeLines="100" w:afterLines="50" w:line="360" w:lineRule="auto"/>
    </w:pPr>
    <w:rPr>
      <w:rFonts w:eastAsia="宋体"/>
      <w:color w:val="000000"/>
      <w:sz w:val="32"/>
    </w:rPr>
  </w:style>
  <w:style w:type="paragraph" w:customStyle="1" w:styleId="963">
    <w:name w:val="样式 标题 2 + 黑体 段前: 10.25 磅 段后: 10.25 磅 行距: 单倍行距"/>
    <w:basedOn w:val="4"/>
    <w:semiHidden/>
    <w:qFormat/>
    <w:uiPriority w:val="0"/>
    <w:pPr>
      <w:widowControl w:val="0"/>
      <w:adjustRightInd w:val="0"/>
      <w:spacing w:beforeLines="50" w:afterLines="50" w:line="240" w:lineRule="auto"/>
      <w:ind w:firstLine="420"/>
      <w:jc w:val="left"/>
    </w:pPr>
    <w:rPr>
      <w:rFonts w:ascii="黑体" w:hAnsi="黑体"/>
      <w:sz w:val="24"/>
    </w:rPr>
  </w:style>
  <w:style w:type="paragraph" w:customStyle="1" w:styleId="964">
    <w:name w:val="Char Char Char Char Char Char Char1"/>
    <w:basedOn w:val="1"/>
    <w:qFormat/>
    <w:uiPriority w:val="0"/>
    <w:pPr>
      <w:spacing w:line="240" w:lineRule="atLeast"/>
      <w:ind w:left="420" w:firstLine="420"/>
    </w:pPr>
    <w:rPr>
      <w:kern w:val="0"/>
      <w:szCs w:val="21"/>
    </w:rPr>
  </w:style>
  <w:style w:type="paragraph" w:customStyle="1" w:styleId="965">
    <w:name w:val="表文"/>
    <w:basedOn w:val="1"/>
    <w:qFormat/>
    <w:uiPriority w:val="0"/>
    <w:pPr>
      <w:topLinePunct/>
      <w:spacing w:before="40" w:after="40"/>
    </w:pPr>
    <w:rPr>
      <w:sz w:val="18"/>
      <w:szCs w:val="20"/>
    </w:rPr>
  </w:style>
  <w:style w:type="paragraph" w:customStyle="1" w:styleId="966">
    <w:name w:val="xl141"/>
    <w:basedOn w:val="1"/>
    <w:qFormat/>
    <w:uiPriority w:val="0"/>
    <w:pPr>
      <w:widowControl/>
      <w:shd w:val="clear" w:color="000000" w:fill="FFFFFF"/>
      <w:spacing w:before="100" w:beforeAutospacing="1" w:after="100" w:afterAutospacing="1"/>
      <w:jc w:val="left"/>
    </w:pPr>
    <w:rPr>
      <w:color w:val="000000"/>
      <w:kern w:val="0"/>
      <w:sz w:val="20"/>
      <w:szCs w:val="20"/>
    </w:rPr>
  </w:style>
  <w:style w:type="paragraph" w:customStyle="1" w:styleId="967">
    <w:name w:val="xl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968">
    <w:name w:val="xl1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69">
    <w:name w:val="xl73"/>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970">
    <w:name w:val="CM47"/>
    <w:basedOn w:val="146"/>
    <w:next w:val="146"/>
    <w:qFormat/>
    <w:uiPriority w:val="0"/>
    <w:pPr>
      <w:spacing w:line="468" w:lineRule="atLeast"/>
    </w:pPr>
    <w:rPr>
      <w:rFonts w:ascii="黑体" w:eastAsia="黑体" w:cs="Times New Roman"/>
      <w:color w:val="auto"/>
    </w:rPr>
  </w:style>
  <w:style w:type="paragraph" w:customStyle="1" w:styleId="971">
    <w:name w:val="xl34"/>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color w:val="000000"/>
      <w:kern w:val="0"/>
      <w:sz w:val="20"/>
      <w:szCs w:val="20"/>
    </w:rPr>
  </w:style>
  <w:style w:type="paragraph" w:customStyle="1" w:styleId="972">
    <w:name w:val="CM28"/>
    <w:basedOn w:val="146"/>
    <w:next w:val="146"/>
    <w:qFormat/>
    <w:uiPriority w:val="0"/>
    <w:pPr>
      <w:spacing w:line="468" w:lineRule="atLeast"/>
    </w:pPr>
    <w:rPr>
      <w:rFonts w:ascii="黑体" w:eastAsia="黑体" w:cs="Times New Roman"/>
      <w:color w:val="auto"/>
    </w:rPr>
  </w:style>
  <w:style w:type="paragraph" w:customStyle="1" w:styleId="973">
    <w:name w:val="索引 51"/>
    <w:basedOn w:val="1"/>
    <w:next w:val="1"/>
    <w:qFormat/>
    <w:uiPriority w:val="0"/>
    <w:pPr>
      <w:spacing w:line="480" w:lineRule="exact"/>
      <w:ind w:left="800" w:leftChars="800"/>
    </w:pPr>
    <w:rPr>
      <w:sz w:val="24"/>
    </w:rPr>
  </w:style>
  <w:style w:type="paragraph" w:customStyle="1" w:styleId="974">
    <w:name w:val="xl76"/>
    <w:basedOn w:val="1"/>
    <w:qFormat/>
    <w:uiPriority w:val="0"/>
    <w:pPr>
      <w:widowControl/>
      <w:pBdr>
        <w:left w:val="single" w:color="auto" w:sz="4" w:space="0"/>
        <w:bottom w:val="single" w:color="auto" w:sz="4" w:space="0"/>
      </w:pBdr>
      <w:spacing w:before="100" w:beforeAutospacing="1" w:after="100" w:afterAutospacing="1"/>
      <w:jc w:val="left"/>
    </w:pPr>
    <w:rPr>
      <w:rFonts w:ascii="宋体" w:hAnsi="宋体"/>
      <w:kern w:val="0"/>
      <w:sz w:val="20"/>
      <w:szCs w:val="20"/>
    </w:rPr>
  </w:style>
  <w:style w:type="paragraph" w:customStyle="1" w:styleId="975">
    <w:name w:val="CM109"/>
    <w:basedOn w:val="146"/>
    <w:next w:val="146"/>
    <w:qFormat/>
    <w:uiPriority w:val="0"/>
    <w:pPr>
      <w:spacing w:line="468" w:lineRule="atLeast"/>
    </w:pPr>
    <w:rPr>
      <w:rFonts w:ascii="黑体" w:eastAsia="黑体" w:cs="Times New Roman"/>
      <w:color w:val="auto"/>
    </w:rPr>
  </w:style>
  <w:style w:type="paragraph" w:customStyle="1" w:styleId="976">
    <w:name w:val="xl172"/>
    <w:basedOn w:val="1"/>
    <w:qFormat/>
    <w:uiPriority w:val="0"/>
    <w:pPr>
      <w:widowControl/>
      <w:pBdr>
        <w:bottom w:val="single" w:color="auto" w:sz="4" w:space="0"/>
      </w:pBdr>
      <w:spacing w:before="100" w:beforeAutospacing="1" w:after="100" w:afterAutospacing="1"/>
      <w:jc w:val="left"/>
    </w:pPr>
    <w:rPr>
      <w:rFonts w:ascii="宋体" w:hAnsi="宋体" w:cs="宋体"/>
      <w:kern w:val="0"/>
      <w:sz w:val="20"/>
      <w:szCs w:val="20"/>
    </w:rPr>
  </w:style>
  <w:style w:type="paragraph" w:customStyle="1" w:styleId="977">
    <w:name w:val="重点"/>
    <w:basedOn w:val="1"/>
    <w:qFormat/>
    <w:uiPriority w:val="0"/>
    <w:pPr>
      <w:numPr>
        <w:ilvl w:val="0"/>
        <w:numId w:val="16"/>
      </w:numPr>
      <w:tabs>
        <w:tab w:val="left" w:pos="0"/>
        <w:tab w:val="left" w:pos="814"/>
        <w:tab w:val="left" w:pos="1200"/>
      </w:tabs>
      <w:adjustRightInd w:val="0"/>
      <w:snapToGrid w:val="0"/>
      <w:spacing w:line="560" w:lineRule="atLeast"/>
      <w:jc w:val="left"/>
    </w:pPr>
    <w:rPr>
      <w:color w:val="1F497D"/>
      <w:kern w:val="24"/>
      <w:sz w:val="30"/>
      <w:szCs w:val="20"/>
    </w:rPr>
  </w:style>
  <w:style w:type="paragraph" w:customStyle="1" w:styleId="978">
    <w:name w:val="正文首行缩进 21"/>
    <w:basedOn w:val="674"/>
    <w:qFormat/>
    <w:uiPriority w:val="0"/>
    <w:pPr>
      <w:spacing w:after="120" w:line="240" w:lineRule="auto"/>
      <w:ind w:left="420" w:leftChars="200" w:firstLine="420" w:firstLineChars="200"/>
    </w:pPr>
    <w:rPr>
      <w:sz w:val="24"/>
      <w:szCs w:val="24"/>
    </w:rPr>
  </w:style>
  <w:style w:type="paragraph" w:customStyle="1" w:styleId="979">
    <w:name w:val="CM135"/>
    <w:basedOn w:val="146"/>
    <w:next w:val="146"/>
    <w:qFormat/>
    <w:uiPriority w:val="0"/>
    <w:pPr>
      <w:spacing w:after="563"/>
    </w:pPr>
    <w:rPr>
      <w:rFonts w:ascii="黑体" w:eastAsia="黑体" w:cs="Times New Roman"/>
      <w:color w:val="auto"/>
    </w:rPr>
  </w:style>
  <w:style w:type="paragraph" w:customStyle="1" w:styleId="980">
    <w:name w:val="CM67"/>
    <w:basedOn w:val="146"/>
    <w:next w:val="146"/>
    <w:qFormat/>
    <w:uiPriority w:val="0"/>
    <w:pPr>
      <w:spacing w:line="468" w:lineRule="atLeast"/>
    </w:pPr>
    <w:rPr>
      <w:rFonts w:ascii="黑体" w:eastAsia="黑体" w:cs="Times New Roman"/>
      <w:color w:val="auto"/>
    </w:rPr>
  </w:style>
  <w:style w:type="paragraph" w:customStyle="1" w:styleId="981">
    <w:name w:val="xl43"/>
    <w:basedOn w:val="1"/>
    <w:qFormat/>
    <w:uiPriority w:val="0"/>
    <w:pPr>
      <w:widowControl/>
      <w:pBdr>
        <w:left w:val="single" w:color="auto" w:sz="4" w:space="0"/>
        <w:bottom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982">
    <w:name w:val="CM42"/>
    <w:basedOn w:val="146"/>
    <w:next w:val="146"/>
    <w:qFormat/>
    <w:uiPriority w:val="0"/>
    <w:pPr>
      <w:spacing w:line="468" w:lineRule="atLeast"/>
    </w:pPr>
    <w:rPr>
      <w:rFonts w:ascii="黑体" w:eastAsia="黑体" w:cs="Times New Roman"/>
      <w:color w:val="auto"/>
    </w:rPr>
  </w:style>
  <w:style w:type="paragraph" w:customStyle="1" w:styleId="983">
    <w:name w:val="xl1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984">
    <w:name w:val="样式 标题 2标题 1.1 + 小四 加粗"/>
    <w:basedOn w:val="4"/>
    <w:qFormat/>
    <w:uiPriority w:val="0"/>
    <w:pPr>
      <w:widowControl w:val="0"/>
      <w:adjustRightInd w:val="0"/>
      <w:snapToGrid w:val="0"/>
      <w:spacing w:before="120" w:after="120" w:line="420" w:lineRule="exact"/>
      <w:jc w:val="both"/>
    </w:pPr>
    <w:rPr>
      <w:rFonts w:ascii="Times New Roman" w:hAnsi="Times New Roman" w:eastAsia="宋体"/>
      <w:bCs/>
      <w:kern w:val="2"/>
      <w:sz w:val="28"/>
      <w:szCs w:val="32"/>
    </w:rPr>
  </w:style>
  <w:style w:type="paragraph" w:customStyle="1" w:styleId="985">
    <w:name w:val="xl11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86">
    <w:name w:val="xl15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7030A0"/>
      <w:kern w:val="0"/>
      <w:sz w:val="20"/>
      <w:szCs w:val="20"/>
    </w:rPr>
  </w:style>
  <w:style w:type="paragraph" w:customStyle="1" w:styleId="987">
    <w:name w:val="五号线1.1.1"/>
    <w:qFormat/>
    <w:uiPriority w:val="0"/>
    <w:pPr>
      <w:tabs>
        <w:tab w:val="left" w:pos="851"/>
      </w:tabs>
      <w:spacing w:before="120" w:after="120" w:line="500" w:lineRule="exact"/>
      <w:ind w:left="851" w:hanging="851"/>
      <w:outlineLvl w:val="2"/>
    </w:pPr>
    <w:rPr>
      <w:rFonts w:ascii="宋体" w:hAnsi="Times New Roman" w:eastAsia="宋体" w:cs="Times New Roman"/>
      <w:spacing w:val="6"/>
      <w:w w:val="95"/>
      <w:sz w:val="24"/>
      <w:lang w:val="en-US" w:eastAsia="zh-CN" w:bidi="ar-SA"/>
    </w:rPr>
  </w:style>
  <w:style w:type="paragraph" w:customStyle="1" w:styleId="988">
    <w:name w:val="1.1"/>
    <w:basedOn w:val="1"/>
    <w:qFormat/>
    <w:uiPriority w:val="0"/>
    <w:pPr>
      <w:spacing w:line="440" w:lineRule="exact"/>
      <w:ind w:firstLine="200" w:firstLineChars="200"/>
    </w:pPr>
    <w:rPr>
      <w:sz w:val="28"/>
      <w:szCs w:val="20"/>
    </w:rPr>
  </w:style>
  <w:style w:type="paragraph" w:customStyle="1" w:styleId="989">
    <w:name w:val="Char Char Char Char Char Char Char Char Char Char"/>
    <w:basedOn w:val="1"/>
    <w:qFormat/>
    <w:uiPriority w:val="0"/>
    <w:pPr>
      <w:widowControl/>
      <w:spacing w:after="160" w:line="240" w:lineRule="exact"/>
      <w:jc w:val="left"/>
    </w:pPr>
    <w:rPr>
      <w:szCs w:val="20"/>
    </w:rPr>
  </w:style>
  <w:style w:type="paragraph" w:customStyle="1" w:styleId="990">
    <w:name w:val="图目录"/>
    <w:basedOn w:val="739"/>
    <w:qFormat/>
    <w:uiPriority w:val="0"/>
    <w:pPr>
      <w:keepNext/>
      <w:spacing w:beforeLines="50" w:afterLines="50" w:line="400" w:lineRule="exact"/>
      <w:ind w:left="0" w:leftChars="0" w:firstLine="200" w:firstLineChars="200"/>
      <w:jc w:val="left"/>
    </w:pPr>
    <w:rPr>
      <w:bCs/>
      <w:smallCaps/>
      <w:sz w:val="21"/>
      <w:szCs w:val="21"/>
    </w:rPr>
  </w:style>
  <w:style w:type="paragraph" w:customStyle="1" w:styleId="991">
    <w:name w:val="二级标题"/>
    <w:basedOn w:val="4"/>
    <w:qFormat/>
    <w:uiPriority w:val="0"/>
    <w:pPr>
      <w:widowControl w:val="0"/>
      <w:tabs>
        <w:tab w:val="left" w:pos="6840"/>
      </w:tabs>
      <w:topLinePunct/>
      <w:autoSpaceDE w:val="0"/>
      <w:autoSpaceDN w:val="0"/>
      <w:adjustRightInd w:val="0"/>
      <w:spacing w:beforeLines="100" w:afterLines="50" w:line="240" w:lineRule="auto"/>
      <w:ind w:firstLine="200" w:firstLineChars="200"/>
      <w:jc w:val="both"/>
    </w:pPr>
    <w:rPr>
      <w:rFonts w:cs="Arial"/>
      <w:bCs/>
      <w:sz w:val="24"/>
      <w:szCs w:val="24"/>
    </w:rPr>
  </w:style>
  <w:style w:type="paragraph" w:customStyle="1" w:styleId="992">
    <w:name w:val="xl51"/>
    <w:basedOn w:val="1"/>
    <w:qFormat/>
    <w:uiPriority w:val="0"/>
    <w:pPr>
      <w:widowControl/>
      <w:pBdr>
        <w:top w:val="single" w:color="auto" w:sz="4" w:space="0"/>
        <w:left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993">
    <w:name w:val="xl679"/>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right"/>
    </w:pPr>
    <w:rPr>
      <w:rFonts w:ascii="宋体" w:hAnsi="宋体" w:cs="宋体"/>
      <w:color w:val="000000"/>
      <w:kern w:val="0"/>
      <w:sz w:val="18"/>
      <w:szCs w:val="18"/>
    </w:rPr>
  </w:style>
  <w:style w:type="paragraph" w:customStyle="1" w:styleId="994">
    <w:name w:val="TOC 标题1"/>
    <w:basedOn w:val="3"/>
    <w:next w:val="1"/>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995">
    <w:name w:val="CM29"/>
    <w:basedOn w:val="146"/>
    <w:next w:val="146"/>
    <w:qFormat/>
    <w:uiPriority w:val="0"/>
    <w:pPr>
      <w:spacing w:line="468" w:lineRule="atLeast"/>
    </w:pPr>
    <w:rPr>
      <w:rFonts w:ascii="黑体" w:eastAsia="黑体" w:cs="Times New Roman"/>
      <w:color w:val="auto"/>
    </w:rPr>
  </w:style>
  <w:style w:type="paragraph" w:customStyle="1" w:styleId="996">
    <w:name w:val="font21"/>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997">
    <w:name w:val="9号线正文"/>
    <w:basedOn w:val="1"/>
    <w:qFormat/>
    <w:uiPriority w:val="0"/>
    <w:pPr>
      <w:widowControl/>
      <w:overflowPunct w:val="0"/>
      <w:spacing w:line="560" w:lineRule="exact"/>
      <w:ind w:firstLine="420" w:firstLineChars="200"/>
      <w:jc w:val="left"/>
    </w:pPr>
    <w:rPr>
      <w:rFonts w:ascii="宋体" w:hAnsi="宋体"/>
      <w:kern w:val="0"/>
      <w:sz w:val="26"/>
      <w:szCs w:val="20"/>
    </w:rPr>
  </w:style>
  <w:style w:type="paragraph" w:customStyle="1" w:styleId="998">
    <w:name w:val="xl89"/>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999">
    <w:name w:val="引文目录1"/>
    <w:basedOn w:val="1"/>
    <w:next w:val="1"/>
    <w:qFormat/>
    <w:uiPriority w:val="0"/>
    <w:pPr>
      <w:spacing w:line="480" w:lineRule="exact"/>
      <w:ind w:left="420" w:leftChars="200"/>
    </w:pPr>
    <w:rPr>
      <w:sz w:val="24"/>
    </w:rPr>
  </w:style>
  <w:style w:type="paragraph" w:customStyle="1" w:styleId="1000">
    <w:name w:val="xl1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1001">
    <w:name w:val="项目符1"/>
    <w:basedOn w:val="1"/>
    <w:qFormat/>
    <w:uiPriority w:val="0"/>
    <w:pPr>
      <w:tabs>
        <w:tab w:val="left" w:pos="1365"/>
      </w:tabs>
      <w:spacing w:before="78" w:after="78" w:line="300" w:lineRule="auto"/>
      <w:ind w:left="1365" w:hanging="344"/>
    </w:pPr>
    <w:rPr>
      <w:rFonts w:ascii="Arial" w:hAnsi="Arial"/>
      <w:sz w:val="24"/>
    </w:rPr>
  </w:style>
  <w:style w:type="paragraph" w:customStyle="1" w:styleId="1002">
    <w:name w:val="封面_黑体小二"/>
    <w:qFormat/>
    <w:uiPriority w:val="0"/>
    <w:pPr>
      <w:keepNext/>
      <w:jc w:val="center"/>
    </w:pPr>
    <w:rPr>
      <w:rFonts w:ascii="Times New Roman" w:hAnsi="Times New Roman" w:eastAsia="黑体" w:cs="Times New Roman"/>
      <w:kern w:val="2"/>
      <w:sz w:val="36"/>
      <w:szCs w:val="24"/>
      <w:lang w:val="en-US" w:eastAsia="zh-CN" w:bidi="ar-SA"/>
    </w:rPr>
  </w:style>
  <w:style w:type="paragraph" w:customStyle="1" w:styleId="1003">
    <w:name w:val="封面_黑体初号"/>
    <w:qFormat/>
    <w:uiPriority w:val="0"/>
    <w:pPr>
      <w:keepNext/>
      <w:jc w:val="center"/>
    </w:pPr>
    <w:rPr>
      <w:rFonts w:ascii="Times New Roman" w:hAnsi="Times New Roman" w:eastAsia="黑体" w:cs="Times New Roman"/>
      <w:kern w:val="2"/>
      <w:sz w:val="84"/>
      <w:szCs w:val="24"/>
      <w:lang w:val="en-US" w:eastAsia="zh-CN" w:bidi="ar-SA"/>
    </w:rPr>
  </w:style>
  <w:style w:type="paragraph" w:customStyle="1" w:styleId="1004">
    <w:name w:val="Body1"/>
    <w:basedOn w:val="3"/>
    <w:qFormat/>
    <w:uiPriority w:val="0"/>
    <w:pPr>
      <w:widowControl/>
      <w:tabs>
        <w:tab w:val="left" w:pos="1008"/>
      </w:tabs>
      <w:spacing w:before="120" w:after="240" w:line="240" w:lineRule="auto"/>
      <w:ind w:left="1008" w:hanging="1008"/>
      <w:jc w:val="left"/>
      <w:outlineLvl w:val="9"/>
    </w:pPr>
    <w:rPr>
      <w:rFonts w:ascii="Arial" w:hAnsi="Arial" w:eastAsia="PMingLiU"/>
      <w:b w:val="0"/>
      <w:bCs w:val="0"/>
      <w:caps/>
      <w:kern w:val="28"/>
      <w:sz w:val="28"/>
      <w:szCs w:val="28"/>
      <w:lang w:eastAsia="zh-TW"/>
    </w:rPr>
  </w:style>
  <w:style w:type="paragraph" w:customStyle="1" w:styleId="1005">
    <w:name w:val="CM64"/>
    <w:basedOn w:val="146"/>
    <w:next w:val="146"/>
    <w:qFormat/>
    <w:uiPriority w:val="0"/>
    <w:pPr>
      <w:spacing w:line="468" w:lineRule="atLeast"/>
    </w:pPr>
    <w:rPr>
      <w:rFonts w:ascii="黑体" w:eastAsia="黑体" w:cs="Times New Roman"/>
      <w:color w:val="auto"/>
    </w:rPr>
  </w:style>
  <w:style w:type="paragraph" w:customStyle="1" w:styleId="1006">
    <w:name w:val="Report Level 4"/>
    <w:basedOn w:val="705"/>
    <w:next w:val="558"/>
    <w:qFormat/>
    <w:uiPriority w:val="0"/>
    <w:pPr>
      <w:outlineLvl w:val="3"/>
    </w:pPr>
    <w:rPr>
      <w:rFonts w:ascii="Times New Roman" w:hAnsi="Times New Roman"/>
    </w:rPr>
  </w:style>
  <w:style w:type="paragraph" w:customStyle="1" w:styleId="1007">
    <w:name w:val="xl684"/>
    <w:basedOn w:val="1"/>
    <w:qFormat/>
    <w:uiPriority w:val="0"/>
    <w:pPr>
      <w:widowControl/>
      <w:pBdr>
        <w:top w:val="single" w:color="000000" w:sz="4" w:space="0"/>
        <w:left w:val="single" w:color="000000" w:sz="4" w:space="0"/>
      </w:pBdr>
      <w:spacing w:before="100" w:beforeAutospacing="1" w:after="100" w:afterAutospacing="1"/>
      <w:jc w:val="right"/>
    </w:pPr>
    <w:rPr>
      <w:rFonts w:ascii="宋体" w:hAnsi="宋体" w:cs="宋体"/>
      <w:color w:val="000000"/>
      <w:kern w:val="0"/>
      <w:sz w:val="18"/>
      <w:szCs w:val="18"/>
    </w:rPr>
  </w:style>
  <w:style w:type="paragraph" w:customStyle="1" w:styleId="1008">
    <w:name w:val="补充说明"/>
    <w:basedOn w:val="1"/>
    <w:qFormat/>
    <w:uiPriority w:val="0"/>
    <w:pPr>
      <w:keepNext/>
      <w:spacing w:before="120" w:after="120" w:line="360" w:lineRule="auto"/>
      <w:ind w:left="200" w:leftChars="200" w:firstLine="200" w:firstLineChars="200"/>
      <w:jc w:val="left"/>
    </w:pPr>
    <w:rPr>
      <w:color w:val="666699"/>
      <w:sz w:val="18"/>
      <w:szCs w:val="18"/>
    </w:rPr>
  </w:style>
  <w:style w:type="paragraph" w:customStyle="1" w:styleId="1009">
    <w:name w:val="样式 样式 标题 1 + 五号 + (符号) 宋体"/>
    <w:basedOn w:val="1"/>
    <w:qFormat/>
    <w:uiPriority w:val="0"/>
    <w:pPr>
      <w:keepNext/>
      <w:keepLines/>
      <w:tabs>
        <w:tab w:val="left" w:pos="840"/>
      </w:tabs>
      <w:spacing w:line="360" w:lineRule="auto"/>
      <w:ind w:left="840" w:firstLine="200"/>
      <w:outlineLvl w:val="0"/>
    </w:pPr>
    <w:rPr>
      <w:b/>
      <w:bCs/>
      <w:kern w:val="44"/>
      <w:sz w:val="28"/>
      <w:szCs w:val="28"/>
    </w:rPr>
  </w:style>
  <w:style w:type="paragraph" w:customStyle="1" w:styleId="1010">
    <w:name w:val="xl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011">
    <w:name w:val="xl10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1012">
    <w:name w:val="xl11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013">
    <w:name w:val="xl11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014">
    <w:name w:val="bbb"/>
    <w:basedOn w:val="1"/>
    <w:semiHidden/>
    <w:qFormat/>
    <w:uiPriority w:val="0"/>
    <w:pPr>
      <w:topLinePunct/>
      <w:snapToGrid w:val="0"/>
      <w:spacing w:before="60" w:after="60"/>
      <w:jc w:val="center"/>
    </w:pPr>
    <w:rPr>
      <w:sz w:val="18"/>
      <w:szCs w:val="18"/>
    </w:rPr>
  </w:style>
  <w:style w:type="paragraph" w:customStyle="1" w:styleId="1015">
    <w:name w:val="xl77"/>
    <w:basedOn w:val="1"/>
    <w:qFormat/>
    <w:uiPriority w:val="0"/>
    <w:pPr>
      <w:widowControl/>
      <w:pBdr>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1016">
    <w:name w:val="样式 左侧:  0 厘米 悬挂缩进: 1.25 字符"/>
    <w:basedOn w:val="1"/>
    <w:qFormat/>
    <w:uiPriority w:val="0"/>
    <w:rPr>
      <w:rFonts w:cs="宋体"/>
      <w:sz w:val="28"/>
      <w:szCs w:val="20"/>
    </w:rPr>
  </w:style>
  <w:style w:type="paragraph" w:customStyle="1" w:styleId="1017">
    <w:name w:val="CM10"/>
    <w:basedOn w:val="146"/>
    <w:next w:val="146"/>
    <w:qFormat/>
    <w:uiPriority w:val="0"/>
    <w:pPr>
      <w:spacing w:line="468" w:lineRule="atLeast"/>
    </w:pPr>
    <w:rPr>
      <w:rFonts w:ascii="黑体" w:eastAsia="黑体" w:cs="Times New Roman"/>
      <w:color w:val="auto"/>
    </w:rPr>
  </w:style>
  <w:style w:type="paragraph" w:customStyle="1" w:styleId="1018">
    <w:name w:val="somecontent"/>
    <w:basedOn w:val="1"/>
    <w:semiHidden/>
    <w:qFormat/>
    <w:uiPriority w:val="0"/>
    <w:pPr>
      <w:widowControl/>
      <w:spacing w:before="100" w:beforeAutospacing="1" w:after="100" w:afterAutospacing="1"/>
      <w:jc w:val="left"/>
    </w:pPr>
    <w:rPr>
      <w:rFonts w:ascii="宋体" w:hAnsi="宋体" w:cs="宋体"/>
      <w:kern w:val="0"/>
      <w:sz w:val="24"/>
    </w:rPr>
  </w:style>
  <w:style w:type="paragraph" w:customStyle="1" w:styleId="1019">
    <w:name w:val="新标题2"/>
    <w:basedOn w:val="1"/>
    <w:qFormat/>
    <w:uiPriority w:val="0"/>
    <w:pPr>
      <w:spacing w:line="480" w:lineRule="exact"/>
      <w:ind w:firstLine="200" w:firstLineChars="200"/>
      <w:jc w:val="left"/>
    </w:pPr>
    <w:rPr>
      <w:color w:val="1F497D"/>
      <w:sz w:val="24"/>
    </w:rPr>
  </w:style>
  <w:style w:type="paragraph" w:customStyle="1" w:styleId="1020">
    <w:name w:val="xl668"/>
    <w:basedOn w:val="1"/>
    <w:qFormat/>
    <w:uiPriority w:val="0"/>
    <w:pPr>
      <w:widowControl/>
      <w:pBdr>
        <w:top w:val="single" w:color="auto" w:sz="4" w:space="0"/>
        <w:left w:val="single" w:color="auto" w:sz="4" w:space="0"/>
        <w:bottom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1021">
    <w:name w:val="Char Char Char Char Char Char1 Char Char Char Char"/>
    <w:basedOn w:val="1"/>
    <w:qFormat/>
    <w:uiPriority w:val="0"/>
    <w:rPr>
      <w:rFonts w:ascii="FangSong_GB2312" w:eastAsia="FangSong_GB2312"/>
      <w:b/>
      <w:sz w:val="32"/>
      <w:szCs w:val="32"/>
    </w:rPr>
  </w:style>
  <w:style w:type="paragraph" w:customStyle="1" w:styleId="1022">
    <w:name w:val="CM136"/>
    <w:basedOn w:val="146"/>
    <w:next w:val="146"/>
    <w:qFormat/>
    <w:uiPriority w:val="0"/>
    <w:pPr>
      <w:spacing w:after="175"/>
    </w:pPr>
    <w:rPr>
      <w:rFonts w:ascii="黑体" w:eastAsia="黑体" w:cs="Times New Roman"/>
      <w:color w:val="auto"/>
    </w:rPr>
  </w:style>
  <w:style w:type="paragraph" w:customStyle="1" w:styleId="1023">
    <w:name w:val="图形标题"/>
    <w:basedOn w:val="22"/>
    <w:semiHidden/>
    <w:qFormat/>
    <w:uiPriority w:val="0"/>
    <w:pPr>
      <w:topLinePunct/>
      <w:jc w:val="center"/>
    </w:pPr>
    <w:rPr>
      <w:rFonts w:ascii="宋体" w:hAnsi="Plotter" w:eastAsia="宋体"/>
      <w:sz w:val="21"/>
    </w:rPr>
  </w:style>
  <w:style w:type="paragraph" w:customStyle="1" w:styleId="1024">
    <w:name w:val="xl136"/>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color w:val="000000"/>
      <w:kern w:val="0"/>
      <w:sz w:val="20"/>
      <w:szCs w:val="20"/>
    </w:rPr>
  </w:style>
  <w:style w:type="paragraph" w:customStyle="1" w:styleId="1025">
    <w:name w:val="标题 54"/>
    <w:basedOn w:val="1"/>
    <w:qFormat/>
    <w:uiPriority w:val="0"/>
    <w:pPr>
      <w:widowControl/>
      <w:tabs>
        <w:tab w:val="left" w:pos="1008"/>
      </w:tabs>
      <w:spacing w:line="480" w:lineRule="exact"/>
      <w:ind w:left="1008" w:hanging="1008" w:firstLineChars="200"/>
      <w:jc w:val="left"/>
    </w:pPr>
    <w:rPr>
      <w:color w:val="1F497D"/>
      <w:kern w:val="0"/>
      <w:sz w:val="20"/>
      <w:szCs w:val="20"/>
    </w:rPr>
  </w:style>
  <w:style w:type="paragraph" w:customStyle="1" w:styleId="1026">
    <w:name w:val="xl38"/>
    <w:basedOn w:val="1"/>
    <w:qFormat/>
    <w:uiPriority w:val="0"/>
    <w:pPr>
      <w:widowControl/>
      <w:pBdr>
        <w:top w:val="single" w:color="auto" w:sz="4" w:space="0"/>
        <w:left w:val="single" w:color="auto" w:sz="4" w:space="0"/>
        <w:bottom w:val="single" w:color="auto" w:sz="4" w:space="0"/>
        <w:right w:val="single" w:color="auto" w:sz="4" w:space="0"/>
      </w:pBdr>
      <w:shd w:val="clear" w:color="auto" w:fill="FFFFFF"/>
      <w:topLinePunct/>
      <w:spacing w:before="100" w:beforeAutospacing="1" w:after="100" w:afterAutospacing="1"/>
      <w:jc w:val="center"/>
    </w:pPr>
    <w:rPr>
      <w:kern w:val="0"/>
      <w:sz w:val="16"/>
      <w:szCs w:val="16"/>
    </w:rPr>
  </w:style>
  <w:style w:type="paragraph" w:customStyle="1" w:styleId="1027">
    <w:name w:val="四级条标题"/>
    <w:basedOn w:val="1"/>
    <w:next w:val="1"/>
    <w:qFormat/>
    <w:uiPriority w:val="0"/>
    <w:pPr>
      <w:widowControl/>
      <w:spacing w:beforeLines="50" w:afterLines="50"/>
      <w:outlineLvl w:val="5"/>
    </w:pPr>
    <w:rPr>
      <w:rFonts w:ascii="黑体" w:eastAsia="黑体"/>
      <w:kern w:val="0"/>
      <w:szCs w:val="20"/>
    </w:rPr>
  </w:style>
  <w:style w:type="paragraph" w:customStyle="1" w:styleId="1028">
    <w:name w:val="三级条标题"/>
    <w:basedOn w:val="880"/>
    <w:next w:val="1"/>
    <w:qFormat/>
    <w:uiPriority w:val="0"/>
    <w:pPr>
      <w:outlineLvl w:val="4"/>
    </w:pPr>
  </w:style>
  <w:style w:type="paragraph" w:customStyle="1" w:styleId="1029">
    <w:name w:val="标书正文1"/>
    <w:basedOn w:val="1"/>
    <w:qFormat/>
    <w:uiPriority w:val="0"/>
    <w:pPr>
      <w:tabs>
        <w:tab w:val="left" w:pos="5730"/>
        <w:tab w:val="left" w:pos="8280"/>
      </w:tabs>
      <w:adjustRightInd w:val="0"/>
      <w:snapToGrid w:val="0"/>
      <w:spacing w:line="360" w:lineRule="auto"/>
      <w:ind w:firstLine="310" w:firstLineChars="147"/>
      <w:jc w:val="left"/>
    </w:pPr>
    <w:rPr>
      <w:b/>
      <w:szCs w:val="21"/>
    </w:rPr>
  </w:style>
  <w:style w:type="paragraph" w:customStyle="1" w:styleId="103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031">
    <w:name w:val="xl9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032">
    <w:name w:val="CM16"/>
    <w:basedOn w:val="146"/>
    <w:next w:val="146"/>
    <w:qFormat/>
    <w:uiPriority w:val="0"/>
    <w:pPr>
      <w:spacing w:line="540" w:lineRule="atLeast"/>
    </w:pPr>
    <w:rPr>
      <w:rFonts w:cs="Times New Roman"/>
      <w:color w:val="auto"/>
    </w:rPr>
  </w:style>
  <w:style w:type="paragraph" w:customStyle="1" w:styleId="1033">
    <w:name w:val="批注主题1"/>
    <w:basedOn w:val="28"/>
    <w:next w:val="28"/>
    <w:qFormat/>
    <w:uiPriority w:val="99"/>
    <w:rPr>
      <w:b/>
      <w:bCs/>
    </w:rPr>
  </w:style>
  <w:style w:type="paragraph" w:customStyle="1" w:styleId="1034">
    <w:name w:val="xl104"/>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035">
    <w:name w:val="xl1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036">
    <w:name w:val="xl53"/>
    <w:basedOn w:val="1"/>
    <w:qFormat/>
    <w:uiPriority w:val="0"/>
    <w:pPr>
      <w:widowControl/>
      <w:pBdr>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037">
    <w:name w:val="CM126"/>
    <w:basedOn w:val="146"/>
    <w:next w:val="146"/>
    <w:qFormat/>
    <w:uiPriority w:val="0"/>
    <w:pPr>
      <w:spacing w:line="468" w:lineRule="atLeast"/>
    </w:pPr>
    <w:rPr>
      <w:rFonts w:cs="Times New Roman"/>
      <w:color w:val="auto"/>
      <w:szCs w:val="20"/>
    </w:rPr>
  </w:style>
  <w:style w:type="paragraph" w:customStyle="1" w:styleId="1038">
    <w:name w:val="xl42"/>
    <w:basedOn w:val="1"/>
    <w:qFormat/>
    <w:uiPriority w:val="0"/>
    <w:pPr>
      <w:widowControl/>
      <w:pBdr>
        <w:left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1039">
    <w:name w:val="CM72"/>
    <w:basedOn w:val="146"/>
    <w:next w:val="146"/>
    <w:qFormat/>
    <w:uiPriority w:val="0"/>
    <w:pPr>
      <w:spacing w:line="468" w:lineRule="atLeast"/>
    </w:pPr>
    <w:rPr>
      <w:rFonts w:ascii="黑体" w:eastAsia="黑体" w:cs="Times New Roman"/>
      <w:color w:val="auto"/>
    </w:rPr>
  </w:style>
  <w:style w:type="paragraph" w:customStyle="1" w:styleId="1040">
    <w:name w:val="CM86"/>
    <w:basedOn w:val="146"/>
    <w:next w:val="146"/>
    <w:qFormat/>
    <w:uiPriority w:val="0"/>
    <w:pPr>
      <w:spacing w:line="468" w:lineRule="atLeast"/>
    </w:pPr>
    <w:rPr>
      <w:rFonts w:ascii="黑体" w:eastAsia="黑体" w:cs="Times New Roman"/>
      <w:color w:val="auto"/>
    </w:rPr>
  </w:style>
  <w:style w:type="paragraph" w:customStyle="1" w:styleId="1041">
    <w:name w:val="日期1"/>
    <w:basedOn w:val="1"/>
    <w:next w:val="1"/>
    <w:qFormat/>
    <w:uiPriority w:val="99"/>
    <w:pPr>
      <w:ind w:left="100" w:leftChars="2500"/>
    </w:pPr>
    <w:rPr>
      <w:rFonts w:ascii="Calibri" w:hAnsi="Calibri"/>
      <w:szCs w:val="22"/>
    </w:rPr>
  </w:style>
  <w:style w:type="paragraph" w:customStyle="1" w:styleId="1042">
    <w:name w:val="HTML 地址1"/>
    <w:basedOn w:val="1"/>
    <w:qFormat/>
    <w:uiPriority w:val="0"/>
    <w:rPr>
      <w:rFonts w:ascii="Arial" w:hAnsi="Arial"/>
      <w:i/>
      <w:iCs/>
      <w:kern w:val="0"/>
      <w:sz w:val="20"/>
    </w:rPr>
  </w:style>
  <w:style w:type="paragraph" w:customStyle="1" w:styleId="1043">
    <w:name w:val="xl652"/>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044">
    <w:name w:val="电子邮件签名1"/>
    <w:basedOn w:val="1"/>
    <w:qFormat/>
    <w:uiPriority w:val="0"/>
    <w:rPr>
      <w:rFonts w:ascii="Arial" w:hAnsi="Arial"/>
      <w:kern w:val="0"/>
      <w:sz w:val="20"/>
    </w:rPr>
  </w:style>
  <w:style w:type="paragraph" w:customStyle="1" w:styleId="1045">
    <w:name w:val="xl40"/>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1046">
    <w:name w:val="zy"/>
    <w:basedOn w:val="1"/>
    <w:qFormat/>
    <w:uiPriority w:val="0"/>
    <w:pPr>
      <w:spacing w:line="360" w:lineRule="auto"/>
    </w:pPr>
    <w:rPr>
      <w:rFonts w:ascii="宋体" w:hAnsi="宋体"/>
      <w:szCs w:val="20"/>
    </w:rPr>
  </w:style>
  <w:style w:type="paragraph" w:customStyle="1" w:styleId="1047">
    <w:name w:val="xl65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048">
    <w:name w:val="CM134"/>
    <w:basedOn w:val="146"/>
    <w:next w:val="146"/>
    <w:qFormat/>
    <w:uiPriority w:val="0"/>
    <w:pPr>
      <w:spacing w:after="63"/>
    </w:pPr>
    <w:rPr>
      <w:rFonts w:ascii="黑体" w:eastAsia="黑体" w:cs="Times New Roman"/>
      <w:color w:val="auto"/>
    </w:rPr>
  </w:style>
  <w:style w:type="paragraph" w:customStyle="1" w:styleId="1049">
    <w:name w:val="注标题"/>
    <w:basedOn w:val="1"/>
    <w:semiHidden/>
    <w:qFormat/>
    <w:uiPriority w:val="0"/>
    <w:pPr>
      <w:topLinePunct/>
    </w:pPr>
    <w:rPr>
      <w:sz w:val="18"/>
      <w:szCs w:val="18"/>
    </w:rPr>
  </w:style>
  <w:style w:type="paragraph" w:customStyle="1" w:styleId="1050">
    <w:name w:val="表文22"/>
    <w:basedOn w:val="1"/>
    <w:semiHidden/>
    <w:qFormat/>
    <w:uiPriority w:val="0"/>
    <w:pPr>
      <w:topLinePunct/>
      <w:snapToGrid w:val="0"/>
      <w:spacing w:before="60" w:after="60"/>
      <w:jc w:val="center"/>
    </w:pPr>
    <w:rPr>
      <w:rFonts w:hAnsi="宋体"/>
      <w:kern w:val="21"/>
      <w:sz w:val="18"/>
      <w:szCs w:val="18"/>
    </w:rPr>
  </w:style>
  <w:style w:type="paragraph" w:customStyle="1" w:styleId="1051">
    <w:name w:val="Char Char Char Char2"/>
    <w:basedOn w:val="1"/>
    <w:qFormat/>
    <w:uiPriority w:val="0"/>
    <w:rPr>
      <w:rFonts w:ascii="FangSong_GB2312" w:eastAsia="FangSong_GB2312"/>
      <w:b/>
      <w:sz w:val="32"/>
      <w:szCs w:val="32"/>
    </w:rPr>
  </w:style>
  <w:style w:type="paragraph" w:customStyle="1" w:styleId="1052">
    <w:name w:val="xl666"/>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1053">
    <w:name w:val="列表3"/>
    <w:basedOn w:val="1"/>
    <w:next w:val="1"/>
    <w:qFormat/>
    <w:uiPriority w:val="0"/>
    <w:pPr>
      <w:keepNext/>
      <w:tabs>
        <w:tab w:val="left" w:pos="1440"/>
      </w:tabs>
      <w:spacing w:before="120" w:after="120" w:line="360" w:lineRule="auto"/>
      <w:ind w:left="1434" w:hanging="357" w:firstLineChars="200"/>
      <w:jc w:val="left"/>
    </w:pPr>
  </w:style>
  <w:style w:type="paragraph" w:customStyle="1" w:styleId="1054">
    <w:name w:val="Char111"/>
    <w:basedOn w:val="1"/>
    <w:qFormat/>
    <w:uiPriority w:val="0"/>
  </w:style>
  <w:style w:type="paragraph" w:customStyle="1" w:styleId="1055">
    <w:name w:val="xl671"/>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056">
    <w:name w:val="xl1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1057">
    <w:name w:val="封面_黑体一号"/>
    <w:qFormat/>
    <w:uiPriority w:val="0"/>
    <w:pPr>
      <w:keepNext/>
      <w:jc w:val="center"/>
    </w:pPr>
    <w:rPr>
      <w:rFonts w:ascii="Times New Roman" w:hAnsi="Times New Roman" w:eastAsia="黑体" w:cs="Times New Roman"/>
      <w:kern w:val="2"/>
      <w:sz w:val="52"/>
      <w:szCs w:val="24"/>
      <w:lang w:val="en-US" w:eastAsia="zh-CN" w:bidi="ar-SA"/>
    </w:rPr>
  </w:style>
  <w:style w:type="paragraph" w:customStyle="1" w:styleId="1058">
    <w:name w:val="p82"/>
    <w:basedOn w:val="1"/>
    <w:semiHidden/>
    <w:qFormat/>
    <w:uiPriority w:val="0"/>
    <w:pPr>
      <w:widowControl/>
      <w:tabs>
        <w:tab w:val="left" w:pos="460"/>
      </w:tabs>
      <w:overflowPunct w:val="0"/>
      <w:topLinePunct/>
      <w:autoSpaceDE w:val="0"/>
      <w:autoSpaceDN w:val="0"/>
      <w:adjustRightInd w:val="0"/>
      <w:spacing w:line="320" w:lineRule="atLeast"/>
    </w:pPr>
    <w:rPr>
      <w:kern w:val="0"/>
      <w:sz w:val="24"/>
      <w:szCs w:val="20"/>
      <w:lang w:val="en-GB"/>
    </w:rPr>
  </w:style>
  <w:style w:type="paragraph" w:customStyle="1" w:styleId="1059">
    <w:name w:val="目录文字"/>
    <w:basedOn w:val="1"/>
    <w:qFormat/>
    <w:uiPriority w:val="0"/>
    <w:pPr>
      <w:widowControl/>
      <w:spacing w:line="480" w:lineRule="auto"/>
      <w:jc w:val="left"/>
    </w:pPr>
    <w:rPr>
      <w:rFonts w:ascii="宋体" w:hAnsi="宋体"/>
      <w:kern w:val="0"/>
      <w:sz w:val="24"/>
      <w:szCs w:val="20"/>
    </w:rPr>
  </w:style>
  <w:style w:type="paragraph" w:customStyle="1" w:styleId="1060">
    <w:name w:val="CM96"/>
    <w:basedOn w:val="146"/>
    <w:next w:val="146"/>
    <w:qFormat/>
    <w:uiPriority w:val="0"/>
    <w:pPr>
      <w:spacing w:after="298"/>
    </w:pPr>
    <w:rPr>
      <w:rFonts w:cs="Times New Roman"/>
      <w:color w:val="auto"/>
    </w:rPr>
  </w:style>
  <w:style w:type="paragraph" w:customStyle="1" w:styleId="1061">
    <w:name w:val="xl111"/>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1062">
    <w:name w:val="列表2下文字"/>
    <w:basedOn w:val="40"/>
    <w:qFormat/>
    <w:uiPriority w:val="0"/>
    <w:pPr>
      <w:keepNext/>
      <w:widowControl/>
      <w:numPr>
        <w:numId w:val="0"/>
      </w:numPr>
      <w:tabs>
        <w:tab w:val="left" w:pos="1260"/>
        <w:tab w:val="clear" w:pos="1200"/>
      </w:tabs>
      <w:spacing w:line="300" w:lineRule="auto"/>
      <w:ind w:left="1260"/>
      <w:jc w:val="left"/>
    </w:pPr>
  </w:style>
  <w:style w:type="paragraph" w:customStyle="1" w:styleId="1063">
    <w:name w:val="列表 51"/>
    <w:basedOn w:val="1"/>
    <w:qFormat/>
    <w:uiPriority w:val="0"/>
    <w:pPr>
      <w:ind w:left="100" w:leftChars="800" w:hanging="200" w:hangingChars="200"/>
    </w:pPr>
  </w:style>
  <w:style w:type="paragraph" w:customStyle="1" w:styleId="1064">
    <w:name w:val="xl682"/>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pPr>
    <w:rPr>
      <w:rFonts w:ascii="宋体" w:hAnsi="宋体" w:cs="宋体"/>
      <w:color w:val="000000"/>
      <w:kern w:val="0"/>
      <w:sz w:val="18"/>
      <w:szCs w:val="18"/>
    </w:rPr>
  </w:style>
  <w:style w:type="paragraph" w:customStyle="1" w:styleId="1065">
    <w:name w:val="标题 3 + 小四 段前: 0 磅 段后: 0 磅 行距: 1.5 倍行距"/>
    <w:basedOn w:val="5"/>
    <w:next w:val="5"/>
    <w:semiHidden/>
    <w:qFormat/>
    <w:uiPriority w:val="0"/>
    <w:pPr>
      <w:widowControl w:val="0"/>
      <w:tabs>
        <w:tab w:val="clear" w:pos="720"/>
        <w:tab w:val="clear" w:pos="1260"/>
      </w:tabs>
      <w:spacing w:before="0" w:after="0"/>
      <w:ind w:left="0" w:firstLine="0"/>
      <w:jc w:val="both"/>
    </w:pPr>
    <w:rPr>
      <w:b/>
      <w:kern w:val="2"/>
      <w:sz w:val="24"/>
    </w:rPr>
  </w:style>
  <w:style w:type="paragraph" w:customStyle="1" w:styleId="1066">
    <w:name w:val="CM2"/>
    <w:basedOn w:val="146"/>
    <w:next w:val="146"/>
    <w:qFormat/>
    <w:uiPriority w:val="0"/>
    <w:rPr>
      <w:rFonts w:ascii="黑体" w:eastAsia="黑体" w:cs="Times New Roman"/>
      <w:color w:val="auto"/>
    </w:rPr>
  </w:style>
  <w:style w:type="paragraph" w:customStyle="1" w:styleId="1067">
    <w:name w:val="标题 1 FS"/>
    <w:basedOn w:val="3"/>
    <w:qFormat/>
    <w:uiPriority w:val="0"/>
    <w:pPr>
      <w:autoSpaceDE w:val="0"/>
      <w:autoSpaceDN w:val="0"/>
      <w:adjustRightInd w:val="0"/>
      <w:snapToGrid w:val="0"/>
      <w:spacing w:beforeLines="50" w:afterLines="50" w:line="360" w:lineRule="auto"/>
      <w:jc w:val="left"/>
    </w:pPr>
    <w:rPr>
      <w:bCs w:val="0"/>
      <w:kern w:val="0"/>
      <w:sz w:val="28"/>
      <w:szCs w:val="28"/>
    </w:rPr>
  </w:style>
  <w:style w:type="paragraph" w:customStyle="1" w:styleId="1068">
    <w:name w:val="五号线1)"/>
    <w:qFormat/>
    <w:uiPriority w:val="0"/>
    <w:pPr>
      <w:tabs>
        <w:tab w:val="left" w:pos="927"/>
      </w:tabs>
      <w:spacing w:line="500" w:lineRule="exact"/>
      <w:ind w:firstLine="567"/>
      <w:outlineLvl w:val="4"/>
    </w:pPr>
    <w:rPr>
      <w:rFonts w:ascii="宋体" w:hAnsi="Times New Roman" w:eastAsia="宋体" w:cs="Times New Roman"/>
      <w:spacing w:val="6"/>
      <w:w w:val="95"/>
      <w:sz w:val="24"/>
      <w:lang w:val="en-US" w:eastAsia="zh-CN" w:bidi="ar-SA"/>
    </w:rPr>
  </w:style>
  <w:style w:type="paragraph" w:customStyle="1" w:styleId="1069">
    <w:name w:val="索引 41"/>
    <w:basedOn w:val="1"/>
    <w:next w:val="1"/>
    <w:qFormat/>
    <w:uiPriority w:val="0"/>
    <w:pPr>
      <w:spacing w:line="480" w:lineRule="exact"/>
      <w:ind w:left="600" w:leftChars="600"/>
    </w:pPr>
    <w:rPr>
      <w:sz w:val="24"/>
    </w:rPr>
  </w:style>
  <w:style w:type="paragraph" w:customStyle="1" w:styleId="1070">
    <w:name w:val="表格内容格式"/>
    <w:qFormat/>
    <w:uiPriority w:val="0"/>
    <w:pPr>
      <w:keepNext/>
      <w:widowControl w:val="0"/>
      <w:snapToGrid w:val="0"/>
      <w:spacing w:beforeLines="50" w:afterLines="50"/>
      <w:outlineLvl w:val="3"/>
    </w:pPr>
    <w:rPr>
      <w:rFonts w:ascii="Times New Roman" w:hAnsi="Times New Roman" w:eastAsia="宋体" w:cs="宋体"/>
      <w:iCs/>
      <w:kern w:val="2"/>
      <w:sz w:val="21"/>
      <w:szCs w:val="21"/>
      <w:lang w:val="en-US" w:eastAsia="zh-CN" w:bidi="ar-SA"/>
    </w:rPr>
  </w:style>
  <w:style w:type="paragraph" w:customStyle="1" w:styleId="1071">
    <w:name w:val="xl11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072">
    <w:name w:val="标题 4 FS"/>
    <w:basedOn w:val="6"/>
    <w:qFormat/>
    <w:uiPriority w:val="0"/>
    <w:pPr>
      <w:tabs>
        <w:tab w:val="left" w:pos="0"/>
      </w:tabs>
      <w:spacing w:before="0" w:after="0" w:line="360" w:lineRule="auto"/>
    </w:pPr>
    <w:rPr>
      <w:rFonts w:eastAsia="宋体" w:cs="宋体"/>
      <w:b w:val="0"/>
      <w:bCs w:val="0"/>
      <w:sz w:val="24"/>
      <w:szCs w:val="20"/>
    </w:rPr>
  </w:style>
  <w:style w:type="paragraph" w:customStyle="1" w:styleId="1073">
    <w:name w:val="条文 3"/>
    <w:next w:val="1"/>
    <w:qFormat/>
    <w:uiPriority w:val="0"/>
    <w:pPr>
      <w:spacing w:line="310" w:lineRule="exact"/>
      <w:ind w:left="420"/>
    </w:pPr>
    <w:rPr>
      <w:rFonts w:ascii="Times New Roman" w:hAnsi="Times New Roman" w:eastAsia="黑体" w:cs="Times New Roman"/>
      <w:sz w:val="21"/>
      <w:lang w:val="en-US" w:eastAsia="zh-CN" w:bidi="ar-SA"/>
    </w:rPr>
  </w:style>
  <w:style w:type="paragraph" w:customStyle="1" w:styleId="1074">
    <w:name w:val="xl35"/>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kern w:val="0"/>
      <w:sz w:val="20"/>
      <w:szCs w:val="20"/>
    </w:rPr>
  </w:style>
  <w:style w:type="paragraph" w:customStyle="1" w:styleId="1075">
    <w:name w:val="xl52"/>
    <w:basedOn w:val="1"/>
    <w:qFormat/>
    <w:uiPriority w:val="0"/>
    <w:pPr>
      <w:widowControl/>
      <w:pBdr>
        <w:left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076">
    <w:name w:val="xl1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1077">
    <w:name w:val="Char Char"/>
    <w:basedOn w:val="1"/>
    <w:qFormat/>
    <w:uiPriority w:val="0"/>
    <w:pPr>
      <w:widowControl/>
      <w:spacing w:after="160" w:line="240" w:lineRule="exact"/>
      <w:ind w:firstLine="200" w:firstLineChars="200"/>
      <w:jc w:val="left"/>
    </w:pPr>
    <w:rPr>
      <w:rFonts w:ascii="Tahoma" w:hAnsi="Tahoma"/>
      <w:color w:val="1F497D"/>
      <w:sz w:val="20"/>
      <w:lang w:eastAsia="en-US"/>
    </w:rPr>
  </w:style>
  <w:style w:type="paragraph" w:customStyle="1" w:styleId="1078">
    <w:name w:val="CM105"/>
    <w:basedOn w:val="146"/>
    <w:next w:val="146"/>
    <w:qFormat/>
    <w:uiPriority w:val="0"/>
    <w:pPr>
      <w:spacing w:line="468" w:lineRule="atLeast"/>
    </w:pPr>
    <w:rPr>
      <w:rFonts w:ascii="黑体" w:eastAsia="黑体" w:cs="Times New Roman"/>
      <w:color w:val="auto"/>
    </w:rPr>
  </w:style>
  <w:style w:type="paragraph" w:customStyle="1" w:styleId="1079">
    <w:name w:val="一级标题"/>
    <w:basedOn w:val="3"/>
    <w:qFormat/>
    <w:uiPriority w:val="0"/>
    <w:pPr>
      <w:keepLines w:val="0"/>
      <w:tabs>
        <w:tab w:val="left" w:pos="6840"/>
      </w:tabs>
      <w:topLinePunct/>
      <w:spacing w:beforeLines="100" w:afterLines="150" w:line="240" w:lineRule="auto"/>
      <w:jc w:val="center"/>
    </w:pPr>
    <w:rPr>
      <w:rFonts w:ascii="隶书" w:eastAsia="黑体"/>
      <w:kern w:val="2"/>
      <w:sz w:val="30"/>
      <w:szCs w:val="30"/>
    </w:rPr>
  </w:style>
  <w:style w:type="paragraph" w:customStyle="1" w:styleId="1080">
    <w:name w:val="节小标题"/>
    <w:basedOn w:val="10"/>
    <w:semiHidden/>
    <w:qFormat/>
    <w:uiPriority w:val="0"/>
    <w:pPr>
      <w:widowControl w:val="0"/>
      <w:tabs>
        <w:tab w:val="clear" w:pos="1440"/>
        <w:tab w:val="clear" w:pos="3360"/>
      </w:tabs>
      <w:topLinePunct/>
      <w:adjustRightInd w:val="0"/>
      <w:snapToGrid w:val="0"/>
      <w:spacing w:before="100" w:after="0" w:line="300" w:lineRule="auto"/>
      <w:ind w:left="0" w:firstLine="359"/>
      <w:jc w:val="both"/>
      <w:outlineLvl w:val="9"/>
    </w:pPr>
    <w:rPr>
      <w:rFonts w:ascii="Times New Roman" w:hAnsi="Times New Roman" w:eastAsia="FangSong_GB2312"/>
      <w:b w:val="0"/>
      <w:kern w:val="2"/>
      <w:sz w:val="30"/>
      <w:szCs w:val="20"/>
    </w:rPr>
  </w:style>
  <w:style w:type="paragraph" w:customStyle="1" w:styleId="1081">
    <w:name w:val="列表 21"/>
    <w:basedOn w:val="1"/>
    <w:qFormat/>
    <w:uiPriority w:val="0"/>
    <w:pPr>
      <w:ind w:left="100" w:leftChars="200" w:hanging="200" w:hangingChars="200"/>
    </w:pPr>
  </w:style>
  <w:style w:type="paragraph" w:customStyle="1" w:styleId="1082">
    <w:name w:val="索引 81"/>
    <w:basedOn w:val="1"/>
    <w:next w:val="1"/>
    <w:qFormat/>
    <w:uiPriority w:val="0"/>
    <w:pPr>
      <w:spacing w:line="480" w:lineRule="exact"/>
      <w:ind w:left="1400" w:leftChars="1400"/>
    </w:pPr>
    <w:rPr>
      <w:sz w:val="24"/>
    </w:rPr>
  </w:style>
  <w:style w:type="paragraph" w:customStyle="1" w:styleId="1083">
    <w:name w:val="CM46"/>
    <w:basedOn w:val="146"/>
    <w:next w:val="146"/>
    <w:qFormat/>
    <w:uiPriority w:val="0"/>
    <w:rPr>
      <w:rFonts w:ascii="黑体" w:eastAsia="黑体" w:cs="Times New Roman"/>
      <w:color w:val="auto"/>
    </w:rPr>
  </w:style>
  <w:style w:type="paragraph" w:customStyle="1" w:styleId="1084">
    <w:name w:val="样式 首行缩进:  0 厘米 行距: 单倍行距"/>
    <w:basedOn w:val="1"/>
    <w:semiHidden/>
    <w:qFormat/>
    <w:uiPriority w:val="0"/>
    <w:pPr>
      <w:adjustRightInd w:val="0"/>
    </w:pPr>
    <w:rPr>
      <w:kern w:val="0"/>
      <w:szCs w:val="20"/>
    </w:rPr>
  </w:style>
  <w:style w:type="paragraph" w:customStyle="1" w:styleId="1085">
    <w:name w:val="Char Char Char1 Char Char Char"/>
    <w:basedOn w:val="1"/>
    <w:qFormat/>
    <w:uiPriority w:val="0"/>
    <w:rPr>
      <w:rFonts w:ascii="Tahoma" w:hAnsi="Tahoma"/>
      <w:sz w:val="24"/>
      <w:szCs w:val="20"/>
    </w:rPr>
  </w:style>
  <w:style w:type="paragraph" w:customStyle="1" w:styleId="1086">
    <w:name w:val="xl55"/>
    <w:basedOn w:val="1"/>
    <w:qFormat/>
    <w:uiPriority w:val="0"/>
    <w:pPr>
      <w:widowControl/>
      <w:pBdr>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087">
    <w:name w:val="xl651"/>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088">
    <w:name w:val="样式 标书正文 + 首行缩进:  2 字符1"/>
    <w:basedOn w:val="34"/>
    <w:qFormat/>
    <w:uiPriority w:val="0"/>
    <w:pPr>
      <w:adjustRightInd/>
      <w:spacing w:after="0" w:line="360" w:lineRule="auto"/>
      <w:ind w:left="0" w:leftChars="0" w:right="0" w:rightChars="0" w:firstLine="200" w:firstLineChars="200"/>
      <w:jc w:val="both"/>
      <w:textAlignment w:val="auto"/>
    </w:pPr>
    <w:rPr>
      <w:rFonts w:cs="宋体"/>
      <w:spacing w:val="6"/>
      <w:sz w:val="24"/>
    </w:rPr>
  </w:style>
  <w:style w:type="paragraph" w:customStyle="1" w:styleId="1089">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b/>
      <w:bCs/>
      <w:kern w:val="0"/>
      <w:sz w:val="20"/>
      <w:szCs w:val="20"/>
    </w:rPr>
  </w:style>
  <w:style w:type="paragraph" w:customStyle="1" w:styleId="1090">
    <w:name w:val="xl6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bottom"/>
    </w:pPr>
    <w:rPr>
      <w:rFonts w:ascii="宋体" w:hAnsi="宋体" w:cs="宋体"/>
      <w:color w:val="000000"/>
      <w:kern w:val="0"/>
      <w:sz w:val="20"/>
      <w:szCs w:val="20"/>
    </w:rPr>
  </w:style>
  <w:style w:type="paragraph" w:customStyle="1" w:styleId="1091">
    <w:name w:val="日期5"/>
    <w:basedOn w:val="1"/>
    <w:next w:val="1"/>
    <w:qFormat/>
    <w:uiPriority w:val="0"/>
    <w:pPr>
      <w:ind w:left="100" w:leftChars="2500"/>
    </w:pPr>
  </w:style>
  <w:style w:type="paragraph" w:customStyle="1" w:styleId="1092">
    <w:name w:val="默认段落字体 Para Char Char Char Char Char Char Char"/>
    <w:basedOn w:val="1"/>
    <w:qFormat/>
    <w:uiPriority w:val="0"/>
    <w:rPr>
      <w:rFonts w:ascii="Tahoma" w:hAnsi="Tahoma"/>
      <w:sz w:val="24"/>
      <w:szCs w:val="20"/>
    </w:rPr>
  </w:style>
  <w:style w:type="paragraph" w:customStyle="1" w:styleId="1093">
    <w:name w:val="xl97"/>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094">
    <w:name w:val="图片标题"/>
    <w:basedOn w:val="1"/>
    <w:qFormat/>
    <w:uiPriority w:val="0"/>
    <w:pPr>
      <w:jc w:val="center"/>
    </w:pPr>
    <w:rPr>
      <w:rFonts w:ascii="Arial" w:hAnsi="Arial"/>
      <w:b/>
      <w:sz w:val="24"/>
    </w:rPr>
  </w:style>
  <w:style w:type="paragraph" w:customStyle="1" w:styleId="109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center"/>
    </w:pPr>
    <w:rPr>
      <w:rFonts w:ascii="Courier New" w:hAnsi="Courier New"/>
      <w:b/>
      <w:kern w:val="0"/>
      <w:sz w:val="44"/>
      <w:szCs w:val="20"/>
    </w:rPr>
  </w:style>
  <w:style w:type="paragraph" w:customStyle="1" w:styleId="1096">
    <w:name w:val="正文黑体"/>
    <w:next w:val="1"/>
    <w:qFormat/>
    <w:uiPriority w:val="0"/>
    <w:pPr>
      <w:keepNext/>
      <w:ind w:firstLine="420"/>
    </w:pPr>
    <w:rPr>
      <w:rFonts w:ascii="Times New Roman" w:hAnsi="Times New Roman" w:eastAsia="宋体" w:cs="Times New Roman"/>
      <w:b/>
      <w:kern w:val="2"/>
      <w:sz w:val="21"/>
      <w:szCs w:val="24"/>
      <w:lang w:val="en-US" w:eastAsia="zh-CN" w:bidi="ar-SA"/>
    </w:rPr>
  </w:style>
  <w:style w:type="paragraph" w:customStyle="1" w:styleId="1097">
    <w:name w:val="样式 标题 2 + Times New Roman 四号 非加粗 段前: 5 磅 段后: 0 磅 行距: 固定值 20..."/>
    <w:basedOn w:val="4"/>
    <w:qFormat/>
    <w:uiPriority w:val="0"/>
    <w:pPr>
      <w:widowControl w:val="0"/>
      <w:spacing w:before="100" w:after="0" w:line="400" w:lineRule="exact"/>
      <w:jc w:val="both"/>
    </w:pPr>
    <w:rPr>
      <w:rFonts w:ascii="Times New Roman" w:hAnsi="Times New Roman" w:cs="宋体"/>
      <w:b w:val="0"/>
      <w:sz w:val="28"/>
    </w:rPr>
  </w:style>
  <w:style w:type="paragraph" w:customStyle="1" w:styleId="1098">
    <w:name w:val="xl683"/>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left"/>
    </w:pPr>
    <w:rPr>
      <w:rFonts w:ascii="宋体" w:hAnsi="宋体" w:cs="宋体"/>
      <w:color w:val="000000"/>
      <w:kern w:val="0"/>
      <w:sz w:val="18"/>
      <w:szCs w:val="18"/>
    </w:rPr>
  </w:style>
  <w:style w:type="paragraph" w:customStyle="1" w:styleId="1099">
    <w:name w:val="xl670"/>
    <w:basedOn w:val="1"/>
    <w:qFormat/>
    <w:uiPriority w:val="0"/>
    <w:pPr>
      <w:widowControl/>
      <w:spacing w:before="100" w:beforeAutospacing="1" w:after="100" w:afterAutospacing="1"/>
      <w:jc w:val="center"/>
    </w:pPr>
    <w:rPr>
      <w:rFonts w:ascii="宋体" w:hAnsi="宋体" w:cs="宋体"/>
      <w:b/>
      <w:bCs/>
      <w:color w:val="000000"/>
      <w:kern w:val="0"/>
      <w:sz w:val="36"/>
      <w:szCs w:val="36"/>
    </w:rPr>
  </w:style>
  <w:style w:type="paragraph" w:customStyle="1" w:styleId="1100">
    <w:name w:val="项目符－独立"/>
    <w:basedOn w:val="1"/>
    <w:qFormat/>
    <w:uiPriority w:val="0"/>
    <w:pPr>
      <w:tabs>
        <w:tab w:val="left" w:pos="0"/>
      </w:tabs>
      <w:spacing w:beforeLines="25" w:afterLines="25" w:line="300" w:lineRule="auto"/>
      <w:ind w:firstLine="420" w:firstLineChars="175"/>
    </w:pPr>
    <w:rPr>
      <w:rFonts w:ascii="Arial" w:hAnsi="Arial"/>
      <w:sz w:val="24"/>
    </w:rPr>
  </w:style>
  <w:style w:type="paragraph" w:customStyle="1" w:styleId="1101">
    <w:name w:val="正文编号下文字"/>
    <w:basedOn w:val="368"/>
    <w:qFormat/>
    <w:uiPriority w:val="0"/>
    <w:pPr>
      <w:keepNext/>
      <w:widowControl/>
      <w:spacing w:line="300" w:lineRule="auto"/>
      <w:ind w:left="897" w:firstLine="0" w:firstLineChars="0"/>
      <w:jc w:val="left"/>
    </w:pPr>
  </w:style>
  <w:style w:type="paragraph" w:customStyle="1" w:styleId="1102">
    <w:name w:val="列表 31"/>
    <w:basedOn w:val="1"/>
    <w:qFormat/>
    <w:uiPriority w:val="0"/>
    <w:pPr>
      <w:keepNext/>
      <w:keepLines/>
      <w:widowControl/>
      <w:tabs>
        <w:tab w:val="left" w:pos="1814"/>
      </w:tabs>
      <w:spacing w:before="60"/>
      <w:ind w:left="1814" w:right="170" w:hanging="396"/>
    </w:pPr>
    <w:rPr>
      <w:rFonts w:ascii="宋体" w:hAnsi="宋体"/>
      <w:kern w:val="0"/>
      <w:sz w:val="24"/>
      <w:szCs w:val="20"/>
    </w:rPr>
  </w:style>
  <w:style w:type="paragraph" w:customStyle="1" w:styleId="1103">
    <w:name w:val="xl681"/>
    <w:basedOn w:val="1"/>
    <w:qFormat/>
    <w:uiPriority w:val="0"/>
    <w:pPr>
      <w:widowControl/>
      <w:pBdr>
        <w:top w:val="single" w:color="000000" w:sz="4" w:space="0"/>
        <w:left w:val="single" w:color="000000" w:sz="8" w:space="0"/>
        <w:right w:val="single" w:color="000000" w:sz="4" w:space="0"/>
      </w:pBdr>
      <w:spacing w:before="100" w:beforeAutospacing="1" w:after="100" w:afterAutospacing="1"/>
      <w:jc w:val="center"/>
    </w:pPr>
    <w:rPr>
      <w:rFonts w:ascii="宋体" w:hAnsi="宋体" w:cs="宋体"/>
      <w:color w:val="000000"/>
      <w:kern w:val="0"/>
      <w:sz w:val="18"/>
      <w:szCs w:val="18"/>
    </w:rPr>
  </w:style>
  <w:style w:type="paragraph" w:customStyle="1" w:styleId="1104">
    <w:name w:val="样式 标书正文"/>
    <w:basedOn w:val="34"/>
    <w:qFormat/>
    <w:uiPriority w:val="0"/>
    <w:pPr>
      <w:adjustRightInd/>
      <w:spacing w:after="0" w:line="360" w:lineRule="auto"/>
      <w:ind w:left="0" w:leftChars="0" w:right="0" w:rightChars="0" w:firstLine="200" w:firstLineChars="200"/>
      <w:jc w:val="both"/>
      <w:textAlignment w:val="auto"/>
    </w:pPr>
    <w:rPr>
      <w:rFonts w:cs="宋体"/>
      <w:spacing w:val="6"/>
      <w:sz w:val="24"/>
    </w:rPr>
  </w:style>
  <w:style w:type="paragraph" w:customStyle="1" w:styleId="1105">
    <w:name w:val="Char Char Char Char Char Char Char Char Char Char Char Char Char"/>
    <w:basedOn w:val="1"/>
    <w:qFormat/>
    <w:uiPriority w:val="0"/>
    <w:rPr>
      <w:rFonts w:ascii="FangSong_GB2312" w:eastAsia="FangSong_GB2312"/>
      <w:b/>
      <w:sz w:val="32"/>
      <w:szCs w:val="32"/>
    </w:rPr>
  </w:style>
  <w:style w:type="paragraph" w:customStyle="1" w:styleId="1106">
    <w:name w:val="xl29"/>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107">
    <w:name w:val="xl24"/>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108">
    <w:name w:val="CM128"/>
    <w:basedOn w:val="146"/>
    <w:next w:val="146"/>
    <w:qFormat/>
    <w:uiPriority w:val="0"/>
    <w:pPr>
      <w:spacing w:line="468" w:lineRule="atLeast"/>
    </w:pPr>
    <w:rPr>
      <w:rFonts w:ascii="黑体" w:eastAsia="黑体" w:cs="Times New Roman"/>
      <w:color w:val="auto"/>
    </w:rPr>
  </w:style>
  <w:style w:type="paragraph" w:customStyle="1" w:styleId="1109">
    <w:name w:val="xl37"/>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kern w:val="0"/>
      <w:sz w:val="20"/>
      <w:szCs w:val="20"/>
    </w:rPr>
  </w:style>
  <w:style w:type="paragraph" w:customStyle="1" w:styleId="1110">
    <w:name w:val="样式 标题 6sub-dashsd5标题5H6BOD 4L6第五层条PIM 6h6Third Subhea..."/>
    <w:basedOn w:val="8"/>
    <w:qFormat/>
    <w:uiPriority w:val="0"/>
    <w:pPr>
      <w:widowControl w:val="0"/>
      <w:numPr>
        <w:ilvl w:val="0"/>
        <w:numId w:val="0"/>
      </w:numPr>
      <w:spacing w:before="0" w:after="0" w:line="360" w:lineRule="auto"/>
      <w:ind w:left="709" w:firstLine="851"/>
      <w:jc w:val="both"/>
    </w:pPr>
    <w:rPr>
      <w:rFonts w:ascii="Times New Roman" w:hAnsi="Times New Roman" w:eastAsia="宋体"/>
      <w:kern w:val="2"/>
      <w:szCs w:val="22"/>
    </w:rPr>
  </w:style>
  <w:style w:type="paragraph" w:customStyle="1" w:styleId="1111">
    <w:name w:val="表格1"/>
    <w:qFormat/>
    <w:uiPriority w:val="0"/>
    <w:pPr>
      <w:keepNext/>
      <w:jc w:val="center"/>
    </w:pPr>
    <w:rPr>
      <w:rFonts w:ascii="宋体" w:hAnsi="Times New Roman" w:eastAsia="宋体" w:cs="Times New Roman"/>
      <w:snapToGrid w:val="0"/>
      <w:spacing w:val="6"/>
      <w:w w:val="95"/>
      <w:sz w:val="24"/>
      <w:lang w:val="en-US" w:eastAsia="zh-CN" w:bidi="ar-SA"/>
    </w:rPr>
  </w:style>
  <w:style w:type="paragraph" w:customStyle="1" w:styleId="1112">
    <w:name w:val="五级"/>
    <w:basedOn w:val="4"/>
    <w:qFormat/>
    <w:uiPriority w:val="0"/>
    <w:pPr>
      <w:widowControl w:val="0"/>
      <w:spacing w:before="0" w:after="0" w:line="360" w:lineRule="auto"/>
      <w:jc w:val="both"/>
    </w:pPr>
    <w:rPr>
      <w:rFonts w:ascii="宋体" w:hAnsi="宋体" w:eastAsia="宋体"/>
      <w:b w:val="0"/>
      <w:bCs/>
      <w:kern w:val="2"/>
      <w:sz w:val="24"/>
      <w:szCs w:val="32"/>
    </w:rPr>
  </w:style>
  <w:style w:type="paragraph" w:customStyle="1" w:styleId="1113">
    <w:name w:val="xl139"/>
    <w:basedOn w:val="1"/>
    <w:qFormat/>
    <w:uiPriority w:val="0"/>
    <w:pPr>
      <w:widowControl/>
      <w:pBdr>
        <w:left w:val="single" w:color="auto" w:sz="8" w:space="0"/>
      </w:pBdr>
      <w:topLinePunct/>
      <w:spacing w:before="100" w:beforeAutospacing="1" w:after="100" w:afterAutospacing="1"/>
      <w:jc w:val="center"/>
    </w:pPr>
    <w:rPr>
      <w:rFonts w:ascii="Arial" w:hAnsi="Arial" w:cs="Arial"/>
      <w:b/>
      <w:bCs/>
      <w:kern w:val="0"/>
      <w:sz w:val="24"/>
    </w:rPr>
  </w:style>
  <w:style w:type="paragraph" w:customStyle="1" w:styleId="1114">
    <w:name w:val="总2"/>
    <w:basedOn w:val="1"/>
    <w:qFormat/>
    <w:uiPriority w:val="0"/>
    <w:pPr>
      <w:widowControl/>
      <w:spacing w:line="360" w:lineRule="auto"/>
      <w:jc w:val="left"/>
    </w:pPr>
    <w:rPr>
      <w:rFonts w:ascii="宋体"/>
      <w:b/>
      <w:bCs/>
      <w:kern w:val="0"/>
      <w:szCs w:val="20"/>
    </w:rPr>
  </w:style>
  <w:style w:type="paragraph" w:customStyle="1" w:styleId="1115">
    <w:name w:val="Char Char Char Char Char Char Char Char Char Char Char Char1 Char Char Char"/>
    <w:basedOn w:val="1"/>
    <w:qFormat/>
    <w:uiPriority w:val="0"/>
    <w:rPr>
      <w:rFonts w:ascii="Tahoma" w:hAnsi="Tahoma" w:cs="FangSong_GB2312"/>
      <w:sz w:val="24"/>
      <w:szCs w:val="20"/>
    </w:rPr>
  </w:style>
  <w:style w:type="paragraph" w:customStyle="1" w:styleId="1116">
    <w:name w:val="正文文本 31"/>
    <w:basedOn w:val="1"/>
    <w:qFormat/>
    <w:uiPriority w:val="0"/>
    <w:pPr>
      <w:spacing w:after="120"/>
    </w:pPr>
    <w:rPr>
      <w:sz w:val="16"/>
      <w:szCs w:val="16"/>
    </w:rPr>
  </w:style>
  <w:style w:type="paragraph" w:customStyle="1" w:styleId="1117">
    <w:name w:val="xl32"/>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1118">
    <w:name w:val="1.1.1"/>
    <w:basedOn w:val="1"/>
    <w:qFormat/>
    <w:uiPriority w:val="0"/>
    <w:pPr>
      <w:spacing w:line="440" w:lineRule="exact"/>
      <w:ind w:firstLine="400" w:firstLineChars="400"/>
    </w:pPr>
    <w:rPr>
      <w:sz w:val="28"/>
      <w:szCs w:val="20"/>
    </w:rPr>
  </w:style>
  <w:style w:type="paragraph" w:customStyle="1" w:styleId="1119">
    <w:name w:val="et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120">
    <w:name w:val="Char Char Char1 Char Char Char Char Char Char Char Char Char Char Char Char Char Char Char Char"/>
    <w:basedOn w:val="1"/>
    <w:qFormat/>
    <w:uiPriority w:val="0"/>
    <w:rPr>
      <w:rFonts w:ascii="Tahoma" w:hAnsi="Tahoma"/>
      <w:sz w:val="24"/>
      <w:szCs w:val="20"/>
    </w:rPr>
  </w:style>
  <w:style w:type="paragraph" w:customStyle="1" w:styleId="1121">
    <w:name w:val="信息标题1"/>
    <w:basedOn w:val="1"/>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kern w:val="0"/>
      <w:sz w:val="24"/>
      <w:shd w:val="pct20" w:color="auto" w:fill="auto"/>
    </w:rPr>
  </w:style>
  <w:style w:type="paragraph" w:customStyle="1" w:styleId="1122">
    <w:name w:val="font13"/>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123">
    <w:name w:val="名称"/>
    <w:semiHidden/>
    <w:qFormat/>
    <w:uiPriority w:val="0"/>
    <w:pPr>
      <w:jc w:val="center"/>
    </w:pPr>
    <w:rPr>
      <w:rFonts w:ascii="Times New Roman" w:hAnsi="Times New Roman" w:eastAsia="宋体" w:cs="Times New Roman"/>
      <w:b/>
      <w:color w:val="000000"/>
      <w:kern w:val="48"/>
      <w:sz w:val="48"/>
      <w:szCs w:val="48"/>
      <w:lang w:val="en-US" w:eastAsia="zh-CN" w:bidi="ar-SA"/>
    </w:rPr>
  </w:style>
  <w:style w:type="paragraph" w:customStyle="1" w:styleId="1124">
    <w:name w:val="标书列表2"/>
    <w:basedOn w:val="1"/>
    <w:qFormat/>
    <w:uiPriority w:val="0"/>
    <w:pPr>
      <w:tabs>
        <w:tab w:val="left" w:pos="2700"/>
      </w:tabs>
      <w:adjustRightInd w:val="0"/>
      <w:snapToGrid w:val="0"/>
      <w:spacing w:line="400" w:lineRule="exact"/>
      <w:ind w:left="2654" w:hanging="539"/>
    </w:pPr>
    <w:rPr>
      <w:rFonts w:ascii="Arial Narrow" w:hAnsi="宋体"/>
      <w:sz w:val="24"/>
    </w:rPr>
  </w:style>
  <w:style w:type="paragraph" w:customStyle="1" w:styleId="1125">
    <w:name w:val="font6"/>
    <w:basedOn w:val="1"/>
    <w:qFormat/>
    <w:uiPriority w:val="0"/>
    <w:pPr>
      <w:widowControl/>
      <w:topLinePunct/>
      <w:spacing w:before="100" w:beforeAutospacing="1" w:after="100" w:afterAutospacing="1"/>
      <w:jc w:val="left"/>
    </w:pPr>
    <w:rPr>
      <w:rFonts w:ascii="宋体" w:hAnsi="宋体"/>
      <w:color w:val="000000"/>
      <w:kern w:val="0"/>
      <w:sz w:val="20"/>
      <w:szCs w:val="20"/>
    </w:rPr>
  </w:style>
  <w:style w:type="paragraph" w:customStyle="1" w:styleId="1126">
    <w:name w:val="CM5"/>
    <w:basedOn w:val="146"/>
    <w:next w:val="146"/>
    <w:qFormat/>
    <w:uiPriority w:val="0"/>
    <w:pPr>
      <w:spacing w:line="468" w:lineRule="atLeast"/>
    </w:pPr>
    <w:rPr>
      <w:rFonts w:ascii="黑体" w:eastAsia="黑体" w:cs="Times New Roman"/>
      <w:color w:val="auto"/>
    </w:rPr>
  </w:style>
  <w:style w:type="paragraph" w:customStyle="1" w:styleId="1127">
    <w:name w:val="CM137"/>
    <w:basedOn w:val="146"/>
    <w:next w:val="146"/>
    <w:qFormat/>
    <w:uiPriority w:val="0"/>
    <w:pPr>
      <w:spacing w:after="463"/>
    </w:pPr>
    <w:rPr>
      <w:rFonts w:ascii="黑体" w:eastAsia="黑体" w:cs="Times New Roman"/>
      <w:color w:val="auto"/>
    </w:rPr>
  </w:style>
  <w:style w:type="paragraph" w:customStyle="1" w:styleId="1128">
    <w:name w:val="xl41"/>
    <w:basedOn w:val="1"/>
    <w:qFormat/>
    <w:uiPriority w:val="0"/>
    <w:pPr>
      <w:widowControl/>
      <w:pBdr>
        <w:top w:val="single" w:color="auto" w:sz="4" w:space="0"/>
        <w:left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1129">
    <w:name w:val="xl65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2"/>
      <w:szCs w:val="22"/>
    </w:rPr>
  </w:style>
  <w:style w:type="paragraph" w:customStyle="1" w:styleId="1130">
    <w:name w:val="xl57"/>
    <w:basedOn w:val="1"/>
    <w:qFormat/>
    <w:uiPriority w:val="0"/>
    <w:pPr>
      <w:widowControl/>
      <w:pBdr>
        <w:top w:val="single" w:color="auto" w:sz="4" w:space="0"/>
        <w:left w:val="single" w:color="auto" w:sz="4" w:space="0"/>
        <w:bottom w:val="single" w:color="auto" w:sz="4" w:space="0"/>
        <w:right w:val="single" w:color="auto" w:sz="4" w:space="0"/>
      </w:pBdr>
      <w:spacing w:before="100" w:after="100"/>
      <w:jc w:val="right"/>
      <w:textAlignment w:val="center"/>
    </w:pPr>
    <w:rPr>
      <w:kern w:val="0"/>
      <w:sz w:val="20"/>
      <w:szCs w:val="20"/>
    </w:rPr>
  </w:style>
  <w:style w:type="paragraph" w:customStyle="1" w:styleId="1131">
    <w:name w:val="dash6b63_6587"/>
    <w:basedOn w:val="1"/>
    <w:qFormat/>
    <w:uiPriority w:val="0"/>
    <w:pPr>
      <w:widowControl/>
    </w:pPr>
    <w:rPr>
      <w:rFonts w:ascii="Calibri" w:hAnsi="Calibri" w:cs="Calibri"/>
      <w:kern w:val="0"/>
      <w:sz w:val="20"/>
      <w:szCs w:val="20"/>
    </w:rPr>
  </w:style>
  <w:style w:type="paragraph" w:customStyle="1" w:styleId="1132">
    <w:name w:val="普通(网站)11"/>
    <w:basedOn w:val="1"/>
    <w:qFormat/>
    <w:uiPriority w:val="0"/>
    <w:pPr>
      <w:widowControl/>
      <w:spacing w:before="100" w:beforeAutospacing="1" w:after="100" w:afterAutospacing="1"/>
      <w:jc w:val="left"/>
    </w:pPr>
    <w:rPr>
      <w:rFonts w:ascii="宋体" w:hAnsi="宋体" w:cs="宋体"/>
      <w:kern w:val="0"/>
      <w:sz w:val="24"/>
    </w:rPr>
  </w:style>
  <w:style w:type="paragraph" w:customStyle="1" w:styleId="1133">
    <w:name w:val="p15"/>
    <w:basedOn w:val="1"/>
    <w:qFormat/>
    <w:uiPriority w:val="0"/>
    <w:pPr>
      <w:widowControl/>
    </w:pPr>
    <w:rPr>
      <w:rFonts w:ascii="MS Sans Serif" w:hAnsi="MS Sans Serif" w:cs="宋体"/>
      <w:kern w:val="0"/>
      <w:szCs w:val="21"/>
    </w:rPr>
  </w:style>
  <w:style w:type="paragraph" w:customStyle="1" w:styleId="1134">
    <w:name w:val="索引 111"/>
    <w:basedOn w:val="1"/>
    <w:next w:val="1"/>
    <w:qFormat/>
    <w:uiPriority w:val="0"/>
    <w:pPr>
      <w:spacing w:line="220" w:lineRule="exact"/>
      <w:jc w:val="center"/>
    </w:pPr>
    <w:rPr>
      <w:rFonts w:ascii="FangSong_GB2312" w:eastAsia="FangSong_GB2312"/>
      <w:szCs w:val="21"/>
    </w:rPr>
  </w:style>
  <w:style w:type="paragraph" w:customStyle="1" w:styleId="1135">
    <w:name w:val="xl36"/>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color w:val="000000"/>
      <w:kern w:val="0"/>
      <w:sz w:val="20"/>
      <w:szCs w:val="20"/>
    </w:rPr>
  </w:style>
  <w:style w:type="paragraph" w:customStyle="1" w:styleId="1136">
    <w:name w:val="xl649"/>
    <w:basedOn w:val="1"/>
    <w:qFormat/>
    <w:uiPriority w:val="0"/>
    <w:pPr>
      <w:widowControl/>
      <w:spacing w:before="100" w:beforeAutospacing="1" w:after="100" w:afterAutospacing="1"/>
      <w:jc w:val="left"/>
      <w:textAlignment w:val="bottom"/>
    </w:pPr>
    <w:rPr>
      <w:rFonts w:ascii="宋体" w:hAnsi="宋体" w:cs="宋体"/>
      <w:color w:val="000000"/>
      <w:kern w:val="0"/>
      <w:sz w:val="20"/>
      <w:szCs w:val="20"/>
    </w:rPr>
  </w:style>
  <w:style w:type="paragraph" w:customStyle="1" w:styleId="1137">
    <w:name w:val="CM45"/>
    <w:basedOn w:val="146"/>
    <w:next w:val="146"/>
    <w:qFormat/>
    <w:uiPriority w:val="0"/>
    <w:pPr>
      <w:spacing w:line="468" w:lineRule="atLeast"/>
    </w:pPr>
    <w:rPr>
      <w:rFonts w:ascii="黑体" w:eastAsia="黑体" w:cs="Times New Roman"/>
      <w:color w:val="auto"/>
    </w:rPr>
  </w:style>
  <w:style w:type="paragraph" w:customStyle="1" w:styleId="1138">
    <w:name w:val="正文文本 211"/>
    <w:basedOn w:val="1"/>
    <w:qFormat/>
    <w:uiPriority w:val="0"/>
    <w:pPr>
      <w:adjustRightInd w:val="0"/>
      <w:ind w:left="360" w:hanging="360"/>
      <w:textAlignment w:val="baseline"/>
    </w:pPr>
    <w:rPr>
      <w:rFonts w:ascii="宋体"/>
      <w:kern w:val="0"/>
      <w:sz w:val="28"/>
      <w:szCs w:val="20"/>
    </w:rPr>
  </w:style>
  <w:style w:type="paragraph" w:customStyle="1" w:styleId="1139">
    <w:name w:val="样式 样式 Times New Roman1 + 宋体"/>
    <w:basedOn w:val="841"/>
    <w:qFormat/>
    <w:uiPriority w:val="0"/>
    <w:rPr>
      <w:rFonts w:ascii="宋体" w:hAnsi="宋体"/>
    </w:rPr>
  </w:style>
  <w:style w:type="paragraph" w:customStyle="1" w:styleId="114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1141">
    <w:name w:val="xl65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2"/>
      <w:szCs w:val="22"/>
    </w:rPr>
  </w:style>
  <w:style w:type="paragraph" w:customStyle="1" w:styleId="1142">
    <w:name w:val="Char Char2 Char Char Char Char Char Char Char Char Char"/>
    <w:basedOn w:val="1"/>
    <w:qFormat/>
    <w:uiPriority w:val="0"/>
    <w:pPr>
      <w:ind w:firstLine="360" w:firstLineChars="150"/>
    </w:pPr>
    <w:rPr>
      <w:rFonts w:ascii="Tahoma" w:hAnsi="Tahoma"/>
      <w:sz w:val="24"/>
      <w:szCs w:val="20"/>
    </w:rPr>
  </w:style>
  <w:style w:type="paragraph" w:customStyle="1" w:styleId="1143">
    <w:name w:val="CM59"/>
    <w:basedOn w:val="146"/>
    <w:next w:val="146"/>
    <w:qFormat/>
    <w:uiPriority w:val="0"/>
    <w:pPr>
      <w:spacing w:line="468" w:lineRule="atLeast"/>
    </w:pPr>
    <w:rPr>
      <w:rFonts w:ascii="黑体" w:eastAsia="黑体" w:cs="Times New Roman"/>
      <w:color w:val="auto"/>
    </w:rPr>
  </w:style>
  <w:style w:type="paragraph" w:customStyle="1" w:styleId="1144">
    <w:name w:val="CM77"/>
    <w:basedOn w:val="146"/>
    <w:next w:val="146"/>
    <w:qFormat/>
    <w:uiPriority w:val="0"/>
    <w:pPr>
      <w:spacing w:line="468" w:lineRule="atLeast"/>
    </w:pPr>
    <w:rPr>
      <w:rFonts w:ascii="黑体" w:eastAsia="黑体" w:cs="Times New Roman"/>
      <w:color w:val="auto"/>
    </w:rPr>
  </w:style>
  <w:style w:type="paragraph" w:customStyle="1" w:styleId="1145">
    <w:name w:val="xl11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146">
    <w:name w:val="样式 样式2 + 四号 自动设置 段前: 0 磅 段后: 0 磅 行距: 固定值 24 磅1"/>
    <w:basedOn w:val="646"/>
    <w:qFormat/>
    <w:uiPriority w:val="0"/>
    <w:pPr>
      <w:spacing w:line="480" w:lineRule="exact"/>
      <w:ind w:firstLine="560" w:firstLineChars="200"/>
    </w:pPr>
    <w:rPr>
      <w:rFonts w:cs="宋体"/>
      <w:color w:val="auto"/>
      <w:sz w:val="28"/>
    </w:rPr>
  </w:style>
  <w:style w:type="paragraph" w:customStyle="1" w:styleId="1147">
    <w:name w:val="xl102"/>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148">
    <w:name w:val="CM119"/>
    <w:basedOn w:val="146"/>
    <w:next w:val="146"/>
    <w:qFormat/>
    <w:uiPriority w:val="0"/>
    <w:pPr>
      <w:spacing w:line="468" w:lineRule="atLeast"/>
    </w:pPr>
    <w:rPr>
      <w:rFonts w:ascii="黑体" w:eastAsia="黑体" w:cs="Times New Roman"/>
      <w:color w:val="auto"/>
    </w:rPr>
  </w:style>
  <w:style w:type="paragraph" w:customStyle="1" w:styleId="1149">
    <w:name w:val="CM81"/>
    <w:basedOn w:val="146"/>
    <w:next w:val="146"/>
    <w:qFormat/>
    <w:uiPriority w:val="0"/>
    <w:pPr>
      <w:spacing w:line="468" w:lineRule="atLeast"/>
    </w:pPr>
    <w:rPr>
      <w:rFonts w:ascii="黑体" w:eastAsia="黑体" w:cs="Times New Roman"/>
      <w:color w:val="auto"/>
    </w:rPr>
  </w:style>
  <w:style w:type="paragraph" w:customStyle="1" w:styleId="1150">
    <w:name w:val="xl82"/>
    <w:basedOn w:val="1"/>
    <w:qFormat/>
    <w:uiPriority w:val="0"/>
    <w:pPr>
      <w:widowControl/>
      <w:pBdr>
        <w:top w:val="single" w:color="auto" w:sz="4" w:space="0"/>
        <w:left w:val="single" w:color="auto" w:sz="4" w:space="0"/>
        <w:bottom w:val="single" w:color="auto" w:sz="4" w:space="0"/>
        <w:right w:val="single" w:color="auto" w:sz="4" w:space="0"/>
      </w:pBdr>
      <w:shd w:val="clear" w:color="FFFFFF" w:fill="FFFF00"/>
      <w:spacing w:before="100" w:beforeAutospacing="1" w:after="100" w:afterAutospacing="1"/>
      <w:jc w:val="left"/>
    </w:pPr>
    <w:rPr>
      <w:rFonts w:ascii="宋体" w:hAnsi="宋体" w:cs="宋体"/>
      <w:color w:val="000000"/>
      <w:kern w:val="0"/>
      <w:sz w:val="20"/>
      <w:szCs w:val="20"/>
    </w:rPr>
  </w:style>
  <w:style w:type="paragraph" w:customStyle="1" w:styleId="1151">
    <w:name w:val="xl137"/>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pPr>
    <w:rPr>
      <w:rFonts w:ascii="宋体" w:hAnsi="宋体" w:cs="宋体"/>
      <w:kern w:val="0"/>
      <w:sz w:val="20"/>
      <w:szCs w:val="20"/>
    </w:rPr>
  </w:style>
  <w:style w:type="paragraph" w:customStyle="1" w:styleId="1152">
    <w:name w:val="xl65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1153">
    <w:name w:val="正文①"/>
    <w:basedOn w:val="1"/>
    <w:qFormat/>
    <w:uiPriority w:val="0"/>
    <w:pPr>
      <w:tabs>
        <w:tab w:val="left" w:pos="999"/>
      </w:tabs>
      <w:snapToGrid w:val="0"/>
      <w:spacing w:line="360" w:lineRule="auto"/>
      <w:ind w:left="999" w:hanging="432"/>
      <w:outlineLvl w:val="2"/>
    </w:pPr>
    <w:rPr>
      <w:sz w:val="28"/>
      <w:szCs w:val="20"/>
    </w:rPr>
  </w:style>
  <w:style w:type="paragraph" w:customStyle="1" w:styleId="1154">
    <w:name w:val="索引 61"/>
    <w:basedOn w:val="1"/>
    <w:next w:val="1"/>
    <w:qFormat/>
    <w:uiPriority w:val="0"/>
    <w:pPr>
      <w:ind w:left="1000" w:leftChars="1000" w:firstLine="200" w:firstLineChars="200"/>
    </w:pPr>
    <w:rPr>
      <w:sz w:val="28"/>
      <w:szCs w:val="20"/>
    </w:rPr>
  </w:style>
  <w:style w:type="paragraph" w:customStyle="1" w:styleId="1155">
    <w:name w:val="xl67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156">
    <w:name w:val="xl60"/>
    <w:basedOn w:val="1"/>
    <w:qFormat/>
    <w:uiPriority w:val="0"/>
    <w:pPr>
      <w:widowControl/>
      <w:pBdr>
        <w:left w:val="single" w:color="auto" w:sz="4" w:space="0"/>
        <w:bottom w:val="single" w:color="auto" w:sz="4" w:space="0"/>
      </w:pBdr>
      <w:spacing w:before="100" w:after="100"/>
      <w:jc w:val="center"/>
      <w:textAlignment w:val="center"/>
    </w:pPr>
    <w:rPr>
      <w:rFonts w:ascii="宋体" w:hAnsi="宋体"/>
      <w:kern w:val="0"/>
      <w:sz w:val="20"/>
      <w:szCs w:val="20"/>
    </w:rPr>
  </w:style>
  <w:style w:type="paragraph" w:customStyle="1" w:styleId="1157">
    <w:name w:val="列表1"/>
    <w:basedOn w:val="1"/>
    <w:qFormat/>
    <w:uiPriority w:val="0"/>
    <w:pPr>
      <w:ind w:left="200" w:hanging="200" w:hangingChars="200"/>
    </w:pPr>
    <w:rPr>
      <w:sz w:val="28"/>
      <w:szCs w:val="20"/>
    </w:rPr>
  </w:style>
  <w:style w:type="paragraph" w:customStyle="1" w:styleId="1158">
    <w:name w:val="正文  ZXH2"/>
    <w:basedOn w:val="1"/>
    <w:qFormat/>
    <w:uiPriority w:val="0"/>
    <w:pPr>
      <w:spacing w:line="360" w:lineRule="auto"/>
      <w:ind w:firstLine="480" w:firstLineChars="200"/>
    </w:pPr>
    <w:rPr>
      <w:rFonts w:cs="宋体"/>
      <w:sz w:val="24"/>
    </w:rPr>
  </w:style>
  <w:style w:type="paragraph" w:customStyle="1" w:styleId="1159">
    <w:name w:val="Table Heading"/>
    <w:qFormat/>
    <w:uiPriority w:val="0"/>
    <w:pPr>
      <w:snapToGrid w:val="0"/>
      <w:jc w:val="center"/>
    </w:pPr>
    <w:rPr>
      <w:rFonts w:ascii="Arial" w:hAnsi="Arial" w:eastAsia="黑体" w:cs="Times New Roman"/>
      <w:sz w:val="18"/>
      <w:lang w:val="en-US" w:eastAsia="zh-CN" w:bidi="ar-SA"/>
    </w:rPr>
  </w:style>
  <w:style w:type="paragraph" w:customStyle="1" w:styleId="1160">
    <w:name w:val="Char Char Char Char Char Char Char Char Char Char Char Char Char2"/>
    <w:basedOn w:val="1"/>
    <w:qFormat/>
    <w:uiPriority w:val="0"/>
    <w:rPr>
      <w:rFonts w:ascii="FangSong_GB2312" w:eastAsia="FangSong_GB2312"/>
      <w:b/>
      <w:sz w:val="32"/>
      <w:szCs w:val="32"/>
    </w:rPr>
  </w:style>
  <w:style w:type="paragraph" w:customStyle="1" w:styleId="1161">
    <w:name w:val="四号线第六级"/>
    <w:basedOn w:val="1"/>
    <w:qFormat/>
    <w:uiPriority w:val="0"/>
    <w:pPr>
      <w:ind w:left="57"/>
    </w:pPr>
  </w:style>
  <w:style w:type="paragraph" w:customStyle="1" w:styleId="1162">
    <w:name w:val="et1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0"/>
      <w:szCs w:val="20"/>
    </w:rPr>
  </w:style>
  <w:style w:type="paragraph" w:customStyle="1" w:styleId="1163">
    <w:name w:val="1.1.1.1"/>
    <w:basedOn w:val="1118"/>
    <w:qFormat/>
    <w:uiPriority w:val="0"/>
    <w:pPr>
      <w:tabs>
        <w:tab w:val="left" w:pos="727"/>
      </w:tabs>
      <w:ind w:left="727" w:firstLine="0" w:firstLineChars="0"/>
    </w:pPr>
    <w:rPr>
      <w:rFonts w:ascii="FangSong_GB2312" w:eastAsia="FangSong_GB2312"/>
      <w:sz w:val="24"/>
    </w:rPr>
  </w:style>
  <w:style w:type="paragraph" w:customStyle="1" w:styleId="1164">
    <w:name w:val="CM120"/>
    <w:basedOn w:val="146"/>
    <w:next w:val="146"/>
    <w:qFormat/>
    <w:uiPriority w:val="0"/>
    <w:rPr>
      <w:rFonts w:ascii="黑体" w:eastAsia="黑体" w:cs="Times New Roman"/>
      <w:color w:val="auto"/>
    </w:rPr>
  </w:style>
  <w:style w:type="paragraph" w:customStyle="1" w:styleId="1165">
    <w:name w:val="列表编号 51"/>
    <w:basedOn w:val="1"/>
    <w:qFormat/>
    <w:uiPriority w:val="0"/>
    <w:pPr>
      <w:tabs>
        <w:tab w:val="left" w:pos="644"/>
        <w:tab w:val="left" w:pos="2040"/>
      </w:tabs>
      <w:ind w:left="800" w:leftChars="800" w:hanging="200" w:hangingChars="200"/>
    </w:pPr>
    <w:rPr>
      <w:rFonts w:ascii="Arial" w:hAnsi="Arial"/>
    </w:rPr>
  </w:style>
  <w:style w:type="paragraph" w:customStyle="1" w:styleId="1166">
    <w:name w:val="五号线1.1"/>
    <w:qFormat/>
    <w:uiPriority w:val="0"/>
    <w:pPr>
      <w:tabs>
        <w:tab w:val="left" w:pos="720"/>
      </w:tabs>
      <w:spacing w:before="120" w:after="120" w:line="500" w:lineRule="exact"/>
      <w:jc w:val="center"/>
      <w:outlineLvl w:val="1"/>
    </w:pPr>
    <w:rPr>
      <w:rFonts w:ascii="宋体" w:hAnsi="Times New Roman" w:eastAsia="宋体" w:cs="Times New Roman"/>
      <w:b/>
      <w:spacing w:val="6"/>
      <w:w w:val="95"/>
      <w:sz w:val="30"/>
      <w:lang w:val="en-US" w:eastAsia="zh-CN" w:bidi="ar-SA"/>
    </w:rPr>
  </w:style>
  <w:style w:type="paragraph" w:customStyle="1" w:styleId="1167">
    <w:name w:val="xl6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168">
    <w:name w:val="xl1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169">
    <w:name w:val="xl673"/>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170">
    <w:name w:val="xl14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171">
    <w:name w:val="批注主题2"/>
    <w:basedOn w:val="28"/>
    <w:next w:val="28"/>
    <w:qFormat/>
    <w:uiPriority w:val="0"/>
    <w:rPr>
      <w:b/>
      <w:bCs/>
      <w:kern w:val="0"/>
      <w:sz w:val="20"/>
    </w:rPr>
  </w:style>
  <w:style w:type="paragraph" w:customStyle="1" w:styleId="1172">
    <w:name w:val="6'"/>
    <w:basedOn w:val="1"/>
    <w:qFormat/>
    <w:uiPriority w:val="0"/>
    <w:pPr>
      <w:autoSpaceDE w:val="0"/>
      <w:autoSpaceDN w:val="0"/>
      <w:adjustRightInd w:val="0"/>
      <w:snapToGrid w:val="0"/>
      <w:spacing w:line="320" w:lineRule="exact"/>
      <w:jc w:val="center"/>
      <w:textAlignment w:val="baseline"/>
    </w:pPr>
    <w:rPr>
      <w:spacing w:val="20"/>
      <w:kern w:val="28"/>
      <w:szCs w:val="20"/>
    </w:rPr>
  </w:style>
  <w:style w:type="paragraph" w:customStyle="1" w:styleId="1173">
    <w:name w:val="四号线第二级"/>
    <w:basedOn w:val="1"/>
    <w:qFormat/>
    <w:uiPriority w:val="0"/>
    <w:pPr>
      <w:tabs>
        <w:tab w:val="left" w:pos="0"/>
      </w:tabs>
      <w:ind w:left="57"/>
    </w:pPr>
  </w:style>
  <w:style w:type="paragraph" w:customStyle="1" w:styleId="1174">
    <w:name w:val="CM88"/>
    <w:basedOn w:val="146"/>
    <w:next w:val="146"/>
    <w:qFormat/>
    <w:uiPriority w:val="0"/>
    <w:pPr>
      <w:spacing w:line="468" w:lineRule="atLeast"/>
    </w:pPr>
    <w:rPr>
      <w:rFonts w:ascii="黑体" w:eastAsia="黑体" w:cs="Times New Roman"/>
      <w:color w:val="auto"/>
    </w:rPr>
  </w:style>
  <w:style w:type="paragraph" w:customStyle="1" w:styleId="1175">
    <w:name w:val="招标文件1.1.1.1"/>
    <w:basedOn w:val="1"/>
    <w:qFormat/>
    <w:uiPriority w:val="0"/>
    <w:pPr>
      <w:spacing w:before="120" w:after="120" w:line="480" w:lineRule="exact"/>
      <w:ind w:left="200"/>
      <w:jc w:val="left"/>
      <w:outlineLvl w:val="4"/>
    </w:pPr>
    <w:rPr>
      <w:rFonts w:ascii="宋体"/>
      <w:b/>
      <w:spacing w:val="10"/>
      <w:w w:val="95"/>
    </w:rPr>
  </w:style>
  <w:style w:type="paragraph" w:customStyle="1" w:styleId="1176">
    <w:name w:val="l9标题3"/>
    <w:basedOn w:val="1"/>
    <w:qFormat/>
    <w:uiPriority w:val="0"/>
    <w:pPr>
      <w:spacing w:line="360" w:lineRule="auto"/>
    </w:pPr>
    <w:rPr>
      <w:b/>
      <w:sz w:val="24"/>
      <w:szCs w:val="20"/>
    </w:rPr>
  </w:style>
  <w:style w:type="paragraph" w:customStyle="1" w:styleId="1177">
    <w:name w:val="结束语1"/>
    <w:basedOn w:val="1"/>
    <w:qFormat/>
    <w:uiPriority w:val="0"/>
    <w:pPr>
      <w:ind w:left="100" w:leftChars="2100"/>
    </w:pPr>
    <w:rPr>
      <w:rFonts w:ascii="Arial" w:hAnsi="Arial"/>
      <w:kern w:val="0"/>
      <w:sz w:val="20"/>
    </w:rPr>
  </w:style>
  <w:style w:type="paragraph" w:customStyle="1" w:styleId="1178">
    <w:name w:val="xl647"/>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179">
    <w:name w:val="font8"/>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1180">
    <w:name w:val="font16"/>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181">
    <w:name w:val="CM32"/>
    <w:basedOn w:val="146"/>
    <w:next w:val="146"/>
    <w:qFormat/>
    <w:uiPriority w:val="0"/>
    <w:pPr>
      <w:spacing w:line="468" w:lineRule="atLeast"/>
    </w:pPr>
    <w:rPr>
      <w:rFonts w:ascii="黑体" w:eastAsia="黑体" w:cs="Times New Roman"/>
      <w:color w:val="auto"/>
    </w:rPr>
  </w:style>
  <w:style w:type="paragraph" w:customStyle="1" w:styleId="1182">
    <w:name w:val="样式 Times New Roman 左  4.27 字符"/>
    <w:basedOn w:val="1"/>
    <w:qFormat/>
    <w:uiPriority w:val="0"/>
    <w:pPr>
      <w:tabs>
        <w:tab w:val="left" w:pos="2040"/>
      </w:tabs>
      <w:spacing w:line="360" w:lineRule="auto"/>
      <w:ind w:left="2040" w:hanging="420"/>
    </w:pPr>
    <w:rPr>
      <w:rFonts w:cs="宋体"/>
      <w:color w:val="000000"/>
      <w:szCs w:val="20"/>
    </w:rPr>
  </w:style>
  <w:style w:type="paragraph" w:customStyle="1" w:styleId="1183">
    <w:name w:val="列出段落2"/>
    <w:basedOn w:val="1"/>
    <w:qFormat/>
    <w:uiPriority w:val="0"/>
    <w:pPr>
      <w:ind w:firstLine="420" w:firstLineChars="200"/>
    </w:pPr>
    <w:rPr>
      <w:rFonts w:ascii="Calibri" w:hAnsi="Calibri"/>
      <w:szCs w:val="22"/>
    </w:rPr>
  </w:style>
  <w:style w:type="paragraph" w:customStyle="1" w:styleId="1184">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185">
    <w:name w:val="列表3下文字"/>
    <w:basedOn w:val="33"/>
    <w:qFormat/>
    <w:uiPriority w:val="0"/>
    <w:pPr>
      <w:keepNext/>
      <w:widowControl/>
      <w:numPr>
        <w:numId w:val="0"/>
      </w:numPr>
      <w:tabs>
        <w:tab w:val="clear" w:pos="780"/>
        <w:tab w:val="clear" w:pos="2040"/>
      </w:tabs>
      <w:spacing w:beforeLines="20" w:line="300" w:lineRule="auto"/>
      <w:ind w:left="1620"/>
      <w:jc w:val="left"/>
    </w:pPr>
  </w:style>
  <w:style w:type="paragraph" w:customStyle="1" w:styleId="1186">
    <w:name w:val="xl1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187">
    <w:name w:val="招标文件1）"/>
    <w:qFormat/>
    <w:uiPriority w:val="0"/>
    <w:pPr>
      <w:spacing w:before="120" w:after="120" w:line="300" w:lineRule="auto"/>
      <w:outlineLvl w:val="5"/>
    </w:pPr>
    <w:rPr>
      <w:rFonts w:ascii="宋体" w:hAnsi="Times New Roman" w:eastAsia="宋体" w:cs="Times New Roman"/>
      <w:spacing w:val="10"/>
      <w:w w:val="95"/>
      <w:sz w:val="21"/>
      <w:lang w:val="en-US" w:eastAsia="zh-CN" w:bidi="ar-SA"/>
    </w:rPr>
  </w:style>
  <w:style w:type="paragraph" w:customStyle="1" w:styleId="1188">
    <w:name w:val="样式 正文缩进 + 黑色1"/>
    <w:basedOn w:val="368"/>
    <w:qFormat/>
    <w:uiPriority w:val="0"/>
    <w:pPr>
      <w:tabs>
        <w:tab w:val="left" w:pos="547"/>
        <w:tab w:val="left" w:pos="1123"/>
      </w:tabs>
      <w:spacing w:line="480" w:lineRule="exact"/>
      <w:ind w:firstLine="200"/>
    </w:pPr>
    <w:rPr>
      <w:rFonts w:ascii="Calibri" w:hAnsi="Calibri" w:cs="宋体"/>
      <w:color w:val="000000"/>
      <w:sz w:val="28"/>
    </w:rPr>
  </w:style>
  <w:style w:type="paragraph" w:customStyle="1" w:styleId="1189">
    <w:name w:val="zw"/>
    <w:qFormat/>
    <w:uiPriority w:val="0"/>
    <w:pPr>
      <w:spacing w:line="480" w:lineRule="exact"/>
      <w:ind w:firstLine="200" w:firstLineChars="200"/>
    </w:pPr>
    <w:rPr>
      <w:rFonts w:ascii="FangSong_GB2312" w:hAnsi="Times New Roman" w:eastAsia="FangSong_GB2312" w:cs="Times New Roman"/>
      <w:sz w:val="24"/>
      <w:lang w:val="en-US" w:eastAsia="zh-CN" w:bidi="ar-SA"/>
    </w:rPr>
  </w:style>
  <w:style w:type="paragraph" w:customStyle="1" w:styleId="1190">
    <w:name w:val="6.2.2"/>
    <w:basedOn w:val="1"/>
    <w:qFormat/>
    <w:uiPriority w:val="0"/>
    <w:pPr>
      <w:autoSpaceDE w:val="0"/>
      <w:autoSpaceDN w:val="0"/>
      <w:adjustRightInd w:val="0"/>
      <w:spacing w:line="360" w:lineRule="auto"/>
      <w:ind w:left="493"/>
      <w:jc w:val="left"/>
    </w:pPr>
    <w:rPr>
      <w:kern w:val="0"/>
      <w:sz w:val="24"/>
    </w:rPr>
  </w:style>
  <w:style w:type="paragraph" w:customStyle="1" w:styleId="1191">
    <w:name w:val="CM115"/>
    <w:basedOn w:val="146"/>
    <w:next w:val="146"/>
    <w:qFormat/>
    <w:uiPriority w:val="0"/>
    <w:pPr>
      <w:spacing w:line="468" w:lineRule="atLeast"/>
    </w:pPr>
    <w:rPr>
      <w:rFonts w:ascii="黑体" w:eastAsia="黑体" w:cs="Times New Roman"/>
      <w:color w:val="auto"/>
    </w:rPr>
  </w:style>
  <w:style w:type="paragraph" w:customStyle="1" w:styleId="1192">
    <w:name w:val="标书列表3"/>
    <w:basedOn w:val="1124"/>
    <w:qFormat/>
    <w:uiPriority w:val="0"/>
    <w:pPr>
      <w:tabs>
        <w:tab w:val="left" w:pos="2880"/>
      </w:tabs>
      <w:spacing w:after="50"/>
      <w:ind w:left="3419"/>
    </w:pPr>
  </w:style>
  <w:style w:type="paragraph" w:customStyle="1" w:styleId="1193">
    <w:name w:val="表中"/>
    <w:basedOn w:val="1"/>
    <w:qFormat/>
    <w:uiPriority w:val="0"/>
    <w:pPr>
      <w:tabs>
        <w:tab w:val="left" w:pos="480"/>
      </w:tabs>
      <w:autoSpaceDE w:val="0"/>
      <w:autoSpaceDN w:val="0"/>
      <w:adjustRightInd w:val="0"/>
      <w:spacing w:before="100" w:beforeAutospacing="1" w:after="100" w:afterAutospacing="1"/>
      <w:jc w:val="center"/>
    </w:pPr>
    <w:rPr>
      <w:kern w:val="0"/>
    </w:rPr>
  </w:style>
  <w:style w:type="paragraph" w:customStyle="1" w:styleId="1194">
    <w:name w:val="表格4"/>
    <w:basedOn w:val="1"/>
    <w:qFormat/>
    <w:uiPriority w:val="0"/>
    <w:pPr>
      <w:adjustRightInd w:val="0"/>
      <w:spacing w:line="420" w:lineRule="atLeast"/>
      <w:ind w:left="1021" w:firstLine="200" w:firstLineChars="200"/>
      <w:jc w:val="left"/>
      <w:textAlignment w:val="baseline"/>
    </w:pPr>
    <w:rPr>
      <w:color w:val="1F497D"/>
      <w:kern w:val="0"/>
      <w:sz w:val="24"/>
    </w:rPr>
  </w:style>
  <w:style w:type="paragraph" w:customStyle="1" w:styleId="1195">
    <w:name w:val="样式 标题 2标题 1.1编号标题2head:2#2 headlinehheadlineS&amp;R2ERMH2He..."/>
    <w:basedOn w:val="1"/>
    <w:qFormat/>
    <w:uiPriority w:val="0"/>
    <w:pPr>
      <w:spacing w:before="120" w:after="120" w:line="500" w:lineRule="exact"/>
      <w:jc w:val="left"/>
      <w:outlineLvl w:val="1"/>
    </w:pPr>
    <w:rPr>
      <w:rFonts w:ascii="Arial" w:hAnsi="Arial" w:eastAsia="黑体" w:cs="宋体"/>
      <w:b/>
      <w:bCs/>
      <w:color w:val="C00000"/>
      <w:kern w:val="44"/>
      <w:sz w:val="28"/>
      <w:szCs w:val="20"/>
    </w:rPr>
  </w:style>
  <w:style w:type="paragraph" w:customStyle="1" w:styleId="1196">
    <w:name w:val="标题 21"/>
    <w:basedOn w:val="1"/>
    <w:next w:val="1"/>
    <w:qFormat/>
    <w:uiPriority w:val="0"/>
    <w:pPr>
      <w:numPr>
        <w:ilvl w:val="1"/>
        <w:numId w:val="11"/>
      </w:numPr>
      <w:tabs>
        <w:tab w:val="left" w:pos="360"/>
        <w:tab w:val="left" w:pos="2040"/>
      </w:tabs>
      <w:spacing w:before="240" w:after="120"/>
      <w:jc w:val="left"/>
      <w:outlineLvl w:val="1"/>
    </w:pPr>
    <w:rPr>
      <w:rFonts w:eastAsia="黑体"/>
      <w:bCs/>
      <w:color w:val="C00000"/>
      <w:sz w:val="28"/>
      <w:szCs w:val="28"/>
    </w:rPr>
  </w:style>
  <w:style w:type="paragraph" w:customStyle="1" w:styleId="1197">
    <w:name w:val="CM80"/>
    <w:basedOn w:val="146"/>
    <w:next w:val="146"/>
    <w:qFormat/>
    <w:uiPriority w:val="0"/>
    <w:pPr>
      <w:spacing w:line="468" w:lineRule="atLeast"/>
    </w:pPr>
    <w:rPr>
      <w:rFonts w:ascii="黑体" w:eastAsia="黑体" w:cs="Times New Roman"/>
      <w:color w:val="auto"/>
    </w:rPr>
  </w:style>
  <w:style w:type="paragraph" w:customStyle="1" w:styleId="1198">
    <w:name w:val="索引 31"/>
    <w:basedOn w:val="1"/>
    <w:next w:val="1"/>
    <w:qFormat/>
    <w:uiPriority w:val="0"/>
    <w:pPr>
      <w:spacing w:line="480" w:lineRule="exact"/>
      <w:ind w:left="400" w:leftChars="400"/>
    </w:pPr>
    <w:rPr>
      <w:sz w:val="24"/>
    </w:rPr>
  </w:style>
  <w:style w:type="paragraph" w:customStyle="1" w:styleId="1199">
    <w:name w:val="Char Char Char Char Char Char Char Char Char Char Char Char Char Char Char Char Char Char Char Char Char Char Char Char Char Char Char Char Char Char Char Char Char Char Char Char Char Char Char Char Char Char Char Char Char Char Char Char Char Char Cha"/>
    <w:basedOn w:val="1"/>
    <w:qFormat/>
    <w:uiPriority w:val="0"/>
    <w:pPr>
      <w:ind w:firstLine="200" w:firstLineChars="200"/>
      <w:jc w:val="left"/>
    </w:pPr>
    <w:rPr>
      <w:rFonts w:ascii="Tahoma" w:hAnsi="Tahoma"/>
      <w:color w:val="1F497D"/>
      <w:sz w:val="24"/>
      <w:szCs w:val="20"/>
    </w:rPr>
  </w:style>
  <w:style w:type="paragraph" w:customStyle="1" w:styleId="1200">
    <w:name w:val="CM181"/>
    <w:basedOn w:val="146"/>
    <w:next w:val="146"/>
    <w:qFormat/>
    <w:uiPriority w:val="0"/>
    <w:pPr>
      <w:spacing w:line="260" w:lineRule="atLeast"/>
    </w:pPr>
    <w:rPr>
      <w:rFonts w:cs="Times New Roman"/>
      <w:color w:val="auto"/>
      <w:szCs w:val="20"/>
    </w:rPr>
  </w:style>
  <w:style w:type="paragraph" w:customStyle="1" w:styleId="1201">
    <w:name w:val="四号线第五级"/>
    <w:basedOn w:val="1"/>
    <w:qFormat/>
    <w:uiPriority w:val="0"/>
    <w:pPr>
      <w:ind w:left="57"/>
    </w:pPr>
  </w:style>
  <w:style w:type="paragraph" w:customStyle="1" w:styleId="1202">
    <w:name w:val="批注主题3"/>
    <w:basedOn w:val="28"/>
    <w:next w:val="28"/>
    <w:qFormat/>
    <w:uiPriority w:val="0"/>
    <w:rPr>
      <w:b/>
      <w:bCs/>
      <w:kern w:val="0"/>
      <w:sz w:val="20"/>
    </w:rPr>
  </w:style>
  <w:style w:type="paragraph" w:customStyle="1" w:styleId="1203">
    <w:name w:val="xl15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kern w:val="0"/>
      <w:sz w:val="20"/>
      <w:szCs w:val="20"/>
    </w:rPr>
  </w:style>
  <w:style w:type="paragraph" w:customStyle="1" w:styleId="1204">
    <w:name w:val="表格格式1"/>
    <w:basedOn w:val="1"/>
    <w:qFormat/>
    <w:uiPriority w:val="0"/>
    <w:pPr>
      <w:spacing w:line="400" w:lineRule="exact"/>
      <w:ind w:firstLine="200" w:firstLineChars="200"/>
      <w:jc w:val="center"/>
    </w:pPr>
    <w:rPr>
      <w:color w:val="1F497D"/>
      <w:sz w:val="24"/>
    </w:rPr>
  </w:style>
  <w:style w:type="paragraph" w:customStyle="1" w:styleId="1205">
    <w:name w:val="招标文件》"/>
    <w:basedOn w:val="696"/>
    <w:qFormat/>
    <w:uiPriority w:val="0"/>
    <w:pPr>
      <w:tabs>
        <w:tab w:val="left" w:pos="560"/>
      </w:tabs>
      <w:ind w:left="200" w:firstLine="0" w:firstLineChars="0"/>
    </w:pPr>
  </w:style>
  <w:style w:type="paragraph" w:customStyle="1" w:styleId="1206">
    <w:name w:val="文档结构图3"/>
    <w:basedOn w:val="1"/>
    <w:qFormat/>
    <w:uiPriority w:val="0"/>
    <w:pPr>
      <w:shd w:val="clear" w:color="auto" w:fill="000080"/>
    </w:pPr>
    <w:rPr>
      <w:kern w:val="0"/>
      <w:sz w:val="20"/>
      <w:shd w:val="clear" w:color="auto" w:fill="000080"/>
    </w:rPr>
  </w:style>
  <w:style w:type="paragraph" w:customStyle="1" w:styleId="1207">
    <w:name w:val="正文C"/>
    <w:qFormat/>
    <w:uiPriority w:val="0"/>
    <w:pPr>
      <w:widowControl w:val="0"/>
      <w:adjustRightInd w:val="0"/>
      <w:snapToGrid w:val="0"/>
      <w:spacing w:line="360" w:lineRule="auto"/>
      <w:ind w:right="31" w:rightChars="15" w:firstLine="420" w:firstLineChars="200"/>
      <w:jc w:val="both"/>
    </w:pPr>
    <w:rPr>
      <w:rFonts w:ascii="Times New Roman" w:hAnsi="Times New Roman" w:eastAsia="宋体" w:cs="宋体"/>
      <w:kern w:val="44"/>
      <w:sz w:val="24"/>
      <w:lang w:val="en-US" w:eastAsia="zh-CN" w:bidi="ar-SA"/>
    </w:rPr>
  </w:style>
  <w:style w:type="paragraph" w:customStyle="1" w:styleId="1208">
    <w:name w:val="样式 左侧:  0.74 厘米"/>
    <w:basedOn w:val="1"/>
    <w:qFormat/>
    <w:uiPriority w:val="0"/>
    <w:rPr>
      <w:szCs w:val="20"/>
    </w:rPr>
  </w:style>
  <w:style w:type="paragraph" w:customStyle="1" w:styleId="1209">
    <w:name w:val="xl15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210">
    <w:name w:val="CM229"/>
    <w:basedOn w:val="146"/>
    <w:next w:val="146"/>
    <w:qFormat/>
    <w:uiPriority w:val="0"/>
    <w:pPr>
      <w:spacing w:after="2045"/>
    </w:pPr>
    <w:rPr>
      <w:rFonts w:cs="Times New Roman"/>
      <w:color w:val="auto"/>
      <w:szCs w:val="20"/>
    </w:rPr>
  </w:style>
  <w:style w:type="paragraph" w:customStyle="1" w:styleId="1211">
    <w:name w:val="正"/>
    <w:basedOn w:val="1"/>
    <w:next w:val="1"/>
    <w:qFormat/>
    <w:uiPriority w:val="0"/>
    <w:pPr>
      <w:spacing w:line="480" w:lineRule="exact"/>
      <w:ind w:left="466" w:leftChars="141" w:firstLine="28" w:firstLineChars="9"/>
    </w:pPr>
    <w:rPr>
      <w:rFonts w:ascii="宋体" w:hAnsi="宋体" w:cs="宋体"/>
      <w:kern w:val="0"/>
      <w:sz w:val="28"/>
      <w:szCs w:val="28"/>
    </w:rPr>
  </w:style>
  <w:style w:type="paragraph" w:customStyle="1" w:styleId="1212">
    <w:name w:val="五级条标题"/>
    <w:basedOn w:val="1027"/>
    <w:next w:val="1"/>
    <w:qFormat/>
    <w:uiPriority w:val="0"/>
    <w:pPr>
      <w:outlineLvl w:val="6"/>
    </w:pPr>
  </w:style>
  <w:style w:type="paragraph" w:customStyle="1" w:styleId="1213">
    <w:name w:val="样式 标题 3条Heading 3 Char1Heading 3 Char CharHeading 3 CharHea..."/>
    <w:basedOn w:val="5"/>
    <w:qFormat/>
    <w:uiPriority w:val="0"/>
    <w:pPr>
      <w:widowControl w:val="0"/>
      <w:tabs>
        <w:tab w:val="left" w:pos="3828"/>
        <w:tab w:val="clear" w:pos="720"/>
        <w:tab w:val="clear" w:pos="1260"/>
      </w:tabs>
      <w:adjustRightInd w:val="0"/>
      <w:snapToGrid w:val="0"/>
      <w:spacing w:beforeLines="100" w:after="0"/>
      <w:ind w:left="0" w:firstLine="0"/>
      <w:jc w:val="both"/>
      <w:textAlignment w:val="baseline"/>
    </w:pPr>
    <w:rPr>
      <w:rFonts w:ascii="黑体" w:hAnsi="黑体" w:eastAsia="黑体"/>
      <w:kern w:val="2"/>
      <w:sz w:val="24"/>
    </w:rPr>
  </w:style>
  <w:style w:type="paragraph" w:customStyle="1" w:styleId="1214">
    <w:name w:val="CM31"/>
    <w:basedOn w:val="146"/>
    <w:next w:val="146"/>
    <w:qFormat/>
    <w:uiPriority w:val="0"/>
    <w:pPr>
      <w:spacing w:line="468" w:lineRule="atLeast"/>
    </w:pPr>
    <w:rPr>
      <w:rFonts w:ascii="黑体" w:eastAsia="黑体" w:cs="Times New Roman"/>
      <w:color w:val="auto"/>
    </w:rPr>
  </w:style>
  <w:style w:type="paragraph" w:customStyle="1" w:styleId="1215">
    <w:name w:val="xl22"/>
    <w:basedOn w:val="1"/>
    <w:qFormat/>
    <w:uiPriority w:val="0"/>
    <w:pPr>
      <w:widowControl/>
      <w:pBdr>
        <w:bottom w:val="single" w:color="auto" w:sz="4" w:space="0"/>
        <w:right w:val="single" w:color="auto" w:sz="4" w:space="0"/>
      </w:pBdr>
      <w:spacing w:before="100" w:beforeAutospacing="1" w:after="100" w:afterAutospacing="1"/>
      <w:jc w:val="center"/>
    </w:pPr>
    <w:rPr>
      <w:rFonts w:ascii="Arial Unicode MS" w:hAnsi="Arial Unicode MS" w:eastAsia="Arial Unicode MS"/>
      <w:kern w:val="0"/>
      <w:szCs w:val="21"/>
    </w:rPr>
  </w:style>
  <w:style w:type="paragraph" w:customStyle="1" w:styleId="1216">
    <w:name w:val="CM19"/>
    <w:basedOn w:val="146"/>
    <w:next w:val="146"/>
    <w:qFormat/>
    <w:uiPriority w:val="0"/>
    <w:pPr>
      <w:spacing w:line="468" w:lineRule="atLeast"/>
    </w:pPr>
    <w:rPr>
      <w:rFonts w:ascii="黑体" w:eastAsia="黑体" w:cs="Times New Roman"/>
      <w:color w:val="auto"/>
    </w:rPr>
  </w:style>
  <w:style w:type="paragraph" w:customStyle="1" w:styleId="1217">
    <w:name w:val="Char13"/>
    <w:basedOn w:val="1"/>
    <w:qFormat/>
    <w:uiPriority w:val="0"/>
    <w:pPr>
      <w:widowControl/>
      <w:spacing w:after="160" w:line="240" w:lineRule="exact"/>
      <w:jc w:val="left"/>
    </w:pPr>
    <w:rPr>
      <w:rFonts w:ascii="宋体" w:hAnsi="宋体"/>
      <w:kern w:val="0"/>
      <w:sz w:val="20"/>
      <w:szCs w:val="20"/>
      <w:lang w:eastAsia="en-US"/>
    </w:rPr>
  </w:style>
  <w:style w:type="paragraph" w:customStyle="1" w:styleId="1218">
    <w:name w:val="无间隔1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19">
    <w:name w:val="5555"/>
    <w:basedOn w:val="746"/>
    <w:qFormat/>
    <w:uiPriority w:val="0"/>
  </w:style>
  <w:style w:type="paragraph" w:customStyle="1" w:styleId="1220">
    <w:name w:val="正文文本 311"/>
    <w:basedOn w:val="1"/>
    <w:qFormat/>
    <w:uiPriority w:val="0"/>
    <w:rPr>
      <w:rFonts w:ascii="宋体"/>
      <w:sz w:val="24"/>
      <w:szCs w:val="20"/>
    </w:rPr>
  </w:style>
  <w:style w:type="paragraph" w:customStyle="1" w:styleId="1221">
    <w:name w:val="日期3"/>
    <w:basedOn w:val="1"/>
    <w:next w:val="1"/>
    <w:qFormat/>
    <w:uiPriority w:val="0"/>
    <w:pPr>
      <w:ind w:left="100" w:leftChars="2500"/>
    </w:pPr>
    <w:rPr>
      <w:kern w:val="0"/>
      <w:sz w:val="20"/>
    </w:rPr>
  </w:style>
  <w:style w:type="paragraph" w:customStyle="1" w:styleId="1222">
    <w:name w:val="CM65"/>
    <w:basedOn w:val="146"/>
    <w:next w:val="146"/>
    <w:qFormat/>
    <w:uiPriority w:val="0"/>
    <w:pPr>
      <w:spacing w:line="468" w:lineRule="atLeast"/>
    </w:pPr>
    <w:rPr>
      <w:rFonts w:ascii="黑体" w:eastAsia="黑体" w:cs="Times New Roman"/>
      <w:color w:val="auto"/>
    </w:rPr>
  </w:style>
  <w:style w:type="paragraph" w:customStyle="1" w:styleId="1223">
    <w:name w:val="表名称"/>
    <w:basedOn w:val="1"/>
    <w:next w:val="1"/>
    <w:qFormat/>
    <w:uiPriority w:val="0"/>
    <w:pPr>
      <w:tabs>
        <w:tab w:val="left" w:pos="2268"/>
        <w:tab w:val="center" w:pos="4536"/>
        <w:tab w:val="right" w:pos="6615"/>
        <w:tab w:val="center" w:pos="10773"/>
        <w:tab w:val="right" w:pos="18522"/>
      </w:tabs>
      <w:adjustRightInd w:val="0"/>
      <w:snapToGrid w:val="0"/>
      <w:spacing w:line="480" w:lineRule="exact"/>
      <w:ind w:right="48" w:rightChars="23"/>
      <w:jc w:val="center"/>
    </w:pPr>
    <w:rPr>
      <w:rFonts w:ascii="宋体"/>
      <w:szCs w:val="21"/>
    </w:rPr>
  </w:style>
  <w:style w:type="paragraph" w:customStyle="1" w:styleId="1224">
    <w:name w:val="CM148"/>
    <w:basedOn w:val="146"/>
    <w:next w:val="146"/>
    <w:qFormat/>
    <w:uiPriority w:val="0"/>
    <w:pPr>
      <w:spacing w:line="313" w:lineRule="atLeast"/>
    </w:pPr>
    <w:rPr>
      <w:rFonts w:cs="Times New Roman"/>
      <w:color w:val="auto"/>
      <w:szCs w:val="20"/>
    </w:rPr>
  </w:style>
  <w:style w:type="paragraph" w:customStyle="1" w:styleId="1225">
    <w:name w:val="et30"/>
    <w:basedOn w:val="1"/>
    <w:qFormat/>
    <w:uiPriority w:val="0"/>
    <w:pPr>
      <w:widowControl/>
      <w:spacing w:before="100" w:beforeAutospacing="1" w:after="100" w:afterAutospacing="1"/>
      <w:jc w:val="center"/>
      <w:textAlignment w:val="center"/>
    </w:pPr>
    <w:rPr>
      <w:rFonts w:ascii="宋体" w:hAnsi="宋体" w:cs="宋体"/>
      <w:b/>
      <w:bCs/>
      <w:color w:val="000000"/>
      <w:kern w:val="0"/>
      <w:sz w:val="36"/>
      <w:szCs w:val="36"/>
    </w:rPr>
  </w:style>
  <w:style w:type="paragraph" w:customStyle="1" w:styleId="1226">
    <w:name w:val="默认段落字体11112"/>
    <w:basedOn w:val="1"/>
    <w:qFormat/>
    <w:uiPriority w:val="0"/>
    <w:pPr>
      <w:widowControl/>
      <w:spacing w:line="360" w:lineRule="auto"/>
    </w:pPr>
    <w:rPr>
      <w:rFonts w:ascii="Tahoma" w:hAnsi="Tahoma"/>
      <w:sz w:val="24"/>
      <w:szCs w:val="21"/>
    </w:rPr>
  </w:style>
  <w:style w:type="paragraph" w:customStyle="1" w:styleId="1227">
    <w:name w:val="应答文本"/>
    <w:basedOn w:val="1"/>
    <w:qFormat/>
    <w:uiPriority w:val="0"/>
    <w:pPr>
      <w:adjustRightInd w:val="0"/>
      <w:spacing w:afterLines="50" w:line="320" w:lineRule="exact"/>
      <w:ind w:left="480" w:leftChars="200" w:firstLine="460" w:firstLineChars="200"/>
      <w:jc w:val="left"/>
    </w:pPr>
    <w:rPr>
      <w:rFonts w:ascii="Arial" w:hAnsi="Arial" w:eastAsia="KaiTi_GB2312" w:cs="宋体"/>
      <w:color w:val="1F497D"/>
      <w:spacing w:val="10"/>
      <w:kern w:val="0"/>
      <w:szCs w:val="20"/>
    </w:rPr>
  </w:style>
  <w:style w:type="paragraph" w:customStyle="1" w:styleId="1228">
    <w:name w:val="Char4"/>
    <w:basedOn w:val="1"/>
    <w:qFormat/>
    <w:uiPriority w:val="0"/>
    <w:rPr>
      <w:rFonts w:ascii="宋体" w:hAnsi="宋体"/>
      <w:color w:val="000000"/>
      <w:sz w:val="24"/>
      <w:szCs w:val="20"/>
    </w:rPr>
  </w:style>
  <w:style w:type="paragraph" w:customStyle="1" w:styleId="1229">
    <w:name w:val="小"/>
    <w:basedOn w:val="1"/>
    <w:next w:val="722"/>
    <w:qFormat/>
    <w:uiPriority w:val="0"/>
    <w:rPr>
      <w:rFonts w:ascii="宋体" w:hAnsi="Courier New"/>
      <w:szCs w:val="20"/>
    </w:rPr>
  </w:style>
  <w:style w:type="paragraph" w:customStyle="1" w:styleId="1230">
    <w:name w:val="l9标题4"/>
    <w:basedOn w:val="1"/>
    <w:qFormat/>
    <w:uiPriority w:val="0"/>
    <w:pPr>
      <w:tabs>
        <w:tab w:val="left" w:pos="567"/>
        <w:tab w:val="left" w:pos="737"/>
      </w:tabs>
      <w:ind w:left="737" w:hanging="737"/>
    </w:pPr>
    <w:rPr>
      <w:rFonts w:ascii="Arial" w:hAnsi="Arial"/>
      <w:sz w:val="24"/>
      <w:szCs w:val="20"/>
    </w:rPr>
  </w:style>
  <w:style w:type="paragraph" w:customStyle="1" w:styleId="1231">
    <w:name w:val="l9标题2"/>
    <w:basedOn w:val="1"/>
    <w:qFormat/>
    <w:uiPriority w:val="0"/>
    <w:pPr>
      <w:tabs>
        <w:tab w:val="left" w:pos="567"/>
      </w:tabs>
      <w:spacing w:beforeLines="100" w:afterLines="50" w:line="360" w:lineRule="auto"/>
      <w:ind w:left="567" w:hanging="567"/>
    </w:pPr>
    <w:rPr>
      <w:b/>
      <w:bCs/>
      <w:sz w:val="24"/>
    </w:rPr>
  </w:style>
  <w:style w:type="paragraph" w:customStyle="1" w:styleId="1232">
    <w:name w:val="CM35"/>
    <w:basedOn w:val="146"/>
    <w:next w:val="146"/>
    <w:qFormat/>
    <w:uiPriority w:val="0"/>
    <w:pPr>
      <w:spacing w:line="468" w:lineRule="atLeast"/>
    </w:pPr>
    <w:rPr>
      <w:rFonts w:ascii="黑体" w:eastAsia="黑体" w:cs="Times New Roman"/>
      <w:color w:val="auto"/>
    </w:rPr>
  </w:style>
  <w:style w:type="paragraph" w:customStyle="1" w:styleId="1233">
    <w:name w:val="样式 宋体 首行缩进:  0.73 厘米 行距: 1.5 倍行距1"/>
    <w:basedOn w:val="1"/>
    <w:qFormat/>
    <w:uiPriority w:val="0"/>
    <w:pPr>
      <w:spacing w:line="360" w:lineRule="auto"/>
      <w:ind w:firstLine="414"/>
    </w:pPr>
    <w:rPr>
      <w:rFonts w:ascii="宋体" w:cs="宋体"/>
      <w:szCs w:val="20"/>
    </w:rPr>
  </w:style>
  <w:style w:type="paragraph" w:customStyle="1" w:styleId="1234">
    <w:name w:val="CM89"/>
    <w:basedOn w:val="146"/>
    <w:next w:val="146"/>
    <w:qFormat/>
    <w:uiPriority w:val="0"/>
    <w:pPr>
      <w:spacing w:line="313" w:lineRule="atLeast"/>
    </w:pPr>
    <w:rPr>
      <w:rFonts w:cs="Times New Roman"/>
      <w:color w:val="auto"/>
      <w:szCs w:val="20"/>
    </w:rPr>
  </w:style>
  <w:style w:type="paragraph" w:customStyle="1" w:styleId="1235">
    <w:name w:val="xl1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236">
    <w:name w:val="CM61"/>
    <w:basedOn w:val="146"/>
    <w:next w:val="146"/>
    <w:qFormat/>
    <w:uiPriority w:val="0"/>
    <w:pPr>
      <w:spacing w:line="313" w:lineRule="atLeast"/>
    </w:pPr>
    <w:rPr>
      <w:rFonts w:cs="Times New Roman"/>
      <w:color w:val="auto"/>
      <w:szCs w:val="20"/>
    </w:rPr>
  </w:style>
  <w:style w:type="paragraph" w:customStyle="1" w:styleId="1237">
    <w:name w:val="正文文本缩进11"/>
    <w:basedOn w:val="1"/>
    <w:qFormat/>
    <w:uiPriority w:val="0"/>
    <w:pPr>
      <w:spacing w:after="120"/>
      <w:ind w:left="420" w:leftChars="200"/>
    </w:pPr>
  </w:style>
  <w:style w:type="paragraph" w:customStyle="1" w:styleId="1238">
    <w:name w:val="xl80"/>
    <w:basedOn w:val="1"/>
    <w:qFormat/>
    <w:uiPriority w:val="0"/>
    <w:pPr>
      <w:widowControl/>
      <w:pBdr>
        <w:top w:val="single" w:color="auto" w:sz="4" w:space="0"/>
        <w:left w:val="single" w:color="auto" w:sz="4" w:space="0"/>
        <w:bottom w:val="single" w:color="auto" w:sz="4" w:space="0"/>
        <w:right w:val="single" w:color="auto" w:sz="4" w:space="0"/>
      </w:pBdr>
      <w:shd w:val="clear" w:color="FFFFFF" w:fill="FFFF00"/>
      <w:spacing w:before="100" w:beforeAutospacing="1" w:after="100" w:afterAutospacing="1"/>
      <w:jc w:val="center"/>
    </w:pPr>
    <w:rPr>
      <w:rFonts w:ascii="宋体" w:hAnsi="宋体" w:cs="宋体"/>
      <w:color w:val="000000"/>
      <w:kern w:val="0"/>
      <w:sz w:val="20"/>
      <w:szCs w:val="20"/>
    </w:rPr>
  </w:style>
  <w:style w:type="paragraph" w:customStyle="1" w:styleId="1239">
    <w:name w:val="样式 列表框 Char Char Char Char Char + 段后: 0.5 行"/>
    <w:basedOn w:val="1"/>
    <w:qFormat/>
    <w:uiPriority w:val="0"/>
    <w:pPr>
      <w:tabs>
        <w:tab w:val="left" w:pos="420"/>
      </w:tabs>
      <w:spacing w:afterLines="50" w:line="320" w:lineRule="exact"/>
      <w:ind w:left="600" w:leftChars="600" w:firstLine="208" w:firstLineChars="208"/>
      <w:jc w:val="left"/>
    </w:pPr>
    <w:rPr>
      <w:rFonts w:ascii="宋体" w:hAnsi="宋体" w:eastAsia="KaiTi_GB2312"/>
      <w:color w:val="1F497D"/>
      <w:szCs w:val="20"/>
    </w:rPr>
  </w:style>
  <w:style w:type="paragraph" w:customStyle="1" w:styleId="1240">
    <w:name w:val="正常文本 Char Char Char Char Char Char Char Char Char Char Char Char Char Char"/>
    <w:basedOn w:val="1"/>
    <w:qFormat/>
    <w:uiPriority w:val="0"/>
    <w:pPr>
      <w:spacing w:afterLines="50" w:line="320" w:lineRule="exact"/>
      <w:ind w:left="600" w:leftChars="600" w:firstLine="208" w:firstLineChars="208"/>
      <w:jc w:val="left"/>
    </w:pPr>
    <w:rPr>
      <w:rFonts w:ascii="宋体" w:hAnsi="宋体" w:eastAsia="KaiTi_GB2312"/>
      <w:color w:val="1F497D"/>
      <w:szCs w:val="18"/>
    </w:rPr>
  </w:style>
  <w:style w:type="paragraph" w:customStyle="1" w:styleId="1241">
    <w:name w:val="列出段落1"/>
    <w:basedOn w:val="1"/>
    <w:qFormat/>
    <w:uiPriority w:val="0"/>
    <w:pPr>
      <w:spacing w:line="360" w:lineRule="auto"/>
      <w:ind w:firstLine="420" w:firstLineChars="200"/>
      <w:jc w:val="left"/>
    </w:pPr>
    <w:rPr>
      <w:rFonts w:ascii="Calibri" w:hAnsi="Calibri"/>
      <w:szCs w:val="22"/>
    </w:rPr>
  </w:style>
  <w:style w:type="paragraph" w:customStyle="1" w:styleId="1242">
    <w:name w:val="CM20"/>
    <w:basedOn w:val="146"/>
    <w:next w:val="146"/>
    <w:qFormat/>
    <w:uiPriority w:val="0"/>
    <w:pPr>
      <w:spacing w:line="468" w:lineRule="atLeast"/>
    </w:pPr>
    <w:rPr>
      <w:rFonts w:ascii="黑体" w:eastAsia="黑体" w:cs="Times New Roman"/>
      <w:color w:val="auto"/>
    </w:rPr>
  </w:style>
  <w:style w:type="paragraph" w:customStyle="1" w:styleId="1243">
    <w:name w:val="标书正文"/>
    <w:basedOn w:val="1"/>
    <w:qFormat/>
    <w:uiPriority w:val="0"/>
    <w:pPr>
      <w:spacing w:before="100" w:after="100" w:line="440" w:lineRule="atLeast"/>
      <w:ind w:left="176" w:firstLine="200" w:firstLineChars="200"/>
      <w:jc w:val="left"/>
    </w:pPr>
    <w:rPr>
      <w:rFonts w:ascii="宋体" w:hAnsi="宋体"/>
      <w:color w:val="1F497D"/>
      <w:spacing w:val="20"/>
      <w:sz w:val="24"/>
    </w:rPr>
  </w:style>
  <w:style w:type="paragraph" w:customStyle="1" w:styleId="1244">
    <w:name w:val="CM159"/>
    <w:basedOn w:val="146"/>
    <w:next w:val="146"/>
    <w:qFormat/>
    <w:uiPriority w:val="0"/>
    <w:pPr>
      <w:spacing w:line="260" w:lineRule="atLeast"/>
    </w:pPr>
    <w:rPr>
      <w:rFonts w:cs="Times New Roman"/>
      <w:color w:val="auto"/>
      <w:szCs w:val="20"/>
    </w:rPr>
  </w:style>
  <w:style w:type="paragraph" w:customStyle="1" w:styleId="1245">
    <w:name w:val="CM98"/>
    <w:basedOn w:val="146"/>
    <w:next w:val="146"/>
    <w:qFormat/>
    <w:uiPriority w:val="0"/>
    <w:rPr>
      <w:rFonts w:ascii="黑体" w:eastAsia="黑体" w:cs="Times New Roman"/>
      <w:color w:val="auto"/>
    </w:rPr>
  </w:style>
  <w:style w:type="paragraph" w:customStyle="1" w:styleId="1246">
    <w:name w:val="xl14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0"/>
      <w:szCs w:val="20"/>
    </w:rPr>
  </w:style>
  <w:style w:type="paragraph" w:customStyle="1" w:styleId="1247">
    <w:name w:val="xl680"/>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bottom"/>
    </w:pPr>
    <w:rPr>
      <w:rFonts w:ascii="宋体" w:hAnsi="宋体" w:cs="宋体"/>
      <w:color w:val="000000"/>
      <w:kern w:val="0"/>
      <w:sz w:val="20"/>
      <w:szCs w:val="20"/>
    </w:rPr>
  </w:style>
  <w:style w:type="paragraph" w:customStyle="1" w:styleId="1248">
    <w:name w:val="样式 样式 列表框 Char Char Char Char Char + 右侧:  -0.05 字符 段后: 0.5 行 + 右..."/>
    <w:basedOn w:val="1"/>
    <w:qFormat/>
    <w:uiPriority w:val="0"/>
    <w:pPr>
      <w:tabs>
        <w:tab w:val="left" w:pos="375"/>
        <w:tab w:val="left" w:pos="450"/>
        <w:tab w:val="left" w:pos="630"/>
        <w:tab w:val="left" w:pos="874"/>
      </w:tabs>
      <w:adjustRightInd w:val="0"/>
      <w:snapToGrid w:val="0"/>
      <w:spacing w:afterLines="50" w:line="320" w:lineRule="exact"/>
      <w:ind w:right="-5" w:rightChars="-5"/>
      <w:jc w:val="left"/>
    </w:pPr>
    <w:rPr>
      <w:rFonts w:eastAsia="KaiTi_GB2312"/>
      <w:color w:val="1F497D"/>
      <w:szCs w:val="20"/>
    </w:rPr>
  </w:style>
  <w:style w:type="paragraph" w:customStyle="1" w:styleId="1249">
    <w:name w:val="样式 列表框 Char Char Char Char Char + 右侧:  -0.05 字符 段后: 0.5 行"/>
    <w:basedOn w:val="1"/>
    <w:qFormat/>
    <w:uiPriority w:val="0"/>
    <w:pPr>
      <w:tabs>
        <w:tab w:val="left" w:pos="375"/>
        <w:tab w:val="left" w:pos="450"/>
        <w:tab w:val="left" w:pos="874"/>
      </w:tabs>
      <w:adjustRightInd w:val="0"/>
      <w:snapToGrid w:val="0"/>
      <w:spacing w:afterLines="50" w:line="320" w:lineRule="exact"/>
      <w:ind w:right="-5" w:rightChars="-5"/>
      <w:jc w:val="left"/>
    </w:pPr>
    <w:rPr>
      <w:rFonts w:eastAsia="KaiTi_GB2312"/>
      <w:color w:val="1F497D"/>
      <w:szCs w:val="20"/>
    </w:rPr>
  </w:style>
  <w:style w:type="paragraph" w:customStyle="1" w:styleId="1250">
    <w:name w:val="列表框 Char Char Char Char Char"/>
    <w:basedOn w:val="1240"/>
    <w:next w:val="1240"/>
    <w:qFormat/>
    <w:uiPriority w:val="0"/>
    <w:pPr>
      <w:tabs>
        <w:tab w:val="left" w:pos="450"/>
        <w:tab w:val="left" w:pos="874"/>
      </w:tabs>
      <w:adjustRightInd w:val="0"/>
      <w:snapToGrid w:val="0"/>
      <w:ind w:left="874" w:leftChars="0" w:right="-5" w:rightChars="-5" w:hanging="420" w:firstLineChars="0"/>
    </w:pPr>
    <w:rPr>
      <w:rFonts w:ascii="Times New Roman" w:hAnsi="Times New Roman"/>
      <w:szCs w:val="21"/>
    </w:rPr>
  </w:style>
  <w:style w:type="paragraph" w:customStyle="1" w:styleId="1251">
    <w:name w:val="列表编号 31"/>
    <w:basedOn w:val="1"/>
    <w:qFormat/>
    <w:uiPriority w:val="0"/>
    <w:pPr>
      <w:keepNext/>
      <w:tabs>
        <w:tab w:val="left" w:pos="1980"/>
      </w:tabs>
      <w:spacing w:before="120" w:after="120" w:line="360" w:lineRule="auto"/>
      <w:ind w:left="1980" w:hanging="360" w:firstLineChars="200"/>
      <w:jc w:val="left"/>
    </w:pPr>
  </w:style>
  <w:style w:type="paragraph" w:customStyle="1" w:styleId="1252">
    <w:name w:val="_Style 329"/>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253">
    <w:name w:val="xl58"/>
    <w:basedOn w:val="1"/>
    <w:qFormat/>
    <w:uiPriority w:val="0"/>
    <w:pPr>
      <w:widowControl/>
      <w:pBdr>
        <w:top w:val="single" w:color="auto" w:sz="4" w:space="0"/>
        <w:left w:val="single" w:color="auto" w:sz="4" w:space="0"/>
        <w:bottom w:val="single" w:color="auto" w:sz="4" w:space="0"/>
      </w:pBdr>
      <w:spacing w:before="100" w:after="100"/>
      <w:jc w:val="right"/>
      <w:textAlignment w:val="center"/>
    </w:pPr>
    <w:rPr>
      <w:kern w:val="0"/>
      <w:sz w:val="20"/>
      <w:szCs w:val="20"/>
    </w:rPr>
  </w:style>
  <w:style w:type="paragraph" w:customStyle="1" w:styleId="1254">
    <w:name w:val="CM239"/>
    <w:basedOn w:val="146"/>
    <w:next w:val="146"/>
    <w:qFormat/>
    <w:uiPriority w:val="0"/>
    <w:pPr>
      <w:spacing w:after="235"/>
    </w:pPr>
    <w:rPr>
      <w:rFonts w:cs="Times New Roman"/>
      <w:color w:val="auto"/>
      <w:szCs w:val="20"/>
    </w:rPr>
  </w:style>
  <w:style w:type="paragraph" w:customStyle="1" w:styleId="1255">
    <w:name w:val="xl687"/>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256">
    <w:name w:val="样式 目录 1 + 左侧:  3 字符"/>
    <w:basedOn w:val="59"/>
    <w:qFormat/>
    <w:uiPriority w:val="0"/>
    <w:pPr>
      <w:tabs>
        <w:tab w:val="left" w:pos="425"/>
        <w:tab w:val="left" w:pos="1680"/>
        <w:tab w:val="right" w:pos="9060"/>
      </w:tabs>
      <w:spacing w:before="0" w:after="0"/>
      <w:ind w:left="425" w:hanging="425" w:firstLineChars="200"/>
    </w:pPr>
    <w:rPr>
      <w:rFonts w:ascii="Times New Roman" w:hAnsi="Times New Roman"/>
      <w:bCs w:val="0"/>
      <w:caps w:val="0"/>
      <w:color w:val="1F497D"/>
      <w:sz w:val="21"/>
    </w:rPr>
  </w:style>
  <w:style w:type="paragraph" w:customStyle="1" w:styleId="1257">
    <w:name w:val="索引 21"/>
    <w:basedOn w:val="1"/>
    <w:next w:val="1"/>
    <w:qFormat/>
    <w:uiPriority w:val="0"/>
    <w:pPr>
      <w:spacing w:line="480" w:lineRule="exact"/>
      <w:ind w:left="200" w:leftChars="200"/>
    </w:pPr>
    <w:rPr>
      <w:sz w:val="24"/>
    </w:rPr>
  </w:style>
  <w:style w:type="paragraph" w:customStyle="1" w:styleId="1258">
    <w:name w:val="xl685"/>
    <w:basedOn w:val="1"/>
    <w:qFormat/>
    <w:uiPriority w:val="0"/>
    <w:pPr>
      <w:widowControl/>
      <w:pBdr>
        <w:top w:val="single" w:color="auto" w:sz="4" w:space="0"/>
        <w:left w:val="single" w:color="auto" w:sz="4" w:space="0"/>
        <w:right w:val="single" w:color="auto" w:sz="4" w:space="0"/>
      </w:pBdr>
      <w:spacing w:before="100" w:beforeAutospacing="1" w:after="100" w:afterAutospacing="1"/>
      <w:jc w:val="right"/>
    </w:pPr>
    <w:rPr>
      <w:rFonts w:ascii="宋体" w:hAnsi="宋体" w:cs="宋体"/>
      <w:color w:val="000000"/>
      <w:kern w:val="0"/>
      <w:sz w:val="18"/>
      <w:szCs w:val="18"/>
    </w:rPr>
  </w:style>
  <w:style w:type="paragraph" w:customStyle="1" w:styleId="1259">
    <w:name w:val="表名格式"/>
    <w:basedOn w:val="1"/>
    <w:qFormat/>
    <w:uiPriority w:val="0"/>
    <w:pPr>
      <w:snapToGrid w:val="0"/>
      <w:spacing w:beforeLines="50"/>
      <w:jc w:val="center"/>
    </w:pPr>
    <w:rPr>
      <w:rFonts w:cs="宋体"/>
      <w:b/>
      <w:szCs w:val="20"/>
    </w:rPr>
  </w:style>
  <w:style w:type="paragraph" w:customStyle="1" w:styleId="1260">
    <w:name w:val="CM90"/>
    <w:basedOn w:val="146"/>
    <w:next w:val="146"/>
    <w:qFormat/>
    <w:uiPriority w:val="0"/>
    <w:pPr>
      <w:spacing w:line="468" w:lineRule="atLeast"/>
    </w:pPr>
    <w:rPr>
      <w:rFonts w:ascii="黑体" w:eastAsia="黑体" w:cs="Times New Roman"/>
      <w:color w:val="auto"/>
    </w:rPr>
  </w:style>
  <w:style w:type="paragraph" w:customStyle="1" w:styleId="1261">
    <w:name w:val="图名"/>
    <w:next w:val="1"/>
    <w:qFormat/>
    <w:uiPriority w:val="0"/>
    <w:pPr>
      <w:keepNext/>
      <w:tabs>
        <w:tab w:val="left" w:pos="567"/>
      </w:tabs>
      <w:spacing w:line="300" w:lineRule="auto"/>
      <w:ind w:left="443" w:hanging="443"/>
      <w:jc w:val="center"/>
    </w:pPr>
    <w:rPr>
      <w:rFonts w:ascii="Times New Roman" w:hAnsi="Times New Roman" w:eastAsia="宋体" w:cs="Times New Roman"/>
      <w:kern w:val="2"/>
      <w:sz w:val="21"/>
      <w:szCs w:val="24"/>
      <w:lang w:val="en-US" w:eastAsia="zh-CN" w:bidi="ar-SA"/>
    </w:rPr>
  </w:style>
  <w:style w:type="paragraph" w:customStyle="1" w:styleId="1262">
    <w:name w:val="正文文本 22"/>
    <w:basedOn w:val="1"/>
    <w:qFormat/>
    <w:uiPriority w:val="0"/>
    <w:pPr>
      <w:spacing w:after="120" w:line="480" w:lineRule="auto"/>
    </w:pPr>
  </w:style>
  <w:style w:type="paragraph" w:customStyle="1" w:styleId="1263">
    <w:name w:val="xl23"/>
    <w:basedOn w:val="1"/>
    <w:qFormat/>
    <w:uiPriority w:val="0"/>
    <w:pPr>
      <w:widowControl/>
      <w:spacing w:before="100" w:beforeAutospacing="1" w:after="100" w:afterAutospacing="1"/>
      <w:jc w:val="center"/>
    </w:pPr>
    <w:rPr>
      <w:rFonts w:ascii="PMingLiU" w:eastAsia="PMingLiU"/>
      <w:kern w:val="0"/>
      <w:sz w:val="24"/>
      <w:lang w:eastAsia="zh-TW"/>
    </w:rPr>
  </w:style>
  <w:style w:type="paragraph" w:customStyle="1" w:styleId="1264">
    <w:name w:val="Report Level 2"/>
    <w:basedOn w:val="670"/>
    <w:next w:val="558"/>
    <w:qFormat/>
    <w:uiPriority w:val="0"/>
    <w:pPr>
      <w:tabs>
        <w:tab w:val="left" w:pos="1500"/>
        <w:tab w:val="clear" w:pos="1080"/>
      </w:tabs>
      <w:spacing w:after="240" w:line="360" w:lineRule="auto"/>
      <w:ind w:left="1500" w:firstLine="200" w:firstLineChars="200"/>
      <w:outlineLvl w:val="1"/>
    </w:pPr>
    <w:rPr>
      <w:caps w:val="0"/>
      <w:color w:val="1F497D"/>
      <w:szCs w:val="21"/>
      <w:lang w:eastAsia="zh-CN"/>
    </w:rPr>
  </w:style>
  <w:style w:type="paragraph" w:customStyle="1" w:styleId="1265">
    <w:name w:val="重点项"/>
    <w:basedOn w:val="1"/>
    <w:qFormat/>
    <w:uiPriority w:val="0"/>
    <w:pPr>
      <w:adjustRightInd w:val="0"/>
      <w:snapToGrid w:val="0"/>
      <w:spacing w:line="360" w:lineRule="auto"/>
      <w:ind w:firstLine="200" w:firstLineChars="200"/>
    </w:pPr>
    <w:rPr>
      <w:rFonts w:ascii="Arial" w:hAnsi="Arial"/>
      <w:kern w:val="24"/>
      <w:sz w:val="24"/>
    </w:rPr>
  </w:style>
  <w:style w:type="paragraph" w:customStyle="1" w:styleId="1266">
    <w:name w:val="llp1"/>
    <w:basedOn w:val="3"/>
    <w:qFormat/>
    <w:uiPriority w:val="0"/>
    <w:pPr>
      <w:tabs>
        <w:tab w:val="left" w:pos="360"/>
        <w:tab w:val="left" w:pos="1758"/>
      </w:tabs>
      <w:spacing w:before="120" w:after="120" w:line="240" w:lineRule="auto"/>
      <w:ind w:left="1168" w:hanging="567"/>
      <w:jc w:val="left"/>
    </w:pPr>
    <w:rPr>
      <w:rFonts w:ascii="宋体"/>
      <w:bCs w:val="0"/>
      <w:sz w:val="28"/>
      <w:szCs w:val="20"/>
    </w:rPr>
  </w:style>
  <w:style w:type="paragraph" w:customStyle="1" w:styleId="1267">
    <w:name w:val="xl72"/>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b/>
      <w:bCs/>
      <w:kern w:val="0"/>
      <w:sz w:val="20"/>
      <w:szCs w:val="20"/>
    </w:rPr>
  </w:style>
  <w:style w:type="paragraph" w:customStyle="1" w:styleId="1268">
    <w:name w:val="纯文本11"/>
    <w:basedOn w:val="1"/>
    <w:qFormat/>
    <w:uiPriority w:val="0"/>
    <w:rPr>
      <w:rFonts w:ascii="宋体" w:hAnsi="Courier New" w:cs="Courier New"/>
      <w:szCs w:val="21"/>
    </w:rPr>
  </w:style>
  <w:style w:type="paragraph" w:customStyle="1" w:styleId="1269">
    <w:name w:val="Style Style Style Body Text + Justified + (Complex) Times New Roman..."/>
    <w:basedOn w:val="1"/>
    <w:qFormat/>
    <w:uiPriority w:val="0"/>
    <w:pPr>
      <w:tabs>
        <w:tab w:val="left" w:pos="1320"/>
      </w:tabs>
      <w:ind w:left="1320" w:hanging="420"/>
      <w:jc w:val="left"/>
    </w:pPr>
    <w:rPr>
      <w:rFonts w:eastAsia="PMingLiU"/>
      <w:kern w:val="0"/>
      <w:sz w:val="24"/>
    </w:rPr>
  </w:style>
  <w:style w:type="paragraph" w:customStyle="1" w:styleId="1270">
    <w:name w:val="样式 目录 1"/>
    <w:basedOn w:val="59"/>
    <w:qFormat/>
    <w:uiPriority w:val="0"/>
    <w:pPr>
      <w:tabs>
        <w:tab w:val="left" w:pos="420"/>
        <w:tab w:val="left" w:pos="525"/>
        <w:tab w:val="left" w:pos="1680"/>
        <w:tab w:val="right" w:pos="9060"/>
      </w:tabs>
      <w:spacing w:before="0" w:after="0"/>
      <w:ind w:left="525" w:hanging="425" w:firstLineChars="200"/>
    </w:pPr>
    <w:rPr>
      <w:rFonts w:ascii="Times New Roman" w:hAnsi="Times New Roman"/>
      <w:bCs w:val="0"/>
      <w:caps w:val="0"/>
      <w:color w:val="1F497D"/>
      <w:sz w:val="21"/>
    </w:rPr>
  </w:style>
  <w:style w:type="paragraph" w:customStyle="1" w:styleId="1271">
    <w:name w:val="CM3"/>
    <w:basedOn w:val="146"/>
    <w:next w:val="146"/>
    <w:qFormat/>
    <w:uiPriority w:val="0"/>
    <w:pPr>
      <w:spacing w:line="286" w:lineRule="atLeast"/>
    </w:pPr>
    <w:rPr>
      <w:rFonts w:cs="Times New Roman"/>
      <w:color w:val="auto"/>
      <w:szCs w:val="20"/>
    </w:rPr>
  </w:style>
  <w:style w:type="paragraph" w:customStyle="1" w:styleId="1272">
    <w:name w:val="引文目录标题1"/>
    <w:basedOn w:val="1"/>
    <w:next w:val="1"/>
    <w:qFormat/>
    <w:uiPriority w:val="0"/>
    <w:pPr>
      <w:spacing w:before="120" w:line="480" w:lineRule="exact"/>
    </w:pPr>
    <w:rPr>
      <w:rFonts w:ascii="Arial" w:hAnsi="Arial" w:cs="Arial"/>
      <w:sz w:val="24"/>
    </w:rPr>
  </w:style>
  <w:style w:type="paragraph" w:customStyle="1" w:styleId="1273">
    <w:name w:val="小标题"/>
    <w:basedOn w:val="1"/>
    <w:qFormat/>
    <w:uiPriority w:val="0"/>
    <w:pPr>
      <w:numPr>
        <w:ilvl w:val="0"/>
        <w:numId w:val="17"/>
      </w:numPr>
      <w:tabs>
        <w:tab w:val="left" w:pos="360"/>
        <w:tab w:val="left" w:pos="1620"/>
      </w:tabs>
      <w:spacing w:line="348" w:lineRule="auto"/>
    </w:pPr>
    <w:rPr>
      <w:sz w:val="24"/>
    </w:rPr>
  </w:style>
  <w:style w:type="paragraph" w:customStyle="1" w:styleId="1274">
    <w:name w:val="五号线1.1.1.1"/>
    <w:qFormat/>
    <w:uiPriority w:val="0"/>
    <w:pPr>
      <w:tabs>
        <w:tab w:val="left" w:pos="1505"/>
      </w:tabs>
      <w:spacing w:before="120" w:after="120" w:line="500" w:lineRule="exact"/>
      <w:ind w:firstLine="425"/>
      <w:outlineLvl w:val="3"/>
    </w:pPr>
    <w:rPr>
      <w:rFonts w:ascii="宋体" w:hAnsi="Times New Roman" w:eastAsia="宋体" w:cs="Times New Roman"/>
      <w:spacing w:val="6"/>
      <w:w w:val="95"/>
      <w:sz w:val="24"/>
      <w:lang w:val="en-US" w:eastAsia="zh-CN" w:bidi="ar-SA"/>
    </w:rPr>
  </w:style>
  <w:style w:type="paragraph" w:customStyle="1" w:styleId="1275">
    <w:name w:val="CM116"/>
    <w:basedOn w:val="146"/>
    <w:next w:val="146"/>
    <w:qFormat/>
    <w:uiPriority w:val="0"/>
    <w:rPr>
      <w:rFonts w:cs="Times New Roman"/>
      <w:color w:val="auto"/>
      <w:szCs w:val="20"/>
    </w:rPr>
  </w:style>
  <w:style w:type="paragraph" w:customStyle="1" w:styleId="1276">
    <w:name w:val="文档结构图4"/>
    <w:basedOn w:val="1"/>
    <w:qFormat/>
    <w:uiPriority w:val="0"/>
    <w:pPr>
      <w:shd w:val="clear" w:color="auto" w:fill="000080"/>
    </w:pPr>
    <w:rPr>
      <w:kern w:val="0"/>
      <w:sz w:val="20"/>
      <w:shd w:val="clear" w:color="auto" w:fill="000080"/>
    </w:rPr>
  </w:style>
  <w:style w:type="paragraph" w:customStyle="1" w:styleId="1277">
    <w:name w:val="样式 样式 正文（首行缩进两字） + 宋体 小四 首行缩进:  0 厘米 段前: 11.15 磅 段后: 11.15 磅 + 左...1"/>
    <w:basedOn w:val="1"/>
    <w:qFormat/>
    <w:uiPriority w:val="0"/>
    <w:pPr>
      <w:tabs>
        <w:tab w:val="left" w:pos="425"/>
        <w:tab w:val="left" w:pos="720"/>
      </w:tabs>
      <w:snapToGrid w:val="0"/>
      <w:spacing w:before="223" w:after="223"/>
      <w:ind w:left="200" w:leftChars="200" w:firstLine="200" w:firstLineChars="200"/>
      <w:jc w:val="left"/>
    </w:pPr>
    <w:rPr>
      <w:rFonts w:ascii="宋体" w:hAnsi="宋体"/>
      <w:color w:val="1F497D"/>
      <w:sz w:val="24"/>
      <w:szCs w:val="20"/>
    </w:rPr>
  </w:style>
  <w:style w:type="paragraph" w:customStyle="1" w:styleId="1278">
    <w:name w:val="CM247"/>
    <w:basedOn w:val="146"/>
    <w:next w:val="146"/>
    <w:qFormat/>
    <w:uiPriority w:val="0"/>
    <w:pPr>
      <w:spacing w:after="1473"/>
    </w:pPr>
    <w:rPr>
      <w:rFonts w:cs="Times New Roman"/>
      <w:color w:val="auto"/>
      <w:szCs w:val="20"/>
    </w:rPr>
  </w:style>
  <w:style w:type="paragraph" w:customStyle="1" w:styleId="1279">
    <w:name w:val="Char3"/>
    <w:basedOn w:val="1"/>
    <w:qFormat/>
    <w:uiPriority w:val="0"/>
    <w:rPr>
      <w:rFonts w:ascii="FangSong_GB2312" w:eastAsia="FangSong_GB2312"/>
      <w:b/>
      <w:sz w:val="32"/>
      <w:szCs w:val="32"/>
    </w:rPr>
  </w:style>
  <w:style w:type="paragraph" w:customStyle="1" w:styleId="1280">
    <w:name w:val="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281">
    <w:name w:val="正文缩进11"/>
    <w:basedOn w:val="1"/>
    <w:qFormat/>
    <w:uiPriority w:val="0"/>
    <w:pPr>
      <w:tabs>
        <w:tab w:val="left" w:pos="547"/>
        <w:tab w:val="left" w:pos="1123"/>
      </w:tabs>
      <w:spacing w:line="480" w:lineRule="exact"/>
      <w:ind w:firstLine="200" w:firstLineChars="200"/>
    </w:pPr>
    <w:rPr>
      <w:rFonts w:cs="宋体"/>
      <w:sz w:val="28"/>
      <w:szCs w:val="28"/>
    </w:rPr>
  </w:style>
  <w:style w:type="paragraph" w:customStyle="1" w:styleId="1282">
    <w:name w:val="标题6"/>
    <w:basedOn w:val="8"/>
    <w:next w:val="9"/>
    <w:qFormat/>
    <w:uiPriority w:val="0"/>
    <w:pPr>
      <w:widowControl w:val="0"/>
      <w:numPr>
        <w:ilvl w:val="0"/>
        <w:numId w:val="0"/>
      </w:numPr>
      <w:tabs>
        <w:tab w:val="left" w:pos="2520"/>
      </w:tabs>
      <w:adjustRightInd w:val="0"/>
      <w:snapToGrid w:val="0"/>
      <w:spacing w:before="0" w:after="0" w:line="500" w:lineRule="atLeast"/>
      <w:ind w:left="2520" w:hanging="420"/>
      <w:jc w:val="both"/>
    </w:pPr>
    <w:rPr>
      <w:rFonts w:ascii="Times New Roman" w:hAnsi="Times New Roman" w:eastAsia="宋体"/>
      <w:kern w:val="24"/>
    </w:rPr>
  </w:style>
  <w:style w:type="paragraph" w:customStyle="1" w:styleId="1283">
    <w:name w:val="et1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284">
    <w:name w:val="xl689"/>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285">
    <w:name w:val="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286">
    <w:name w:val="表格标题"/>
    <w:basedOn w:val="1"/>
    <w:qFormat/>
    <w:uiPriority w:val="0"/>
    <w:pPr>
      <w:spacing w:beforeLines="100"/>
      <w:ind w:firstLine="118" w:firstLineChars="49"/>
      <w:jc w:val="left"/>
    </w:pPr>
    <w:rPr>
      <w:rFonts w:ascii="Arial" w:hAnsi="Arial"/>
      <w:b/>
      <w:sz w:val="24"/>
    </w:rPr>
  </w:style>
  <w:style w:type="paragraph" w:customStyle="1" w:styleId="1287">
    <w:name w:val="8"/>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288">
    <w:name w:val="xl83"/>
    <w:basedOn w:val="1"/>
    <w:qFormat/>
    <w:uiPriority w:val="0"/>
    <w:pPr>
      <w:widowControl/>
      <w:pBdr>
        <w:top w:val="single" w:color="auto" w:sz="4" w:space="0"/>
        <w:left w:val="single" w:color="auto" w:sz="4" w:space="0"/>
        <w:bottom w:val="single" w:color="auto" w:sz="4" w:space="0"/>
        <w:right w:val="single" w:color="auto" w:sz="4" w:space="0"/>
      </w:pBdr>
      <w:shd w:val="clear" w:color="FFFFFF" w:fill="FFFF00"/>
      <w:spacing w:before="100" w:beforeAutospacing="1" w:after="100" w:afterAutospacing="1"/>
      <w:jc w:val="center"/>
    </w:pPr>
    <w:rPr>
      <w:rFonts w:ascii="宋体" w:hAnsi="宋体" w:cs="宋体"/>
      <w:color w:val="FF0000"/>
      <w:kern w:val="0"/>
      <w:sz w:val="20"/>
      <w:szCs w:val="20"/>
    </w:rPr>
  </w:style>
  <w:style w:type="paragraph" w:customStyle="1" w:styleId="1289">
    <w:name w:val="表格一"/>
    <w:basedOn w:val="1"/>
    <w:qFormat/>
    <w:uiPriority w:val="0"/>
    <w:pPr>
      <w:ind w:firstLine="90" w:firstLineChars="50"/>
      <w:jc w:val="center"/>
    </w:pPr>
    <w:rPr>
      <w:sz w:val="18"/>
      <w:szCs w:val="18"/>
    </w:rPr>
  </w:style>
  <w:style w:type="paragraph" w:customStyle="1" w:styleId="1290">
    <w:name w:val="xl1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1291">
    <w:name w:val="CM225"/>
    <w:basedOn w:val="146"/>
    <w:next w:val="146"/>
    <w:qFormat/>
    <w:uiPriority w:val="0"/>
    <w:pPr>
      <w:spacing w:after="515"/>
    </w:pPr>
    <w:rPr>
      <w:rFonts w:cs="Times New Roman"/>
      <w:color w:val="auto"/>
      <w:szCs w:val="20"/>
    </w:rPr>
  </w:style>
  <w:style w:type="paragraph" w:customStyle="1" w:styleId="1292">
    <w:name w:val="font3"/>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293">
    <w:name w:val="列表11"/>
    <w:basedOn w:val="1"/>
    <w:next w:val="1"/>
    <w:qFormat/>
    <w:uiPriority w:val="0"/>
    <w:pPr>
      <w:tabs>
        <w:tab w:val="left" w:pos="420"/>
      </w:tabs>
      <w:spacing w:line="360" w:lineRule="auto"/>
      <w:ind w:left="420" w:hanging="420"/>
    </w:pPr>
  </w:style>
  <w:style w:type="paragraph" w:customStyle="1" w:styleId="1294">
    <w:name w:val="样式 宋体 行距: 1.5 倍行距"/>
    <w:basedOn w:val="1"/>
    <w:qFormat/>
    <w:uiPriority w:val="0"/>
    <w:pPr>
      <w:ind w:firstLine="200" w:firstLineChars="200"/>
      <w:jc w:val="left"/>
    </w:pPr>
    <w:rPr>
      <w:rFonts w:ascii="宋体" w:hAnsi="宋体"/>
      <w:color w:val="1F497D"/>
      <w:szCs w:val="20"/>
    </w:rPr>
  </w:style>
  <w:style w:type="paragraph" w:customStyle="1" w:styleId="1295">
    <w:name w:val="样式 正文首行缩进2"/>
    <w:basedOn w:val="1"/>
    <w:qFormat/>
    <w:uiPriority w:val="0"/>
    <w:pPr>
      <w:spacing w:line="400" w:lineRule="exact"/>
    </w:pPr>
    <w:rPr>
      <w:rFonts w:ascii="Arial" w:hAnsi="Arial"/>
      <w:kern w:val="24"/>
      <w:szCs w:val="21"/>
    </w:rPr>
  </w:style>
  <w:style w:type="paragraph" w:customStyle="1" w:styleId="1296">
    <w:name w:val="font12"/>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1297">
    <w:name w:val="CM180"/>
    <w:basedOn w:val="146"/>
    <w:next w:val="146"/>
    <w:qFormat/>
    <w:uiPriority w:val="0"/>
    <w:pPr>
      <w:spacing w:line="451" w:lineRule="atLeast"/>
    </w:pPr>
    <w:rPr>
      <w:rFonts w:cs="Times New Roman"/>
      <w:color w:val="auto"/>
      <w:szCs w:val="20"/>
    </w:rPr>
  </w:style>
  <w:style w:type="paragraph" w:customStyle="1" w:styleId="1298">
    <w:name w:val="xl6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kern w:val="0"/>
      <w:sz w:val="24"/>
    </w:rPr>
  </w:style>
  <w:style w:type="paragraph" w:customStyle="1" w:styleId="1299">
    <w:name w:val="CM48"/>
    <w:basedOn w:val="146"/>
    <w:next w:val="146"/>
    <w:qFormat/>
    <w:uiPriority w:val="0"/>
    <w:pPr>
      <w:spacing w:line="468" w:lineRule="atLeast"/>
    </w:pPr>
    <w:rPr>
      <w:rFonts w:ascii="黑体" w:eastAsia="黑体" w:cs="Times New Roman"/>
      <w:color w:val="auto"/>
    </w:rPr>
  </w:style>
  <w:style w:type="paragraph" w:customStyle="1" w:styleId="1300">
    <w:name w:val="表内文字"/>
    <w:qFormat/>
    <w:uiPriority w:val="0"/>
    <w:pPr>
      <w:widowControl w:val="0"/>
      <w:autoSpaceDE w:val="0"/>
      <w:autoSpaceDN w:val="0"/>
      <w:adjustRightInd w:val="0"/>
      <w:jc w:val="center"/>
      <w:textAlignment w:val="baseline"/>
    </w:pPr>
    <w:rPr>
      <w:rFonts w:ascii="Times New Roman" w:hAnsi="Times New Roman" w:eastAsia="宋体" w:cs="Times New Roman"/>
      <w:sz w:val="18"/>
      <w:lang w:val="en-US" w:eastAsia="zh-CN" w:bidi="ar-SA"/>
    </w:rPr>
  </w:style>
  <w:style w:type="paragraph" w:customStyle="1" w:styleId="1301">
    <w:name w:val="CM256"/>
    <w:basedOn w:val="146"/>
    <w:next w:val="146"/>
    <w:qFormat/>
    <w:uiPriority w:val="0"/>
    <w:pPr>
      <w:spacing w:after="6215"/>
    </w:pPr>
    <w:rPr>
      <w:rFonts w:cs="Times New Roman"/>
      <w:color w:val="auto"/>
      <w:szCs w:val="20"/>
    </w:rPr>
  </w:style>
  <w:style w:type="paragraph" w:customStyle="1" w:styleId="1302">
    <w:name w:val="CM38"/>
    <w:basedOn w:val="146"/>
    <w:next w:val="146"/>
    <w:qFormat/>
    <w:uiPriority w:val="0"/>
    <w:pPr>
      <w:spacing w:line="468" w:lineRule="atLeast"/>
    </w:pPr>
    <w:rPr>
      <w:rFonts w:ascii="黑体" w:eastAsia="黑体" w:cs="Times New Roman"/>
      <w:color w:val="auto"/>
    </w:rPr>
  </w:style>
  <w:style w:type="paragraph" w:customStyle="1" w:styleId="1303">
    <w:name w:val="_Style 27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304">
    <w:name w:val="font2"/>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305">
    <w:name w:val="前言、引言标题"/>
    <w:next w:val="1"/>
    <w:qFormat/>
    <w:uiPriority w:val="0"/>
    <w:pPr>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1306">
    <w:name w:val="条文 表"/>
    <w:next w:val="1"/>
    <w:qFormat/>
    <w:uiPriority w:val="0"/>
    <w:pPr>
      <w:jc w:val="center"/>
    </w:pPr>
    <w:rPr>
      <w:rFonts w:ascii="Times New Roman" w:hAnsi="Times New Roman" w:eastAsia="黑体" w:cs="Times New Roman"/>
      <w:sz w:val="21"/>
      <w:lang w:val="en-US" w:eastAsia="zh-CN" w:bidi="ar-SA"/>
    </w:rPr>
  </w:style>
  <w:style w:type="paragraph" w:customStyle="1" w:styleId="1307">
    <w:name w:val="xl15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308">
    <w:name w:val="样式 标题2 + 字距调整8 磅"/>
    <w:qFormat/>
    <w:uiPriority w:val="0"/>
    <w:pPr>
      <w:keepNext/>
      <w:keepLines/>
      <w:numPr>
        <w:ilvl w:val="3"/>
        <w:numId w:val="18"/>
      </w:numPr>
      <w:tabs>
        <w:tab w:val="left" w:pos="709"/>
        <w:tab w:val="left" w:pos="1134"/>
        <w:tab w:val="left" w:pos="1620"/>
      </w:tabs>
      <w:adjustRightInd w:val="0"/>
      <w:spacing w:line="360" w:lineRule="auto"/>
      <w:textAlignment w:val="baseline"/>
      <w:outlineLvl w:val="1"/>
    </w:pPr>
    <w:rPr>
      <w:rFonts w:ascii="Arial" w:hAnsi="Arial" w:eastAsia="FangSong_GB2312" w:cs="Arial"/>
      <w:kern w:val="16"/>
      <w:lang w:val="en-US" w:eastAsia="zh-CN" w:bidi="ar-SA"/>
    </w:rPr>
  </w:style>
  <w:style w:type="paragraph" w:customStyle="1" w:styleId="1309">
    <w:name w:val="CM17"/>
    <w:basedOn w:val="146"/>
    <w:next w:val="146"/>
    <w:qFormat/>
    <w:uiPriority w:val="0"/>
    <w:pPr>
      <w:spacing w:line="468" w:lineRule="atLeast"/>
    </w:pPr>
    <w:rPr>
      <w:rFonts w:ascii="黑体" w:eastAsia="黑体" w:cs="Times New Roman"/>
      <w:color w:val="auto"/>
    </w:rPr>
  </w:style>
  <w:style w:type="paragraph" w:customStyle="1" w:styleId="1310">
    <w:name w:val="条文 5"/>
    <w:next w:val="1"/>
    <w:qFormat/>
    <w:uiPriority w:val="0"/>
    <w:pPr>
      <w:spacing w:line="310" w:lineRule="exact"/>
    </w:pPr>
    <w:rPr>
      <w:rFonts w:ascii="Times New Roman" w:hAnsi="Times New Roman" w:eastAsia="黑体" w:cs="Times New Roman"/>
      <w:sz w:val="21"/>
      <w:lang w:val="en-US" w:eastAsia="zh-CN" w:bidi="ar-SA"/>
    </w:rPr>
  </w:style>
  <w:style w:type="paragraph" w:customStyle="1" w:styleId="1311">
    <w:name w:val="正文31"/>
    <w:qFormat/>
    <w:uiPriority w:val="0"/>
    <w:pPr>
      <w:spacing w:line="400" w:lineRule="exact"/>
      <w:ind w:firstLine="200" w:firstLineChars="200"/>
      <w:jc w:val="both"/>
    </w:pPr>
    <w:rPr>
      <w:rFonts w:ascii="Times New Roman" w:hAnsi="Times New Roman" w:eastAsia="宋体" w:cs="Times New Roman"/>
      <w:kern w:val="2"/>
      <w:sz w:val="24"/>
      <w:lang w:val="en-US" w:eastAsia="zh-CN" w:bidi="ar-SA"/>
    </w:rPr>
  </w:style>
  <w:style w:type="paragraph" w:customStyle="1" w:styleId="1312">
    <w:name w:val="Style Heading 4 + Justified"/>
    <w:basedOn w:val="6"/>
    <w:qFormat/>
    <w:uiPriority w:val="0"/>
    <w:pPr>
      <w:keepLines w:val="0"/>
      <w:widowControl/>
      <w:tabs>
        <w:tab w:val="left" w:pos="1441"/>
        <w:tab w:val="left" w:pos="2982"/>
      </w:tabs>
      <w:spacing w:before="0" w:after="240" w:line="240" w:lineRule="auto"/>
      <w:ind w:left="2982" w:hanging="1008"/>
    </w:pPr>
    <w:rPr>
      <w:rFonts w:ascii="宋体" w:eastAsia="PMingLiU"/>
      <w:b w:val="0"/>
      <w:bCs w:val="0"/>
      <w:kern w:val="0"/>
      <w:sz w:val="21"/>
      <w:szCs w:val="20"/>
      <w:lang w:eastAsia="zh-TW"/>
    </w:rPr>
  </w:style>
  <w:style w:type="paragraph" w:customStyle="1" w:styleId="1313">
    <w:name w:val="xl12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color w:val="000000"/>
      <w:kern w:val="0"/>
      <w:sz w:val="20"/>
      <w:szCs w:val="20"/>
    </w:rPr>
  </w:style>
  <w:style w:type="paragraph" w:customStyle="1" w:styleId="1314">
    <w:name w:val="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315">
    <w:name w:val="CM101"/>
    <w:basedOn w:val="146"/>
    <w:next w:val="146"/>
    <w:qFormat/>
    <w:uiPriority w:val="0"/>
    <w:rPr>
      <w:rFonts w:ascii="黑体" w:eastAsia="黑体" w:cs="Times New Roman"/>
      <w:color w:val="auto"/>
    </w:rPr>
  </w:style>
  <w:style w:type="paragraph" w:customStyle="1" w:styleId="1316">
    <w:name w:val="xl134"/>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1317">
    <w:name w:val="Char Char Char Char Char Char Char Char Char Char Char Char1 Char Char Char1"/>
    <w:basedOn w:val="1"/>
    <w:qFormat/>
    <w:uiPriority w:val="0"/>
    <w:rPr>
      <w:rFonts w:ascii="Tahoma" w:hAnsi="Tahoma" w:cs="FangSong_GB2312"/>
      <w:sz w:val="24"/>
      <w:szCs w:val="20"/>
    </w:rPr>
  </w:style>
  <w:style w:type="paragraph" w:customStyle="1" w:styleId="1318">
    <w:name w:val="xl14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319">
    <w:name w:val="此页空白"/>
    <w:next w:val="1"/>
    <w:qFormat/>
    <w:uiPriority w:val="0"/>
    <w:pPr>
      <w:keepNext/>
      <w:jc w:val="center"/>
    </w:pPr>
    <w:rPr>
      <w:rFonts w:ascii="Times New Roman" w:hAnsi="Times New Roman" w:eastAsia="宋体" w:cs="Times New Roman"/>
      <w:b/>
      <w:kern w:val="2"/>
      <w:sz w:val="44"/>
      <w:szCs w:val="44"/>
      <w:lang w:val="en-US" w:eastAsia="zh-CN" w:bidi="ar-SA"/>
    </w:rPr>
  </w:style>
  <w:style w:type="paragraph" w:customStyle="1" w:styleId="1320">
    <w:name w:val="CM249"/>
    <w:basedOn w:val="146"/>
    <w:next w:val="146"/>
    <w:qFormat/>
    <w:uiPriority w:val="0"/>
    <w:pPr>
      <w:spacing w:after="2310"/>
    </w:pPr>
    <w:rPr>
      <w:rFonts w:cs="Times New Roman"/>
      <w:color w:val="auto"/>
      <w:szCs w:val="20"/>
    </w:rPr>
  </w:style>
  <w:style w:type="paragraph" w:customStyle="1" w:styleId="1321">
    <w:name w:val="四号线第一级"/>
    <w:basedOn w:val="1"/>
    <w:qFormat/>
    <w:uiPriority w:val="0"/>
    <w:pPr>
      <w:ind w:left="57"/>
    </w:pPr>
  </w:style>
  <w:style w:type="paragraph" w:customStyle="1" w:styleId="1322">
    <w:name w:val="et46"/>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23">
    <w:name w:val="CM138"/>
    <w:basedOn w:val="146"/>
    <w:next w:val="146"/>
    <w:qFormat/>
    <w:uiPriority w:val="0"/>
    <w:pPr>
      <w:spacing w:after="723"/>
    </w:pPr>
    <w:rPr>
      <w:rFonts w:ascii="黑体" w:eastAsia="黑体" w:cs="Times New Roman"/>
      <w:color w:val="auto"/>
    </w:rPr>
  </w:style>
  <w:style w:type="paragraph" w:customStyle="1" w:styleId="1324">
    <w:name w:val="CM226"/>
    <w:basedOn w:val="146"/>
    <w:next w:val="146"/>
    <w:qFormat/>
    <w:uiPriority w:val="0"/>
    <w:pPr>
      <w:spacing w:after="253"/>
    </w:pPr>
    <w:rPr>
      <w:rFonts w:cs="Times New Roman"/>
      <w:color w:val="auto"/>
      <w:szCs w:val="20"/>
    </w:rPr>
  </w:style>
  <w:style w:type="paragraph" w:customStyle="1" w:styleId="1325">
    <w:name w:val="样式 标题 3 + 五号"/>
    <w:basedOn w:val="5"/>
    <w:qFormat/>
    <w:uiPriority w:val="0"/>
    <w:pPr>
      <w:widowControl w:val="0"/>
      <w:tabs>
        <w:tab w:val="left" w:pos="1021"/>
        <w:tab w:val="clear" w:pos="720"/>
        <w:tab w:val="clear" w:pos="1260"/>
      </w:tabs>
      <w:autoSpaceDE w:val="0"/>
      <w:autoSpaceDN w:val="0"/>
      <w:adjustRightInd w:val="0"/>
      <w:spacing w:before="0" w:after="0"/>
      <w:ind w:left="1021" w:hanging="567"/>
      <w:jc w:val="left"/>
    </w:pPr>
    <w:rPr>
      <w:rFonts w:ascii="宋体"/>
      <w:b/>
      <w:sz w:val="21"/>
      <w:szCs w:val="21"/>
    </w:rPr>
  </w:style>
  <w:style w:type="paragraph" w:customStyle="1" w:styleId="1326">
    <w:name w:val="文档正文"/>
    <w:basedOn w:val="1"/>
    <w:qFormat/>
    <w:uiPriority w:val="0"/>
    <w:pPr>
      <w:adjustRightInd w:val="0"/>
      <w:spacing w:line="360" w:lineRule="atLeast"/>
      <w:ind w:firstLine="567"/>
      <w:jc w:val="left"/>
      <w:textAlignment w:val="baseline"/>
    </w:pPr>
    <w:rPr>
      <w:rFonts w:ascii="长城仿宋" w:eastAsia="长城仿宋"/>
      <w:kern w:val="0"/>
      <w:sz w:val="28"/>
      <w:szCs w:val="20"/>
    </w:rPr>
  </w:style>
  <w:style w:type="paragraph" w:customStyle="1" w:styleId="1327">
    <w:name w:val="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328">
    <w:name w:val="CM144"/>
    <w:basedOn w:val="146"/>
    <w:next w:val="146"/>
    <w:qFormat/>
    <w:uiPriority w:val="0"/>
    <w:pPr>
      <w:spacing w:line="448" w:lineRule="atLeast"/>
    </w:pPr>
    <w:rPr>
      <w:rFonts w:cs="Times New Roman"/>
      <w:color w:val="auto"/>
      <w:szCs w:val="20"/>
    </w:rPr>
  </w:style>
  <w:style w:type="paragraph" w:customStyle="1" w:styleId="1329">
    <w:name w:val="样式 样式 标题 3 + 四号 段前: 0 磅 段后: 0 磅 行距: 固定值 24 磅 + Times New Roman"/>
    <w:basedOn w:val="309"/>
    <w:qFormat/>
    <w:uiPriority w:val="0"/>
    <w:pPr>
      <w:ind w:firstLine="200"/>
      <w:outlineLvl w:val="2"/>
    </w:pPr>
  </w:style>
  <w:style w:type="paragraph" w:customStyle="1" w:styleId="1330">
    <w:name w:val="Char Char Char Char Char Char Char Char Char Char Char Char Char Char Char Char"/>
    <w:basedOn w:val="1"/>
    <w:qFormat/>
    <w:uiPriority w:val="0"/>
    <w:rPr>
      <w:rFonts w:ascii="Tahoma" w:hAnsi="Tahoma" w:eastAsia="FangSong_GB2312"/>
      <w:b/>
      <w:sz w:val="24"/>
      <w:szCs w:val="20"/>
    </w:rPr>
  </w:style>
  <w:style w:type="paragraph" w:customStyle="1" w:styleId="1331">
    <w:name w:val="et2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32">
    <w:name w:val="条款"/>
    <w:basedOn w:val="722"/>
    <w:qFormat/>
    <w:uiPriority w:val="0"/>
    <w:pPr>
      <w:tabs>
        <w:tab w:val="left" w:pos="984"/>
      </w:tabs>
      <w:adjustRightInd w:val="0"/>
      <w:snapToGrid w:val="0"/>
      <w:spacing w:line="360" w:lineRule="auto"/>
      <w:ind w:left="84" w:leftChars="40"/>
      <w:jc w:val="center"/>
    </w:pPr>
    <w:rPr>
      <w:rFonts w:ascii="Times New Roman" w:hAnsi="Times New Roman"/>
      <w:bCs/>
      <w:sz w:val="24"/>
      <w:szCs w:val="24"/>
    </w:rPr>
  </w:style>
  <w:style w:type="paragraph" w:customStyle="1" w:styleId="1333">
    <w:name w:val="xl118"/>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b/>
      <w:bCs/>
      <w:kern w:val="0"/>
      <w:sz w:val="20"/>
      <w:szCs w:val="20"/>
    </w:rPr>
  </w:style>
  <w:style w:type="paragraph" w:customStyle="1" w:styleId="1334">
    <w:name w:val="样式 标题 4 + 加粗"/>
    <w:basedOn w:val="592"/>
    <w:qFormat/>
    <w:uiPriority w:val="0"/>
  </w:style>
  <w:style w:type="paragraph" w:customStyle="1" w:styleId="1335">
    <w:name w:val="默认段落字体 Char Char Char"/>
    <w:basedOn w:val="1"/>
    <w:qFormat/>
    <w:uiPriority w:val="0"/>
    <w:pPr>
      <w:spacing w:beforeLines="50" w:afterLines="50"/>
    </w:pPr>
    <w:rPr>
      <w:rFonts w:ascii="Tahoma" w:hAnsi="Tahoma"/>
      <w:sz w:val="24"/>
      <w:szCs w:val="20"/>
    </w:rPr>
  </w:style>
  <w:style w:type="paragraph" w:customStyle="1" w:styleId="1336">
    <w:name w:val="Double indented para"/>
    <w:qFormat/>
    <w:uiPriority w:val="0"/>
    <w:pPr>
      <w:keepNext/>
      <w:keepLines/>
      <w:widowControl w:val="0"/>
      <w:tabs>
        <w:tab w:val="left" w:pos="-720"/>
      </w:tabs>
      <w:suppressAutoHyphens/>
      <w:jc w:val="both"/>
    </w:pPr>
    <w:rPr>
      <w:rFonts w:ascii="Times New Roman" w:hAnsi="Times New Roman" w:eastAsia="PMingLiU" w:cs="Times New Roman"/>
      <w:snapToGrid w:val="0"/>
      <w:spacing w:val="-3"/>
      <w:sz w:val="24"/>
      <w:lang w:val="en-US" w:eastAsia="en-US" w:bidi="ar-SA"/>
    </w:rPr>
  </w:style>
  <w:style w:type="paragraph" w:customStyle="1" w:styleId="1337">
    <w:name w:val="CM92"/>
    <w:basedOn w:val="146"/>
    <w:next w:val="146"/>
    <w:qFormat/>
    <w:uiPriority w:val="0"/>
    <w:pPr>
      <w:spacing w:line="468" w:lineRule="atLeast"/>
    </w:pPr>
    <w:rPr>
      <w:rFonts w:ascii="黑体" w:eastAsia="黑体" w:cs="Times New Roman"/>
      <w:color w:val="auto"/>
    </w:rPr>
  </w:style>
  <w:style w:type="paragraph" w:customStyle="1" w:styleId="1338">
    <w:name w:val="Body2"/>
    <w:basedOn w:val="3"/>
    <w:qFormat/>
    <w:uiPriority w:val="0"/>
    <w:pPr>
      <w:keepNext w:val="0"/>
      <w:keepLines w:val="0"/>
      <w:widowControl/>
      <w:tabs>
        <w:tab w:val="left" w:pos="1008"/>
      </w:tabs>
      <w:spacing w:beforeLines="50" w:afterLines="50" w:line="240" w:lineRule="auto"/>
      <w:ind w:left="470"/>
      <w:outlineLvl w:val="9"/>
    </w:pPr>
    <w:rPr>
      <w:rFonts w:ascii="宋体" w:hAnsi="宋体"/>
      <w:bCs w:val="0"/>
      <w:kern w:val="0"/>
      <w:sz w:val="24"/>
      <w:szCs w:val="20"/>
    </w:rPr>
  </w:style>
  <w:style w:type="paragraph" w:customStyle="1" w:styleId="1339">
    <w:name w:val="Char15"/>
    <w:basedOn w:val="1"/>
    <w:qFormat/>
    <w:uiPriority w:val="0"/>
    <w:pPr>
      <w:spacing w:line="480" w:lineRule="exact"/>
      <w:ind w:firstLine="200" w:firstLineChars="200"/>
      <w:jc w:val="left"/>
    </w:pPr>
    <w:rPr>
      <w:rFonts w:ascii="Tahoma" w:hAnsi="Tahoma"/>
      <w:color w:val="1F497D"/>
      <w:sz w:val="24"/>
      <w:szCs w:val="20"/>
    </w:rPr>
  </w:style>
  <w:style w:type="paragraph" w:customStyle="1" w:styleId="1340">
    <w:name w:val="xl648"/>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341">
    <w:name w:val="xl665"/>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color w:val="000000"/>
      <w:kern w:val="0"/>
      <w:sz w:val="18"/>
      <w:szCs w:val="18"/>
    </w:rPr>
  </w:style>
  <w:style w:type="paragraph" w:customStyle="1" w:styleId="1342">
    <w:name w:val="样式 标题 3 FS + 段前: 0.5 行 段后: 0.5 行"/>
    <w:basedOn w:val="1"/>
    <w:qFormat/>
    <w:uiPriority w:val="0"/>
    <w:pPr>
      <w:keepNext/>
      <w:keepLines/>
      <w:adjustRightInd w:val="0"/>
      <w:snapToGrid w:val="0"/>
      <w:spacing w:beforeLines="50" w:afterLines="50" w:line="360" w:lineRule="auto"/>
      <w:outlineLvl w:val="2"/>
    </w:pPr>
    <w:rPr>
      <w:rFonts w:cs="宋体"/>
      <w:sz w:val="28"/>
      <w:szCs w:val="20"/>
    </w:rPr>
  </w:style>
  <w:style w:type="paragraph" w:customStyle="1" w:styleId="1343">
    <w:name w:val="CM188"/>
    <w:basedOn w:val="146"/>
    <w:next w:val="146"/>
    <w:qFormat/>
    <w:uiPriority w:val="0"/>
    <w:pPr>
      <w:tabs>
        <w:tab w:val="left" w:pos="567"/>
      </w:tabs>
      <w:spacing w:after="1728"/>
    </w:pPr>
    <w:rPr>
      <w:rFonts w:cs="Times New Roman"/>
      <w:color w:val="auto"/>
      <w:szCs w:val="20"/>
    </w:rPr>
  </w:style>
  <w:style w:type="paragraph" w:customStyle="1" w:styleId="1344">
    <w:name w:val="xl10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0"/>
      <w:szCs w:val="20"/>
    </w:rPr>
  </w:style>
  <w:style w:type="paragraph" w:customStyle="1" w:styleId="1345">
    <w:name w:val="Heading 4"/>
    <w:basedOn w:val="1"/>
    <w:qFormat/>
    <w:uiPriority w:val="0"/>
    <w:pPr>
      <w:widowControl/>
      <w:numPr>
        <w:ilvl w:val="0"/>
        <w:numId w:val="19"/>
      </w:numPr>
      <w:tabs>
        <w:tab w:val="left" w:pos="864"/>
        <w:tab w:val="left" w:pos="1021"/>
        <w:tab w:val="left" w:pos="2040"/>
      </w:tabs>
      <w:spacing w:line="480" w:lineRule="exact"/>
      <w:jc w:val="left"/>
    </w:pPr>
    <w:rPr>
      <w:color w:val="1F497D"/>
      <w:kern w:val="0"/>
      <w:sz w:val="20"/>
      <w:szCs w:val="20"/>
    </w:rPr>
  </w:style>
  <w:style w:type="paragraph" w:customStyle="1" w:styleId="1346">
    <w:name w:val="CM172"/>
    <w:basedOn w:val="146"/>
    <w:next w:val="146"/>
    <w:qFormat/>
    <w:uiPriority w:val="0"/>
    <w:pPr>
      <w:spacing w:line="260" w:lineRule="atLeast"/>
    </w:pPr>
    <w:rPr>
      <w:rFonts w:cs="Times New Roman"/>
      <w:color w:val="auto"/>
      <w:szCs w:val="20"/>
    </w:rPr>
  </w:style>
  <w:style w:type="paragraph" w:customStyle="1" w:styleId="1347">
    <w:name w:val="CM27"/>
    <w:basedOn w:val="146"/>
    <w:next w:val="146"/>
    <w:qFormat/>
    <w:uiPriority w:val="0"/>
    <w:pPr>
      <w:spacing w:line="468" w:lineRule="atLeast"/>
    </w:pPr>
    <w:rPr>
      <w:rFonts w:ascii="黑体" w:eastAsia="黑体" w:cs="Times New Roman"/>
      <w:color w:val="auto"/>
    </w:rPr>
  </w:style>
  <w:style w:type="paragraph" w:customStyle="1" w:styleId="1348">
    <w:name w:val="Revision1"/>
    <w:qFormat/>
    <w:uiPriority w:val="0"/>
    <w:rPr>
      <w:rFonts w:ascii="Times New Roman" w:hAnsi="Times New Roman" w:eastAsia="宋体" w:cs="Times New Roman"/>
      <w:kern w:val="2"/>
      <w:sz w:val="21"/>
      <w:szCs w:val="24"/>
      <w:lang w:val="en-US" w:eastAsia="zh-CN" w:bidi="ar-SA"/>
    </w:rPr>
  </w:style>
  <w:style w:type="paragraph" w:customStyle="1" w:styleId="1349">
    <w:name w:val="et4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50">
    <w:name w:val="标点"/>
    <w:basedOn w:val="722"/>
    <w:qFormat/>
    <w:uiPriority w:val="0"/>
    <w:pPr>
      <w:keepNext/>
      <w:tabs>
        <w:tab w:val="left" w:pos="0"/>
        <w:tab w:val="left" w:pos="420"/>
      </w:tabs>
      <w:spacing w:line="360" w:lineRule="auto"/>
      <w:ind w:left="738" w:hanging="284"/>
    </w:pPr>
    <w:rPr>
      <w:rFonts w:ascii="Arial" w:hAnsi="Arial"/>
      <w:kern w:val="24"/>
      <w:sz w:val="24"/>
      <w:szCs w:val="20"/>
    </w:rPr>
  </w:style>
  <w:style w:type="paragraph" w:customStyle="1" w:styleId="1351">
    <w:name w:val="CM152"/>
    <w:basedOn w:val="146"/>
    <w:next w:val="146"/>
    <w:qFormat/>
    <w:uiPriority w:val="0"/>
    <w:pPr>
      <w:spacing w:line="313" w:lineRule="atLeast"/>
    </w:pPr>
    <w:rPr>
      <w:rFonts w:cs="Times New Roman"/>
      <w:color w:val="auto"/>
      <w:szCs w:val="20"/>
    </w:rPr>
  </w:style>
  <w:style w:type="paragraph" w:customStyle="1" w:styleId="1352">
    <w:name w:val="无间隔3"/>
    <w:qFormat/>
    <w:uiPriority w:val="0"/>
    <w:pPr>
      <w:widowControl w:val="0"/>
      <w:jc w:val="both"/>
    </w:pPr>
    <w:rPr>
      <w:rFonts w:ascii="Calibri" w:hAnsi="Calibri" w:eastAsia="宋体" w:cs="Times New Roman"/>
      <w:kern w:val="2"/>
      <w:sz w:val="21"/>
      <w:szCs w:val="22"/>
      <w:lang w:val="en-US" w:eastAsia="zh-CN" w:bidi="ar-SA"/>
    </w:rPr>
  </w:style>
  <w:style w:type="paragraph" w:customStyle="1" w:styleId="1353">
    <w:name w:val="封面标题"/>
    <w:basedOn w:val="1"/>
    <w:qFormat/>
    <w:uiPriority w:val="0"/>
    <w:pPr>
      <w:jc w:val="center"/>
      <w:outlineLvl w:val="0"/>
    </w:pPr>
    <w:rPr>
      <w:rFonts w:ascii="KaiTi_GB2312" w:hAnsi="Arial" w:eastAsia="KaiTi_GB2312" w:cs="Arial"/>
      <w:b/>
      <w:bCs/>
      <w:sz w:val="44"/>
      <w:szCs w:val="44"/>
    </w:rPr>
  </w:style>
  <w:style w:type="paragraph" w:customStyle="1" w:styleId="1354">
    <w:name w:val="CM55"/>
    <w:basedOn w:val="146"/>
    <w:next w:val="146"/>
    <w:qFormat/>
    <w:uiPriority w:val="0"/>
    <w:rPr>
      <w:rFonts w:cs="Times New Roman"/>
      <w:color w:val="auto"/>
      <w:szCs w:val="20"/>
    </w:rPr>
  </w:style>
  <w:style w:type="paragraph" w:customStyle="1" w:styleId="1355">
    <w:name w:val="Char Char Char Char Char Char Char Char Char Char Char Char Char1"/>
    <w:basedOn w:val="1"/>
    <w:qFormat/>
    <w:uiPriority w:val="0"/>
    <w:rPr>
      <w:rFonts w:hAnsi="宋体"/>
      <w:spacing w:val="-18"/>
      <w:sz w:val="20"/>
    </w:rPr>
  </w:style>
  <w:style w:type="paragraph" w:customStyle="1" w:styleId="1356">
    <w:name w:val="文档结构图8"/>
    <w:basedOn w:val="1"/>
    <w:qFormat/>
    <w:uiPriority w:val="0"/>
    <w:pPr>
      <w:shd w:val="clear" w:color="auto" w:fill="000080"/>
      <w:autoSpaceDE w:val="0"/>
      <w:autoSpaceDN w:val="0"/>
      <w:adjustRightInd w:val="0"/>
      <w:spacing w:line="480" w:lineRule="exact"/>
      <w:ind w:firstLine="200" w:firstLineChars="200"/>
      <w:jc w:val="left"/>
      <w:textAlignment w:val="baseline"/>
    </w:pPr>
    <w:rPr>
      <w:color w:val="1F497D"/>
      <w:sz w:val="24"/>
    </w:rPr>
  </w:style>
  <w:style w:type="paragraph" w:customStyle="1" w:styleId="1357">
    <w:name w:val="CM177"/>
    <w:basedOn w:val="146"/>
    <w:next w:val="146"/>
    <w:qFormat/>
    <w:uiPriority w:val="0"/>
    <w:pPr>
      <w:spacing w:line="313" w:lineRule="atLeast"/>
    </w:pPr>
    <w:rPr>
      <w:rFonts w:cs="Times New Roman"/>
      <w:color w:val="auto"/>
      <w:szCs w:val="20"/>
    </w:rPr>
  </w:style>
  <w:style w:type="paragraph" w:customStyle="1" w:styleId="1358">
    <w:name w:val="xl143"/>
    <w:basedOn w:val="1"/>
    <w:qFormat/>
    <w:uiPriority w:val="0"/>
    <w:pPr>
      <w:widowControl/>
      <w:shd w:val="clear" w:color="000000" w:fill="FFFFFF"/>
      <w:spacing w:before="100" w:beforeAutospacing="1" w:after="100" w:afterAutospacing="1"/>
      <w:jc w:val="left"/>
    </w:pPr>
    <w:rPr>
      <w:rFonts w:ascii="宋体" w:hAnsi="宋体" w:cs="宋体"/>
      <w:kern w:val="0"/>
      <w:sz w:val="20"/>
      <w:szCs w:val="20"/>
    </w:rPr>
  </w:style>
  <w:style w:type="paragraph" w:customStyle="1" w:styleId="1359">
    <w:name w:val="CM155"/>
    <w:basedOn w:val="146"/>
    <w:next w:val="146"/>
    <w:qFormat/>
    <w:uiPriority w:val="0"/>
    <w:rPr>
      <w:rFonts w:cs="Times New Roman"/>
      <w:color w:val="auto"/>
      <w:szCs w:val="20"/>
    </w:rPr>
  </w:style>
  <w:style w:type="paragraph" w:customStyle="1" w:styleId="1360">
    <w:name w:val="xl132"/>
    <w:basedOn w:val="1"/>
    <w:qFormat/>
    <w:uiPriority w:val="0"/>
    <w:pPr>
      <w:widowControl/>
      <w:shd w:val="clear" w:color="000000" w:fill="FFFF00"/>
      <w:spacing w:before="100" w:beforeAutospacing="1" w:after="100" w:afterAutospacing="1"/>
      <w:jc w:val="left"/>
    </w:pPr>
    <w:rPr>
      <w:rFonts w:ascii="宋体" w:hAnsi="宋体" w:cs="宋体"/>
      <w:kern w:val="0"/>
      <w:sz w:val="20"/>
      <w:szCs w:val="20"/>
    </w:rPr>
  </w:style>
  <w:style w:type="paragraph" w:customStyle="1" w:styleId="1361">
    <w:name w:val="xl13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362">
    <w:name w:val="样式 宋体 小四 加粗 行距: 1.5 倍行距1"/>
    <w:basedOn w:val="7"/>
    <w:next w:val="1"/>
    <w:qFormat/>
    <w:uiPriority w:val="0"/>
    <w:pPr>
      <w:widowControl/>
      <w:spacing w:line="360" w:lineRule="auto"/>
      <w:ind w:left="839" w:hanging="839"/>
      <w:jc w:val="left"/>
      <w:outlineLvl w:val="2"/>
    </w:pPr>
    <w:rPr>
      <w:rFonts w:ascii="宋体" w:hAnsi="宋体" w:cs="宋体"/>
      <w:bCs w:val="0"/>
      <w:kern w:val="0"/>
      <w:sz w:val="21"/>
      <w:szCs w:val="20"/>
    </w:rPr>
  </w:style>
  <w:style w:type="paragraph" w:customStyle="1" w:styleId="1363">
    <w:name w:val="et4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18"/>
      <w:szCs w:val="18"/>
    </w:rPr>
  </w:style>
  <w:style w:type="paragraph" w:customStyle="1" w:styleId="1364">
    <w:name w:val="xl109"/>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color w:val="000000"/>
      <w:kern w:val="0"/>
      <w:sz w:val="20"/>
      <w:szCs w:val="20"/>
    </w:rPr>
  </w:style>
  <w:style w:type="paragraph" w:customStyle="1" w:styleId="1365">
    <w:name w:val="font9"/>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366">
    <w:name w:val="et4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1367">
    <w:name w:val="正文4"/>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1368">
    <w:name w:val="正文（高）"/>
    <w:basedOn w:val="1"/>
    <w:qFormat/>
    <w:uiPriority w:val="0"/>
    <w:pPr>
      <w:spacing w:line="360" w:lineRule="auto"/>
      <w:ind w:firstLine="200" w:firstLineChars="200"/>
    </w:pPr>
    <w:rPr>
      <w:sz w:val="24"/>
    </w:rPr>
  </w:style>
  <w:style w:type="paragraph" w:customStyle="1" w:styleId="1369">
    <w:name w:val="Heading 9"/>
    <w:basedOn w:val="1"/>
    <w:qFormat/>
    <w:uiPriority w:val="0"/>
    <w:pPr>
      <w:widowControl/>
      <w:tabs>
        <w:tab w:val="left" w:pos="1584"/>
      </w:tabs>
      <w:spacing w:line="480" w:lineRule="exact"/>
      <w:ind w:left="1584" w:hanging="1584" w:firstLineChars="200"/>
      <w:jc w:val="left"/>
    </w:pPr>
    <w:rPr>
      <w:color w:val="1F497D"/>
      <w:kern w:val="0"/>
      <w:sz w:val="20"/>
      <w:szCs w:val="20"/>
    </w:rPr>
  </w:style>
  <w:style w:type="paragraph" w:customStyle="1" w:styleId="1370">
    <w:name w:val="表格文本"/>
    <w:basedOn w:val="1"/>
    <w:qFormat/>
    <w:uiPriority w:val="0"/>
    <w:pPr>
      <w:spacing w:line="360" w:lineRule="auto"/>
      <w:jc w:val="center"/>
    </w:pPr>
    <w:rPr>
      <w:rFonts w:ascii="Arial" w:hAnsi="Arial" w:cs="Arial"/>
      <w:color w:val="000000"/>
      <w:kern w:val="0"/>
      <w:szCs w:val="20"/>
    </w:rPr>
  </w:style>
  <w:style w:type="paragraph" w:customStyle="1" w:styleId="1371">
    <w:name w:val="CM30"/>
    <w:basedOn w:val="146"/>
    <w:next w:val="146"/>
    <w:qFormat/>
    <w:uiPriority w:val="0"/>
    <w:pPr>
      <w:spacing w:line="468" w:lineRule="atLeast"/>
    </w:pPr>
    <w:rPr>
      <w:rFonts w:ascii="黑体" w:eastAsia="黑体" w:cs="Times New Roman"/>
      <w:color w:val="auto"/>
    </w:rPr>
  </w:style>
  <w:style w:type="paragraph" w:customStyle="1" w:styleId="1372">
    <w:name w:val="CM244"/>
    <w:basedOn w:val="146"/>
    <w:next w:val="146"/>
    <w:qFormat/>
    <w:uiPriority w:val="0"/>
    <w:pPr>
      <w:spacing w:after="183"/>
    </w:pPr>
    <w:rPr>
      <w:rFonts w:cs="Times New Roman"/>
      <w:color w:val="auto"/>
      <w:szCs w:val="20"/>
    </w:rPr>
  </w:style>
  <w:style w:type="paragraph" w:customStyle="1" w:styleId="1373">
    <w:name w:val="批注主题4"/>
    <w:basedOn w:val="28"/>
    <w:next w:val="28"/>
    <w:qFormat/>
    <w:uiPriority w:val="0"/>
    <w:rPr>
      <w:b/>
      <w:bCs/>
      <w:kern w:val="0"/>
      <w:sz w:val="20"/>
    </w:rPr>
  </w:style>
  <w:style w:type="paragraph" w:customStyle="1" w:styleId="1374">
    <w:name w:val="Body"/>
    <w:basedOn w:val="1"/>
    <w:qFormat/>
    <w:uiPriority w:val="0"/>
    <w:pPr>
      <w:widowControl/>
      <w:spacing w:before="120" w:line="360" w:lineRule="auto"/>
      <w:ind w:firstLine="200" w:firstLineChars="200"/>
    </w:pPr>
    <w:rPr>
      <w:rFonts w:ascii="Arial" w:hAnsi="Arial"/>
      <w:kern w:val="0"/>
      <w:szCs w:val="20"/>
      <w:lang w:eastAsia="en-US"/>
    </w:rPr>
  </w:style>
  <w:style w:type="paragraph" w:customStyle="1" w:styleId="1375">
    <w:name w:val="四号线第四级"/>
    <w:basedOn w:val="1"/>
    <w:qFormat/>
    <w:uiPriority w:val="0"/>
    <w:pPr>
      <w:tabs>
        <w:tab w:val="left" w:pos="845"/>
      </w:tabs>
      <w:ind w:left="845" w:hanging="420"/>
    </w:pPr>
  </w:style>
  <w:style w:type="paragraph" w:customStyle="1" w:styleId="1376">
    <w:name w:val="et57"/>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left"/>
      <w:textAlignment w:val="center"/>
    </w:pPr>
    <w:rPr>
      <w:rFonts w:ascii="宋体" w:hAnsi="宋体" w:cs="宋体"/>
      <w:color w:val="000000"/>
      <w:kern w:val="0"/>
      <w:sz w:val="20"/>
      <w:szCs w:val="20"/>
    </w:rPr>
  </w:style>
  <w:style w:type="paragraph" w:customStyle="1" w:styleId="1377">
    <w:name w:val="xl688"/>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378">
    <w:name w:val="CM251"/>
    <w:basedOn w:val="146"/>
    <w:next w:val="146"/>
    <w:qFormat/>
    <w:uiPriority w:val="0"/>
    <w:pPr>
      <w:spacing w:after="315"/>
    </w:pPr>
    <w:rPr>
      <w:rFonts w:cs="Times New Roman"/>
      <w:color w:val="auto"/>
      <w:szCs w:val="20"/>
    </w:rPr>
  </w:style>
  <w:style w:type="paragraph" w:customStyle="1" w:styleId="1379">
    <w:name w:val="xl84"/>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color w:val="000000"/>
      <w:kern w:val="0"/>
      <w:sz w:val="20"/>
      <w:szCs w:val="20"/>
    </w:rPr>
  </w:style>
  <w:style w:type="paragraph" w:customStyle="1" w:styleId="1380">
    <w:name w:val="CM8"/>
    <w:basedOn w:val="146"/>
    <w:next w:val="146"/>
    <w:qFormat/>
    <w:uiPriority w:val="0"/>
    <w:pPr>
      <w:spacing w:line="468" w:lineRule="atLeast"/>
    </w:pPr>
    <w:rPr>
      <w:rFonts w:ascii="黑体" w:eastAsia="黑体" w:cs="Times New Roman"/>
      <w:color w:val="auto"/>
    </w:rPr>
  </w:style>
  <w:style w:type="paragraph" w:customStyle="1" w:styleId="1381">
    <w:name w:val="CM221"/>
    <w:basedOn w:val="146"/>
    <w:next w:val="146"/>
    <w:qFormat/>
    <w:uiPriority w:val="0"/>
    <w:pPr>
      <w:spacing w:after="848"/>
    </w:pPr>
    <w:rPr>
      <w:rFonts w:cs="Times New Roman"/>
      <w:color w:val="auto"/>
      <w:szCs w:val="20"/>
    </w:rPr>
  </w:style>
  <w:style w:type="paragraph" w:customStyle="1" w:styleId="1382">
    <w:name w:val="Char Char Char Char Char Char"/>
    <w:basedOn w:val="1"/>
    <w:qFormat/>
    <w:uiPriority w:val="0"/>
    <w:rPr>
      <w:rFonts w:ascii="宋体"/>
      <w:b/>
    </w:rPr>
  </w:style>
  <w:style w:type="paragraph" w:customStyle="1" w:styleId="1383">
    <w:name w:val="标题 44"/>
    <w:basedOn w:val="1"/>
    <w:qFormat/>
    <w:uiPriority w:val="0"/>
    <w:pPr>
      <w:widowControl/>
      <w:tabs>
        <w:tab w:val="left" w:pos="360"/>
        <w:tab w:val="left" w:pos="864"/>
      </w:tabs>
      <w:spacing w:line="480" w:lineRule="exact"/>
      <w:ind w:left="864" w:hanging="864" w:firstLineChars="200"/>
      <w:jc w:val="left"/>
    </w:pPr>
    <w:rPr>
      <w:color w:val="1F497D"/>
      <w:kern w:val="0"/>
      <w:sz w:val="20"/>
      <w:szCs w:val="20"/>
    </w:rPr>
  </w:style>
  <w:style w:type="paragraph" w:customStyle="1" w:styleId="1384">
    <w:name w:val="Level.0 Char"/>
    <w:qFormat/>
    <w:uiPriority w:val="0"/>
    <w:pPr>
      <w:tabs>
        <w:tab w:val="left" w:pos="1021"/>
        <w:tab w:val="left" w:pos="1560"/>
      </w:tabs>
      <w:spacing w:afterLines="100"/>
      <w:ind w:left="1021" w:right="306" w:hanging="420"/>
      <w:jc w:val="both"/>
    </w:pPr>
    <w:rPr>
      <w:rFonts w:ascii="Times New Roman" w:hAnsi="Times New Roman" w:eastAsia="PMingLiU" w:cs="Times New Roman"/>
      <w:b/>
      <w:kern w:val="52"/>
      <w:sz w:val="24"/>
      <w:lang w:val="en-US" w:eastAsia="zh-TW" w:bidi="ar-SA"/>
    </w:rPr>
  </w:style>
  <w:style w:type="paragraph" w:customStyle="1" w:styleId="1385">
    <w:name w:val="样式 样式 标题 44 dashd3dash4 dash1d131dash14 dash2d232dash2... + 首行缩进..."/>
    <w:basedOn w:val="1"/>
    <w:qFormat/>
    <w:uiPriority w:val="0"/>
    <w:pPr>
      <w:keepNext/>
      <w:keepLines/>
      <w:spacing w:line="360" w:lineRule="auto"/>
      <w:ind w:firstLine="200" w:firstLineChars="200"/>
      <w:jc w:val="left"/>
      <w:outlineLvl w:val="3"/>
    </w:pPr>
    <w:rPr>
      <w:rFonts w:eastAsia="黑体" w:cs="宋体"/>
      <w:b/>
      <w:bCs/>
      <w:color w:val="1F497D"/>
      <w:sz w:val="24"/>
      <w:szCs w:val="20"/>
    </w:rPr>
  </w:style>
  <w:style w:type="paragraph" w:customStyle="1" w:styleId="1386">
    <w:name w:val="et5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87">
    <w:name w:val="图注"/>
    <w:qFormat/>
    <w:uiPriority w:val="0"/>
    <w:pPr>
      <w:widowControl w:val="0"/>
      <w:adjustRightInd w:val="0"/>
      <w:snapToGrid w:val="0"/>
      <w:spacing w:line="360" w:lineRule="auto"/>
      <w:jc w:val="center"/>
    </w:pPr>
    <w:rPr>
      <w:rFonts w:ascii="Times New Roman" w:hAnsi="Times New Roman" w:eastAsia="黑体" w:cs="Times New Roman"/>
      <w:b/>
      <w:sz w:val="24"/>
      <w:szCs w:val="21"/>
      <w:lang w:val="en-US" w:eastAsia="zh-CN" w:bidi="ar-SA"/>
    </w:rPr>
  </w:style>
  <w:style w:type="paragraph" w:customStyle="1" w:styleId="1388">
    <w:name w:val="CM241"/>
    <w:basedOn w:val="146"/>
    <w:next w:val="146"/>
    <w:qFormat/>
    <w:uiPriority w:val="0"/>
    <w:pPr>
      <w:spacing w:after="1238"/>
    </w:pPr>
    <w:rPr>
      <w:rFonts w:cs="Times New Roman"/>
      <w:color w:val="auto"/>
      <w:szCs w:val="20"/>
    </w:rPr>
  </w:style>
  <w:style w:type="paragraph" w:customStyle="1" w:styleId="1389">
    <w:name w:val="格式2"/>
    <w:qFormat/>
    <w:uiPriority w:val="0"/>
    <w:rPr>
      <w:rFonts w:ascii="黑体" w:hAnsi="Times New Roman" w:eastAsia="黑体" w:cs="Times New Roman"/>
      <w:bCs/>
      <w:lang w:val="en-US" w:eastAsia="zh-CN" w:bidi="ar-SA"/>
    </w:rPr>
  </w:style>
  <w:style w:type="paragraph" w:customStyle="1" w:styleId="1390">
    <w:name w:val="et5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391">
    <w:name w:val="刊登"/>
    <w:basedOn w:val="1"/>
    <w:qFormat/>
    <w:uiPriority w:val="0"/>
    <w:pPr>
      <w:ind w:firstLine="588"/>
    </w:pPr>
    <w:rPr>
      <w:rFonts w:ascii="宋体"/>
      <w:b/>
      <w:sz w:val="30"/>
    </w:rPr>
  </w:style>
  <w:style w:type="paragraph" w:customStyle="1" w:styleId="1392">
    <w:name w:val="标题 61"/>
    <w:basedOn w:val="1"/>
    <w:next w:val="1"/>
    <w:qFormat/>
    <w:uiPriority w:val="0"/>
    <w:pPr>
      <w:numPr>
        <w:ilvl w:val="5"/>
        <w:numId w:val="11"/>
      </w:numPr>
      <w:tabs>
        <w:tab w:val="left" w:pos="360"/>
        <w:tab w:val="left" w:pos="798"/>
        <w:tab w:val="left" w:pos="2040"/>
      </w:tabs>
      <w:adjustRightInd w:val="0"/>
      <w:snapToGrid w:val="0"/>
      <w:spacing w:line="480" w:lineRule="exact"/>
      <w:jc w:val="left"/>
      <w:outlineLvl w:val="5"/>
    </w:pPr>
    <w:rPr>
      <w:rFonts w:ascii="Arial" w:hAnsi="Arial"/>
      <w:bCs/>
      <w:color w:val="00B0F0"/>
      <w:sz w:val="24"/>
    </w:rPr>
  </w:style>
  <w:style w:type="paragraph" w:customStyle="1" w:styleId="1393">
    <w:name w:val="表名"/>
    <w:next w:val="1"/>
    <w:qFormat/>
    <w:uiPriority w:val="0"/>
    <w:pPr>
      <w:keepNext/>
      <w:tabs>
        <w:tab w:val="left" w:pos="4887"/>
      </w:tabs>
      <w:spacing w:beforeLines="50" w:afterLines="20"/>
      <w:ind w:left="4944" w:hanging="624"/>
    </w:pPr>
    <w:rPr>
      <w:rFonts w:ascii="Times New Roman" w:hAnsi="Times New Roman" w:eastAsia="宋体" w:cs="Times New Roman"/>
      <w:kern w:val="2"/>
      <w:sz w:val="21"/>
      <w:szCs w:val="24"/>
      <w:lang w:val="en-US" w:eastAsia="zh-CN" w:bidi="ar-SA"/>
    </w:rPr>
  </w:style>
  <w:style w:type="paragraph" w:customStyle="1" w:styleId="1394">
    <w:name w:val="CM164"/>
    <w:basedOn w:val="146"/>
    <w:next w:val="146"/>
    <w:qFormat/>
    <w:uiPriority w:val="0"/>
    <w:pPr>
      <w:spacing w:line="286" w:lineRule="atLeast"/>
    </w:pPr>
    <w:rPr>
      <w:rFonts w:cs="Times New Roman"/>
      <w:color w:val="auto"/>
      <w:szCs w:val="20"/>
    </w:rPr>
  </w:style>
  <w:style w:type="paragraph" w:customStyle="1" w:styleId="1395">
    <w:name w:val="Char1 Char Char Char Char Char Char Char Char Char Char Char"/>
    <w:basedOn w:val="1"/>
    <w:qFormat/>
    <w:uiPriority w:val="0"/>
    <w:pPr>
      <w:pageBreakBefore/>
      <w:widowControl/>
      <w:tabs>
        <w:tab w:val="left" w:pos="432"/>
      </w:tabs>
      <w:ind w:left="432" w:hanging="432"/>
      <w:jc w:val="left"/>
    </w:pPr>
    <w:rPr>
      <w:rFonts w:ascii="宋体"/>
      <w:b/>
      <w:kern w:val="0"/>
      <w:sz w:val="20"/>
      <w:szCs w:val="20"/>
    </w:rPr>
  </w:style>
  <w:style w:type="paragraph" w:customStyle="1" w:styleId="1396">
    <w:name w:val="font11"/>
    <w:basedOn w:val="1"/>
    <w:qFormat/>
    <w:uiPriority w:val="0"/>
    <w:pPr>
      <w:widowControl/>
      <w:spacing w:before="100" w:after="100"/>
      <w:jc w:val="left"/>
    </w:pPr>
    <w:rPr>
      <w:rFonts w:hint="eastAsia" w:ascii="宋体" w:hAnsi="宋体"/>
      <w:kern w:val="0"/>
      <w:sz w:val="12"/>
      <w:szCs w:val="20"/>
    </w:rPr>
  </w:style>
  <w:style w:type="paragraph" w:customStyle="1" w:styleId="1397">
    <w:name w:val="CM208"/>
    <w:basedOn w:val="146"/>
    <w:next w:val="146"/>
    <w:qFormat/>
    <w:uiPriority w:val="0"/>
    <w:pPr>
      <w:spacing w:line="683" w:lineRule="atLeast"/>
    </w:pPr>
    <w:rPr>
      <w:rFonts w:cs="Times New Roman"/>
      <w:color w:val="auto"/>
      <w:szCs w:val="20"/>
    </w:rPr>
  </w:style>
  <w:style w:type="paragraph" w:customStyle="1" w:styleId="1398">
    <w:name w:val="一级标题格式"/>
    <w:basedOn w:val="3"/>
    <w:qFormat/>
    <w:uiPriority w:val="0"/>
    <w:pPr>
      <w:keepNext w:val="0"/>
      <w:keepLines w:val="0"/>
      <w:spacing w:beforeLines="100" w:afterLines="100" w:line="240" w:lineRule="auto"/>
      <w:ind w:left="2552" w:hanging="452"/>
      <w:jc w:val="center"/>
    </w:pPr>
    <w:rPr>
      <w:rFonts w:eastAsia="黑体"/>
      <w:b w:val="0"/>
      <w:color w:val="FF0000"/>
      <w:sz w:val="32"/>
    </w:rPr>
  </w:style>
  <w:style w:type="paragraph" w:customStyle="1" w:styleId="1399">
    <w:name w:val="xl6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400">
    <w:name w:val="CM24"/>
    <w:basedOn w:val="146"/>
    <w:next w:val="146"/>
    <w:qFormat/>
    <w:uiPriority w:val="0"/>
    <w:pPr>
      <w:spacing w:line="440" w:lineRule="atLeast"/>
    </w:pPr>
    <w:rPr>
      <w:rFonts w:cs="Times New Roman"/>
      <w:color w:val="auto"/>
      <w:szCs w:val="20"/>
    </w:rPr>
  </w:style>
  <w:style w:type="paragraph" w:customStyle="1" w:styleId="1401">
    <w:name w:val="CM13"/>
    <w:basedOn w:val="146"/>
    <w:next w:val="146"/>
    <w:qFormat/>
    <w:uiPriority w:val="0"/>
    <w:pPr>
      <w:spacing w:line="468" w:lineRule="atLeast"/>
    </w:pPr>
    <w:rPr>
      <w:rFonts w:ascii="黑体" w:eastAsia="黑体" w:cs="Times New Roman"/>
      <w:color w:val="auto"/>
    </w:rPr>
  </w:style>
  <w:style w:type="paragraph" w:customStyle="1" w:styleId="1402">
    <w:name w:val="纯文本2"/>
    <w:basedOn w:val="1"/>
    <w:qFormat/>
    <w:uiPriority w:val="0"/>
    <w:pPr>
      <w:adjustRightInd w:val="0"/>
      <w:spacing w:line="312" w:lineRule="atLeast"/>
      <w:textAlignment w:val="baseline"/>
    </w:pPr>
    <w:rPr>
      <w:rFonts w:ascii="宋体" w:hAnsi="Courier New"/>
      <w:kern w:val="0"/>
      <w:sz w:val="28"/>
      <w:szCs w:val="20"/>
    </w:rPr>
  </w:style>
  <w:style w:type="paragraph" w:customStyle="1" w:styleId="1403">
    <w:name w:val="纯文本4"/>
    <w:basedOn w:val="1"/>
    <w:qFormat/>
    <w:uiPriority w:val="0"/>
    <w:pPr>
      <w:adjustRightInd w:val="0"/>
      <w:spacing w:line="312" w:lineRule="atLeast"/>
      <w:textAlignment w:val="baseline"/>
    </w:pPr>
    <w:rPr>
      <w:rFonts w:ascii="宋体" w:hAnsi="Courier New"/>
      <w:kern w:val="0"/>
      <w:sz w:val="28"/>
      <w:szCs w:val="20"/>
    </w:rPr>
  </w:style>
  <w:style w:type="paragraph" w:customStyle="1" w:styleId="1404">
    <w:name w:val="正文段后空一行"/>
    <w:basedOn w:val="1"/>
    <w:qFormat/>
    <w:uiPriority w:val="0"/>
    <w:pPr>
      <w:spacing w:afterLines="100"/>
      <w:jc w:val="left"/>
    </w:pPr>
  </w:style>
  <w:style w:type="paragraph" w:customStyle="1" w:styleId="1405">
    <w:name w:val="列出段落3"/>
    <w:basedOn w:val="1"/>
    <w:qFormat/>
    <w:uiPriority w:val="34"/>
    <w:pPr>
      <w:ind w:firstLine="420" w:firstLineChars="200"/>
    </w:pPr>
  </w:style>
  <w:style w:type="paragraph" w:customStyle="1" w:styleId="1406">
    <w:name w:val="zy2"/>
    <w:basedOn w:val="1046"/>
    <w:qFormat/>
    <w:uiPriority w:val="0"/>
    <w:pPr>
      <w:outlineLvl w:val="0"/>
    </w:pPr>
  </w:style>
  <w:style w:type="paragraph" w:customStyle="1" w:styleId="1407">
    <w:name w:val="无间隔2"/>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08">
    <w:name w:val="默认段落字体 Para Char"/>
    <w:basedOn w:val="1"/>
    <w:qFormat/>
    <w:uiPriority w:val="0"/>
    <w:pPr>
      <w:adjustRightInd w:val="0"/>
      <w:spacing w:line="360" w:lineRule="auto"/>
    </w:pPr>
    <w:rPr>
      <w:rFonts w:ascii="宋体"/>
      <w:b/>
      <w:kern w:val="0"/>
      <w:sz w:val="24"/>
      <w:szCs w:val="20"/>
    </w:rPr>
  </w:style>
  <w:style w:type="paragraph" w:customStyle="1" w:styleId="1409">
    <w:name w:val="正文文本缩进 22"/>
    <w:basedOn w:val="1"/>
    <w:qFormat/>
    <w:uiPriority w:val="0"/>
    <w:pPr>
      <w:autoSpaceDE w:val="0"/>
      <w:autoSpaceDN w:val="0"/>
      <w:adjustRightInd w:val="0"/>
      <w:spacing w:line="480" w:lineRule="exact"/>
      <w:ind w:firstLine="420" w:firstLineChars="200"/>
      <w:jc w:val="left"/>
      <w:textAlignment w:val="baseline"/>
    </w:pPr>
    <w:rPr>
      <w:color w:val="1F497D"/>
      <w:sz w:val="24"/>
    </w:rPr>
  </w:style>
  <w:style w:type="paragraph" w:customStyle="1" w:styleId="1410">
    <w:name w:val="Char Char Char1 Char Char Char Char Char Char Char Char Char Char Char Char Char Char Char Char Char Char Char Char Char"/>
    <w:basedOn w:val="1"/>
    <w:qFormat/>
    <w:uiPriority w:val="0"/>
    <w:rPr>
      <w:rFonts w:ascii="Tahoma" w:hAnsi="Tahoma"/>
      <w:sz w:val="24"/>
      <w:szCs w:val="20"/>
    </w:rPr>
  </w:style>
  <w:style w:type="paragraph" w:customStyle="1" w:styleId="1411">
    <w:name w:val="xl11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412">
    <w:name w:val="三点段 Char"/>
    <w:basedOn w:val="1"/>
    <w:qFormat/>
    <w:uiPriority w:val="0"/>
    <w:pPr>
      <w:spacing w:line="360" w:lineRule="auto"/>
      <w:ind w:left="1200" w:hanging="1200" w:hangingChars="500"/>
    </w:pPr>
    <w:rPr>
      <w:rFonts w:hint="eastAsia" w:ascii="宋体"/>
      <w:sz w:val="24"/>
    </w:rPr>
  </w:style>
  <w:style w:type="paragraph" w:customStyle="1" w:styleId="1413">
    <w:name w:val="xl6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414">
    <w:name w:val="tll"/>
    <w:basedOn w:val="1"/>
    <w:qFormat/>
    <w:uiPriority w:val="0"/>
    <w:pPr>
      <w:autoSpaceDE w:val="0"/>
      <w:autoSpaceDN w:val="0"/>
      <w:adjustRightInd w:val="0"/>
      <w:spacing w:line="300" w:lineRule="atLeast"/>
      <w:ind w:firstLine="709"/>
      <w:jc w:val="left"/>
      <w:textAlignment w:val="baseline"/>
    </w:pPr>
    <w:rPr>
      <w:rFonts w:ascii="FangSong_GB2312" w:hAnsi="Arial" w:eastAsia="FangSong_GB2312"/>
      <w:kern w:val="0"/>
      <w:szCs w:val="20"/>
    </w:rPr>
  </w:style>
  <w:style w:type="paragraph" w:customStyle="1" w:styleId="1415">
    <w:name w:val="CM104"/>
    <w:basedOn w:val="146"/>
    <w:next w:val="146"/>
    <w:qFormat/>
    <w:uiPriority w:val="0"/>
    <w:pPr>
      <w:spacing w:line="468" w:lineRule="atLeast"/>
    </w:pPr>
    <w:rPr>
      <w:rFonts w:ascii="黑体" w:eastAsia="黑体" w:cs="Times New Roman"/>
      <w:color w:val="auto"/>
    </w:rPr>
  </w:style>
  <w:style w:type="paragraph" w:customStyle="1" w:styleId="1416">
    <w:name w:val="批注框文本1"/>
    <w:basedOn w:val="1"/>
    <w:semiHidden/>
    <w:qFormat/>
    <w:uiPriority w:val="0"/>
    <w:rPr>
      <w:sz w:val="16"/>
      <w:szCs w:val="16"/>
    </w:rPr>
  </w:style>
  <w:style w:type="paragraph" w:customStyle="1" w:styleId="1417">
    <w:name w:val="CM23"/>
    <w:basedOn w:val="146"/>
    <w:next w:val="146"/>
    <w:qFormat/>
    <w:uiPriority w:val="0"/>
    <w:pPr>
      <w:spacing w:line="468" w:lineRule="atLeast"/>
    </w:pPr>
    <w:rPr>
      <w:rFonts w:ascii="黑体" w:eastAsia="黑体" w:cs="Times New Roman"/>
      <w:color w:val="auto"/>
    </w:rPr>
  </w:style>
  <w:style w:type="paragraph" w:customStyle="1" w:styleId="1418">
    <w:name w:val="Char Char20"/>
    <w:basedOn w:val="1"/>
    <w:qFormat/>
    <w:uiPriority w:val="0"/>
    <w:pPr>
      <w:widowControl/>
      <w:spacing w:after="160" w:line="240" w:lineRule="exact"/>
      <w:ind w:firstLine="200" w:firstLineChars="200"/>
      <w:jc w:val="left"/>
    </w:pPr>
    <w:rPr>
      <w:rFonts w:ascii="Tahoma" w:hAnsi="Tahoma"/>
      <w:color w:val="1F497D"/>
      <w:sz w:val="20"/>
      <w:lang w:eastAsia="en-US"/>
    </w:rPr>
  </w:style>
  <w:style w:type="paragraph" w:customStyle="1" w:styleId="1419">
    <w:name w:val="CM140"/>
    <w:basedOn w:val="146"/>
    <w:next w:val="146"/>
    <w:qFormat/>
    <w:uiPriority w:val="0"/>
    <w:pPr>
      <w:spacing w:after="57"/>
    </w:pPr>
    <w:rPr>
      <w:rFonts w:ascii="黑体" w:eastAsia="黑体" w:cs="Times New Roman"/>
      <w:color w:val="auto"/>
    </w:rPr>
  </w:style>
  <w:style w:type="paragraph" w:customStyle="1" w:styleId="1420">
    <w:name w:val="正文文本3"/>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1421">
    <w:name w:val="註解方塊文字2"/>
    <w:basedOn w:val="1"/>
    <w:qFormat/>
    <w:uiPriority w:val="0"/>
    <w:rPr>
      <w:rFonts w:ascii="Arial" w:hAnsi="Arial" w:eastAsia="PMingLiU"/>
      <w:sz w:val="18"/>
      <w:szCs w:val="18"/>
    </w:rPr>
  </w:style>
  <w:style w:type="paragraph" w:customStyle="1" w:styleId="1422">
    <w:name w:val="CM255"/>
    <w:basedOn w:val="146"/>
    <w:next w:val="146"/>
    <w:qFormat/>
    <w:uiPriority w:val="0"/>
    <w:pPr>
      <w:spacing w:after="1728"/>
    </w:pPr>
    <w:rPr>
      <w:rFonts w:cs="Times New Roman"/>
      <w:color w:val="auto"/>
      <w:szCs w:val="20"/>
    </w:rPr>
  </w:style>
  <w:style w:type="paragraph" w:customStyle="1" w:styleId="1423">
    <w:name w:val="Footer First"/>
    <w:basedOn w:val="55"/>
    <w:qFormat/>
    <w:uiPriority w:val="0"/>
    <w:pPr>
      <w:keepLines/>
      <w:widowControl/>
      <w:tabs>
        <w:tab w:val="left" w:pos="1080"/>
        <w:tab w:val="left" w:pos="1627"/>
        <w:tab w:val="left" w:pos="2160"/>
        <w:tab w:val="left" w:pos="2880"/>
        <w:tab w:val="center" w:pos="4320"/>
        <w:tab w:val="clear" w:pos="4153"/>
        <w:tab w:val="clear" w:pos="8306"/>
      </w:tabs>
      <w:snapToGrid/>
      <w:spacing w:line="300" w:lineRule="exact"/>
      <w:jc w:val="center"/>
    </w:pPr>
    <w:rPr>
      <w:rFonts w:ascii="Univers" w:hAnsi="Univers"/>
      <w:kern w:val="0"/>
      <w:sz w:val="22"/>
      <w:szCs w:val="20"/>
    </w:rPr>
  </w:style>
  <w:style w:type="paragraph" w:customStyle="1" w:styleId="1424">
    <w:name w:val="样式 左侧:  2 字符 首行缩进:  0.85 厘米"/>
    <w:basedOn w:val="1"/>
    <w:qFormat/>
    <w:uiPriority w:val="0"/>
    <w:pPr>
      <w:adjustRightInd w:val="0"/>
      <w:snapToGrid w:val="0"/>
      <w:spacing w:line="360" w:lineRule="auto"/>
      <w:ind w:firstLine="425" w:firstLineChars="200"/>
      <w:jc w:val="left"/>
    </w:pPr>
    <w:rPr>
      <w:rFonts w:ascii="宋体" w:hAnsi="宋体" w:cs="宋体"/>
      <w:color w:val="1F497D"/>
      <w:szCs w:val="20"/>
    </w:rPr>
  </w:style>
  <w:style w:type="paragraph" w:customStyle="1" w:styleId="1425">
    <w:name w:val="Char Char Char1 Char Char Char Char Char Char Char Char Char"/>
    <w:basedOn w:val="1"/>
    <w:qFormat/>
    <w:uiPriority w:val="0"/>
    <w:rPr>
      <w:rFonts w:ascii="Tahoma" w:hAnsi="Tahoma"/>
      <w:sz w:val="24"/>
      <w:szCs w:val="20"/>
    </w:rPr>
  </w:style>
  <w:style w:type="paragraph" w:customStyle="1" w:styleId="1426">
    <w:name w:val="标书原文_图片_所在行"/>
    <w:next w:val="1"/>
    <w:qFormat/>
    <w:uiPriority w:val="0"/>
    <w:pPr>
      <w:keepNext/>
      <w:jc w:val="center"/>
    </w:pPr>
    <w:rPr>
      <w:rFonts w:ascii="Times New Roman" w:hAnsi="Times New Roman" w:eastAsia="宋体" w:cs="Times New Roman"/>
      <w:kern w:val="2"/>
      <w:sz w:val="21"/>
      <w:szCs w:val="24"/>
      <w:lang w:val="en-US" w:eastAsia="zh-CN" w:bidi="ar-SA"/>
    </w:rPr>
  </w:style>
  <w:style w:type="paragraph" w:customStyle="1" w:styleId="1427">
    <w:name w:val="页脚1"/>
    <w:basedOn w:val="1"/>
    <w:qFormat/>
    <w:uiPriority w:val="99"/>
    <w:pPr>
      <w:pBdr>
        <w:top w:val="thickThinSmallGap" w:color="auto" w:sz="24" w:space="1"/>
      </w:pBdr>
      <w:tabs>
        <w:tab w:val="center" w:pos="4153"/>
        <w:tab w:val="right" w:pos="8306"/>
      </w:tabs>
      <w:snapToGrid w:val="0"/>
      <w:jc w:val="center"/>
    </w:pPr>
    <w:rPr>
      <w:sz w:val="18"/>
      <w:szCs w:val="18"/>
    </w:rPr>
  </w:style>
  <w:style w:type="paragraph" w:customStyle="1" w:styleId="1428">
    <w:name w:val="Part Title"/>
    <w:basedOn w:val="1"/>
    <w:next w:val="1"/>
    <w:qFormat/>
    <w:uiPriority w:val="0"/>
    <w:pPr>
      <w:keepNext/>
      <w:keepLines/>
      <w:widowControl/>
      <w:tabs>
        <w:tab w:val="left" w:pos="720"/>
        <w:tab w:val="left" w:pos="1080"/>
        <w:tab w:val="left" w:pos="1627"/>
      </w:tabs>
      <w:spacing w:before="600" w:after="120" w:line="300" w:lineRule="exact"/>
      <w:jc w:val="center"/>
    </w:pPr>
    <w:rPr>
      <w:rFonts w:ascii="Arial" w:hAnsi="Arial"/>
      <w:b/>
      <w:kern w:val="28"/>
      <w:sz w:val="36"/>
      <w:szCs w:val="20"/>
    </w:rPr>
  </w:style>
  <w:style w:type="paragraph" w:customStyle="1" w:styleId="1429">
    <w:name w:val="CM56"/>
    <w:basedOn w:val="146"/>
    <w:next w:val="146"/>
    <w:qFormat/>
    <w:uiPriority w:val="0"/>
    <w:pPr>
      <w:spacing w:line="468" w:lineRule="atLeast"/>
    </w:pPr>
    <w:rPr>
      <w:rFonts w:ascii="黑体" w:eastAsia="黑体" w:cs="Times New Roman"/>
      <w:color w:val="auto"/>
    </w:rPr>
  </w:style>
  <w:style w:type="paragraph" w:customStyle="1" w:styleId="1430">
    <w:name w:val="xl71"/>
    <w:basedOn w:val="1"/>
    <w:qFormat/>
    <w:uiPriority w:val="0"/>
    <w:pPr>
      <w:widowControl/>
      <w:pBdr>
        <w:left w:val="single" w:color="auto" w:sz="4" w:space="0"/>
      </w:pBdr>
      <w:spacing w:before="100" w:beforeAutospacing="1" w:after="100" w:afterAutospacing="1"/>
      <w:jc w:val="right"/>
    </w:pPr>
    <w:rPr>
      <w:b/>
      <w:bCs/>
      <w:kern w:val="0"/>
      <w:sz w:val="20"/>
      <w:szCs w:val="20"/>
    </w:rPr>
  </w:style>
  <w:style w:type="paragraph" w:customStyle="1" w:styleId="1431">
    <w:name w:val="样式 标题 4 + 段前: 自动"/>
    <w:basedOn w:val="6"/>
    <w:qFormat/>
    <w:uiPriority w:val="0"/>
    <w:pPr>
      <w:tabs>
        <w:tab w:val="left" w:pos="1062"/>
      </w:tabs>
      <w:spacing w:beforeLines="50" w:after="0" w:line="400" w:lineRule="exact"/>
      <w:ind w:left="1062" w:hanging="864"/>
    </w:pPr>
    <w:rPr>
      <w:rFonts w:ascii="宋体" w:eastAsia="宋体" w:cs="宋体"/>
      <w:sz w:val="24"/>
      <w:szCs w:val="24"/>
    </w:rPr>
  </w:style>
  <w:style w:type="paragraph" w:customStyle="1" w:styleId="1432">
    <w:name w:val="字元 字元"/>
    <w:basedOn w:val="1"/>
    <w:qFormat/>
    <w:uiPriority w:val="0"/>
    <w:rPr>
      <w:rFonts w:ascii="FangSong_GB2312" w:eastAsia="FangSong_GB2312"/>
      <w:b/>
      <w:sz w:val="32"/>
      <w:szCs w:val="32"/>
    </w:rPr>
  </w:style>
  <w:style w:type="paragraph" w:customStyle="1" w:styleId="1433">
    <w:name w:val="xl686"/>
    <w:basedOn w:val="1"/>
    <w:qFormat/>
    <w:uiPriority w:val="0"/>
    <w:pPr>
      <w:widowControl/>
      <w:spacing w:before="100" w:beforeAutospacing="1" w:after="100" w:afterAutospacing="1"/>
      <w:jc w:val="center"/>
    </w:pPr>
    <w:rPr>
      <w:rFonts w:ascii="宋体" w:hAnsi="宋体" w:cs="宋体"/>
      <w:b/>
      <w:bCs/>
      <w:color w:val="000000"/>
      <w:kern w:val="0"/>
      <w:sz w:val="36"/>
      <w:szCs w:val="36"/>
    </w:rPr>
  </w:style>
  <w:style w:type="paragraph" w:customStyle="1" w:styleId="1434">
    <w:name w:val="Char Char Char1 Char Char Char Char Char Char Char Char Char Char Char Char Char Char Char Char Char Char Char Char Char Char Char Char"/>
    <w:basedOn w:val="1"/>
    <w:qFormat/>
    <w:uiPriority w:val="0"/>
    <w:rPr>
      <w:rFonts w:ascii="Tahoma" w:hAnsi="Tahoma"/>
      <w:sz w:val="24"/>
      <w:szCs w:val="20"/>
    </w:rPr>
  </w:style>
  <w:style w:type="paragraph" w:customStyle="1" w:styleId="1435">
    <w:name w:val="公文标题"/>
    <w:basedOn w:val="1"/>
    <w:qFormat/>
    <w:uiPriority w:val="0"/>
    <w:pPr>
      <w:spacing w:line="480" w:lineRule="exact"/>
      <w:ind w:firstLine="200" w:firstLineChars="200"/>
      <w:jc w:val="center"/>
    </w:pPr>
    <w:rPr>
      <w:rFonts w:ascii="FangSong_GB2312" w:eastAsia="FangSong_GB2312"/>
      <w:color w:val="1F497D"/>
      <w:sz w:val="44"/>
      <w:szCs w:val="32"/>
    </w:rPr>
  </w:style>
  <w:style w:type="paragraph" w:customStyle="1" w:styleId="1436">
    <w:name w:val="xl1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37">
    <w:name w:val="CM231"/>
    <w:basedOn w:val="146"/>
    <w:next w:val="146"/>
    <w:qFormat/>
    <w:uiPriority w:val="0"/>
    <w:pPr>
      <w:spacing w:after="785"/>
    </w:pPr>
    <w:rPr>
      <w:rFonts w:cs="Times New Roman"/>
      <w:color w:val="auto"/>
      <w:szCs w:val="20"/>
    </w:rPr>
  </w:style>
  <w:style w:type="paragraph" w:customStyle="1" w:styleId="1438">
    <w:name w:val="提示文字"/>
    <w:basedOn w:val="1"/>
    <w:qFormat/>
    <w:uiPriority w:val="0"/>
    <w:pPr>
      <w:spacing w:line="500" w:lineRule="exact"/>
      <w:ind w:firstLine="200" w:firstLineChars="200"/>
    </w:pPr>
    <w:rPr>
      <w:rFonts w:ascii="黑体" w:eastAsia="黑体"/>
      <w:b/>
      <w:bCs/>
      <w:sz w:val="24"/>
    </w:rPr>
  </w:style>
  <w:style w:type="paragraph" w:customStyle="1" w:styleId="1439">
    <w:name w:val="Heading 5"/>
    <w:basedOn w:val="1"/>
    <w:qFormat/>
    <w:uiPriority w:val="0"/>
    <w:pPr>
      <w:widowControl/>
      <w:tabs>
        <w:tab w:val="left" w:pos="1008"/>
      </w:tabs>
      <w:spacing w:line="480" w:lineRule="exact"/>
      <w:ind w:left="1008" w:hanging="1008" w:firstLineChars="200"/>
      <w:jc w:val="left"/>
    </w:pPr>
    <w:rPr>
      <w:color w:val="1F497D"/>
      <w:kern w:val="0"/>
      <w:sz w:val="20"/>
      <w:szCs w:val="20"/>
    </w:rPr>
  </w:style>
  <w:style w:type="paragraph" w:customStyle="1" w:styleId="1440">
    <w:name w:val="Char Char Char1 Char Char Char Char Char Char Char Char Char Char Char Char Char"/>
    <w:basedOn w:val="1"/>
    <w:qFormat/>
    <w:uiPriority w:val="0"/>
    <w:rPr>
      <w:rFonts w:ascii="Tahoma" w:hAnsi="Tahoma"/>
      <w:sz w:val="24"/>
      <w:szCs w:val="20"/>
    </w:rPr>
  </w:style>
  <w:style w:type="paragraph" w:customStyle="1" w:styleId="1441">
    <w:name w:val="CM145"/>
    <w:basedOn w:val="146"/>
    <w:next w:val="146"/>
    <w:qFormat/>
    <w:uiPriority w:val="0"/>
    <w:rPr>
      <w:rFonts w:cs="Times New Roman"/>
      <w:color w:val="auto"/>
      <w:szCs w:val="20"/>
    </w:rPr>
  </w:style>
  <w:style w:type="paragraph" w:customStyle="1" w:styleId="1442">
    <w:name w:val="xl173"/>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43">
    <w:name w:val="Texte3"/>
    <w:basedOn w:val="1"/>
    <w:qFormat/>
    <w:uiPriority w:val="0"/>
    <w:pPr>
      <w:widowControl/>
      <w:ind w:left="964"/>
      <w:jc w:val="left"/>
    </w:pPr>
    <w:rPr>
      <w:rFonts w:ascii="Arial" w:hAnsi="Arial"/>
      <w:kern w:val="0"/>
      <w:sz w:val="24"/>
      <w:szCs w:val="20"/>
      <w:lang w:val="fr-FR"/>
    </w:rPr>
  </w:style>
  <w:style w:type="paragraph" w:customStyle="1" w:styleId="1444">
    <w:name w:val="xl15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7030A0"/>
      <w:kern w:val="0"/>
      <w:sz w:val="20"/>
      <w:szCs w:val="20"/>
    </w:rPr>
  </w:style>
  <w:style w:type="paragraph" w:customStyle="1" w:styleId="1445">
    <w:name w:val="CM108"/>
    <w:basedOn w:val="146"/>
    <w:next w:val="146"/>
    <w:qFormat/>
    <w:uiPriority w:val="0"/>
    <w:pPr>
      <w:spacing w:line="313" w:lineRule="atLeast"/>
    </w:pPr>
    <w:rPr>
      <w:rFonts w:cs="Times New Roman"/>
      <w:color w:val="auto"/>
      <w:szCs w:val="20"/>
    </w:rPr>
  </w:style>
  <w:style w:type="paragraph" w:customStyle="1" w:styleId="1446">
    <w:name w:val="正文文本缩进 33"/>
    <w:basedOn w:val="1"/>
    <w:qFormat/>
    <w:uiPriority w:val="0"/>
    <w:pPr>
      <w:autoSpaceDE w:val="0"/>
      <w:autoSpaceDN w:val="0"/>
      <w:adjustRightInd w:val="0"/>
      <w:spacing w:line="480" w:lineRule="exact"/>
      <w:ind w:firstLine="525" w:firstLineChars="200"/>
      <w:jc w:val="left"/>
      <w:textAlignment w:val="baseline"/>
    </w:pPr>
    <w:rPr>
      <w:color w:val="1F497D"/>
      <w:sz w:val="24"/>
    </w:rPr>
  </w:style>
  <w:style w:type="paragraph" w:customStyle="1" w:styleId="1447">
    <w:name w:val="CM254"/>
    <w:basedOn w:val="146"/>
    <w:next w:val="146"/>
    <w:qFormat/>
    <w:uiPriority w:val="0"/>
    <w:pPr>
      <w:spacing w:after="4848"/>
    </w:pPr>
    <w:rPr>
      <w:rFonts w:cs="Times New Roman"/>
      <w:color w:val="auto"/>
      <w:szCs w:val="20"/>
    </w:rPr>
  </w:style>
  <w:style w:type="paragraph" w:customStyle="1" w:styleId="1448">
    <w:name w:val="样式37"/>
    <w:qFormat/>
    <w:uiPriority w:val="0"/>
    <w:pPr>
      <w:tabs>
        <w:tab w:val="left" w:pos="1134"/>
      </w:tabs>
      <w:ind w:left="1134" w:hanging="1134"/>
    </w:pPr>
    <w:rPr>
      <w:rFonts w:ascii="宋体" w:hAnsi="宋体" w:eastAsia="宋体" w:cs="Times New Roman"/>
      <w:kern w:val="2"/>
      <w:sz w:val="24"/>
      <w:szCs w:val="21"/>
      <w:lang w:val="en-US" w:eastAsia="zh-CN" w:bidi="ar-SA"/>
    </w:rPr>
  </w:style>
  <w:style w:type="paragraph" w:customStyle="1" w:styleId="1449">
    <w:name w:val="文本框2-居中"/>
    <w:qFormat/>
    <w:uiPriority w:val="0"/>
    <w:pPr>
      <w:keepNext/>
      <w:jc w:val="center"/>
    </w:pPr>
    <w:rPr>
      <w:rFonts w:ascii="Times New Roman" w:hAnsi="Times New Roman" w:eastAsia="宋体" w:cs="Times New Roman"/>
      <w:kern w:val="2"/>
      <w:sz w:val="21"/>
      <w:szCs w:val="24"/>
      <w:lang w:val="en-US" w:eastAsia="zh-CN" w:bidi="ar-SA"/>
    </w:rPr>
  </w:style>
  <w:style w:type="paragraph" w:customStyle="1" w:styleId="1450">
    <w:name w:val="样式35"/>
    <w:basedOn w:val="21"/>
    <w:qFormat/>
    <w:uiPriority w:val="0"/>
    <w:pPr>
      <w:widowControl w:val="0"/>
      <w:tabs>
        <w:tab w:val="left" w:pos="425"/>
      </w:tabs>
      <w:autoSpaceDE w:val="0"/>
      <w:autoSpaceDN w:val="0"/>
      <w:adjustRightInd w:val="0"/>
      <w:spacing w:afterLines="50" w:line="360" w:lineRule="exact"/>
      <w:ind w:left="425" w:hanging="425"/>
      <w:jc w:val="left"/>
      <w:textAlignment w:val="baseline"/>
    </w:pPr>
    <w:rPr>
      <w:rFonts w:ascii="宋体" w:hAnsi="宋体"/>
      <w:b w:val="0"/>
      <w:color w:val="000000"/>
      <w:kern w:val="2"/>
      <w:sz w:val="24"/>
      <w:szCs w:val="21"/>
    </w:rPr>
  </w:style>
  <w:style w:type="paragraph" w:customStyle="1" w:styleId="1451">
    <w:name w:val="表格3"/>
    <w:basedOn w:val="1"/>
    <w:qFormat/>
    <w:uiPriority w:val="0"/>
    <w:pPr>
      <w:adjustRightInd w:val="0"/>
      <w:spacing w:line="420" w:lineRule="atLeast"/>
      <w:ind w:firstLine="200" w:firstLineChars="200"/>
      <w:jc w:val="left"/>
      <w:textAlignment w:val="baseline"/>
    </w:pPr>
    <w:rPr>
      <w:rFonts w:eastAsia="楷体"/>
      <w:color w:val="1F497D"/>
      <w:kern w:val="0"/>
      <w:sz w:val="24"/>
    </w:rPr>
  </w:style>
  <w:style w:type="paragraph" w:customStyle="1" w:styleId="1452">
    <w:name w:val="Style Heading 1 + Justified"/>
    <w:basedOn w:val="3"/>
    <w:qFormat/>
    <w:uiPriority w:val="0"/>
    <w:pPr>
      <w:widowControl/>
      <w:tabs>
        <w:tab w:val="left" w:pos="1152"/>
      </w:tabs>
      <w:spacing w:before="120" w:after="360" w:line="240" w:lineRule="auto"/>
      <w:ind w:left="1152" w:hanging="1152"/>
    </w:pPr>
    <w:rPr>
      <w:rFonts w:ascii="Arial" w:hAnsi="Arial" w:eastAsia="PMingLiU"/>
      <w:bCs w:val="0"/>
      <w:kern w:val="28"/>
      <w:sz w:val="28"/>
      <w:szCs w:val="28"/>
      <w:lang w:eastAsia="zh-TW"/>
    </w:rPr>
  </w:style>
  <w:style w:type="paragraph" w:customStyle="1" w:styleId="1453">
    <w:name w:val="样式41"/>
    <w:qFormat/>
    <w:uiPriority w:val="0"/>
    <w:pPr>
      <w:tabs>
        <w:tab w:val="left" w:pos="1134"/>
      </w:tabs>
      <w:ind w:left="1134" w:hanging="1134"/>
    </w:pPr>
    <w:rPr>
      <w:rFonts w:ascii="宋体" w:hAnsi="宋体" w:eastAsia="宋体" w:cs="Times New Roman"/>
      <w:kern w:val="2"/>
      <w:sz w:val="24"/>
      <w:szCs w:val="24"/>
      <w:lang w:val="en-US" w:eastAsia="zh-CN" w:bidi="ar-SA"/>
    </w:rPr>
  </w:style>
  <w:style w:type="paragraph" w:customStyle="1" w:styleId="1454">
    <w:name w:val="标题 45"/>
    <w:basedOn w:val="1"/>
    <w:qFormat/>
    <w:uiPriority w:val="0"/>
    <w:pPr>
      <w:widowControl/>
      <w:tabs>
        <w:tab w:val="left" w:pos="360"/>
        <w:tab w:val="left" w:pos="864"/>
      </w:tabs>
      <w:spacing w:line="480" w:lineRule="exact"/>
      <w:ind w:left="864" w:hanging="864" w:firstLineChars="200"/>
      <w:jc w:val="left"/>
    </w:pPr>
    <w:rPr>
      <w:color w:val="1F497D"/>
      <w:kern w:val="0"/>
      <w:sz w:val="20"/>
      <w:szCs w:val="20"/>
    </w:rPr>
  </w:style>
  <w:style w:type="paragraph" w:customStyle="1" w:styleId="1455">
    <w:name w:val="列出段落11"/>
    <w:basedOn w:val="1"/>
    <w:qFormat/>
    <w:uiPriority w:val="0"/>
    <w:pPr>
      <w:ind w:firstLine="420" w:firstLineChars="200"/>
    </w:pPr>
    <w:rPr>
      <w:rFonts w:ascii="Calibri" w:hAnsi="Calibri"/>
      <w:szCs w:val="22"/>
    </w:rPr>
  </w:style>
  <w:style w:type="paragraph" w:customStyle="1" w:styleId="1456">
    <w:name w:val="样式36"/>
    <w:basedOn w:val="21"/>
    <w:qFormat/>
    <w:uiPriority w:val="0"/>
    <w:pPr>
      <w:widowControl w:val="0"/>
      <w:numPr>
        <w:ilvl w:val="3"/>
        <w:numId w:val="20"/>
      </w:numPr>
      <w:tabs>
        <w:tab w:val="left" w:pos="425"/>
        <w:tab w:val="left" w:pos="2040"/>
      </w:tabs>
      <w:autoSpaceDE w:val="0"/>
      <w:autoSpaceDN w:val="0"/>
      <w:adjustRightInd w:val="0"/>
      <w:spacing w:afterLines="50" w:line="360" w:lineRule="exact"/>
      <w:jc w:val="left"/>
      <w:textAlignment w:val="baseline"/>
    </w:pPr>
    <w:rPr>
      <w:rFonts w:ascii="宋体" w:hAnsi="宋体"/>
      <w:b w:val="0"/>
      <w:color w:val="000000"/>
      <w:kern w:val="2"/>
      <w:sz w:val="24"/>
      <w:szCs w:val="21"/>
    </w:rPr>
  </w:style>
  <w:style w:type="paragraph" w:customStyle="1" w:styleId="1457">
    <w:name w:val="CM224"/>
    <w:basedOn w:val="146"/>
    <w:next w:val="146"/>
    <w:qFormat/>
    <w:uiPriority w:val="0"/>
    <w:pPr>
      <w:spacing w:after="428"/>
    </w:pPr>
    <w:rPr>
      <w:rFonts w:cs="Times New Roman"/>
      <w:color w:val="auto"/>
      <w:szCs w:val="20"/>
    </w:rPr>
  </w:style>
  <w:style w:type="paragraph" w:customStyle="1" w:styleId="1458">
    <w:name w:val="CM7"/>
    <w:basedOn w:val="146"/>
    <w:next w:val="146"/>
    <w:qFormat/>
    <w:uiPriority w:val="0"/>
    <w:pPr>
      <w:spacing w:line="468" w:lineRule="atLeast"/>
    </w:pPr>
    <w:rPr>
      <w:rFonts w:ascii="黑体" w:eastAsia="黑体" w:cs="Times New Roman"/>
      <w:color w:val="auto"/>
    </w:rPr>
  </w:style>
  <w:style w:type="paragraph" w:customStyle="1" w:styleId="1459">
    <w:name w:val="Char1 Char Char Char1"/>
    <w:basedOn w:val="1"/>
    <w:qFormat/>
    <w:uiPriority w:val="0"/>
    <w:rPr>
      <w:rFonts w:ascii="FangSong_GB2312" w:eastAsia="FangSong_GB2312"/>
      <w:b/>
      <w:sz w:val="32"/>
      <w:szCs w:val="32"/>
    </w:rPr>
  </w:style>
  <w:style w:type="paragraph" w:customStyle="1" w:styleId="1460">
    <w:name w:val="目录2"/>
    <w:basedOn w:val="1"/>
    <w:qFormat/>
    <w:uiPriority w:val="0"/>
    <w:pPr>
      <w:adjustRightInd w:val="0"/>
      <w:spacing w:line="420" w:lineRule="atLeast"/>
      <w:ind w:left="227" w:firstLine="200" w:firstLineChars="200"/>
      <w:jc w:val="left"/>
      <w:textAlignment w:val="baseline"/>
    </w:pPr>
    <w:rPr>
      <w:color w:val="1F497D"/>
      <w:kern w:val="0"/>
      <w:sz w:val="24"/>
    </w:rPr>
  </w:style>
  <w:style w:type="paragraph" w:customStyle="1" w:styleId="1461">
    <w:name w:val="标题 64"/>
    <w:basedOn w:val="1"/>
    <w:qFormat/>
    <w:uiPriority w:val="0"/>
    <w:pPr>
      <w:widowControl/>
      <w:tabs>
        <w:tab w:val="left" w:pos="1152"/>
      </w:tabs>
      <w:spacing w:line="480" w:lineRule="exact"/>
      <w:ind w:left="1152" w:hanging="1152" w:firstLineChars="200"/>
      <w:jc w:val="left"/>
    </w:pPr>
    <w:rPr>
      <w:color w:val="1F497D"/>
      <w:kern w:val="0"/>
      <w:sz w:val="20"/>
      <w:szCs w:val="20"/>
    </w:rPr>
  </w:style>
  <w:style w:type="paragraph" w:customStyle="1" w:styleId="1462">
    <w:name w:val="样式14"/>
    <w:qFormat/>
    <w:uiPriority w:val="0"/>
    <w:pPr>
      <w:spacing w:afterLines="50" w:line="360" w:lineRule="exact"/>
      <w:ind w:left="1134" w:hanging="1134"/>
    </w:pPr>
    <w:rPr>
      <w:rFonts w:ascii="宋体" w:hAnsi="宋体" w:eastAsia="宋体" w:cs="Times New Roman"/>
      <w:kern w:val="2"/>
      <w:sz w:val="24"/>
      <w:szCs w:val="21"/>
      <w:lang w:val="en-US" w:eastAsia="zh-CN" w:bidi="ar-SA"/>
    </w:rPr>
  </w:style>
  <w:style w:type="paragraph" w:customStyle="1" w:styleId="1463">
    <w:name w:val="xl6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464">
    <w:name w:val="标题 84"/>
    <w:basedOn w:val="1"/>
    <w:qFormat/>
    <w:uiPriority w:val="0"/>
    <w:pPr>
      <w:widowControl/>
      <w:tabs>
        <w:tab w:val="left" w:pos="1440"/>
      </w:tabs>
      <w:spacing w:line="480" w:lineRule="exact"/>
      <w:ind w:left="1440" w:hanging="1440" w:firstLineChars="200"/>
      <w:jc w:val="left"/>
    </w:pPr>
    <w:rPr>
      <w:color w:val="1F497D"/>
      <w:kern w:val="0"/>
      <w:sz w:val="20"/>
      <w:szCs w:val="20"/>
    </w:rPr>
  </w:style>
  <w:style w:type="paragraph" w:customStyle="1" w:styleId="1465">
    <w:name w:val="CM130"/>
    <w:basedOn w:val="146"/>
    <w:next w:val="146"/>
    <w:qFormat/>
    <w:uiPriority w:val="0"/>
    <w:rPr>
      <w:rFonts w:cs="Times New Roman"/>
      <w:color w:val="auto"/>
      <w:szCs w:val="20"/>
    </w:rPr>
  </w:style>
  <w:style w:type="paragraph" w:customStyle="1" w:styleId="1466">
    <w:name w:val="CM219"/>
    <w:basedOn w:val="146"/>
    <w:next w:val="146"/>
    <w:qFormat/>
    <w:uiPriority w:val="0"/>
    <w:pPr>
      <w:spacing w:after="1213"/>
    </w:pPr>
    <w:rPr>
      <w:rFonts w:cs="Times New Roman"/>
      <w:color w:val="auto"/>
      <w:szCs w:val="20"/>
    </w:rPr>
  </w:style>
  <w:style w:type="paragraph" w:customStyle="1" w:styleId="1467">
    <w:name w:val="样式 标题 3列表编号31.1.1 + 四号 加粗 行距: 1.5 倍行距"/>
    <w:basedOn w:val="189"/>
    <w:qFormat/>
    <w:uiPriority w:val="0"/>
    <w:pPr>
      <w:adjustRightInd w:val="0"/>
      <w:spacing w:before="0" w:after="0" w:line="360" w:lineRule="auto"/>
      <w:textAlignment w:val="baseline"/>
    </w:pPr>
    <w:rPr>
      <w:rFonts w:cs="宋体"/>
      <w:kern w:val="0"/>
      <w:sz w:val="28"/>
      <w:szCs w:val="20"/>
    </w:rPr>
  </w:style>
  <w:style w:type="paragraph" w:customStyle="1" w:styleId="1468">
    <w:name w:val="第四级"/>
    <w:basedOn w:val="1"/>
    <w:qFormat/>
    <w:uiPriority w:val="0"/>
    <w:pPr>
      <w:tabs>
        <w:tab w:val="left" w:pos="2040"/>
      </w:tabs>
      <w:spacing w:line="500" w:lineRule="exact"/>
      <w:ind w:left="2040" w:hanging="420" w:firstLineChars="200"/>
    </w:pPr>
    <w:rPr>
      <w:sz w:val="24"/>
    </w:rPr>
  </w:style>
  <w:style w:type="paragraph" w:customStyle="1" w:styleId="1469">
    <w:name w:val="表左1"/>
    <w:basedOn w:val="1"/>
    <w:qFormat/>
    <w:uiPriority w:val="0"/>
    <w:pPr>
      <w:adjustRightInd w:val="0"/>
      <w:spacing w:line="360" w:lineRule="atLeast"/>
      <w:ind w:firstLine="200" w:firstLineChars="200"/>
      <w:jc w:val="left"/>
      <w:textAlignment w:val="baseline"/>
    </w:pPr>
    <w:rPr>
      <w:color w:val="1F497D"/>
      <w:kern w:val="0"/>
      <w:sz w:val="24"/>
    </w:rPr>
  </w:style>
  <w:style w:type="paragraph" w:customStyle="1" w:styleId="1470">
    <w:name w:val="标题 94"/>
    <w:basedOn w:val="1"/>
    <w:qFormat/>
    <w:uiPriority w:val="0"/>
    <w:pPr>
      <w:widowControl/>
      <w:tabs>
        <w:tab w:val="left" w:pos="1584"/>
      </w:tabs>
      <w:spacing w:line="480" w:lineRule="exact"/>
      <w:ind w:left="1584" w:hanging="1584" w:firstLineChars="200"/>
      <w:jc w:val="left"/>
    </w:pPr>
    <w:rPr>
      <w:color w:val="1F497D"/>
      <w:kern w:val="0"/>
      <w:sz w:val="20"/>
      <w:szCs w:val="20"/>
    </w:rPr>
  </w:style>
  <w:style w:type="paragraph" w:customStyle="1" w:styleId="1471">
    <w:name w:val="註解方塊文字"/>
    <w:basedOn w:val="1"/>
    <w:qFormat/>
    <w:uiPriority w:val="0"/>
    <w:pPr>
      <w:widowControl/>
      <w:jc w:val="left"/>
    </w:pPr>
    <w:rPr>
      <w:rFonts w:ascii="Arial" w:hAnsi="Arial" w:eastAsia="PMingLiU"/>
      <w:kern w:val="0"/>
      <w:sz w:val="18"/>
      <w:szCs w:val="18"/>
      <w:lang w:eastAsia="zh-HK"/>
    </w:rPr>
  </w:style>
  <w:style w:type="paragraph" w:customStyle="1" w:styleId="1472">
    <w:name w:val="合同书"/>
    <w:basedOn w:val="1"/>
    <w:qFormat/>
    <w:uiPriority w:val="0"/>
    <w:pPr>
      <w:spacing w:line="480" w:lineRule="exact"/>
      <w:ind w:firstLine="200" w:firstLineChars="200"/>
      <w:jc w:val="center"/>
    </w:pPr>
    <w:rPr>
      <w:rFonts w:ascii="宋体"/>
      <w:b/>
      <w:color w:val="1F497D"/>
      <w:sz w:val="36"/>
    </w:rPr>
  </w:style>
  <w:style w:type="paragraph" w:customStyle="1" w:styleId="1473">
    <w:name w:val="正文缩进3"/>
    <w:basedOn w:val="1"/>
    <w:qFormat/>
    <w:uiPriority w:val="0"/>
    <w:pPr>
      <w:ind w:firstLine="420"/>
    </w:pPr>
    <w:rPr>
      <w:szCs w:val="20"/>
    </w:rPr>
  </w:style>
  <w:style w:type="paragraph" w:customStyle="1" w:styleId="1474">
    <w:name w:val="条目"/>
    <w:basedOn w:val="84"/>
    <w:next w:val="1"/>
    <w:qFormat/>
    <w:uiPriority w:val="0"/>
    <w:pPr>
      <w:tabs>
        <w:tab w:val="left" w:pos="425"/>
        <w:tab w:val="left" w:pos="2098"/>
      </w:tabs>
      <w:spacing w:before="280" w:after="0" w:line="160" w:lineRule="exact"/>
      <w:ind w:left="425" w:hanging="425" w:firstLineChars="200"/>
      <w:jc w:val="left"/>
    </w:pPr>
    <w:rPr>
      <w:rFonts w:ascii="黑体" w:hAnsi="Arial" w:eastAsia="黑体" w:cs="Arial"/>
      <w:spacing w:val="40"/>
      <w:kern w:val="40"/>
      <w:sz w:val="24"/>
    </w:rPr>
  </w:style>
  <w:style w:type="paragraph" w:customStyle="1" w:styleId="1475">
    <w:name w:val="CM69"/>
    <w:basedOn w:val="146"/>
    <w:next w:val="146"/>
    <w:qFormat/>
    <w:uiPriority w:val="0"/>
    <w:pPr>
      <w:spacing w:line="468" w:lineRule="atLeast"/>
    </w:pPr>
    <w:rPr>
      <w:rFonts w:ascii="黑体" w:eastAsia="黑体" w:cs="Times New Roman"/>
      <w:color w:val="auto"/>
    </w:rPr>
  </w:style>
  <w:style w:type="paragraph" w:customStyle="1" w:styleId="1476">
    <w:name w:val="表格6"/>
    <w:basedOn w:val="687"/>
    <w:qFormat/>
    <w:uiPriority w:val="0"/>
    <w:pPr>
      <w:ind w:left="737" w:firstLine="0"/>
    </w:pPr>
  </w:style>
  <w:style w:type="paragraph" w:customStyle="1" w:styleId="1477">
    <w:name w:val="样式"/>
    <w:qFormat/>
    <w:uiPriority w:val="0"/>
    <w:pPr>
      <w:widowControl w:val="0"/>
      <w:autoSpaceDE w:val="0"/>
      <w:autoSpaceDN w:val="0"/>
      <w:adjustRightInd w:val="0"/>
    </w:pPr>
    <w:rPr>
      <w:rFonts w:ascii="宋体" w:hAnsi="宋体" w:eastAsia="宋体" w:cs="Times New Roman"/>
      <w:sz w:val="24"/>
      <w:szCs w:val="24"/>
      <w:lang w:val="en-US" w:eastAsia="zh-CN" w:bidi="ar-SA"/>
    </w:rPr>
  </w:style>
  <w:style w:type="paragraph" w:customStyle="1" w:styleId="1478">
    <w:name w:val="普通(网站)1"/>
    <w:basedOn w:val="1"/>
    <w:qFormat/>
    <w:uiPriority w:val="0"/>
    <w:pPr>
      <w:widowControl/>
      <w:spacing w:before="100" w:beforeAutospacing="1"/>
    </w:pPr>
    <w:rPr>
      <w:rFonts w:ascii="宋体" w:hAnsi="宋体"/>
      <w:kern w:val="0"/>
      <w:sz w:val="24"/>
    </w:rPr>
  </w:style>
  <w:style w:type="paragraph" w:customStyle="1" w:styleId="1479">
    <w:name w:val="样式 标题 1标题 1 1章节标题b1111213141511112113116112122132..."/>
    <w:basedOn w:val="3"/>
    <w:qFormat/>
    <w:uiPriority w:val="0"/>
    <w:pPr>
      <w:tabs>
        <w:tab w:val="left" w:pos="1134"/>
        <w:tab w:val="left" w:pos="1440"/>
      </w:tabs>
      <w:spacing w:before="0" w:after="0" w:line="360" w:lineRule="auto"/>
      <w:ind w:left="432" w:hanging="432"/>
      <w:jc w:val="left"/>
    </w:pPr>
    <w:rPr>
      <w:rFonts w:cs="宋体"/>
      <w:sz w:val="24"/>
      <w:szCs w:val="20"/>
    </w:rPr>
  </w:style>
  <w:style w:type="paragraph" w:customStyle="1" w:styleId="1480">
    <w:name w:val="样式 三级. + 首行缩进:  2 字符"/>
    <w:basedOn w:val="745"/>
    <w:qFormat/>
    <w:uiPriority w:val="0"/>
    <w:pPr>
      <w:ind w:firstLine="560"/>
    </w:pPr>
  </w:style>
  <w:style w:type="paragraph" w:customStyle="1" w:styleId="1481">
    <w:name w:val="Char Char Char Char Char Char1 Char Char Char Char11"/>
    <w:basedOn w:val="1"/>
    <w:qFormat/>
    <w:uiPriority w:val="0"/>
    <w:rPr>
      <w:rFonts w:ascii="FangSong_GB2312" w:eastAsia="FangSong_GB2312"/>
      <w:b/>
      <w:sz w:val="32"/>
      <w:szCs w:val="32"/>
    </w:rPr>
  </w:style>
  <w:style w:type="paragraph" w:customStyle="1" w:styleId="1482">
    <w:name w:val="kd"/>
    <w:basedOn w:val="713"/>
    <w:qFormat/>
    <w:uiPriority w:val="0"/>
    <w:pPr>
      <w:spacing w:line="360" w:lineRule="auto"/>
      <w:ind w:left="720" w:hanging="720" w:firstLineChars="200"/>
      <w:jc w:val="left"/>
    </w:pPr>
    <w:rPr>
      <w:rFonts w:ascii="宋体" w:eastAsia="宋体"/>
      <w:szCs w:val="24"/>
    </w:rPr>
  </w:style>
  <w:style w:type="paragraph" w:customStyle="1" w:styleId="1483">
    <w:name w:val="xl10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484">
    <w:name w:val="列表2"/>
    <w:basedOn w:val="1"/>
    <w:next w:val="1"/>
    <w:qFormat/>
    <w:uiPriority w:val="0"/>
    <w:pPr>
      <w:keepNext/>
      <w:tabs>
        <w:tab w:val="left" w:pos="1080"/>
      </w:tabs>
      <w:spacing w:before="120" w:after="120" w:line="360" w:lineRule="auto"/>
      <w:ind w:left="1077" w:hanging="357" w:firstLineChars="200"/>
      <w:jc w:val="left"/>
    </w:pPr>
  </w:style>
  <w:style w:type="paragraph" w:customStyle="1" w:styleId="1485">
    <w:name w:val="样式胡"/>
    <w:basedOn w:val="1"/>
    <w:qFormat/>
    <w:uiPriority w:val="0"/>
    <w:pPr>
      <w:tabs>
        <w:tab w:val="left" w:pos="1008"/>
      </w:tabs>
      <w:spacing w:line="480" w:lineRule="exact"/>
      <w:ind w:left="1008" w:hanging="1008" w:firstLineChars="200"/>
      <w:jc w:val="left"/>
    </w:pPr>
    <w:rPr>
      <w:rFonts w:ascii="黑体" w:hAnsi="Arial" w:eastAsia="黑体"/>
      <w:color w:val="1F497D"/>
      <w:sz w:val="24"/>
    </w:rPr>
  </w:style>
  <w:style w:type="paragraph" w:customStyle="1" w:styleId="1486">
    <w:name w:val="內文1-1"/>
    <w:qFormat/>
    <w:uiPriority w:val="0"/>
    <w:pPr>
      <w:spacing w:line="360" w:lineRule="auto"/>
      <w:ind w:left="1020" w:hanging="510"/>
      <w:jc w:val="both"/>
    </w:pPr>
    <w:rPr>
      <w:rFonts w:ascii="Times New Roman" w:hAnsi="Times New Roman" w:eastAsia="PMingLiU" w:cs="Times New Roman"/>
      <w:sz w:val="24"/>
      <w:lang w:val="en-US" w:eastAsia="zh-CN" w:bidi="ar-SA"/>
    </w:rPr>
  </w:style>
  <w:style w:type="paragraph" w:customStyle="1" w:styleId="1487">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88">
    <w:name w:val="內文0"/>
    <w:qFormat/>
    <w:uiPriority w:val="0"/>
    <w:pPr>
      <w:spacing w:line="300" w:lineRule="auto"/>
      <w:jc w:val="center"/>
    </w:pPr>
    <w:rPr>
      <w:rFonts w:ascii="Times New Roman" w:hAnsi="Times New Roman" w:eastAsia="PMingLiU" w:cs="Times New Roman"/>
      <w:spacing w:val="40"/>
      <w:sz w:val="28"/>
      <w:lang w:val="en-US" w:eastAsia="zh-CN" w:bidi="ar-SA"/>
    </w:rPr>
  </w:style>
  <w:style w:type="paragraph" w:customStyle="1" w:styleId="1489">
    <w:name w:val="xl15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490">
    <w:name w:val="CM39"/>
    <w:basedOn w:val="146"/>
    <w:next w:val="146"/>
    <w:qFormat/>
    <w:uiPriority w:val="0"/>
    <w:pPr>
      <w:spacing w:line="468" w:lineRule="atLeast"/>
    </w:pPr>
    <w:rPr>
      <w:rFonts w:ascii="黑体" w:eastAsia="黑体" w:cs="Times New Roman"/>
      <w:color w:val="auto"/>
    </w:rPr>
  </w:style>
  <w:style w:type="paragraph" w:customStyle="1" w:styleId="1491">
    <w:name w:val="CM153"/>
    <w:basedOn w:val="146"/>
    <w:next w:val="146"/>
    <w:qFormat/>
    <w:uiPriority w:val="0"/>
    <w:pPr>
      <w:spacing w:line="478" w:lineRule="atLeast"/>
    </w:pPr>
    <w:rPr>
      <w:rFonts w:cs="Times New Roman"/>
      <w:color w:val="auto"/>
      <w:szCs w:val="20"/>
    </w:rPr>
  </w:style>
  <w:style w:type="paragraph" w:customStyle="1" w:styleId="1492">
    <w:name w:val="Item List in Table"/>
    <w:qFormat/>
    <w:uiPriority w:val="0"/>
    <w:pPr>
      <w:tabs>
        <w:tab w:val="left" w:pos="284"/>
      </w:tabs>
      <w:spacing w:before="40" w:after="40"/>
      <w:ind w:left="284" w:hanging="284"/>
      <w:jc w:val="both"/>
    </w:pPr>
    <w:rPr>
      <w:rFonts w:ascii="Arial" w:hAnsi="Arial" w:eastAsia="宋体" w:cs="Arial"/>
      <w:sz w:val="18"/>
      <w:szCs w:val="18"/>
      <w:lang w:val="en-US" w:eastAsia="zh-CN" w:bidi="ar-SA"/>
    </w:rPr>
  </w:style>
  <w:style w:type="paragraph" w:customStyle="1" w:styleId="1493">
    <w:name w:val="标题 24"/>
    <w:basedOn w:val="1"/>
    <w:qFormat/>
    <w:uiPriority w:val="0"/>
    <w:pPr>
      <w:widowControl/>
      <w:tabs>
        <w:tab w:val="left" w:pos="360"/>
        <w:tab w:val="left" w:pos="576"/>
      </w:tabs>
      <w:spacing w:line="480" w:lineRule="exact"/>
      <w:ind w:left="576" w:hanging="576" w:firstLineChars="200"/>
      <w:jc w:val="left"/>
    </w:pPr>
    <w:rPr>
      <w:color w:val="1F497D"/>
      <w:kern w:val="0"/>
      <w:sz w:val="20"/>
      <w:szCs w:val="20"/>
    </w:rPr>
  </w:style>
  <w:style w:type="paragraph" w:customStyle="1" w:styleId="1494">
    <w:name w:val="1 Char"/>
    <w:basedOn w:val="846"/>
    <w:qFormat/>
    <w:uiPriority w:val="0"/>
    <w:pPr>
      <w:shd w:val="clear" w:color="auto" w:fill="000080"/>
      <w:adjustRightInd w:val="0"/>
      <w:spacing w:line="436" w:lineRule="exact"/>
      <w:ind w:left="357"/>
      <w:jc w:val="left"/>
      <w:outlineLvl w:val="3"/>
    </w:pPr>
    <w:rPr>
      <w:rFonts w:ascii="Tahoma" w:hAnsi="Tahoma" w:cs="Tahoma"/>
      <w:b/>
      <w:bCs/>
      <w:sz w:val="24"/>
      <w:szCs w:val="24"/>
    </w:rPr>
  </w:style>
  <w:style w:type="paragraph" w:customStyle="1" w:styleId="1495">
    <w:name w:val="CM206"/>
    <w:basedOn w:val="146"/>
    <w:next w:val="146"/>
    <w:qFormat/>
    <w:uiPriority w:val="0"/>
    <w:rPr>
      <w:rFonts w:cs="Times New Roman"/>
      <w:color w:val="auto"/>
      <w:szCs w:val="20"/>
    </w:rPr>
  </w:style>
  <w:style w:type="paragraph" w:customStyle="1" w:styleId="1496">
    <w:name w:val="CM41"/>
    <w:basedOn w:val="146"/>
    <w:next w:val="146"/>
    <w:qFormat/>
    <w:uiPriority w:val="0"/>
    <w:pPr>
      <w:spacing w:line="313" w:lineRule="atLeast"/>
    </w:pPr>
    <w:rPr>
      <w:rFonts w:cs="Times New Roman"/>
      <w:color w:val="auto"/>
      <w:szCs w:val="20"/>
    </w:rPr>
  </w:style>
  <w:style w:type="paragraph" w:customStyle="1" w:styleId="1497">
    <w:name w:val="样式 楷体_GB2312 小四 首行缩进:  0.8 厘米 行距: 固定值 28 磅"/>
    <w:basedOn w:val="1"/>
    <w:qFormat/>
    <w:uiPriority w:val="0"/>
    <w:pPr>
      <w:spacing w:line="360" w:lineRule="auto"/>
      <w:jc w:val="center"/>
    </w:pPr>
    <w:rPr>
      <w:rFonts w:eastAsia="FangSong_GB2312"/>
      <w:szCs w:val="21"/>
    </w:rPr>
  </w:style>
  <w:style w:type="paragraph" w:customStyle="1" w:styleId="1498">
    <w:name w:val="样式 标题 3 + 二号 Char Char Char Char"/>
    <w:basedOn w:val="5"/>
    <w:qFormat/>
    <w:uiPriority w:val="0"/>
    <w:pPr>
      <w:widowControl w:val="0"/>
      <w:tabs>
        <w:tab w:val="clear" w:pos="720"/>
        <w:tab w:val="clear" w:pos="1260"/>
      </w:tabs>
      <w:spacing w:before="0" w:after="0" w:line="240" w:lineRule="auto"/>
      <w:ind w:left="0" w:firstLine="0"/>
    </w:pPr>
    <w:rPr>
      <w:rFonts w:ascii="FangSong_GB2312" w:hAnsi="华文中宋" w:eastAsia="FangSong_GB2312"/>
      <w:bCs/>
      <w:kern w:val="2"/>
      <w:sz w:val="44"/>
      <w:szCs w:val="24"/>
    </w:rPr>
  </w:style>
  <w:style w:type="paragraph" w:customStyle="1" w:styleId="1499">
    <w:name w:val="ｽﾀｲﾙ 1"/>
    <w:basedOn w:val="1"/>
    <w:qFormat/>
    <w:uiPriority w:val="0"/>
    <w:pPr>
      <w:adjustRightInd w:val="0"/>
      <w:spacing w:line="360" w:lineRule="atLeast"/>
      <w:textAlignment w:val="baseline"/>
    </w:pPr>
    <w:rPr>
      <w:rFonts w:ascii="Arial" w:hAnsi="Arial" w:eastAsia="MS Gothic"/>
      <w:kern w:val="0"/>
      <w:sz w:val="24"/>
      <w:szCs w:val="20"/>
      <w:lang w:eastAsia="ja-JP"/>
    </w:rPr>
  </w:style>
  <w:style w:type="paragraph" w:customStyle="1" w:styleId="1500">
    <w:name w:val="CM156"/>
    <w:basedOn w:val="146"/>
    <w:next w:val="146"/>
    <w:qFormat/>
    <w:uiPriority w:val="0"/>
    <w:pPr>
      <w:spacing w:line="313" w:lineRule="atLeast"/>
    </w:pPr>
    <w:rPr>
      <w:rFonts w:cs="Times New Roman"/>
      <w:color w:val="auto"/>
      <w:szCs w:val="20"/>
    </w:rPr>
  </w:style>
  <w:style w:type="paragraph" w:customStyle="1" w:styleId="1501">
    <w:name w:val="通用2"/>
    <w:basedOn w:val="1"/>
    <w:qFormat/>
    <w:uiPriority w:val="0"/>
    <w:pPr>
      <w:tabs>
        <w:tab w:val="left" w:pos="425"/>
      </w:tabs>
      <w:spacing w:beforeLines="50" w:line="360" w:lineRule="auto"/>
      <w:ind w:left="425"/>
    </w:pPr>
    <w:rPr>
      <w:rFonts w:ascii="宋体"/>
      <w:szCs w:val="20"/>
    </w:rPr>
  </w:style>
  <w:style w:type="paragraph" w:customStyle="1" w:styleId="1502">
    <w:name w:val="修订11"/>
    <w:qFormat/>
    <w:uiPriority w:val="0"/>
    <w:rPr>
      <w:rFonts w:ascii="Times New Roman" w:hAnsi="Times New Roman" w:eastAsia="宋体" w:cs="Times New Roman"/>
      <w:kern w:val="2"/>
      <w:sz w:val="21"/>
      <w:szCs w:val="24"/>
      <w:lang w:val="en-US" w:eastAsia="zh-CN" w:bidi="ar-SA"/>
    </w:rPr>
  </w:style>
  <w:style w:type="paragraph" w:customStyle="1" w:styleId="1503">
    <w:name w:val="末级"/>
    <w:basedOn w:val="1"/>
    <w:qFormat/>
    <w:uiPriority w:val="0"/>
    <w:pPr>
      <w:tabs>
        <w:tab w:val="left" w:pos="567"/>
      </w:tabs>
      <w:spacing w:line="360" w:lineRule="auto"/>
      <w:ind w:left="567" w:hanging="567"/>
    </w:pPr>
    <w:rPr>
      <w:sz w:val="24"/>
    </w:rPr>
  </w:style>
  <w:style w:type="paragraph" w:customStyle="1" w:styleId="1504">
    <w:name w:val="样式 华文中宋 小四 加粗 Char"/>
    <w:basedOn w:val="1"/>
    <w:qFormat/>
    <w:uiPriority w:val="0"/>
    <w:rPr>
      <w:rFonts w:ascii="华文中宋" w:hAnsi="华文中宋" w:eastAsia="华文中宋"/>
      <w:b/>
      <w:bCs/>
      <w:sz w:val="24"/>
    </w:rPr>
  </w:style>
  <w:style w:type="paragraph" w:customStyle="1" w:styleId="1505">
    <w:name w:val="CM99"/>
    <w:basedOn w:val="146"/>
    <w:next w:val="146"/>
    <w:qFormat/>
    <w:uiPriority w:val="0"/>
    <w:pPr>
      <w:spacing w:line="313" w:lineRule="atLeast"/>
    </w:pPr>
    <w:rPr>
      <w:rFonts w:cs="Times New Roman"/>
      <w:color w:val="auto"/>
      <w:szCs w:val="20"/>
    </w:rPr>
  </w:style>
  <w:style w:type="paragraph" w:customStyle="1" w:styleId="1506">
    <w:name w:val="样式 标题 3 +"/>
    <w:basedOn w:val="5"/>
    <w:qFormat/>
    <w:uiPriority w:val="0"/>
    <w:pPr>
      <w:widowControl w:val="0"/>
      <w:tabs>
        <w:tab w:val="clear" w:pos="720"/>
        <w:tab w:val="clear" w:pos="1260"/>
      </w:tabs>
      <w:spacing w:before="0" w:after="0"/>
      <w:ind w:left="0" w:firstLine="0"/>
    </w:pPr>
    <w:rPr>
      <w:rFonts w:eastAsia="FangSong_GB2312"/>
      <w:bCs/>
      <w:sz w:val="24"/>
      <w:szCs w:val="24"/>
      <w:lang w:val="zh-CN"/>
    </w:rPr>
  </w:style>
  <w:style w:type="paragraph" w:customStyle="1" w:styleId="1507">
    <w:name w:val="Body text"/>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1508">
    <w:name w:val="CM194"/>
    <w:basedOn w:val="146"/>
    <w:next w:val="146"/>
    <w:qFormat/>
    <w:uiPriority w:val="0"/>
    <w:pPr>
      <w:spacing w:line="653" w:lineRule="atLeast"/>
    </w:pPr>
    <w:rPr>
      <w:rFonts w:cs="Times New Roman"/>
      <w:color w:val="auto"/>
      <w:szCs w:val="20"/>
    </w:rPr>
  </w:style>
  <w:style w:type="paragraph" w:customStyle="1" w:styleId="1509">
    <w:name w:val="Char Char Char1 Char Char Char Char Char Char Char Char Char Char Char Char Char Char Char Char Char Char Char Char Char Char"/>
    <w:basedOn w:val="1"/>
    <w:qFormat/>
    <w:uiPriority w:val="0"/>
    <w:rPr>
      <w:rFonts w:ascii="Tahoma" w:hAnsi="Tahoma"/>
      <w:sz w:val="24"/>
      <w:szCs w:val="20"/>
    </w:rPr>
  </w:style>
  <w:style w:type="paragraph" w:customStyle="1" w:styleId="1510">
    <w:name w:val="样式 标题 3 + 二号 Char Char Char"/>
    <w:basedOn w:val="5"/>
    <w:qFormat/>
    <w:uiPriority w:val="0"/>
    <w:pPr>
      <w:widowControl w:val="0"/>
      <w:tabs>
        <w:tab w:val="clear" w:pos="720"/>
        <w:tab w:val="clear" w:pos="1260"/>
      </w:tabs>
      <w:spacing w:before="0" w:after="0" w:line="240" w:lineRule="auto"/>
      <w:ind w:left="0" w:firstLine="0"/>
    </w:pPr>
    <w:rPr>
      <w:rFonts w:ascii="FangSong_GB2312" w:hAnsi="华文中宋" w:eastAsia="FangSong_GB2312"/>
      <w:bCs/>
      <w:kern w:val="2"/>
      <w:sz w:val="44"/>
      <w:szCs w:val="24"/>
    </w:rPr>
  </w:style>
  <w:style w:type="paragraph" w:customStyle="1" w:styleId="1511">
    <w:name w:val="bullet - short"/>
    <w:basedOn w:val="1"/>
    <w:qFormat/>
    <w:uiPriority w:val="0"/>
    <w:pPr>
      <w:widowControl/>
      <w:tabs>
        <w:tab w:val="left" w:pos="567"/>
        <w:tab w:val="left" w:pos="1627"/>
        <w:tab w:val="left" w:pos="2160"/>
        <w:tab w:val="left" w:pos="2880"/>
      </w:tabs>
      <w:spacing w:line="300" w:lineRule="auto"/>
      <w:ind w:left="567" w:hanging="567"/>
      <w:jc w:val="left"/>
    </w:pPr>
    <w:rPr>
      <w:rFonts w:ascii="Univers" w:hAnsi="Univers"/>
      <w:kern w:val="0"/>
      <w:sz w:val="22"/>
      <w:szCs w:val="20"/>
      <w:lang w:eastAsia="en-US"/>
    </w:rPr>
  </w:style>
  <w:style w:type="paragraph" w:customStyle="1" w:styleId="1512">
    <w:name w:val="样式 华文中宋 小四 加粗"/>
    <w:basedOn w:val="1"/>
    <w:qFormat/>
    <w:uiPriority w:val="0"/>
    <w:rPr>
      <w:rFonts w:ascii="华文中宋" w:hAnsi="华文中宋" w:eastAsia="华文中宋"/>
      <w:b/>
      <w:bCs/>
      <w:sz w:val="24"/>
    </w:rPr>
  </w:style>
  <w:style w:type="paragraph" w:customStyle="1" w:styleId="1513">
    <w:name w:val="Texte2"/>
    <w:basedOn w:val="1"/>
    <w:qFormat/>
    <w:uiPriority w:val="0"/>
    <w:pPr>
      <w:widowControl/>
      <w:ind w:left="624"/>
      <w:jc w:val="left"/>
    </w:pPr>
    <w:rPr>
      <w:rFonts w:ascii="Arial" w:hAnsi="Arial"/>
      <w:kern w:val="0"/>
      <w:sz w:val="24"/>
      <w:szCs w:val="20"/>
      <w:lang w:val="fr-FR"/>
    </w:rPr>
  </w:style>
  <w:style w:type="paragraph" w:customStyle="1" w:styleId="1514">
    <w:name w:val="CM157"/>
    <w:basedOn w:val="146"/>
    <w:next w:val="146"/>
    <w:qFormat/>
    <w:uiPriority w:val="0"/>
    <w:pPr>
      <w:spacing w:line="313" w:lineRule="atLeast"/>
    </w:pPr>
    <w:rPr>
      <w:rFonts w:cs="Times New Roman"/>
      <w:color w:val="auto"/>
      <w:szCs w:val="20"/>
    </w:rPr>
  </w:style>
  <w:style w:type="paragraph" w:customStyle="1" w:styleId="1515">
    <w:name w:val="CM169"/>
    <w:basedOn w:val="146"/>
    <w:next w:val="146"/>
    <w:qFormat/>
    <w:uiPriority w:val="0"/>
    <w:pPr>
      <w:spacing w:line="553" w:lineRule="atLeast"/>
    </w:pPr>
    <w:rPr>
      <w:rFonts w:cs="Times New Roman"/>
      <w:color w:val="auto"/>
      <w:szCs w:val="20"/>
    </w:rPr>
  </w:style>
  <w:style w:type="paragraph" w:customStyle="1" w:styleId="1516">
    <w:name w:val="标题 82"/>
    <w:basedOn w:val="1"/>
    <w:qFormat/>
    <w:uiPriority w:val="0"/>
    <w:pPr>
      <w:widowControl/>
      <w:tabs>
        <w:tab w:val="left" w:pos="1296"/>
        <w:tab w:val="left" w:pos="1440"/>
      </w:tabs>
      <w:spacing w:line="480" w:lineRule="exact"/>
      <w:ind w:left="1440" w:hanging="1440" w:firstLineChars="200"/>
      <w:jc w:val="left"/>
    </w:pPr>
    <w:rPr>
      <w:color w:val="1F497D"/>
      <w:kern w:val="0"/>
      <w:sz w:val="20"/>
    </w:rPr>
  </w:style>
  <w:style w:type="paragraph" w:customStyle="1" w:styleId="1517">
    <w:name w:val="样式 标题 2 + (西文) Times New Roman (中文) 仿宋_GB2312 居中 段前: 6 磅 段后:..."/>
    <w:basedOn w:val="4"/>
    <w:qFormat/>
    <w:uiPriority w:val="0"/>
    <w:pPr>
      <w:widowControl w:val="0"/>
      <w:spacing w:before="120" w:after="120" w:line="360" w:lineRule="auto"/>
      <w:ind w:firstLine="200" w:firstLineChars="200"/>
      <w:jc w:val="left"/>
    </w:pPr>
    <w:rPr>
      <w:rFonts w:ascii="Times New Roman" w:hAnsi="Times New Roman" w:eastAsia="FangSong_GB2312" w:cs="宋体"/>
      <w:bCs/>
      <w:kern w:val="2"/>
      <w:sz w:val="32"/>
    </w:rPr>
  </w:style>
  <w:style w:type="paragraph" w:customStyle="1" w:styleId="1518">
    <w:name w:val="CM196"/>
    <w:basedOn w:val="146"/>
    <w:next w:val="146"/>
    <w:qFormat/>
    <w:uiPriority w:val="0"/>
    <w:pPr>
      <w:spacing w:line="536" w:lineRule="atLeast"/>
    </w:pPr>
    <w:rPr>
      <w:rFonts w:cs="Times New Roman"/>
      <w:color w:val="auto"/>
      <w:szCs w:val="20"/>
    </w:rPr>
  </w:style>
  <w:style w:type="paragraph" w:customStyle="1" w:styleId="1519">
    <w:name w:val="ee"/>
    <w:basedOn w:val="1"/>
    <w:qFormat/>
    <w:uiPriority w:val="0"/>
    <w:pPr>
      <w:widowControl/>
      <w:spacing w:before="100" w:beforeAutospacing="1" w:after="100" w:afterAutospacing="1" w:line="300" w:lineRule="atLeast"/>
      <w:jc w:val="left"/>
    </w:pPr>
    <w:rPr>
      <w:rFonts w:ascii="宋体" w:hAnsi="宋体" w:cs="宋体"/>
      <w:color w:val="000000"/>
      <w:kern w:val="0"/>
      <w:sz w:val="18"/>
      <w:szCs w:val="18"/>
    </w:rPr>
  </w:style>
  <w:style w:type="paragraph" w:customStyle="1" w:styleId="1520">
    <w:name w:val="CM234"/>
    <w:basedOn w:val="146"/>
    <w:next w:val="146"/>
    <w:qFormat/>
    <w:uiPriority w:val="0"/>
    <w:pPr>
      <w:spacing w:after="653"/>
    </w:pPr>
    <w:rPr>
      <w:rFonts w:cs="Times New Roman"/>
      <w:color w:val="auto"/>
      <w:szCs w:val="20"/>
    </w:rPr>
  </w:style>
  <w:style w:type="paragraph" w:customStyle="1" w:styleId="1521">
    <w:name w:val="Char Char Char1 Char Char Char Char Char Char Char Char Char Char Char Char Char Char Char Char Char Char Char"/>
    <w:basedOn w:val="1"/>
    <w:qFormat/>
    <w:uiPriority w:val="0"/>
    <w:rPr>
      <w:rFonts w:ascii="Tahoma" w:hAnsi="Tahoma"/>
      <w:sz w:val="24"/>
      <w:szCs w:val="20"/>
    </w:rPr>
  </w:style>
  <w:style w:type="paragraph" w:customStyle="1" w:styleId="1522">
    <w:name w:val="标题 32"/>
    <w:basedOn w:val="1"/>
    <w:qFormat/>
    <w:uiPriority w:val="0"/>
    <w:pPr>
      <w:widowControl/>
      <w:tabs>
        <w:tab w:val="left" w:pos="720"/>
      </w:tabs>
      <w:spacing w:line="480" w:lineRule="exact"/>
      <w:ind w:left="720" w:hanging="720" w:firstLineChars="200"/>
      <w:jc w:val="left"/>
    </w:pPr>
    <w:rPr>
      <w:color w:val="1F497D"/>
      <w:kern w:val="0"/>
      <w:sz w:val="20"/>
    </w:rPr>
  </w:style>
  <w:style w:type="paragraph" w:customStyle="1" w:styleId="1523">
    <w:name w:val="3"/>
    <w:basedOn w:val="1"/>
    <w:next w:val="1478"/>
    <w:qFormat/>
    <w:uiPriority w:val="0"/>
    <w:pPr>
      <w:widowControl/>
      <w:spacing w:before="100" w:beforeAutospacing="1" w:after="100" w:afterAutospacing="1"/>
      <w:jc w:val="left"/>
    </w:pPr>
    <w:rPr>
      <w:rFonts w:ascii="宋体" w:hAnsi="宋体" w:cs="宋体"/>
      <w:kern w:val="0"/>
      <w:sz w:val="24"/>
    </w:rPr>
  </w:style>
  <w:style w:type="paragraph" w:customStyle="1" w:styleId="1524">
    <w:name w:val="Char Char Char Char Char Char Char Char Char Char Char Char"/>
    <w:basedOn w:val="1"/>
    <w:qFormat/>
    <w:uiPriority w:val="0"/>
    <w:rPr>
      <w:rFonts w:ascii="FangSong_GB2312" w:eastAsia="FangSong_GB2312"/>
      <w:b/>
      <w:sz w:val="32"/>
      <w:szCs w:val="32"/>
    </w:rPr>
  </w:style>
  <w:style w:type="paragraph" w:customStyle="1" w:styleId="1525">
    <w:name w:val="第一章"/>
    <w:basedOn w:val="1"/>
    <w:next w:val="1"/>
    <w:semiHidden/>
    <w:qFormat/>
    <w:uiPriority w:val="0"/>
    <w:pPr>
      <w:tabs>
        <w:tab w:val="left" w:pos="360"/>
      </w:tabs>
      <w:spacing w:line="360" w:lineRule="auto"/>
      <w:ind w:left="500" w:hanging="500" w:hangingChars="500"/>
      <w:jc w:val="center"/>
    </w:pPr>
    <w:rPr>
      <w:rFonts w:eastAsia="黑体"/>
      <w:sz w:val="44"/>
    </w:rPr>
  </w:style>
  <w:style w:type="paragraph" w:customStyle="1" w:styleId="1526">
    <w:name w:val="标题 92"/>
    <w:basedOn w:val="1"/>
    <w:qFormat/>
    <w:uiPriority w:val="0"/>
    <w:pPr>
      <w:widowControl/>
      <w:tabs>
        <w:tab w:val="left" w:pos="1440"/>
        <w:tab w:val="left" w:pos="1584"/>
      </w:tabs>
      <w:spacing w:line="480" w:lineRule="exact"/>
      <w:ind w:left="1584" w:hanging="1584" w:firstLineChars="200"/>
      <w:jc w:val="left"/>
    </w:pPr>
    <w:rPr>
      <w:color w:val="1F497D"/>
      <w:kern w:val="0"/>
      <w:sz w:val="20"/>
    </w:rPr>
  </w:style>
  <w:style w:type="paragraph" w:customStyle="1" w:styleId="1527">
    <w:name w:val="CM207"/>
    <w:basedOn w:val="146"/>
    <w:next w:val="146"/>
    <w:qFormat/>
    <w:uiPriority w:val="0"/>
    <w:pPr>
      <w:spacing w:line="423" w:lineRule="atLeast"/>
    </w:pPr>
    <w:rPr>
      <w:rFonts w:cs="Times New Roman"/>
      <w:color w:val="auto"/>
      <w:szCs w:val="20"/>
    </w:rPr>
  </w:style>
  <w:style w:type="paragraph" w:customStyle="1" w:styleId="1528">
    <w:name w:val="CM112"/>
    <w:basedOn w:val="146"/>
    <w:next w:val="146"/>
    <w:qFormat/>
    <w:uiPriority w:val="0"/>
    <w:rPr>
      <w:rFonts w:cs="Times New Roman"/>
      <w:color w:val="auto"/>
      <w:szCs w:val="20"/>
    </w:rPr>
  </w:style>
  <w:style w:type="paragraph" w:customStyle="1" w:styleId="1529">
    <w:name w:val="标题 62"/>
    <w:basedOn w:val="1"/>
    <w:qFormat/>
    <w:uiPriority w:val="0"/>
    <w:pPr>
      <w:widowControl/>
      <w:tabs>
        <w:tab w:val="left" w:pos="1008"/>
        <w:tab w:val="left" w:pos="1152"/>
      </w:tabs>
      <w:spacing w:line="480" w:lineRule="exact"/>
      <w:ind w:left="1152" w:hanging="1152" w:firstLineChars="200"/>
      <w:jc w:val="left"/>
    </w:pPr>
    <w:rPr>
      <w:color w:val="1F497D"/>
      <w:kern w:val="0"/>
      <w:sz w:val="20"/>
    </w:rPr>
  </w:style>
  <w:style w:type="paragraph" w:customStyle="1" w:styleId="1530">
    <w:name w:val="样式 首行缩进:  0.92 厘米"/>
    <w:basedOn w:val="1"/>
    <w:qFormat/>
    <w:uiPriority w:val="0"/>
    <w:pPr>
      <w:widowControl/>
      <w:spacing w:line="360" w:lineRule="auto"/>
      <w:ind w:firstLine="567"/>
      <w:jc w:val="left"/>
    </w:pPr>
    <w:rPr>
      <w:rFonts w:ascii="Calibri" w:hAnsi="Calibri" w:cs="宋体"/>
      <w:kern w:val="0"/>
      <w:sz w:val="24"/>
      <w:lang w:eastAsia="en-US"/>
    </w:rPr>
  </w:style>
  <w:style w:type="paragraph" w:customStyle="1" w:styleId="1531">
    <w:name w:val="Char Char Char Char Char Char Char Char Char Char Char Char1"/>
    <w:basedOn w:val="1"/>
    <w:qFormat/>
    <w:uiPriority w:val="0"/>
    <w:rPr>
      <w:rFonts w:ascii="FangSong_GB2312" w:eastAsia="FangSong_GB2312"/>
      <w:b/>
      <w:sz w:val="32"/>
      <w:szCs w:val="32"/>
    </w:rPr>
  </w:style>
  <w:style w:type="paragraph" w:customStyle="1" w:styleId="1532">
    <w:name w:val="Char Char Char1 Char Char Char Char Char Char Char Char Char Char Char Char Char1"/>
    <w:basedOn w:val="1"/>
    <w:qFormat/>
    <w:uiPriority w:val="0"/>
    <w:rPr>
      <w:rFonts w:ascii="Tahoma" w:hAnsi="Tahoma"/>
      <w:sz w:val="24"/>
      <w:szCs w:val="20"/>
    </w:rPr>
  </w:style>
  <w:style w:type="paragraph" w:customStyle="1" w:styleId="1533">
    <w:name w:val="CM175"/>
    <w:basedOn w:val="146"/>
    <w:next w:val="146"/>
    <w:qFormat/>
    <w:uiPriority w:val="0"/>
    <w:rPr>
      <w:rFonts w:cs="Times New Roman"/>
      <w:color w:val="auto"/>
      <w:szCs w:val="20"/>
    </w:rPr>
  </w:style>
  <w:style w:type="paragraph" w:customStyle="1" w:styleId="1534">
    <w:name w:val="項目1A"/>
    <w:basedOn w:val="1"/>
    <w:qFormat/>
    <w:uiPriority w:val="0"/>
    <w:pPr>
      <w:tabs>
        <w:tab w:val="left" w:pos="1701"/>
      </w:tabs>
      <w:snapToGrid w:val="0"/>
      <w:spacing w:line="400" w:lineRule="atLeast"/>
    </w:pPr>
    <w:rPr>
      <w:rFonts w:eastAsia="DFKai-SB"/>
      <w:sz w:val="26"/>
      <w:szCs w:val="20"/>
      <w:lang w:eastAsia="zh-TW"/>
    </w:rPr>
  </w:style>
  <w:style w:type="paragraph" w:customStyle="1" w:styleId="1535">
    <w:name w:val="Char1 Char Char Char Char Char Char Char Char1 Char"/>
    <w:basedOn w:val="1"/>
    <w:qFormat/>
    <w:uiPriority w:val="0"/>
    <w:rPr>
      <w:rFonts w:ascii="FangSong_GB2312" w:eastAsia="FangSong_GB2312"/>
      <w:b/>
      <w:sz w:val="32"/>
      <w:szCs w:val="32"/>
    </w:rPr>
  </w:style>
  <w:style w:type="paragraph" w:customStyle="1" w:styleId="1536">
    <w:name w:val="CM191"/>
    <w:basedOn w:val="146"/>
    <w:next w:val="146"/>
    <w:qFormat/>
    <w:uiPriority w:val="0"/>
    <w:rPr>
      <w:rFonts w:cs="Times New Roman"/>
      <w:color w:val="auto"/>
      <w:szCs w:val="20"/>
    </w:rPr>
  </w:style>
  <w:style w:type="paragraph" w:customStyle="1" w:styleId="1537">
    <w:name w:val="CM4"/>
    <w:basedOn w:val="146"/>
    <w:next w:val="146"/>
    <w:qFormat/>
    <w:uiPriority w:val="0"/>
    <w:rPr>
      <w:rFonts w:cs="Times New Roman"/>
      <w:color w:val="auto"/>
      <w:szCs w:val="20"/>
    </w:rPr>
  </w:style>
  <w:style w:type="paragraph" w:customStyle="1" w:styleId="1538">
    <w:name w:val="样式 样式 样式 样式 行距: 固定值 20 磅 + 首行缩进:  2 字符 + 首行缩进:  2 字符 + 首行缩进:  2 ..."/>
    <w:basedOn w:val="1"/>
    <w:qFormat/>
    <w:uiPriority w:val="0"/>
    <w:pPr>
      <w:spacing w:line="360" w:lineRule="auto"/>
      <w:ind w:firstLine="200" w:firstLineChars="200"/>
    </w:pPr>
    <w:rPr>
      <w:rFonts w:cs="宋体"/>
      <w:szCs w:val="20"/>
    </w:rPr>
  </w:style>
  <w:style w:type="paragraph" w:customStyle="1" w:styleId="1539">
    <w:name w:val="Default Text"/>
    <w:basedOn w:val="1"/>
    <w:qFormat/>
    <w:uiPriority w:val="0"/>
    <w:pPr>
      <w:widowControl/>
      <w:adjustRightInd w:val="0"/>
      <w:spacing w:line="480" w:lineRule="exact"/>
      <w:ind w:firstLine="200" w:firstLineChars="200"/>
      <w:jc w:val="left"/>
      <w:textAlignment w:val="baseline"/>
    </w:pPr>
    <w:rPr>
      <w:color w:val="1F497D"/>
      <w:kern w:val="0"/>
      <w:sz w:val="24"/>
    </w:rPr>
  </w:style>
  <w:style w:type="paragraph" w:customStyle="1" w:styleId="1540">
    <w:name w:val="1."/>
    <w:basedOn w:val="1"/>
    <w:qFormat/>
    <w:uiPriority w:val="0"/>
    <w:pPr>
      <w:tabs>
        <w:tab w:val="left" w:pos="0"/>
        <w:tab w:val="left" w:pos="426"/>
      </w:tabs>
      <w:adjustRightInd w:val="0"/>
      <w:spacing w:before="60" w:after="60" w:line="360" w:lineRule="atLeast"/>
      <w:ind w:left="426" w:hanging="426" w:firstLineChars="200"/>
      <w:jc w:val="left"/>
      <w:textAlignment w:val="baseline"/>
    </w:pPr>
    <w:rPr>
      <w:rFonts w:ascii="Arial" w:hAnsi="Arial"/>
      <w:color w:val="1F497D"/>
      <w:kern w:val="0"/>
      <w:szCs w:val="20"/>
    </w:rPr>
  </w:style>
  <w:style w:type="paragraph" w:customStyle="1" w:styleId="1541">
    <w:name w:val="Char Char Char1 Char Char Char Char Char Char Char Char Char Char Char Char Char Char Char Char Char Char Char Char Char Char Char Char1"/>
    <w:basedOn w:val="1"/>
    <w:qFormat/>
    <w:uiPriority w:val="0"/>
    <w:rPr>
      <w:rFonts w:ascii="Tahoma" w:hAnsi="Tahoma"/>
      <w:sz w:val="24"/>
      <w:szCs w:val="20"/>
    </w:rPr>
  </w:style>
  <w:style w:type="paragraph" w:customStyle="1" w:styleId="1542">
    <w:name w:val="技规文2"/>
    <w:basedOn w:val="1"/>
    <w:qFormat/>
    <w:uiPriority w:val="0"/>
    <w:pPr>
      <w:autoSpaceDE w:val="0"/>
      <w:autoSpaceDN w:val="0"/>
      <w:adjustRightInd w:val="0"/>
      <w:spacing w:line="500" w:lineRule="atLeast"/>
      <w:ind w:firstLine="200" w:firstLineChars="200"/>
      <w:jc w:val="left"/>
      <w:textAlignment w:val="bottom"/>
    </w:pPr>
    <w:rPr>
      <w:rFonts w:ascii="KaiTi_GB2312" w:eastAsia="KaiTi_GB2312"/>
      <w:color w:val="1F497D"/>
      <w:kern w:val="0"/>
      <w:sz w:val="24"/>
    </w:rPr>
  </w:style>
  <w:style w:type="paragraph" w:customStyle="1" w:styleId="1543">
    <w:name w:val="CM122"/>
    <w:basedOn w:val="146"/>
    <w:next w:val="146"/>
    <w:qFormat/>
    <w:uiPriority w:val="0"/>
    <w:pPr>
      <w:spacing w:line="468" w:lineRule="atLeast"/>
    </w:pPr>
    <w:rPr>
      <w:rFonts w:cs="Times New Roman"/>
      <w:color w:val="auto"/>
      <w:szCs w:val="20"/>
    </w:rPr>
  </w:style>
  <w:style w:type="paragraph" w:customStyle="1" w:styleId="1544">
    <w:name w:val="技规文1"/>
    <w:basedOn w:val="1"/>
    <w:qFormat/>
    <w:uiPriority w:val="0"/>
    <w:pPr>
      <w:autoSpaceDE w:val="0"/>
      <w:autoSpaceDN w:val="0"/>
      <w:adjustRightInd w:val="0"/>
      <w:spacing w:line="500" w:lineRule="atLeast"/>
      <w:ind w:firstLine="200" w:firstLineChars="200"/>
      <w:jc w:val="left"/>
      <w:textAlignment w:val="bottom"/>
    </w:pPr>
    <w:rPr>
      <w:rFonts w:ascii="KaiTi_GB2312" w:eastAsia="KaiTi_GB2312"/>
      <w:b/>
      <w:color w:val="1F497D"/>
      <w:kern w:val="0"/>
      <w:sz w:val="24"/>
    </w:rPr>
  </w:style>
  <w:style w:type="paragraph" w:customStyle="1" w:styleId="1545">
    <w:name w:val="节标题_3"/>
    <w:basedOn w:val="1"/>
    <w:qFormat/>
    <w:uiPriority w:val="0"/>
    <w:pPr>
      <w:widowControl/>
      <w:tabs>
        <w:tab w:val="left" w:pos="1418"/>
      </w:tabs>
      <w:spacing w:before="360"/>
      <w:ind w:left="2836" w:hanging="1418"/>
      <w:jc w:val="left"/>
    </w:pPr>
    <w:rPr>
      <w:rFonts w:ascii="Arial" w:hAnsi="Arial" w:eastAsia="黑体"/>
      <w:b/>
      <w:kern w:val="44"/>
      <w:sz w:val="30"/>
      <w:szCs w:val="20"/>
    </w:rPr>
  </w:style>
  <w:style w:type="paragraph" w:customStyle="1" w:styleId="1546">
    <w:name w:val="级别3"/>
    <w:basedOn w:val="180"/>
    <w:qFormat/>
    <w:uiPriority w:val="0"/>
    <w:pPr>
      <w:tabs>
        <w:tab w:val="left" w:pos="709"/>
        <w:tab w:val="left" w:pos="1887"/>
      </w:tabs>
      <w:ind w:left="709"/>
      <w:outlineLvl w:val="2"/>
    </w:pPr>
  </w:style>
  <w:style w:type="paragraph" w:customStyle="1" w:styleId="1547">
    <w:name w:val="Char Char Char Char Char Char1 Char Char Char Char Char Char Char"/>
    <w:basedOn w:val="1"/>
    <w:qFormat/>
    <w:uiPriority w:val="0"/>
    <w:pPr>
      <w:widowControl/>
      <w:spacing w:after="160" w:line="240" w:lineRule="exact"/>
      <w:jc w:val="left"/>
    </w:pPr>
    <w:rPr>
      <w:rFonts w:ascii="Verdana" w:hAnsi="Verdana" w:eastAsia="FangSong_GB2312"/>
      <w:kern w:val="0"/>
      <w:sz w:val="30"/>
      <w:szCs w:val="30"/>
      <w:lang w:eastAsia="en-US"/>
    </w:rPr>
  </w:style>
  <w:style w:type="paragraph" w:customStyle="1" w:styleId="1548">
    <w:name w:val="Char Char Char1 Char Char Char1 Char"/>
    <w:basedOn w:val="1"/>
    <w:qFormat/>
    <w:uiPriority w:val="0"/>
    <w:rPr>
      <w:rFonts w:ascii="Tahoma" w:hAnsi="Tahoma"/>
      <w:sz w:val="24"/>
      <w:szCs w:val="20"/>
    </w:rPr>
  </w:style>
  <w:style w:type="paragraph" w:customStyle="1" w:styleId="1549">
    <w:name w:val="技规文4"/>
    <w:basedOn w:val="1"/>
    <w:qFormat/>
    <w:uiPriority w:val="0"/>
    <w:pPr>
      <w:tabs>
        <w:tab w:val="left" w:pos="1440"/>
      </w:tabs>
      <w:autoSpaceDE w:val="0"/>
      <w:autoSpaceDN w:val="0"/>
      <w:adjustRightInd w:val="0"/>
      <w:spacing w:line="500" w:lineRule="atLeast"/>
      <w:ind w:firstLine="200" w:firstLineChars="200"/>
      <w:jc w:val="left"/>
      <w:textAlignment w:val="bottom"/>
    </w:pPr>
    <w:rPr>
      <w:rFonts w:ascii="KaiTi_GB2312" w:eastAsia="KaiTi_GB2312"/>
      <w:color w:val="1F497D"/>
      <w:kern w:val="0"/>
      <w:sz w:val="24"/>
    </w:rPr>
  </w:style>
  <w:style w:type="paragraph" w:customStyle="1" w:styleId="1550">
    <w:name w:val="专用2"/>
    <w:basedOn w:val="1"/>
    <w:qFormat/>
    <w:uiPriority w:val="0"/>
    <w:pPr>
      <w:tabs>
        <w:tab w:val="left" w:pos="840"/>
      </w:tabs>
      <w:spacing w:beforeLines="100" w:line="360" w:lineRule="auto"/>
      <w:ind w:left="840" w:hanging="840" w:hangingChars="400"/>
    </w:pPr>
    <w:rPr>
      <w:rFonts w:ascii="宋体"/>
      <w:szCs w:val="20"/>
    </w:rPr>
  </w:style>
  <w:style w:type="paragraph" w:customStyle="1" w:styleId="1551">
    <w:name w:val="CM265"/>
    <w:basedOn w:val="146"/>
    <w:next w:val="146"/>
    <w:qFormat/>
    <w:uiPriority w:val="0"/>
    <w:pPr>
      <w:spacing w:after="5480"/>
    </w:pPr>
    <w:rPr>
      <w:rFonts w:cs="Times New Roman"/>
      <w:color w:val="auto"/>
      <w:szCs w:val="20"/>
    </w:rPr>
  </w:style>
  <w:style w:type="paragraph" w:customStyle="1" w:styleId="1552">
    <w:name w:val="l9标题7"/>
    <w:basedOn w:val="1"/>
    <w:qFormat/>
    <w:uiPriority w:val="0"/>
    <w:pPr>
      <w:tabs>
        <w:tab w:val="left" w:pos="360"/>
        <w:tab w:val="left" w:pos="567"/>
        <w:tab w:val="left" w:pos="720"/>
        <w:tab w:val="left" w:pos="1080"/>
        <w:tab w:val="left" w:pos="4020"/>
      </w:tabs>
      <w:spacing w:line="360" w:lineRule="auto"/>
      <w:ind w:left="4020" w:hanging="420"/>
    </w:pPr>
    <w:rPr>
      <w:sz w:val="24"/>
      <w:szCs w:val="20"/>
    </w:rPr>
  </w:style>
  <w:style w:type="paragraph" w:customStyle="1" w:styleId="1553">
    <w:name w:val="l9标题6"/>
    <w:basedOn w:val="1"/>
    <w:qFormat/>
    <w:uiPriority w:val="0"/>
    <w:pPr>
      <w:tabs>
        <w:tab w:val="left" w:pos="360"/>
        <w:tab w:val="left" w:pos="567"/>
        <w:tab w:val="left" w:pos="720"/>
      </w:tabs>
      <w:spacing w:line="360" w:lineRule="auto"/>
      <w:ind w:left="227" w:hanging="227"/>
    </w:pPr>
    <w:rPr>
      <w:sz w:val="24"/>
      <w:szCs w:val="20"/>
    </w:rPr>
  </w:style>
  <w:style w:type="paragraph" w:customStyle="1" w:styleId="1554">
    <w:name w:val="l9标题5"/>
    <w:basedOn w:val="1231"/>
    <w:qFormat/>
    <w:uiPriority w:val="0"/>
    <w:pPr>
      <w:tabs>
        <w:tab w:val="left" w:pos="720"/>
      </w:tabs>
      <w:spacing w:beforeLines="0" w:afterLines="0"/>
      <w:ind w:left="0" w:firstLine="0"/>
    </w:pPr>
    <w:rPr>
      <w:b w:val="0"/>
      <w:bCs w:val="0"/>
      <w:szCs w:val="20"/>
    </w:rPr>
  </w:style>
  <w:style w:type="paragraph" w:customStyle="1" w:styleId="1555">
    <w:name w:val="样式 标题 2标题 1.1编号标题22 headlinehheadlineS&amp;R2ERMH2head:2#He..."/>
    <w:basedOn w:val="4"/>
    <w:qFormat/>
    <w:uiPriority w:val="0"/>
    <w:pPr>
      <w:keepNext w:val="0"/>
      <w:keepLines w:val="0"/>
      <w:widowControl w:val="0"/>
      <w:tabs>
        <w:tab w:val="left" w:pos="1200"/>
        <w:tab w:val="left" w:pos="2340"/>
      </w:tabs>
      <w:spacing w:beforeLines="100" w:afterLines="50" w:line="360" w:lineRule="auto"/>
      <w:jc w:val="left"/>
    </w:pPr>
    <w:rPr>
      <w:rFonts w:ascii="宋体" w:hAnsi="宋体" w:eastAsia="宋体" w:cs="宋体"/>
      <w:bCs/>
      <w:kern w:val="2"/>
      <w:sz w:val="24"/>
    </w:rPr>
  </w:style>
  <w:style w:type="paragraph" w:customStyle="1" w:styleId="1556">
    <w:name w:val="标题 74"/>
    <w:basedOn w:val="1"/>
    <w:qFormat/>
    <w:uiPriority w:val="0"/>
    <w:pPr>
      <w:widowControl/>
      <w:tabs>
        <w:tab w:val="left" w:pos="1296"/>
      </w:tabs>
      <w:spacing w:line="480" w:lineRule="exact"/>
      <w:ind w:left="1296" w:hanging="1296" w:firstLineChars="200"/>
      <w:jc w:val="left"/>
    </w:pPr>
    <w:rPr>
      <w:color w:val="1F497D"/>
      <w:kern w:val="0"/>
      <w:sz w:val="20"/>
      <w:szCs w:val="20"/>
    </w:rPr>
  </w:style>
  <w:style w:type="paragraph" w:customStyle="1" w:styleId="1557">
    <w:name w:val="文档结构图2"/>
    <w:basedOn w:val="1"/>
    <w:qFormat/>
    <w:uiPriority w:val="0"/>
    <w:pPr>
      <w:shd w:val="clear" w:color="auto" w:fill="000080"/>
    </w:pPr>
    <w:rPr>
      <w:kern w:val="0"/>
      <w:sz w:val="20"/>
      <w:shd w:val="clear" w:color="auto" w:fill="000080"/>
    </w:rPr>
  </w:style>
  <w:style w:type="paragraph" w:customStyle="1" w:styleId="1558">
    <w:name w:val="CM103"/>
    <w:basedOn w:val="146"/>
    <w:next w:val="146"/>
    <w:qFormat/>
    <w:uiPriority w:val="0"/>
    <w:pPr>
      <w:spacing w:line="433" w:lineRule="atLeast"/>
    </w:pPr>
    <w:rPr>
      <w:rFonts w:cs="Times New Roman"/>
      <w:color w:val="auto"/>
      <w:szCs w:val="20"/>
    </w:rPr>
  </w:style>
  <w:style w:type="paragraph" w:customStyle="1" w:styleId="1559">
    <w:name w:val="CM73"/>
    <w:basedOn w:val="146"/>
    <w:next w:val="146"/>
    <w:qFormat/>
    <w:uiPriority w:val="0"/>
    <w:rPr>
      <w:rFonts w:cs="Times New Roman"/>
      <w:color w:val="auto"/>
      <w:szCs w:val="20"/>
    </w:rPr>
  </w:style>
  <w:style w:type="paragraph" w:customStyle="1" w:styleId="1560">
    <w:name w:val="级别8"/>
    <w:basedOn w:val="1"/>
    <w:qFormat/>
    <w:uiPriority w:val="0"/>
    <w:pPr>
      <w:tabs>
        <w:tab w:val="left" w:pos="360"/>
        <w:tab w:val="left" w:pos="525"/>
        <w:tab w:val="left" w:pos="1134"/>
        <w:tab w:val="left" w:pos="1230"/>
        <w:tab w:val="left" w:pos="1276"/>
        <w:tab w:val="left" w:pos="1418"/>
        <w:tab w:val="left" w:pos="3147"/>
        <w:tab w:val="left" w:pos="3567"/>
        <w:tab w:val="left" w:pos="3780"/>
        <w:tab w:val="left" w:pos="3987"/>
      </w:tabs>
      <w:adjustRightInd w:val="0"/>
      <w:snapToGrid w:val="0"/>
      <w:spacing w:line="360" w:lineRule="auto"/>
      <w:ind w:left="1933" w:hanging="737"/>
      <w:jc w:val="left"/>
      <w:outlineLvl w:val="7"/>
    </w:pPr>
    <w:rPr>
      <w:rFonts w:ascii="宋体" w:hAnsi="宋体"/>
      <w:b/>
      <w:bCs/>
      <w:kern w:val="0"/>
      <w:sz w:val="30"/>
    </w:rPr>
  </w:style>
  <w:style w:type="paragraph" w:customStyle="1" w:styleId="1561">
    <w:name w:val="级别7"/>
    <w:basedOn w:val="1"/>
    <w:qFormat/>
    <w:uiPriority w:val="0"/>
    <w:pPr>
      <w:numPr>
        <w:ilvl w:val="0"/>
        <w:numId w:val="21"/>
      </w:numPr>
      <w:tabs>
        <w:tab w:val="left" w:pos="360"/>
        <w:tab w:val="left" w:pos="525"/>
        <w:tab w:val="left" w:pos="1134"/>
        <w:tab w:val="left" w:pos="1276"/>
        <w:tab w:val="left" w:pos="3147"/>
        <w:tab w:val="left" w:pos="3567"/>
      </w:tabs>
      <w:adjustRightInd w:val="0"/>
      <w:snapToGrid w:val="0"/>
      <w:spacing w:line="360" w:lineRule="auto"/>
      <w:jc w:val="left"/>
      <w:outlineLvl w:val="6"/>
    </w:pPr>
    <w:rPr>
      <w:rFonts w:ascii="宋体" w:hAnsi="宋体"/>
      <w:b/>
      <w:bCs/>
      <w:kern w:val="0"/>
      <w:sz w:val="30"/>
    </w:rPr>
  </w:style>
  <w:style w:type="paragraph" w:customStyle="1" w:styleId="1562">
    <w:name w:val="级别6"/>
    <w:basedOn w:val="843"/>
    <w:qFormat/>
    <w:uiPriority w:val="0"/>
    <w:pPr>
      <w:tabs>
        <w:tab w:val="left" w:pos="1134"/>
        <w:tab w:val="left" w:pos="3147"/>
        <w:tab w:val="clear" w:pos="992"/>
        <w:tab w:val="clear" w:pos="2727"/>
      </w:tabs>
      <w:ind w:left="1134"/>
      <w:outlineLvl w:val="5"/>
    </w:pPr>
  </w:style>
  <w:style w:type="paragraph" w:customStyle="1" w:styleId="1563">
    <w:name w:val="CM91"/>
    <w:basedOn w:val="146"/>
    <w:next w:val="146"/>
    <w:qFormat/>
    <w:uiPriority w:val="0"/>
    <w:pPr>
      <w:spacing w:line="313" w:lineRule="atLeast"/>
    </w:pPr>
    <w:rPr>
      <w:rFonts w:cs="Times New Roman"/>
      <w:color w:val="auto"/>
      <w:szCs w:val="20"/>
    </w:rPr>
  </w:style>
  <w:style w:type="paragraph" w:customStyle="1" w:styleId="1564">
    <w:name w:val="Char1 Char Char Char Char Char Char1 Char Char Char"/>
    <w:basedOn w:val="1"/>
    <w:qFormat/>
    <w:uiPriority w:val="0"/>
    <w:pPr>
      <w:spacing w:line="360" w:lineRule="auto"/>
      <w:ind w:firstLine="200" w:firstLineChars="200"/>
      <w:jc w:val="left"/>
    </w:pPr>
    <w:rPr>
      <w:rFonts w:ascii="宋体" w:hAnsi="宋体" w:cs="宋体"/>
      <w:color w:val="1F497D"/>
      <w:sz w:val="24"/>
    </w:rPr>
  </w:style>
  <w:style w:type="paragraph" w:customStyle="1" w:styleId="1565">
    <w:name w:val="Char11"/>
    <w:basedOn w:val="1"/>
    <w:qFormat/>
    <w:uiPriority w:val="0"/>
    <w:pPr>
      <w:widowControl/>
      <w:spacing w:after="160" w:line="240" w:lineRule="exact"/>
      <w:jc w:val="left"/>
    </w:pPr>
    <w:rPr>
      <w:rFonts w:ascii="宋体" w:hAnsi="宋体"/>
      <w:kern w:val="0"/>
      <w:sz w:val="20"/>
      <w:szCs w:val="20"/>
      <w:lang w:eastAsia="en-US"/>
    </w:rPr>
  </w:style>
  <w:style w:type="paragraph" w:customStyle="1" w:styleId="1566">
    <w:name w:val="CM75"/>
    <w:basedOn w:val="146"/>
    <w:next w:val="146"/>
    <w:qFormat/>
    <w:uiPriority w:val="0"/>
    <w:pPr>
      <w:spacing w:line="313" w:lineRule="atLeast"/>
    </w:pPr>
    <w:rPr>
      <w:rFonts w:cs="Times New Roman"/>
      <w:color w:val="auto"/>
      <w:szCs w:val="20"/>
    </w:rPr>
  </w:style>
  <w:style w:type="paragraph" w:customStyle="1" w:styleId="1567">
    <w:name w:val="Level.6"/>
    <w:basedOn w:val="1"/>
    <w:qFormat/>
    <w:uiPriority w:val="0"/>
    <w:pPr>
      <w:widowControl/>
      <w:tabs>
        <w:tab w:val="left" w:pos="360"/>
        <w:tab w:val="left" w:pos="1680"/>
        <w:tab w:val="left" w:pos="1985"/>
        <w:tab w:val="left" w:pos="2384"/>
        <w:tab w:val="left" w:pos="2410"/>
        <w:tab w:val="left" w:pos="2520"/>
        <w:tab w:val="left" w:pos="2562"/>
        <w:tab w:val="left" w:pos="2701"/>
        <w:tab w:val="left" w:pos="2940"/>
        <w:tab w:val="left" w:pos="2982"/>
        <w:tab w:val="left" w:pos="3402"/>
        <w:tab w:val="left" w:pos="3660"/>
        <w:tab w:val="left" w:pos="4080"/>
        <w:tab w:val="left" w:pos="4500"/>
      </w:tabs>
      <w:ind w:left="2940" w:right="306" w:hanging="420"/>
    </w:pPr>
    <w:rPr>
      <w:sz w:val="24"/>
      <w:szCs w:val="20"/>
    </w:rPr>
  </w:style>
  <w:style w:type="paragraph" w:customStyle="1" w:styleId="1568">
    <w:name w:val="Level.5"/>
    <w:basedOn w:val="1"/>
    <w:qFormat/>
    <w:uiPriority w:val="0"/>
    <w:pPr>
      <w:widowControl/>
      <w:tabs>
        <w:tab w:val="left" w:pos="360"/>
        <w:tab w:val="left" w:pos="1680"/>
        <w:tab w:val="left" w:pos="1985"/>
        <w:tab w:val="left" w:pos="2410"/>
        <w:tab w:val="left" w:pos="2520"/>
        <w:tab w:val="left" w:pos="2562"/>
        <w:tab w:val="left" w:pos="2701"/>
        <w:tab w:val="left" w:pos="2982"/>
        <w:tab w:val="left" w:pos="3660"/>
        <w:tab w:val="left" w:pos="4080"/>
      </w:tabs>
      <w:ind w:left="2520" w:right="306" w:hanging="420"/>
    </w:pPr>
    <w:rPr>
      <w:sz w:val="24"/>
      <w:szCs w:val="20"/>
    </w:rPr>
  </w:style>
  <w:style w:type="paragraph" w:customStyle="1" w:styleId="1569">
    <w:name w:val="Level.4 Char"/>
    <w:basedOn w:val="1"/>
    <w:qFormat/>
    <w:uiPriority w:val="0"/>
    <w:pPr>
      <w:widowControl/>
      <w:tabs>
        <w:tab w:val="left" w:pos="360"/>
        <w:tab w:val="left" w:pos="1680"/>
        <w:tab w:val="left" w:pos="1985"/>
        <w:tab w:val="left" w:pos="2562"/>
        <w:tab w:val="left" w:pos="2701"/>
        <w:tab w:val="left" w:pos="3660"/>
      </w:tabs>
      <w:ind w:left="2701" w:right="306" w:hanging="420"/>
    </w:pPr>
    <w:rPr>
      <w:sz w:val="24"/>
      <w:szCs w:val="20"/>
    </w:rPr>
  </w:style>
  <w:style w:type="paragraph" w:customStyle="1" w:styleId="1570">
    <w:name w:val="Level.3 Char"/>
    <w:basedOn w:val="607"/>
    <w:qFormat/>
    <w:uiPriority w:val="0"/>
    <w:pPr>
      <w:tabs>
        <w:tab w:val="left" w:pos="360"/>
        <w:tab w:val="left" w:pos="1680"/>
        <w:tab w:val="clear" w:pos="1560"/>
        <w:tab w:val="clear" w:pos="1723"/>
      </w:tabs>
      <w:ind w:left="1680" w:hanging="420"/>
    </w:pPr>
  </w:style>
  <w:style w:type="paragraph" w:customStyle="1" w:styleId="1571">
    <w:name w:val="Char14"/>
    <w:basedOn w:val="1"/>
    <w:qFormat/>
    <w:uiPriority w:val="0"/>
    <w:pPr>
      <w:widowControl/>
      <w:spacing w:after="160" w:line="240" w:lineRule="exact"/>
      <w:jc w:val="left"/>
    </w:pPr>
    <w:rPr>
      <w:rFonts w:ascii="宋体" w:hAnsi="宋体"/>
      <w:kern w:val="0"/>
      <w:sz w:val="20"/>
      <w:szCs w:val="20"/>
      <w:lang w:eastAsia="en-US"/>
    </w:rPr>
  </w:style>
  <w:style w:type="paragraph" w:customStyle="1" w:styleId="1572">
    <w:name w:val="CM213"/>
    <w:basedOn w:val="146"/>
    <w:next w:val="146"/>
    <w:qFormat/>
    <w:uiPriority w:val="0"/>
    <w:rPr>
      <w:rFonts w:cs="Times New Roman"/>
      <w:color w:val="auto"/>
      <w:szCs w:val="20"/>
    </w:rPr>
  </w:style>
  <w:style w:type="paragraph" w:customStyle="1" w:styleId="1573">
    <w:name w:val="CM197"/>
    <w:basedOn w:val="146"/>
    <w:next w:val="146"/>
    <w:qFormat/>
    <w:uiPriority w:val="0"/>
    <w:rPr>
      <w:rFonts w:cs="Times New Roman"/>
      <w:color w:val="auto"/>
      <w:szCs w:val="20"/>
    </w:rPr>
  </w:style>
  <w:style w:type="paragraph" w:customStyle="1" w:styleId="1574">
    <w:name w:val="xiao b"/>
    <w:basedOn w:val="1"/>
    <w:qFormat/>
    <w:uiPriority w:val="0"/>
    <w:pPr>
      <w:ind w:firstLine="200" w:firstLineChars="200"/>
      <w:jc w:val="center"/>
    </w:pPr>
    <w:rPr>
      <w:rFonts w:eastAsia="黑体"/>
      <w:color w:val="1F497D"/>
      <w:sz w:val="24"/>
      <w:szCs w:val="20"/>
    </w:rPr>
  </w:style>
  <w:style w:type="paragraph" w:customStyle="1" w:styleId="1575">
    <w:name w:val="日期2"/>
    <w:basedOn w:val="1"/>
    <w:next w:val="1"/>
    <w:qFormat/>
    <w:uiPriority w:val="0"/>
    <w:pPr>
      <w:ind w:left="100" w:leftChars="2500"/>
    </w:pPr>
    <w:rPr>
      <w:kern w:val="0"/>
      <w:sz w:val="20"/>
    </w:rPr>
  </w:style>
  <w:style w:type="paragraph" w:customStyle="1" w:styleId="1576">
    <w:name w:val="Char5"/>
    <w:basedOn w:val="1"/>
    <w:qFormat/>
    <w:uiPriority w:val="0"/>
    <w:rPr>
      <w:rFonts w:ascii="宋体" w:hAnsi="宋体"/>
      <w:color w:val="000000"/>
      <w:sz w:val="24"/>
      <w:szCs w:val="20"/>
    </w:rPr>
  </w:style>
  <w:style w:type="paragraph" w:customStyle="1" w:styleId="1577">
    <w:name w:val="CM154"/>
    <w:basedOn w:val="146"/>
    <w:next w:val="146"/>
    <w:qFormat/>
    <w:uiPriority w:val="0"/>
    <w:pPr>
      <w:spacing w:line="553" w:lineRule="atLeast"/>
    </w:pPr>
    <w:rPr>
      <w:rFonts w:cs="Times New Roman"/>
      <w:color w:val="auto"/>
      <w:szCs w:val="20"/>
    </w:rPr>
  </w:style>
  <w:style w:type="paragraph" w:customStyle="1" w:styleId="1578">
    <w:name w:val="菲页1"/>
    <w:basedOn w:val="4"/>
    <w:qFormat/>
    <w:uiPriority w:val="0"/>
    <w:pPr>
      <w:widowControl w:val="0"/>
      <w:spacing w:before="120" w:after="120" w:line="415" w:lineRule="auto"/>
    </w:pPr>
    <w:rPr>
      <w:rFonts w:ascii="黑体" w:hAnsi="宋体"/>
      <w:kern w:val="2"/>
      <w:sz w:val="52"/>
      <w:szCs w:val="36"/>
    </w:rPr>
  </w:style>
  <w:style w:type="paragraph" w:customStyle="1" w:styleId="1579">
    <w:name w:val="批注主题11"/>
    <w:basedOn w:val="28"/>
    <w:next w:val="28"/>
    <w:qFormat/>
    <w:uiPriority w:val="0"/>
    <w:rPr>
      <w:b/>
      <w:bCs/>
      <w:kern w:val="0"/>
      <w:sz w:val="20"/>
    </w:rPr>
  </w:style>
  <w:style w:type="paragraph" w:customStyle="1" w:styleId="1580">
    <w:name w:val="样式 样式 首行缩进:  2 字符 + 首行缩进:  2 字符"/>
    <w:basedOn w:val="1"/>
    <w:qFormat/>
    <w:uiPriority w:val="0"/>
    <w:pPr>
      <w:spacing w:line="360" w:lineRule="auto"/>
      <w:ind w:firstLine="200" w:firstLineChars="200"/>
      <w:jc w:val="left"/>
    </w:pPr>
    <w:rPr>
      <w:rFonts w:cs="宋体"/>
      <w:color w:val="1F497D"/>
      <w:szCs w:val="20"/>
    </w:rPr>
  </w:style>
  <w:style w:type="paragraph" w:customStyle="1" w:styleId="1581">
    <w:name w:val="日期11"/>
    <w:basedOn w:val="1"/>
    <w:next w:val="1"/>
    <w:qFormat/>
    <w:uiPriority w:val="0"/>
    <w:pPr>
      <w:ind w:left="100" w:leftChars="2500"/>
    </w:pPr>
    <w:rPr>
      <w:kern w:val="0"/>
      <w:sz w:val="20"/>
    </w:rPr>
  </w:style>
  <w:style w:type="paragraph" w:customStyle="1" w:styleId="1582">
    <w:name w:val="CM183"/>
    <w:basedOn w:val="146"/>
    <w:next w:val="146"/>
    <w:qFormat/>
    <w:uiPriority w:val="0"/>
    <w:rPr>
      <w:rFonts w:cs="Times New Roman"/>
      <w:color w:val="auto"/>
      <w:szCs w:val="20"/>
    </w:rPr>
  </w:style>
  <w:style w:type="paragraph" w:customStyle="1" w:styleId="1583">
    <w:name w:val="Plain Text2"/>
    <w:basedOn w:val="1"/>
    <w:qFormat/>
    <w:uiPriority w:val="0"/>
    <w:pPr>
      <w:adjustRightInd w:val="0"/>
      <w:spacing w:line="312" w:lineRule="atLeast"/>
      <w:ind w:firstLine="200" w:firstLineChars="200"/>
      <w:jc w:val="left"/>
      <w:textAlignment w:val="baseline"/>
    </w:pPr>
    <w:rPr>
      <w:rFonts w:ascii="宋体" w:hAnsi="Courier New"/>
      <w:color w:val="1F497D"/>
      <w:kern w:val="0"/>
      <w:sz w:val="28"/>
      <w:szCs w:val="20"/>
    </w:rPr>
  </w:style>
  <w:style w:type="paragraph" w:customStyle="1" w:styleId="1584">
    <w:name w:val="CM85"/>
    <w:basedOn w:val="146"/>
    <w:next w:val="146"/>
    <w:qFormat/>
    <w:uiPriority w:val="0"/>
    <w:pPr>
      <w:spacing w:line="313" w:lineRule="atLeast"/>
    </w:pPr>
    <w:rPr>
      <w:rFonts w:cs="Times New Roman"/>
      <w:color w:val="auto"/>
      <w:szCs w:val="20"/>
    </w:rPr>
  </w:style>
  <w:style w:type="paragraph" w:customStyle="1" w:styleId="1585">
    <w:name w:val="正文文本缩进 311"/>
    <w:basedOn w:val="1"/>
    <w:qFormat/>
    <w:uiPriority w:val="0"/>
    <w:pPr>
      <w:spacing w:after="120"/>
      <w:ind w:left="420" w:leftChars="200"/>
    </w:pPr>
    <w:rPr>
      <w:sz w:val="16"/>
      <w:szCs w:val="16"/>
    </w:rPr>
  </w:style>
  <w:style w:type="paragraph" w:customStyle="1" w:styleId="1586">
    <w:name w:val="CM176"/>
    <w:basedOn w:val="146"/>
    <w:next w:val="146"/>
    <w:qFormat/>
    <w:uiPriority w:val="0"/>
    <w:rPr>
      <w:rFonts w:cs="Times New Roman"/>
      <w:color w:val="auto"/>
      <w:szCs w:val="20"/>
    </w:rPr>
  </w:style>
  <w:style w:type="paragraph" w:customStyle="1" w:styleId="1587">
    <w:name w:val="Char Char Char Char Char Char Char Char 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588">
    <w:name w:val="称呼11"/>
    <w:basedOn w:val="1"/>
    <w:next w:val="1"/>
    <w:qFormat/>
    <w:uiPriority w:val="0"/>
    <w:rPr>
      <w:sz w:val="24"/>
      <w:szCs w:val="20"/>
    </w:rPr>
  </w:style>
  <w:style w:type="paragraph" w:customStyle="1" w:styleId="1589">
    <w:name w:val="批注主题5"/>
    <w:basedOn w:val="28"/>
    <w:next w:val="28"/>
    <w:qFormat/>
    <w:uiPriority w:val="0"/>
    <w:rPr>
      <w:b/>
      <w:bCs/>
      <w:kern w:val="0"/>
    </w:rPr>
  </w:style>
  <w:style w:type="paragraph" w:customStyle="1" w:styleId="1590">
    <w:name w:val="样式 正文点缩进 + (符号) 宋体 小四 左侧:  0 厘米 悬挂缩进: 2.62 字符 段后: 0 磅 行距: 单..."/>
    <w:basedOn w:val="1"/>
    <w:qFormat/>
    <w:uiPriority w:val="0"/>
    <w:pPr>
      <w:widowControl/>
      <w:tabs>
        <w:tab w:val="left" w:pos="1758"/>
      </w:tabs>
      <w:snapToGrid w:val="0"/>
      <w:ind w:left="262" w:hanging="262" w:hangingChars="262"/>
    </w:pPr>
    <w:rPr>
      <w:rFonts w:ascii="宋体" w:hAnsi="宋体"/>
      <w:sz w:val="24"/>
      <w:szCs w:val="20"/>
      <w:shd w:val="clear" w:color="auto" w:fill="FFFFFF"/>
    </w:rPr>
  </w:style>
  <w:style w:type="paragraph" w:customStyle="1" w:styleId="1591">
    <w:name w:val="正文点缩进"/>
    <w:basedOn w:val="1"/>
    <w:qFormat/>
    <w:uiPriority w:val="0"/>
    <w:pPr>
      <w:widowControl/>
      <w:tabs>
        <w:tab w:val="left" w:pos="1758"/>
      </w:tabs>
      <w:snapToGrid w:val="0"/>
      <w:spacing w:after="60" w:line="288" w:lineRule="auto"/>
      <w:ind w:firstLine="200" w:firstLineChars="200"/>
      <w:jc w:val="left"/>
    </w:pPr>
    <w:rPr>
      <w:rFonts w:ascii="宋体"/>
      <w:color w:val="1F497D"/>
      <w:sz w:val="22"/>
      <w:szCs w:val="20"/>
      <w:shd w:val="clear" w:color="auto" w:fill="FFFFFF"/>
    </w:rPr>
  </w:style>
  <w:style w:type="paragraph" w:customStyle="1" w:styleId="1592">
    <w:name w:val="Report Heading"/>
    <w:basedOn w:val="1"/>
    <w:next w:val="1"/>
    <w:qFormat/>
    <w:uiPriority w:val="0"/>
    <w:pPr>
      <w:keepNext/>
      <w:widowControl/>
      <w:spacing w:before="120" w:after="138"/>
      <w:ind w:left="1080" w:firstLine="200" w:firstLineChars="200"/>
      <w:jc w:val="left"/>
    </w:pPr>
    <w:rPr>
      <w:rFonts w:ascii="Arial" w:hAnsi="Arial"/>
      <w:b/>
      <w:color w:val="1F497D"/>
      <w:kern w:val="0"/>
      <w:sz w:val="22"/>
      <w:szCs w:val="20"/>
    </w:rPr>
  </w:style>
  <w:style w:type="paragraph" w:customStyle="1" w:styleId="1593">
    <w:name w:val="正文缩进111"/>
    <w:basedOn w:val="1"/>
    <w:qFormat/>
    <w:uiPriority w:val="0"/>
    <w:pPr>
      <w:ind w:firstLine="420" w:firstLineChars="200"/>
    </w:pPr>
  </w:style>
  <w:style w:type="paragraph" w:customStyle="1" w:styleId="1594">
    <w:name w:val="文档结构图6"/>
    <w:basedOn w:val="1"/>
    <w:qFormat/>
    <w:uiPriority w:val="0"/>
    <w:pPr>
      <w:shd w:val="clear" w:color="auto" w:fill="000080"/>
    </w:pPr>
    <w:rPr>
      <w:shd w:val="clear" w:color="auto" w:fill="000080"/>
    </w:rPr>
  </w:style>
  <w:style w:type="paragraph" w:customStyle="1" w:styleId="1595">
    <w:name w:val="正文(1)"/>
    <w:basedOn w:val="1"/>
    <w:qFormat/>
    <w:uiPriority w:val="0"/>
    <w:pPr>
      <w:tabs>
        <w:tab w:val="left" w:pos="1287"/>
      </w:tabs>
      <w:spacing w:line="360" w:lineRule="auto"/>
      <w:ind w:firstLine="567"/>
    </w:pPr>
    <w:rPr>
      <w:sz w:val="28"/>
      <w:szCs w:val="20"/>
    </w:rPr>
  </w:style>
  <w:style w:type="paragraph" w:customStyle="1" w:styleId="1596">
    <w:name w:val="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597">
    <w:name w:val="CM222"/>
    <w:basedOn w:val="146"/>
    <w:next w:val="146"/>
    <w:qFormat/>
    <w:uiPriority w:val="0"/>
    <w:pPr>
      <w:spacing w:after="1388"/>
    </w:pPr>
    <w:rPr>
      <w:rFonts w:cs="Times New Roman"/>
      <w:color w:val="auto"/>
      <w:szCs w:val="20"/>
    </w:rPr>
  </w:style>
  <w:style w:type="paragraph" w:customStyle="1" w:styleId="1598">
    <w:name w:val="Body7"/>
    <w:basedOn w:val="9"/>
    <w:qFormat/>
    <w:uiPriority w:val="0"/>
    <w:pPr>
      <w:keepNext w:val="0"/>
      <w:keepLines w:val="0"/>
      <w:tabs>
        <w:tab w:val="left" w:pos="1080"/>
        <w:tab w:val="left" w:pos="2220"/>
        <w:tab w:val="clear" w:pos="2520"/>
        <w:tab w:val="clear" w:pos="2940"/>
      </w:tabs>
      <w:spacing w:before="0" w:after="240" w:line="240" w:lineRule="auto"/>
      <w:ind w:left="2304" w:firstLine="0"/>
      <w:jc w:val="left"/>
      <w:outlineLvl w:val="9"/>
    </w:pPr>
    <w:rPr>
      <w:rFonts w:ascii="Arial" w:hAnsi="Arial" w:eastAsia="PMingLiU"/>
      <w:bCs w:val="0"/>
      <w:szCs w:val="20"/>
      <w:lang w:eastAsia="zh-TW"/>
    </w:rPr>
  </w:style>
  <w:style w:type="paragraph" w:customStyle="1" w:styleId="1599">
    <w:name w:val="Appendix Style2"/>
    <w:basedOn w:val="1"/>
    <w:qFormat/>
    <w:uiPriority w:val="0"/>
    <w:pPr>
      <w:tabs>
        <w:tab w:val="left" w:pos="432"/>
      </w:tabs>
      <w:ind w:left="432" w:hanging="432"/>
      <w:jc w:val="left"/>
    </w:pPr>
    <w:rPr>
      <w:rFonts w:ascii="Times New Roman Bold" w:hAnsi="Times New Roman Bold" w:eastAsia="PMingLiU"/>
      <w:b/>
      <w:snapToGrid w:val="0"/>
      <w:kern w:val="0"/>
      <w:sz w:val="24"/>
      <w:szCs w:val="20"/>
      <w:lang w:val="en-AU" w:eastAsia="zh-TW"/>
    </w:rPr>
  </w:style>
  <w:style w:type="paragraph" w:customStyle="1" w:styleId="1600">
    <w:name w:val="p17"/>
    <w:basedOn w:val="1"/>
    <w:qFormat/>
    <w:uiPriority w:val="0"/>
    <w:pPr>
      <w:widowControl/>
      <w:spacing w:before="156" w:line="410" w:lineRule="auto"/>
      <w:jc w:val="center"/>
    </w:pPr>
    <w:rPr>
      <w:rFonts w:ascii="FangSong_GB2312" w:hAnsi="宋体" w:eastAsia="FangSong_GB2312" w:cs="宋体"/>
      <w:b/>
      <w:bCs/>
      <w:kern w:val="0"/>
      <w:sz w:val="24"/>
    </w:rPr>
  </w:style>
  <w:style w:type="paragraph" w:customStyle="1" w:styleId="1601">
    <w:name w:val="末级 Char"/>
    <w:basedOn w:val="1"/>
    <w:qFormat/>
    <w:uiPriority w:val="0"/>
    <w:pPr>
      <w:tabs>
        <w:tab w:val="left" w:pos="360"/>
      </w:tabs>
      <w:spacing w:line="360" w:lineRule="auto"/>
    </w:pPr>
    <w:rPr>
      <w:sz w:val="24"/>
    </w:rPr>
  </w:style>
  <w:style w:type="paragraph" w:customStyle="1" w:styleId="1602">
    <w:name w:val="et1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0"/>
      <w:szCs w:val="20"/>
    </w:rPr>
  </w:style>
  <w:style w:type="paragraph" w:customStyle="1" w:styleId="1603">
    <w:name w:val="CM179"/>
    <w:basedOn w:val="146"/>
    <w:next w:val="146"/>
    <w:qFormat/>
    <w:uiPriority w:val="0"/>
    <w:rPr>
      <w:rFonts w:cs="Times New Roman"/>
      <w:color w:val="auto"/>
      <w:szCs w:val="20"/>
    </w:rPr>
  </w:style>
  <w:style w:type="paragraph" w:customStyle="1" w:styleId="1604">
    <w:name w:val="批注框文本2"/>
    <w:basedOn w:val="1"/>
    <w:semiHidden/>
    <w:qFormat/>
    <w:uiPriority w:val="0"/>
    <w:rPr>
      <w:sz w:val="16"/>
      <w:szCs w:val="16"/>
    </w:rPr>
  </w:style>
  <w:style w:type="paragraph" w:customStyle="1" w:styleId="1605">
    <w:name w:val="et1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06">
    <w:name w:val="et1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07">
    <w:name w:val="_Style 29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08">
    <w:name w:val="et1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609">
    <w:name w:val="CM125"/>
    <w:basedOn w:val="146"/>
    <w:next w:val="146"/>
    <w:qFormat/>
    <w:uiPriority w:val="0"/>
    <w:rPr>
      <w:rFonts w:cs="Times New Roman"/>
      <w:color w:val="auto"/>
      <w:szCs w:val="20"/>
    </w:rPr>
  </w:style>
  <w:style w:type="paragraph" w:customStyle="1" w:styleId="1610">
    <w:name w:val="et1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1">
    <w:name w:val="Char Char Char Char Char Char Char Char 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612">
    <w:name w:val="CM158"/>
    <w:basedOn w:val="146"/>
    <w:next w:val="146"/>
    <w:qFormat/>
    <w:uiPriority w:val="0"/>
    <w:pPr>
      <w:spacing w:line="313" w:lineRule="atLeast"/>
    </w:pPr>
    <w:rPr>
      <w:rFonts w:cs="Times New Roman"/>
      <w:color w:val="auto"/>
      <w:szCs w:val="20"/>
    </w:rPr>
  </w:style>
  <w:style w:type="paragraph" w:customStyle="1" w:styleId="1613">
    <w:name w:val="et1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4">
    <w:name w:val="zhengwen"/>
    <w:basedOn w:val="1"/>
    <w:qFormat/>
    <w:uiPriority w:val="0"/>
    <w:pPr>
      <w:numPr>
        <w:ilvl w:val="0"/>
        <w:numId w:val="22"/>
      </w:numPr>
      <w:tabs>
        <w:tab w:val="left" w:pos="813"/>
      </w:tabs>
      <w:adjustRightInd w:val="0"/>
      <w:snapToGrid w:val="0"/>
      <w:spacing w:line="520" w:lineRule="exact"/>
      <w:jc w:val="left"/>
    </w:pPr>
    <w:rPr>
      <w:bCs/>
      <w:color w:val="1F497D"/>
      <w:sz w:val="28"/>
    </w:rPr>
  </w:style>
  <w:style w:type="paragraph" w:customStyle="1" w:styleId="1615">
    <w:name w:val="CM190"/>
    <w:basedOn w:val="146"/>
    <w:next w:val="146"/>
    <w:qFormat/>
    <w:uiPriority w:val="0"/>
    <w:rPr>
      <w:rFonts w:cs="Times New Roman"/>
      <w:color w:val="auto"/>
      <w:szCs w:val="20"/>
    </w:rPr>
  </w:style>
  <w:style w:type="paragraph" w:customStyle="1" w:styleId="1616">
    <w:name w:val="et2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7">
    <w:name w:val="CM204"/>
    <w:basedOn w:val="146"/>
    <w:next w:val="146"/>
    <w:qFormat/>
    <w:uiPriority w:val="0"/>
    <w:pPr>
      <w:spacing w:line="653" w:lineRule="atLeast"/>
    </w:pPr>
    <w:rPr>
      <w:rFonts w:cs="Times New Roman"/>
      <w:color w:val="auto"/>
      <w:szCs w:val="20"/>
    </w:rPr>
  </w:style>
  <w:style w:type="paragraph" w:customStyle="1" w:styleId="1618">
    <w:name w:val="et2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9">
    <w:name w:val="CM205"/>
    <w:basedOn w:val="146"/>
    <w:next w:val="146"/>
    <w:qFormat/>
    <w:uiPriority w:val="0"/>
    <w:rPr>
      <w:rFonts w:cs="Times New Roman"/>
      <w:color w:val="auto"/>
      <w:szCs w:val="20"/>
    </w:rPr>
  </w:style>
  <w:style w:type="paragraph" w:customStyle="1" w:styleId="1620">
    <w:name w:val="et2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621">
    <w:name w:val="Char Char Char Char 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622">
    <w:name w:val="CM170"/>
    <w:basedOn w:val="146"/>
    <w:next w:val="146"/>
    <w:qFormat/>
    <w:uiPriority w:val="0"/>
    <w:pPr>
      <w:spacing w:line="553" w:lineRule="atLeast"/>
    </w:pPr>
    <w:rPr>
      <w:rFonts w:cs="Times New Roman"/>
      <w:color w:val="auto"/>
      <w:szCs w:val="20"/>
    </w:rPr>
  </w:style>
  <w:style w:type="paragraph" w:customStyle="1" w:styleId="1623">
    <w:name w:val="et2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4"/>
    </w:rPr>
  </w:style>
  <w:style w:type="paragraph" w:customStyle="1" w:styleId="1624">
    <w:name w:val="et2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4"/>
    </w:rPr>
  </w:style>
  <w:style w:type="paragraph" w:customStyle="1" w:styleId="1625">
    <w:name w:val="样式 标题 2标题 1.1 + 非加粗"/>
    <w:basedOn w:val="4"/>
    <w:qFormat/>
    <w:uiPriority w:val="0"/>
    <w:pPr>
      <w:keepNext w:val="0"/>
      <w:keepLines w:val="0"/>
      <w:widowControl w:val="0"/>
      <w:tabs>
        <w:tab w:val="left" w:pos="780"/>
        <w:tab w:val="left" w:pos="1200"/>
      </w:tabs>
      <w:spacing w:before="0" w:after="0" w:line="360" w:lineRule="auto"/>
      <w:ind w:left="1200" w:hanging="360"/>
      <w:jc w:val="left"/>
    </w:pPr>
    <w:rPr>
      <w:rFonts w:ascii="宋体" w:hAnsi="宋体" w:eastAsia="宋体"/>
      <w:b w:val="0"/>
      <w:kern w:val="2"/>
      <w:sz w:val="24"/>
    </w:rPr>
  </w:style>
  <w:style w:type="paragraph" w:customStyle="1" w:styleId="1626">
    <w:name w:val="_Style 305"/>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27">
    <w:name w:val="et2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628">
    <w:name w:val="Char Char Char Char 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629">
    <w:name w:val="et33"/>
    <w:basedOn w:val="1"/>
    <w:qFormat/>
    <w:uiPriority w:val="0"/>
    <w:pPr>
      <w:widowControl/>
      <w:pBdr>
        <w:top w:val="single" w:color="000000" w:sz="4" w:space="0"/>
        <w:left w:val="single" w:color="000000" w:sz="4" w:space="0"/>
        <w:bottom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30">
    <w:name w:val="CM146"/>
    <w:basedOn w:val="146"/>
    <w:next w:val="146"/>
    <w:qFormat/>
    <w:uiPriority w:val="0"/>
    <w:pPr>
      <w:spacing w:line="260" w:lineRule="atLeast"/>
    </w:pPr>
    <w:rPr>
      <w:rFonts w:cs="Times New Roman"/>
      <w:color w:val="auto"/>
      <w:szCs w:val="20"/>
    </w:rPr>
  </w:style>
  <w:style w:type="paragraph" w:customStyle="1" w:styleId="1631">
    <w:name w:val="et4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FF0000"/>
      <w:kern w:val="0"/>
      <w:sz w:val="20"/>
      <w:szCs w:val="20"/>
    </w:rPr>
  </w:style>
  <w:style w:type="paragraph" w:customStyle="1" w:styleId="1632">
    <w:name w:val="CM267"/>
    <w:basedOn w:val="146"/>
    <w:next w:val="146"/>
    <w:qFormat/>
    <w:uiPriority w:val="0"/>
    <w:pPr>
      <w:spacing w:after="6738"/>
    </w:pPr>
    <w:rPr>
      <w:rFonts w:cs="Times New Roman"/>
      <w:color w:val="auto"/>
      <w:szCs w:val="20"/>
    </w:rPr>
  </w:style>
  <w:style w:type="paragraph" w:customStyle="1" w:styleId="1633">
    <w:name w:val="et4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FF0000"/>
      <w:kern w:val="0"/>
      <w:sz w:val="20"/>
      <w:szCs w:val="20"/>
    </w:rPr>
  </w:style>
  <w:style w:type="paragraph" w:customStyle="1" w:styleId="1634">
    <w:name w:val="Char Char Char Char Char Char Char Char Char1 Char"/>
    <w:basedOn w:val="1"/>
    <w:qFormat/>
    <w:uiPriority w:val="0"/>
    <w:rPr>
      <w:rFonts w:ascii="FangSong_GB2312" w:eastAsia="FangSong_GB2312"/>
      <w:b/>
      <w:sz w:val="32"/>
      <w:szCs w:val="32"/>
    </w:rPr>
  </w:style>
  <w:style w:type="paragraph" w:customStyle="1" w:styleId="1635">
    <w:name w:val="CM100"/>
    <w:basedOn w:val="146"/>
    <w:next w:val="146"/>
    <w:qFormat/>
    <w:uiPriority w:val="0"/>
    <w:pPr>
      <w:spacing w:line="313" w:lineRule="atLeast"/>
    </w:pPr>
    <w:rPr>
      <w:rFonts w:cs="Times New Roman"/>
      <w:color w:val="auto"/>
      <w:szCs w:val="20"/>
    </w:rPr>
  </w:style>
  <w:style w:type="paragraph" w:customStyle="1" w:styleId="1636">
    <w:name w:val="样式 标题 2标题 1.1编号标题22 headlinehheadlineS&amp;R2ERMH2head:2#He...2"/>
    <w:basedOn w:val="4"/>
    <w:qFormat/>
    <w:uiPriority w:val="0"/>
    <w:pPr>
      <w:keepNext w:val="0"/>
      <w:keepLines w:val="0"/>
      <w:widowControl w:val="0"/>
      <w:tabs>
        <w:tab w:val="left" w:pos="1200"/>
        <w:tab w:val="left" w:pos="2340"/>
      </w:tabs>
      <w:spacing w:beforeLines="100" w:afterLines="50" w:line="360" w:lineRule="auto"/>
      <w:ind w:firstLine="178" w:firstLineChars="74"/>
      <w:jc w:val="left"/>
    </w:pPr>
    <w:rPr>
      <w:rFonts w:ascii="宋体" w:hAnsi="宋体" w:eastAsia="宋体" w:cs="宋体"/>
      <w:bCs/>
      <w:kern w:val="2"/>
      <w:sz w:val="24"/>
    </w:rPr>
  </w:style>
  <w:style w:type="paragraph" w:customStyle="1" w:styleId="1637">
    <w:name w:val="et5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38">
    <w:name w:val="CM60"/>
    <w:basedOn w:val="146"/>
    <w:next w:val="146"/>
    <w:qFormat/>
    <w:uiPriority w:val="0"/>
    <w:pPr>
      <w:spacing w:line="313" w:lineRule="atLeast"/>
    </w:pPr>
    <w:rPr>
      <w:rFonts w:cs="Times New Roman"/>
      <w:color w:val="auto"/>
      <w:szCs w:val="20"/>
    </w:rPr>
  </w:style>
  <w:style w:type="paragraph" w:customStyle="1" w:styleId="1639">
    <w:name w:val="et5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40">
    <w:name w:val="CM151"/>
    <w:basedOn w:val="146"/>
    <w:next w:val="146"/>
    <w:qFormat/>
    <w:uiPriority w:val="0"/>
    <w:pPr>
      <w:spacing w:line="313" w:lineRule="atLeast"/>
    </w:pPr>
    <w:rPr>
      <w:rFonts w:cs="Times New Roman"/>
      <w:color w:val="auto"/>
      <w:szCs w:val="20"/>
    </w:rPr>
  </w:style>
  <w:style w:type="paragraph" w:customStyle="1" w:styleId="1641">
    <w:name w:val="et56"/>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textAlignment w:val="center"/>
    </w:pPr>
    <w:rPr>
      <w:rFonts w:ascii="宋体" w:hAnsi="宋体" w:cs="宋体"/>
      <w:color w:val="000000"/>
      <w:kern w:val="0"/>
      <w:sz w:val="20"/>
      <w:szCs w:val="20"/>
    </w:rPr>
  </w:style>
  <w:style w:type="paragraph" w:customStyle="1" w:styleId="1642">
    <w:name w:val="样式 标题 2 + 段前: 12 磅"/>
    <w:basedOn w:val="4"/>
    <w:qFormat/>
    <w:uiPriority w:val="0"/>
    <w:pPr>
      <w:keepLines w:val="0"/>
      <w:widowControl w:val="0"/>
      <w:spacing w:before="0" w:after="0" w:line="360" w:lineRule="auto"/>
      <w:jc w:val="both"/>
    </w:pPr>
    <w:rPr>
      <w:rFonts w:cs="宋体"/>
      <w:bCs/>
      <w:kern w:val="2"/>
      <w:sz w:val="30"/>
    </w:rPr>
  </w:style>
  <w:style w:type="paragraph" w:customStyle="1" w:styleId="1643">
    <w:name w:val="et58"/>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textAlignment w:val="center"/>
    </w:pPr>
    <w:rPr>
      <w:rFonts w:ascii="宋体" w:hAnsi="宋体" w:cs="宋体"/>
      <w:color w:val="000000"/>
      <w:kern w:val="0"/>
      <w:sz w:val="20"/>
      <w:szCs w:val="20"/>
    </w:rPr>
  </w:style>
  <w:style w:type="paragraph" w:customStyle="1" w:styleId="1644">
    <w:name w:val="et61"/>
    <w:basedOn w:val="1"/>
    <w:qFormat/>
    <w:uiPriority w:val="0"/>
    <w:pPr>
      <w:widowControl/>
      <w:pBdr>
        <w:bottom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45">
    <w:name w:val="L9标题1"/>
    <w:basedOn w:val="1"/>
    <w:qFormat/>
    <w:uiPriority w:val="0"/>
    <w:pPr>
      <w:tabs>
        <w:tab w:val="left" w:pos="425"/>
      </w:tabs>
      <w:spacing w:beforeLines="100" w:afterLines="50" w:line="360" w:lineRule="auto"/>
      <w:ind w:left="425" w:hanging="425"/>
    </w:pPr>
    <w:rPr>
      <w:b/>
      <w:sz w:val="28"/>
      <w:szCs w:val="20"/>
    </w:rPr>
  </w:style>
  <w:style w:type="paragraph" w:customStyle="1" w:styleId="1646">
    <w:name w:val="CM261"/>
    <w:basedOn w:val="146"/>
    <w:next w:val="146"/>
    <w:qFormat/>
    <w:uiPriority w:val="0"/>
    <w:pPr>
      <w:spacing w:after="2703"/>
    </w:pPr>
    <w:rPr>
      <w:rFonts w:cs="Times New Roman"/>
      <w:color w:val="auto"/>
      <w:szCs w:val="20"/>
    </w:rPr>
  </w:style>
  <w:style w:type="paragraph" w:customStyle="1" w:styleId="1647">
    <w:name w:val="表格文字格式"/>
    <w:basedOn w:val="1"/>
    <w:qFormat/>
    <w:uiPriority w:val="0"/>
    <w:pPr>
      <w:snapToGrid w:val="0"/>
      <w:jc w:val="center"/>
    </w:pPr>
    <w:rPr>
      <w:rFonts w:cs="宋体"/>
      <w:color w:val="E36C0A"/>
      <w:szCs w:val="20"/>
    </w:rPr>
  </w:style>
  <w:style w:type="paragraph" w:customStyle="1" w:styleId="1648">
    <w:name w:val="正文3"/>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1649">
    <w:name w:val="Style Heading 5 + Justified"/>
    <w:basedOn w:val="7"/>
    <w:qFormat/>
    <w:uiPriority w:val="0"/>
    <w:pPr>
      <w:keepNext w:val="0"/>
      <w:keepLines w:val="0"/>
      <w:widowControl/>
      <w:tabs>
        <w:tab w:val="left" w:pos="1134"/>
        <w:tab w:val="left" w:pos="2100"/>
      </w:tabs>
      <w:spacing w:before="0" w:after="240" w:line="240" w:lineRule="auto"/>
      <w:ind w:firstLine="200"/>
    </w:pPr>
    <w:rPr>
      <w:rFonts w:ascii="Arial" w:hAnsi="Arial" w:eastAsia="PMingLiU"/>
      <w:b w:val="0"/>
      <w:bCs w:val="0"/>
      <w:kern w:val="0"/>
      <w:sz w:val="24"/>
      <w:szCs w:val="20"/>
      <w:lang w:eastAsia="zh-TW"/>
    </w:rPr>
  </w:style>
  <w:style w:type="paragraph" w:customStyle="1" w:styleId="1650">
    <w:name w:val="CM43"/>
    <w:basedOn w:val="146"/>
    <w:next w:val="146"/>
    <w:qFormat/>
    <w:uiPriority w:val="0"/>
    <w:pPr>
      <w:spacing w:line="313" w:lineRule="atLeast"/>
    </w:pPr>
    <w:rPr>
      <w:rFonts w:cs="Times New Roman"/>
      <w:color w:val="auto"/>
      <w:szCs w:val="20"/>
    </w:rPr>
  </w:style>
  <w:style w:type="paragraph" w:customStyle="1" w:styleId="1651">
    <w:name w:val="CM266"/>
    <w:basedOn w:val="146"/>
    <w:next w:val="146"/>
    <w:qFormat/>
    <w:uiPriority w:val="0"/>
    <w:pPr>
      <w:spacing w:after="5883"/>
    </w:pPr>
    <w:rPr>
      <w:rFonts w:cs="Times New Roman"/>
      <w:color w:val="auto"/>
      <w:szCs w:val="20"/>
    </w:rPr>
  </w:style>
  <w:style w:type="paragraph" w:customStyle="1" w:styleId="1652">
    <w:name w:val="正文缩进2"/>
    <w:basedOn w:val="1"/>
    <w:qFormat/>
    <w:uiPriority w:val="0"/>
    <w:pPr>
      <w:ind w:firstLine="420"/>
    </w:pPr>
    <w:rPr>
      <w:szCs w:val="20"/>
    </w:rPr>
  </w:style>
  <w:style w:type="paragraph" w:customStyle="1" w:styleId="1653">
    <w:name w:val="CM11"/>
    <w:basedOn w:val="146"/>
    <w:next w:val="146"/>
    <w:qFormat/>
    <w:uiPriority w:val="0"/>
    <w:pPr>
      <w:spacing w:line="313" w:lineRule="atLeast"/>
    </w:pPr>
    <w:rPr>
      <w:rFonts w:cs="Times New Roman"/>
      <w:color w:val="auto"/>
      <w:szCs w:val="20"/>
    </w:rPr>
  </w:style>
  <w:style w:type="paragraph" w:customStyle="1" w:styleId="1654">
    <w:name w:val="标题 51"/>
    <w:basedOn w:val="1"/>
    <w:next w:val="1"/>
    <w:qFormat/>
    <w:uiPriority w:val="0"/>
    <w:pPr>
      <w:spacing w:line="480" w:lineRule="exact"/>
      <w:ind w:firstLine="1009"/>
      <w:jc w:val="left"/>
      <w:outlineLvl w:val="4"/>
    </w:pPr>
    <w:rPr>
      <w:bCs/>
      <w:color w:val="FF0000"/>
      <w:sz w:val="24"/>
      <w:szCs w:val="28"/>
      <w:lang w:val="zh-CN"/>
    </w:rPr>
  </w:style>
  <w:style w:type="paragraph" w:customStyle="1" w:styleId="1655">
    <w:name w:val="标题 71"/>
    <w:basedOn w:val="1"/>
    <w:next w:val="1"/>
    <w:qFormat/>
    <w:uiPriority w:val="0"/>
    <w:pPr>
      <w:spacing w:line="480" w:lineRule="exact"/>
      <w:ind w:firstLine="200" w:firstLineChars="200"/>
      <w:jc w:val="left"/>
      <w:outlineLvl w:val="6"/>
    </w:pPr>
    <w:rPr>
      <w:bCs/>
      <w:sz w:val="24"/>
    </w:rPr>
  </w:style>
  <w:style w:type="paragraph" w:customStyle="1" w:styleId="1656">
    <w:name w:val="_Style 309"/>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57">
    <w:name w:val="标题 81"/>
    <w:basedOn w:val="1"/>
    <w:next w:val="1"/>
    <w:qFormat/>
    <w:uiPriority w:val="0"/>
    <w:pPr>
      <w:keepNext/>
      <w:keepLines/>
      <w:tabs>
        <w:tab w:val="left" w:pos="1627"/>
      </w:tabs>
      <w:spacing w:before="240" w:after="64" w:line="320" w:lineRule="auto"/>
      <w:ind w:firstLine="200" w:firstLineChars="200"/>
      <w:jc w:val="left"/>
      <w:outlineLvl w:val="7"/>
    </w:pPr>
    <w:rPr>
      <w:rFonts w:ascii="Arial" w:hAnsi="Arial" w:eastAsia="黑体"/>
      <w:sz w:val="24"/>
    </w:rPr>
  </w:style>
  <w:style w:type="paragraph" w:customStyle="1" w:styleId="1658">
    <w:name w:val="投标正文"/>
    <w:basedOn w:val="1"/>
    <w:qFormat/>
    <w:uiPriority w:val="0"/>
    <w:pPr>
      <w:spacing w:line="360" w:lineRule="auto"/>
      <w:ind w:firstLine="200" w:firstLineChars="200"/>
      <w:jc w:val="left"/>
    </w:pPr>
    <w:rPr>
      <w:rFonts w:eastAsia="黑体"/>
      <w:color w:val="1F497D"/>
      <w:spacing w:val="20"/>
      <w:sz w:val="32"/>
      <w:szCs w:val="32"/>
    </w:rPr>
  </w:style>
  <w:style w:type="paragraph" w:customStyle="1" w:styleId="1659">
    <w:name w:val="CM79"/>
    <w:basedOn w:val="146"/>
    <w:next w:val="146"/>
    <w:qFormat/>
    <w:uiPriority w:val="0"/>
    <w:pPr>
      <w:spacing w:line="313" w:lineRule="atLeast"/>
    </w:pPr>
    <w:rPr>
      <w:rFonts w:cs="Times New Roman"/>
      <w:color w:val="auto"/>
      <w:szCs w:val="20"/>
    </w:rPr>
  </w:style>
  <w:style w:type="paragraph" w:customStyle="1" w:styleId="1660">
    <w:name w:val="标题 91"/>
    <w:basedOn w:val="1"/>
    <w:next w:val="1"/>
    <w:qFormat/>
    <w:uiPriority w:val="0"/>
    <w:pPr>
      <w:keepNext/>
      <w:keepLines/>
      <w:tabs>
        <w:tab w:val="left" w:pos="1771"/>
      </w:tabs>
      <w:spacing w:before="240" w:after="64" w:line="320" w:lineRule="auto"/>
      <w:ind w:firstLine="200" w:firstLineChars="200"/>
      <w:jc w:val="left"/>
      <w:outlineLvl w:val="8"/>
    </w:pPr>
    <w:rPr>
      <w:rFonts w:ascii="Arial" w:hAnsi="Arial" w:eastAsia="黑体"/>
      <w:sz w:val="24"/>
      <w:szCs w:val="21"/>
    </w:rPr>
  </w:style>
  <w:style w:type="paragraph" w:customStyle="1" w:styleId="1661">
    <w:name w:val="TOC 标题11"/>
    <w:basedOn w:val="181"/>
    <w:next w:val="1"/>
    <w:qFormat/>
    <w:uiPriority w:val="0"/>
    <w:pPr>
      <w:keepNext/>
      <w:keepLines/>
      <w:widowControl/>
      <w:numPr>
        <w:numId w:val="0"/>
      </w:numPr>
      <w:tabs>
        <w:tab w:val="clear" w:pos="360"/>
        <w:tab w:val="clear" w:pos="2040"/>
      </w:tabs>
      <w:spacing w:before="480" w:after="0" w:line="276" w:lineRule="auto"/>
      <w:outlineLvl w:val="9"/>
    </w:pPr>
    <w:rPr>
      <w:rFonts w:ascii="Cambria" w:hAnsi="Cambria" w:eastAsia="宋体"/>
      <w:b/>
      <w:color w:val="365F91"/>
      <w:kern w:val="0"/>
      <w:szCs w:val="28"/>
    </w:rPr>
  </w:style>
  <w:style w:type="paragraph" w:customStyle="1" w:styleId="1662">
    <w:name w:val="CM192"/>
    <w:basedOn w:val="146"/>
    <w:next w:val="146"/>
    <w:qFormat/>
    <w:uiPriority w:val="0"/>
    <w:pPr>
      <w:spacing w:line="653" w:lineRule="atLeast"/>
    </w:pPr>
    <w:rPr>
      <w:rFonts w:cs="Times New Roman"/>
      <w:color w:val="auto"/>
      <w:szCs w:val="20"/>
    </w:rPr>
  </w:style>
  <w:style w:type="paragraph" w:customStyle="1" w:styleId="1663">
    <w:name w:val="Heading 1"/>
    <w:basedOn w:val="1"/>
    <w:qFormat/>
    <w:uiPriority w:val="0"/>
    <w:pPr>
      <w:widowControl/>
      <w:numPr>
        <w:ilvl w:val="0"/>
        <w:numId w:val="23"/>
      </w:numPr>
      <w:spacing w:line="480" w:lineRule="exact"/>
      <w:jc w:val="left"/>
    </w:pPr>
    <w:rPr>
      <w:color w:val="1F497D"/>
      <w:kern w:val="0"/>
      <w:sz w:val="20"/>
      <w:szCs w:val="20"/>
    </w:rPr>
  </w:style>
  <w:style w:type="paragraph" w:customStyle="1" w:styleId="1664">
    <w:name w:val="内文正文"/>
    <w:qFormat/>
    <w:uiPriority w:val="0"/>
    <w:pPr>
      <w:autoSpaceDE w:val="0"/>
      <w:autoSpaceDN w:val="0"/>
      <w:spacing w:line="400" w:lineRule="exact"/>
      <w:ind w:firstLine="200" w:firstLineChars="200"/>
      <w:jc w:val="both"/>
      <w:textAlignment w:val="bottom"/>
    </w:pPr>
    <w:rPr>
      <w:rFonts w:ascii="宋体" w:hAnsi="???|CS?o｡ﾀ?" w:eastAsia="宋体" w:cs="Times New Roman"/>
      <w:sz w:val="21"/>
      <w:szCs w:val="28"/>
      <w:lang w:val="en-US" w:eastAsia="zh-CN" w:bidi="ar-SA"/>
    </w:rPr>
  </w:style>
  <w:style w:type="paragraph" w:customStyle="1" w:styleId="1665">
    <w:name w:val="四级目录 Char Char Char Char Char"/>
    <w:next w:val="1"/>
    <w:qFormat/>
    <w:uiPriority w:val="0"/>
    <w:pPr>
      <w:spacing w:line="360" w:lineRule="auto"/>
      <w:ind w:left="200" w:leftChars="200"/>
    </w:pPr>
    <w:rPr>
      <w:rFonts w:ascii="Times New Roman" w:hAnsi="Times New Roman" w:eastAsia="FangSong_GB2312" w:cs="Times New Roman"/>
      <w:sz w:val="30"/>
      <w:lang w:val="en-US" w:eastAsia="en-US" w:bidi="ar-SA"/>
    </w:rPr>
  </w:style>
  <w:style w:type="paragraph" w:customStyle="1" w:styleId="1666">
    <w:name w:val="CM62"/>
    <w:basedOn w:val="146"/>
    <w:next w:val="146"/>
    <w:qFormat/>
    <w:uiPriority w:val="0"/>
    <w:pPr>
      <w:spacing w:line="400" w:lineRule="atLeast"/>
    </w:pPr>
    <w:rPr>
      <w:rFonts w:cs="Times New Roman"/>
      <w:color w:val="auto"/>
    </w:rPr>
  </w:style>
  <w:style w:type="paragraph" w:customStyle="1" w:styleId="1667">
    <w:name w:val="CM199"/>
    <w:basedOn w:val="146"/>
    <w:next w:val="146"/>
    <w:qFormat/>
    <w:uiPriority w:val="0"/>
    <w:pPr>
      <w:spacing w:line="260" w:lineRule="atLeast"/>
    </w:pPr>
    <w:rPr>
      <w:rFonts w:cs="Times New Roman"/>
      <w:color w:val="auto"/>
      <w:szCs w:val="20"/>
    </w:rPr>
  </w:style>
  <w:style w:type="paragraph" w:customStyle="1" w:styleId="1668">
    <w:name w:val="目录1"/>
    <w:basedOn w:val="1"/>
    <w:qFormat/>
    <w:uiPriority w:val="0"/>
    <w:pPr>
      <w:adjustRightInd w:val="0"/>
      <w:spacing w:line="420" w:lineRule="atLeast"/>
      <w:ind w:firstLine="200" w:firstLineChars="200"/>
      <w:jc w:val="left"/>
      <w:textAlignment w:val="baseline"/>
    </w:pPr>
    <w:rPr>
      <w:rFonts w:eastAsia="黑体"/>
      <w:b/>
      <w:color w:val="1F497D"/>
      <w:kern w:val="0"/>
      <w:sz w:val="24"/>
    </w:rPr>
  </w:style>
  <w:style w:type="paragraph" w:customStyle="1" w:styleId="1669">
    <w:name w:val="CM210"/>
    <w:basedOn w:val="146"/>
    <w:next w:val="146"/>
    <w:qFormat/>
    <w:uiPriority w:val="0"/>
    <w:pPr>
      <w:spacing w:after="938"/>
    </w:pPr>
    <w:rPr>
      <w:rFonts w:cs="Times New Roman"/>
      <w:color w:val="auto"/>
      <w:szCs w:val="20"/>
    </w:rPr>
  </w:style>
  <w:style w:type="paragraph" w:customStyle="1" w:styleId="1670">
    <w:name w:val="表格方字"/>
    <w:basedOn w:val="1"/>
    <w:qFormat/>
    <w:uiPriority w:val="0"/>
    <w:pPr>
      <w:adjustRightInd w:val="0"/>
      <w:spacing w:line="420" w:lineRule="atLeast"/>
      <w:ind w:firstLine="200" w:firstLineChars="200"/>
      <w:jc w:val="left"/>
      <w:textAlignment w:val="baseline"/>
    </w:pPr>
    <w:rPr>
      <w:color w:val="1F497D"/>
      <w:kern w:val="0"/>
      <w:sz w:val="24"/>
    </w:rPr>
  </w:style>
  <w:style w:type="paragraph" w:customStyle="1" w:styleId="1671">
    <w:name w:val="样式 标题 1标题 1 1编号标题1 + (符号) Arial 加粗 黑色"/>
    <w:basedOn w:val="181"/>
    <w:qFormat/>
    <w:uiPriority w:val="0"/>
    <w:pPr>
      <w:numPr>
        <w:numId w:val="0"/>
      </w:numPr>
      <w:tabs>
        <w:tab w:val="clear" w:pos="360"/>
        <w:tab w:val="clear" w:pos="2040"/>
      </w:tabs>
      <w:adjustRightInd w:val="0"/>
      <w:spacing w:before="200" w:after="180" w:line="360" w:lineRule="atLeast"/>
      <w:textAlignment w:val="baseline"/>
    </w:pPr>
    <w:rPr>
      <w:rFonts w:ascii="Arial"/>
      <w:color w:val="000000"/>
      <w:sz w:val="32"/>
      <w:szCs w:val="20"/>
    </w:rPr>
  </w:style>
  <w:style w:type="paragraph" w:customStyle="1" w:styleId="1672">
    <w:name w:val="Char Char Char1 Char Char Char1"/>
    <w:basedOn w:val="1"/>
    <w:qFormat/>
    <w:uiPriority w:val="0"/>
    <w:rPr>
      <w:rFonts w:ascii="Tahoma" w:hAnsi="Tahoma"/>
      <w:sz w:val="24"/>
      <w:szCs w:val="20"/>
    </w:rPr>
  </w:style>
  <w:style w:type="paragraph" w:customStyle="1" w:styleId="1673">
    <w:name w:val="表左2"/>
    <w:basedOn w:val="1"/>
    <w:qFormat/>
    <w:uiPriority w:val="0"/>
    <w:pPr>
      <w:adjustRightInd w:val="0"/>
      <w:spacing w:line="360" w:lineRule="atLeast"/>
      <w:ind w:left="227" w:firstLine="200" w:firstLineChars="200"/>
      <w:jc w:val="left"/>
      <w:textAlignment w:val="baseline"/>
    </w:pPr>
    <w:rPr>
      <w:color w:val="1F497D"/>
      <w:kern w:val="0"/>
      <w:sz w:val="24"/>
    </w:rPr>
  </w:style>
  <w:style w:type="paragraph" w:customStyle="1" w:styleId="1674">
    <w:name w:val="flType"/>
    <w:basedOn w:val="1"/>
    <w:qFormat/>
    <w:uiPriority w:val="0"/>
    <w:pPr>
      <w:adjustRightInd w:val="0"/>
      <w:spacing w:after="284" w:line="113" w:lineRule="atLeast"/>
      <w:ind w:firstLine="200" w:firstLineChars="200"/>
      <w:jc w:val="center"/>
      <w:textAlignment w:val="baseline"/>
    </w:pPr>
    <w:rPr>
      <w:color w:val="1F497D"/>
      <w:kern w:val="0"/>
      <w:sz w:val="24"/>
    </w:rPr>
  </w:style>
  <w:style w:type="paragraph" w:customStyle="1" w:styleId="1675">
    <w:name w:val="CM87"/>
    <w:basedOn w:val="146"/>
    <w:next w:val="146"/>
    <w:qFormat/>
    <w:uiPriority w:val="0"/>
    <w:pPr>
      <w:spacing w:line="473" w:lineRule="atLeast"/>
    </w:pPr>
    <w:rPr>
      <w:rFonts w:cs="Times New Roman"/>
      <w:color w:val="auto"/>
      <w:szCs w:val="20"/>
    </w:rPr>
  </w:style>
  <w:style w:type="paragraph" w:customStyle="1" w:styleId="1676">
    <w:name w:val="CM193"/>
    <w:basedOn w:val="146"/>
    <w:next w:val="146"/>
    <w:qFormat/>
    <w:uiPriority w:val="0"/>
    <w:pPr>
      <w:spacing w:line="653" w:lineRule="atLeast"/>
    </w:pPr>
    <w:rPr>
      <w:rFonts w:cs="Times New Roman"/>
      <w:color w:val="auto"/>
      <w:szCs w:val="20"/>
    </w:rPr>
  </w:style>
  <w:style w:type="paragraph" w:customStyle="1" w:styleId="1677">
    <w:name w:val="Body text 1"/>
    <w:basedOn w:val="920"/>
    <w:qFormat/>
    <w:uiPriority w:val="0"/>
    <w:pPr>
      <w:tabs>
        <w:tab w:val="left" w:pos="1134"/>
        <w:tab w:val="left" w:pos="1545"/>
      </w:tabs>
      <w:ind w:hanging="1134"/>
    </w:pPr>
  </w:style>
  <w:style w:type="paragraph" w:customStyle="1" w:styleId="1678">
    <w:name w:val="CM260"/>
    <w:basedOn w:val="146"/>
    <w:next w:val="146"/>
    <w:qFormat/>
    <w:uiPriority w:val="0"/>
    <w:pPr>
      <w:spacing w:after="6955"/>
    </w:pPr>
    <w:rPr>
      <w:rFonts w:cs="Times New Roman"/>
      <w:color w:val="auto"/>
      <w:szCs w:val="20"/>
    </w:rPr>
  </w:style>
  <w:style w:type="paragraph" w:customStyle="1" w:styleId="1679">
    <w:name w:val="通用"/>
    <w:basedOn w:val="1"/>
    <w:qFormat/>
    <w:uiPriority w:val="0"/>
    <w:pPr>
      <w:spacing w:line="360" w:lineRule="auto"/>
      <w:ind w:left="42" w:firstLine="200" w:firstLineChars="200"/>
      <w:jc w:val="left"/>
    </w:pPr>
    <w:rPr>
      <w:rFonts w:ascii="宋体"/>
      <w:b/>
      <w:color w:val="1F497D"/>
      <w:sz w:val="24"/>
    </w:rPr>
  </w:style>
  <w:style w:type="paragraph" w:customStyle="1" w:styleId="1680">
    <w:name w:val="专用"/>
    <w:basedOn w:val="1"/>
    <w:qFormat/>
    <w:uiPriority w:val="0"/>
    <w:pPr>
      <w:spacing w:afterLines="100" w:line="480" w:lineRule="exact"/>
      <w:ind w:left="838" w:hanging="838" w:hangingChars="262"/>
      <w:jc w:val="left"/>
    </w:pPr>
    <w:rPr>
      <w:rFonts w:ascii="宋体"/>
      <w:b/>
      <w:color w:val="000000"/>
      <w:sz w:val="32"/>
    </w:rPr>
  </w:style>
  <w:style w:type="paragraph" w:customStyle="1" w:styleId="1681">
    <w:name w:val="CM198"/>
    <w:basedOn w:val="146"/>
    <w:next w:val="146"/>
    <w:qFormat/>
    <w:uiPriority w:val="0"/>
    <w:rPr>
      <w:rFonts w:cs="Times New Roman"/>
      <w:color w:val="auto"/>
      <w:szCs w:val="20"/>
    </w:rPr>
  </w:style>
  <w:style w:type="paragraph" w:customStyle="1" w:styleId="1682">
    <w:name w:val="flName"/>
    <w:basedOn w:val="934"/>
    <w:qFormat/>
    <w:uiPriority w:val="0"/>
    <w:pPr>
      <w:spacing w:before="0" w:after="0" w:line="113" w:lineRule="atLeast"/>
      <w:ind w:firstLine="200" w:firstLineChars="200"/>
    </w:pPr>
    <w:rPr>
      <w:rFonts w:ascii="Times New Roman"/>
      <w:b/>
      <w:color w:val="1F497D"/>
      <w:sz w:val="24"/>
      <w:szCs w:val="24"/>
    </w:rPr>
  </w:style>
  <w:style w:type="paragraph" w:customStyle="1" w:styleId="1683">
    <w:name w:val="样式 宋体 小四 段前: 5 磅 段后: 5 磅"/>
    <w:basedOn w:val="1"/>
    <w:qFormat/>
    <w:uiPriority w:val="0"/>
    <w:pPr>
      <w:tabs>
        <w:tab w:val="left" w:pos="425"/>
      </w:tabs>
      <w:spacing w:before="100" w:after="100" w:line="480" w:lineRule="exact"/>
      <w:ind w:left="420" w:leftChars="200" w:firstLine="200" w:firstLineChars="200"/>
      <w:jc w:val="left"/>
    </w:pPr>
    <w:rPr>
      <w:rFonts w:ascii="宋体" w:cs="宋体"/>
      <w:color w:val="1F497D"/>
      <w:sz w:val="24"/>
    </w:rPr>
  </w:style>
  <w:style w:type="paragraph" w:customStyle="1" w:styleId="1684">
    <w:name w:val="新标题1"/>
    <w:basedOn w:val="1"/>
    <w:qFormat/>
    <w:uiPriority w:val="0"/>
    <w:pPr>
      <w:spacing w:line="480" w:lineRule="exact"/>
      <w:ind w:firstLine="200" w:firstLineChars="200"/>
      <w:jc w:val="left"/>
    </w:pPr>
    <w:rPr>
      <w:color w:val="1F497D"/>
      <w:sz w:val="24"/>
    </w:rPr>
  </w:style>
  <w:style w:type="paragraph" w:customStyle="1" w:styleId="1685">
    <w:name w:val="新标题3"/>
    <w:basedOn w:val="1"/>
    <w:qFormat/>
    <w:uiPriority w:val="0"/>
    <w:pPr>
      <w:spacing w:line="480" w:lineRule="exact"/>
      <w:ind w:firstLine="200" w:firstLineChars="200"/>
      <w:jc w:val="left"/>
    </w:pPr>
    <w:rPr>
      <w:color w:val="1F497D"/>
      <w:sz w:val="24"/>
    </w:rPr>
  </w:style>
  <w:style w:type="paragraph" w:customStyle="1" w:styleId="1686">
    <w:name w:val="CM233"/>
    <w:basedOn w:val="146"/>
    <w:next w:val="146"/>
    <w:qFormat/>
    <w:uiPriority w:val="0"/>
    <w:pPr>
      <w:spacing w:after="718"/>
    </w:pPr>
    <w:rPr>
      <w:rFonts w:cs="Times New Roman"/>
      <w:color w:val="auto"/>
      <w:szCs w:val="20"/>
    </w:rPr>
  </w:style>
  <w:style w:type="paragraph" w:customStyle="1" w:styleId="1687">
    <w:name w:val="标书3级标题"/>
    <w:basedOn w:val="1"/>
    <w:next w:val="1"/>
    <w:qFormat/>
    <w:uiPriority w:val="0"/>
    <w:pPr>
      <w:widowControl/>
      <w:snapToGrid w:val="0"/>
      <w:spacing w:line="360" w:lineRule="auto"/>
      <w:ind w:firstLine="480" w:firstLineChars="200"/>
      <w:jc w:val="left"/>
      <w:outlineLvl w:val="3"/>
    </w:pPr>
    <w:rPr>
      <w:rFonts w:ascii="宋体" w:hAnsi="宋体"/>
      <w:b/>
      <w:bCs/>
      <w:color w:val="000000"/>
      <w:kern w:val="0"/>
      <w:sz w:val="24"/>
    </w:rPr>
  </w:style>
  <w:style w:type="paragraph" w:customStyle="1" w:styleId="1688">
    <w:name w:val="标题 12"/>
    <w:basedOn w:val="1"/>
    <w:qFormat/>
    <w:uiPriority w:val="0"/>
    <w:pPr>
      <w:widowControl/>
      <w:spacing w:line="480" w:lineRule="exact"/>
      <w:ind w:firstLine="200" w:firstLineChars="200"/>
      <w:jc w:val="left"/>
    </w:pPr>
    <w:rPr>
      <w:color w:val="1F497D"/>
      <w:kern w:val="0"/>
      <w:sz w:val="20"/>
    </w:rPr>
  </w:style>
  <w:style w:type="paragraph" w:customStyle="1" w:styleId="1689">
    <w:name w:val="标题 22"/>
    <w:basedOn w:val="1"/>
    <w:qFormat/>
    <w:uiPriority w:val="0"/>
    <w:pPr>
      <w:widowControl/>
      <w:tabs>
        <w:tab w:val="left" w:pos="576"/>
      </w:tabs>
      <w:spacing w:line="480" w:lineRule="exact"/>
      <w:ind w:left="576" w:hanging="576" w:firstLineChars="200"/>
      <w:jc w:val="left"/>
    </w:pPr>
    <w:rPr>
      <w:color w:val="1F497D"/>
      <w:kern w:val="0"/>
      <w:sz w:val="20"/>
    </w:rPr>
  </w:style>
  <w:style w:type="paragraph" w:customStyle="1" w:styleId="1690">
    <w:name w:val="标题 52"/>
    <w:basedOn w:val="1"/>
    <w:qFormat/>
    <w:uiPriority w:val="0"/>
    <w:pPr>
      <w:widowControl/>
      <w:tabs>
        <w:tab w:val="left" w:pos="1008"/>
        <w:tab w:val="left" w:pos="1440"/>
      </w:tabs>
      <w:spacing w:line="480" w:lineRule="exact"/>
      <w:ind w:left="1008" w:hanging="1008" w:firstLineChars="200"/>
      <w:jc w:val="left"/>
    </w:pPr>
    <w:rPr>
      <w:color w:val="1F497D"/>
      <w:kern w:val="0"/>
      <w:sz w:val="20"/>
    </w:rPr>
  </w:style>
  <w:style w:type="paragraph" w:customStyle="1" w:styleId="1691">
    <w:name w:val="标书样式"/>
    <w:basedOn w:val="1"/>
    <w:qFormat/>
    <w:uiPriority w:val="0"/>
    <w:pPr>
      <w:spacing w:line="360" w:lineRule="auto"/>
      <w:ind w:firstLine="480" w:firstLineChars="200"/>
    </w:pPr>
    <w:rPr>
      <w:rFonts w:eastAsia="FangSong_GB2312"/>
      <w:sz w:val="24"/>
    </w:rPr>
  </w:style>
  <w:style w:type="paragraph" w:customStyle="1" w:styleId="1692">
    <w:name w:val="_Style 31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93">
    <w:name w:val="标题 72"/>
    <w:basedOn w:val="1"/>
    <w:qFormat/>
    <w:uiPriority w:val="0"/>
    <w:pPr>
      <w:widowControl/>
      <w:tabs>
        <w:tab w:val="left" w:pos="1152"/>
        <w:tab w:val="left" w:pos="1296"/>
      </w:tabs>
      <w:spacing w:line="480" w:lineRule="exact"/>
      <w:ind w:left="1296" w:hanging="1296" w:firstLineChars="200"/>
      <w:jc w:val="left"/>
    </w:pPr>
    <w:rPr>
      <w:color w:val="1F497D"/>
      <w:kern w:val="0"/>
      <w:sz w:val="20"/>
    </w:rPr>
  </w:style>
  <w:style w:type="paragraph" w:customStyle="1" w:styleId="1694">
    <w:name w:val="CM173"/>
    <w:basedOn w:val="146"/>
    <w:next w:val="146"/>
    <w:qFormat/>
    <w:uiPriority w:val="0"/>
    <w:pPr>
      <w:spacing w:line="260" w:lineRule="atLeast"/>
    </w:pPr>
    <w:rPr>
      <w:rFonts w:cs="Times New Roman"/>
      <w:color w:val="auto"/>
      <w:szCs w:val="20"/>
    </w:rPr>
  </w:style>
  <w:style w:type="paragraph" w:customStyle="1" w:styleId="1695">
    <w:name w:val="CM184"/>
    <w:basedOn w:val="146"/>
    <w:next w:val="146"/>
    <w:qFormat/>
    <w:uiPriority w:val="0"/>
    <w:rPr>
      <w:rFonts w:cs="Times New Roman"/>
      <w:color w:val="auto"/>
      <w:szCs w:val="20"/>
    </w:rPr>
  </w:style>
  <w:style w:type="paragraph" w:customStyle="1" w:styleId="1696">
    <w:name w:val="CM250"/>
    <w:basedOn w:val="146"/>
    <w:next w:val="146"/>
    <w:qFormat/>
    <w:uiPriority w:val="0"/>
    <w:pPr>
      <w:spacing w:after="1568"/>
    </w:pPr>
    <w:rPr>
      <w:rFonts w:cs="Times New Roman"/>
      <w:color w:val="auto"/>
      <w:szCs w:val="20"/>
    </w:rPr>
  </w:style>
  <w:style w:type="paragraph" w:customStyle="1" w:styleId="1697">
    <w:name w:val="技规文3"/>
    <w:basedOn w:val="1"/>
    <w:qFormat/>
    <w:uiPriority w:val="0"/>
    <w:pPr>
      <w:autoSpaceDE w:val="0"/>
      <w:autoSpaceDN w:val="0"/>
      <w:adjustRightInd w:val="0"/>
      <w:spacing w:line="500" w:lineRule="atLeast"/>
      <w:ind w:firstLine="200" w:firstLineChars="200"/>
      <w:jc w:val="left"/>
      <w:textAlignment w:val="bottom"/>
    </w:pPr>
    <w:rPr>
      <w:rFonts w:ascii="KaiTi_GB2312" w:eastAsia="KaiTi_GB2312"/>
      <w:color w:val="1F497D"/>
      <w:spacing w:val="10"/>
      <w:kern w:val="0"/>
      <w:sz w:val="24"/>
    </w:rPr>
  </w:style>
  <w:style w:type="paragraph" w:customStyle="1" w:styleId="1698">
    <w:name w:val="CM218"/>
    <w:basedOn w:val="146"/>
    <w:next w:val="146"/>
    <w:qFormat/>
    <w:uiPriority w:val="0"/>
    <w:pPr>
      <w:spacing w:line="391" w:lineRule="atLeast"/>
    </w:pPr>
    <w:rPr>
      <w:rFonts w:cs="Times New Roman"/>
      <w:color w:val="auto"/>
      <w:szCs w:val="20"/>
    </w:rPr>
  </w:style>
  <w:style w:type="paragraph" w:customStyle="1" w:styleId="1699">
    <w:name w:val="专用3"/>
    <w:basedOn w:val="1"/>
    <w:qFormat/>
    <w:uiPriority w:val="0"/>
    <w:pPr>
      <w:tabs>
        <w:tab w:val="left" w:pos="840"/>
      </w:tabs>
      <w:spacing w:beforeLines="50" w:line="360" w:lineRule="auto"/>
      <w:ind w:left="400" w:hanging="400" w:hangingChars="400"/>
    </w:pPr>
    <w:rPr>
      <w:rFonts w:ascii="宋体"/>
      <w:szCs w:val="20"/>
    </w:rPr>
  </w:style>
  <w:style w:type="paragraph" w:customStyle="1" w:styleId="1700">
    <w:name w:val="CM240"/>
    <w:basedOn w:val="146"/>
    <w:next w:val="146"/>
    <w:qFormat/>
    <w:uiPriority w:val="0"/>
    <w:pPr>
      <w:spacing w:after="940"/>
    </w:pPr>
    <w:rPr>
      <w:rFonts w:cs="Times New Roman"/>
      <w:color w:val="auto"/>
      <w:szCs w:val="20"/>
    </w:rPr>
  </w:style>
  <w:style w:type="paragraph" w:customStyle="1" w:styleId="1701">
    <w:name w:val="CM228"/>
    <w:basedOn w:val="146"/>
    <w:next w:val="146"/>
    <w:qFormat/>
    <w:uiPriority w:val="0"/>
    <w:pPr>
      <w:spacing w:after="6675"/>
    </w:pPr>
    <w:rPr>
      <w:rFonts w:cs="Times New Roman"/>
      <w:color w:val="auto"/>
      <w:szCs w:val="20"/>
    </w:rPr>
  </w:style>
  <w:style w:type="paragraph" w:customStyle="1" w:styleId="1702">
    <w:name w:val="Plain Text1"/>
    <w:basedOn w:val="1"/>
    <w:qFormat/>
    <w:uiPriority w:val="0"/>
    <w:pPr>
      <w:adjustRightInd w:val="0"/>
      <w:spacing w:line="312" w:lineRule="atLeast"/>
      <w:ind w:firstLine="200" w:firstLineChars="200"/>
      <w:jc w:val="left"/>
      <w:textAlignment w:val="baseline"/>
    </w:pPr>
    <w:rPr>
      <w:rFonts w:ascii="宋体" w:hAnsi="Courier New"/>
      <w:color w:val="1F497D"/>
      <w:kern w:val="0"/>
      <w:sz w:val="28"/>
      <w:szCs w:val="20"/>
    </w:rPr>
  </w:style>
  <w:style w:type="paragraph" w:customStyle="1" w:styleId="1703">
    <w:name w:val="llp2"/>
    <w:basedOn w:val="1"/>
    <w:qFormat/>
    <w:uiPriority w:val="0"/>
    <w:pPr>
      <w:spacing w:beforeLines="100" w:afterLines="100" w:line="240" w:lineRule="atLeast"/>
      <w:ind w:firstLine="200" w:firstLineChars="200"/>
      <w:jc w:val="left"/>
      <w:outlineLvl w:val="1"/>
    </w:pPr>
    <w:rPr>
      <w:rFonts w:eastAsia="黑体"/>
      <w:color w:val="1F497D"/>
      <w:sz w:val="32"/>
      <w:szCs w:val="32"/>
    </w:rPr>
  </w:style>
  <w:style w:type="paragraph" w:customStyle="1" w:styleId="1704">
    <w:name w:val="CM111"/>
    <w:basedOn w:val="146"/>
    <w:next w:val="146"/>
    <w:qFormat/>
    <w:uiPriority w:val="0"/>
    <w:pPr>
      <w:spacing w:line="313" w:lineRule="atLeast"/>
    </w:pPr>
    <w:rPr>
      <w:rFonts w:cs="Times New Roman"/>
      <w:color w:val="auto"/>
      <w:szCs w:val="20"/>
    </w:rPr>
  </w:style>
  <w:style w:type="paragraph" w:customStyle="1" w:styleId="1705">
    <w:name w:val="图表小四中对齐"/>
    <w:basedOn w:val="1"/>
    <w:qFormat/>
    <w:uiPriority w:val="0"/>
    <w:pPr>
      <w:adjustRightInd w:val="0"/>
      <w:spacing w:line="360" w:lineRule="exact"/>
      <w:jc w:val="center"/>
      <w:textAlignment w:val="baseline"/>
    </w:pPr>
    <w:rPr>
      <w:spacing w:val="-10"/>
      <w:sz w:val="24"/>
      <w:szCs w:val="21"/>
    </w:rPr>
  </w:style>
  <w:style w:type="paragraph" w:customStyle="1" w:styleId="1706">
    <w:name w:val="样式 样式 标题 3 + 段前: 1 行 段后: 0.5 行 + 段前: 1 行 段后: 0.5 行"/>
    <w:basedOn w:val="1"/>
    <w:qFormat/>
    <w:uiPriority w:val="0"/>
    <w:pPr>
      <w:keepNext/>
      <w:keepLines/>
      <w:spacing w:beforeLines="100" w:afterLines="50"/>
      <w:ind w:firstLine="200" w:firstLineChars="200"/>
      <w:jc w:val="left"/>
      <w:outlineLvl w:val="2"/>
    </w:pPr>
    <w:rPr>
      <w:rFonts w:eastAsia="黑体" w:cs="宋体"/>
      <w:bCs/>
      <w:color w:val="1F497D"/>
      <w:sz w:val="22"/>
      <w:szCs w:val="22"/>
    </w:rPr>
  </w:style>
  <w:style w:type="paragraph" w:customStyle="1" w:styleId="1707">
    <w:name w:val="样式 样式 列表框 Char Char Char Char Char + 段后: 0.5 行 + 左侧:  6 字符 首行缩进..."/>
    <w:basedOn w:val="1239"/>
    <w:qFormat/>
    <w:uiPriority w:val="0"/>
    <w:pPr>
      <w:tabs>
        <w:tab w:val="left" w:pos="2297"/>
      </w:tabs>
      <w:ind w:left="2297" w:leftChars="0" w:hanging="420" w:firstLineChars="0"/>
    </w:pPr>
  </w:style>
  <w:style w:type="paragraph" w:customStyle="1" w:styleId="1708">
    <w:name w:val="样式 宋体 小四 行距: 多倍行距 1.25 字行"/>
    <w:basedOn w:val="1"/>
    <w:qFormat/>
    <w:uiPriority w:val="0"/>
    <w:pPr>
      <w:tabs>
        <w:tab w:val="left" w:pos="1107"/>
      </w:tabs>
      <w:spacing w:line="300" w:lineRule="auto"/>
      <w:ind w:left="824" w:hanging="227"/>
    </w:pPr>
    <w:rPr>
      <w:rFonts w:ascii="宋体" w:cs="宋体"/>
      <w:sz w:val="24"/>
      <w:szCs w:val="20"/>
    </w:rPr>
  </w:style>
  <w:style w:type="paragraph" w:customStyle="1" w:styleId="1709">
    <w:name w:val="样式 样式 样式 宋体 小四 左侧:  1.85 厘米 段前: 11.15 磅 段后: 11.15 磅 + 图案: 清除 (白色..."/>
    <w:basedOn w:val="1"/>
    <w:qFormat/>
    <w:uiPriority w:val="0"/>
    <w:pPr>
      <w:snapToGrid w:val="0"/>
      <w:spacing w:beforeLines="50" w:afterLines="50"/>
      <w:ind w:left="318" w:firstLine="200" w:firstLineChars="200"/>
      <w:jc w:val="left"/>
    </w:pPr>
    <w:rPr>
      <w:color w:val="1F497D"/>
      <w:sz w:val="24"/>
      <w:szCs w:val="20"/>
      <w:shd w:val="clear" w:color="auto" w:fill="FFFFFF"/>
    </w:rPr>
  </w:style>
  <w:style w:type="paragraph" w:customStyle="1" w:styleId="1710">
    <w:name w:val="样式 宋体 小四 左 图案: 清除 (白色) 行距: 1.5 倍行距"/>
    <w:basedOn w:val="1"/>
    <w:qFormat/>
    <w:uiPriority w:val="0"/>
    <w:pPr>
      <w:tabs>
        <w:tab w:val="left" w:pos="840"/>
      </w:tabs>
      <w:spacing w:beforeLines="50" w:afterLines="50"/>
      <w:ind w:firstLine="200" w:firstLineChars="200"/>
      <w:jc w:val="left"/>
    </w:pPr>
    <w:rPr>
      <w:rFonts w:ascii="宋体" w:hAnsi="宋体"/>
      <w:color w:val="1F497D"/>
      <w:sz w:val="24"/>
      <w:szCs w:val="20"/>
      <w:shd w:val="clear" w:color="auto" w:fill="FFFFFF"/>
    </w:rPr>
  </w:style>
  <w:style w:type="paragraph" w:customStyle="1" w:styleId="1711">
    <w:name w:val="正文111"/>
    <w:basedOn w:val="1"/>
    <w:qFormat/>
    <w:uiPriority w:val="0"/>
    <w:pPr>
      <w:numPr>
        <w:ilvl w:val="0"/>
        <w:numId w:val="24"/>
      </w:numPr>
      <w:tabs>
        <w:tab w:val="left" w:pos="851"/>
      </w:tabs>
      <w:snapToGrid w:val="0"/>
      <w:spacing w:line="500" w:lineRule="exact"/>
      <w:jc w:val="left"/>
    </w:pPr>
    <w:rPr>
      <w:rFonts w:ascii="宋体" w:hAnsi="宋体"/>
      <w:color w:val="1F497D"/>
      <w:sz w:val="24"/>
      <w:szCs w:val="20"/>
    </w:rPr>
  </w:style>
  <w:style w:type="paragraph" w:customStyle="1" w:styleId="1712">
    <w:name w:val="小标4"/>
    <w:basedOn w:val="1"/>
    <w:next w:val="1"/>
    <w:qFormat/>
    <w:uiPriority w:val="0"/>
    <w:pPr>
      <w:numPr>
        <w:ilvl w:val="0"/>
        <w:numId w:val="25"/>
      </w:numPr>
      <w:tabs>
        <w:tab w:val="left" w:pos="1134"/>
      </w:tabs>
      <w:spacing w:line="400" w:lineRule="exact"/>
      <w:jc w:val="left"/>
    </w:pPr>
    <w:rPr>
      <w:rFonts w:ascii="宋体"/>
      <w:color w:val="1F497D"/>
      <w:sz w:val="24"/>
    </w:rPr>
  </w:style>
  <w:style w:type="paragraph" w:customStyle="1" w:styleId="1713">
    <w:name w:val="访问过的超链接2"/>
    <w:next w:val="1"/>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1714">
    <w:name w:val="_Style 277"/>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15">
    <w:name w:val="_Style 28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16">
    <w:name w:val="Char Char Char1 Char Char Char Char Char Char"/>
    <w:basedOn w:val="1"/>
    <w:qFormat/>
    <w:uiPriority w:val="0"/>
    <w:rPr>
      <w:rFonts w:ascii="Tahoma" w:hAnsi="Tahoma"/>
      <w:sz w:val="24"/>
      <w:szCs w:val="20"/>
    </w:rPr>
  </w:style>
  <w:style w:type="paragraph" w:customStyle="1" w:styleId="1717">
    <w:name w:val="_Style 285"/>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18">
    <w:name w:val="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19">
    <w:name w:val="_Style 5"/>
    <w:basedOn w:val="1"/>
    <w:qFormat/>
    <w:uiPriority w:val="0"/>
    <w:pPr>
      <w:spacing w:line="360" w:lineRule="auto"/>
      <w:ind w:firstLine="200" w:firstLineChars="200"/>
    </w:pPr>
    <w:rPr>
      <w:rFonts w:ascii="宋体"/>
      <w:b/>
    </w:rPr>
  </w:style>
  <w:style w:type="paragraph" w:customStyle="1" w:styleId="1720">
    <w:name w:val="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21">
    <w:name w:val="菲页2"/>
    <w:basedOn w:val="5"/>
    <w:qFormat/>
    <w:uiPriority w:val="0"/>
    <w:pPr>
      <w:tabs>
        <w:tab w:val="clear" w:pos="720"/>
        <w:tab w:val="clear" w:pos="1260"/>
      </w:tabs>
      <w:ind w:left="0" w:firstLine="0"/>
    </w:pPr>
    <w:rPr>
      <w:rFonts w:ascii="黑体" w:hAnsi="宋体" w:eastAsia="黑体"/>
      <w:b/>
      <w:sz w:val="44"/>
    </w:rPr>
  </w:style>
  <w:style w:type="paragraph" w:customStyle="1" w:styleId="1722">
    <w:name w:val="_Style 289"/>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3">
    <w:name w:val="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24">
    <w:name w:val="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25">
    <w:name w:val="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26">
    <w:name w:val="_Style 317"/>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7">
    <w:name w:val="_Style 297"/>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8">
    <w:name w:val="_Style 314"/>
    <w:next w:val="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9">
    <w:name w:val="_Style 30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0">
    <w:name w:val="Char Char Char Char Char Char Char Char Char Char Char Char 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31">
    <w:name w:val="Char Char Char Char Char Char Char Char Char Char Char Char 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32">
    <w:name w:val="_Style 32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3">
    <w:name w:val="_Style 325"/>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4">
    <w:name w:val="_Style 33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5">
    <w:name w:val="标题 43"/>
    <w:basedOn w:val="1"/>
    <w:next w:val="1"/>
    <w:qFormat/>
    <w:uiPriority w:val="0"/>
    <w:pPr>
      <w:numPr>
        <w:ilvl w:val="3"/>
        <w:numId w:val="11"/>
      </w:numPr>
      <w:tabs>
        <w:tab w:val="left" w:pos="360"/>
        <w:tab w:val="left" w:pos="2040"/>
      </w:tabs>
      <w:spacing w:before="120"/>
      <w:jc w:val="left"/>
      <w:outlineLvl w:val="3"/>
    </w:pPr>
    <w:rPr>
      <w:bCs/>
      <w:color w:val="00B050"/>
      <w:sz w:val="24"/>
      <w:szCs w:val="28"/>
    </w:rPr>
  </w:style>
  <w:style w:type="paragraph" w:customStyle="1" w:styleId="1736">
    <w:name w:val="标题 53"/>
    <w:basedOn w:val="1"/>
    <w:next w:val="1"/>
    <w:qFormat/>
    <w:uiPriority w:val="0"/>
    <w:pPr>
      <w:numPr>
        <w:ilvl w:val="4"/>
        <w:numId w:val="11"/>
      </w:numPr>
      <w:tabs>
        <w:tab w:val="left" w:pos="360"/>
        <w:tab w:val="left" w:pos="2040"/>
      </w:tabs>
      <w:spacing w:line="480" w:lineRule="exact"/>
      <w:jc w:val="left"/>
      <w:outlineLvl w:val="4"/>
    </w:pPr>
    <w:rPr>
      <w:bCs/>
      <w:color w:val="FF0000"/>
      <w:sz w:val="24"/>
      <w:szCs w:val="28"/>
      <w:lang w:val="zh-CN"/>
    </w:rPr>
  </w:style>
  <w:style w:type="paragraph" w:customStyle="1" w:styleId="1737">
    <w:name w:val="图表样式"/>
    <w:basedOn w:val="1094"/>
    <w:qFormat/>
    <w:uiPriority w:val="0"/>
    <w:pPr>
      <w:framePr w:wrap="notBeside" w:vAnchor="text" w:hAnchor="text" w:y="1"/>
      <w:pBdr>
        <w:top w:val="single" w:color="auto" w:sz="4" w:space="1"/>
        <w:left w:val="single" w:color="auto" w:sz="4" w:space="4"/>
        <w:bottom w:val="single" w:color="auto" w:sz="4" w:space="1"/>
        <w:right w:val="single" w:color="auto" w:sz="4" w:space="4"/>
      </w:pBdr>
    </w:pPr>
    <w:rPr>
      <w:rFonts w:ascii="Times New Roman" w:hAnsi="Times New Roman" w:cs="宋体"/>
      <w:b w:val="0"/>
      <w:color w:val="00B0F0"/>
      <w:sz w:val="21"/>
      <w:szCs w:val="20"/>
    </w:rPr>
  </w:style>
  <w:style w:type="paragraph" w:customStyle="1" w:styleId="1738">
    <w:name w:val="大标题"/>
    <w:basedOn w:val="1"/>
    <w:next w:val="1"/>
    <w:qFormat/>
    <w:uiPriority w:val="0"/>
    <w:pPr>
      <w:spacing w:line="360" w:lineRule="auto"/>
      <w:jc w:val="center"/>
    </w:pPr>
    <w:rPr>
      <w:rFonts w:eastAsia="黑体" w:cs="宋体"/>
      <w:bCs/>
      <w:color w:val="00B0F0"/>
      <w:sz w:val="32"/>
      <w:szCs w:val="20"/>
    </w:rPr>
  </w:style>
  <w:style w:type="paragraph" w:customStyle="1" w:styleId="1739">
    <w:name w:val="表格图片"/>
    <w:basedOn w:val="1"/>
    <w:qFormat/>
    <w:uiPriority w:val="0"/>
    <w:pPr>
      <w:jc w:val="center"/>
    </w:pPr>
    <w:rPr>
      <w:color w:val="E36C0A"/>
    </w:rPr>
  </w:style>
  <w:style w:type="paragraph" w:customStyle="1" w:styleId="1740">
    <w:name w:val="正文文本缩进 221"/>
    <w:basedOn w:val="1"/>
    <w:qFormat/>
    <w:uiPriority w:val="0"/>
    <w:pPr>
      <w:autoSpaceDE w:val="0"/>
      <w:autoSpaceDN w:val="0"/>
      <w:adjustRightInd w:val="0"/>
      <w:spacing w:line="480" w:lineRule="exact"/>
      <w:ind w:firstLine="420" w:firstLineChars="200"/>
      <w:jc w:val="left"/>
      <w:textAlignment w:val="baseline"/>
    </w:pPr>
    <w:rPr>
      <w:color w:val="1F497D"/>
      <w:sz w:val="24"/>
    </w:rPr>
  </w:style>
  <w:style w:type="paragraph" w:customStyle="1" w:styleId="1741">
    <w:name w:val="Char Char Char Char3"/>
    <w:basedOn w:val="1"/>
    <w:qFormat/>
    <w:uiPriority w:val="0"/>
    <w:pPr>
      <w:spacing w:line="480" w:lineRule="exact"/>
      <w:ind w:firstLine="200" w:firstLineChars="200"/>
      <w:jc w:val="left"/>
    </w:pPr>
    <w:rPr>
      <w:rFonts w:ascii="Tahoma" w:hAnsi="Tahoma"/>
      <w:color w:val="1F497D"/>
      <w:sz w:val="24"/>
    </w:rPr>
  </w:style>
  <w:style w:type="paragraph" w:customStyle="1" w:styleId="1742">
    <w:name w:val="纯文本3"/>
    <w:basedOn w:val="1"/>
    <w:qFormat/>
    <w:uiPriority w:val="0"/>
    <w:pPr>
      <w:adjustRightInd w:val="0"/>
      <w:spacing w:line="312" w:lineRule="atLeast"/>
      <w:ind w:firstLine="200" w:firstLineChars="200"/>
      <w:jc w:val="left"/>
      <w:textAlignment w:val="baseline"/>
    </w:pPr>
    <w:rPr>
      <w:rFonts w:ascii="宋体" w:hAnsi="Courier New"/>
      <w:color w:val="1F497D"/>
      <w:kern w:val="0"/>
      <w:sz w:val="28"/>
    </w:rPr>
  </w:style>
  <w:style w:type="paragraph" w:customStyle="1" w:styleId="1743">
    <w:name w:val="章节标题 BJ8"/>
    <w:basedOn w:val="543"/>
    <w:next w:val="543"/>
    <w:qFormat/>
    <w:uiPriority w:val="0"/>
    <w:pPr>
      <w:ind w:firstLine="0" w:firstLineChars="0"/>
      <w:jc w:val="center"/>
    </w:pPr>
    <w:rPr>
      <w:rFonts w:eastAsia="黑体" w:cs="宋体"/>
      <w:b/>
      <w:sz w:val="44"/>
      <w:szCs w:val="84"/>
    </w:rPr>
  </w:style>
  <w:style w:type="paragraph" w:customStyle="1" w:styleId="1744">
    <w:name w:val="4"/>
    <w:basedOn w:val="1"/>
    <w:next w:val="70"/>
    <w:qFormat/>
    <w:uiPriority w:val="0"/>
    <w:pPr>
      <w:spacing w:line="420" w:lineRule="exact"/>
      <w:ind w:firstLine="525" w:firstLineChars="200"/>
      <w:jc w:val="left"/>
    </w:pPr>
    <w:rPr>
      <w:rFonts w:ascii="宋体"/>
      <w:color w:val="FF0000"/>
      <w:sz w:val="24"/>
    </w:rPr>
  </w:style>
  <w:style w:type="paragraph" w:customStyle="1" w:styleId="1745">
    <w:name w:val="正文文本 23"/>
    <w:basedOn w:val="1"/>
    <w:qFormat/>
    <w:uiPriority w:val="0"/>
    <w:pPr>
      <w:autoSpaceDE w:val="0"/>
      <w:autoSpaceDN w:val="0"/>
      <w:adjustRightInd w:val="0"/>
      <w:spacing w:line="480" w:lineRule="exact"/>
      <w:ind w:left="525" w:firstLine="525" w:firstLineChars="200"/>
      <w:jc w:val="left"/>
      <w:textAlignment w:val="baseline"/>
    </w:pPr>
    <w:rPr>
      <w:color w:val="1F497D"/>
      <w:sz w:val="24"/>
    </w:rPr>
  </w:style>
  <w:style w:type="paragraph" w:customStyle="1" w:styleId="1746">
    <w:name w:val="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47">
    <w:name w:val="Char Char Char Char Char Char Char2"/>
    <w:basedOn w:val="1"/>
    <w:qFormat/>
    <w:uiPriority w:val="0"/>
    <w:pPr>
      <w:widowControl/>
      <w:spacing w:after="160" w:line="240" w:lineRule="exact"/>
      <w:ind w:firstLine="200" w:firstLineChars="200"/>
      <w:jc w:val="left"/>
    </w:pPr>
    <w:rPr>
      <w:rFonts w:ascii="Tahoma" w:hAnsi="Tahoma" w:cs="Tahoma"/>
      <w:color w:val="1F497D"/>
      <w:kern w:val="0"/>
      <w:sz w:val="20"/>
      <w:szCs w:val="20"/>
      <w:lang w:eastAsia="en-US"/>
    </w:rPr>
  </w:style>
  <w:style w:type="paragraph" w:customStyle="1" w:styleId="1748">
    <w:name w:val="标题 13"/>
    <w:basedOn w:val="1"/>
    <w:qFormat/>
    <w:uiPriority w:val="0"/>
    <w:pPr>
      <w:widowControl/>
      <w:tabs>
        <w:tab w:val="left" w:pos="360"/>
      </w:tabs>
      <w:spacing w:line="480" w:lineRule="exact"/>
      <w:ind w:left="360" w:firstLine="200" w:firstLineChars="200"/>
      <w:jc w:val="left"/>
    </w:pPr>
    <w:rPr>
      <w:color w:val="1F497D"/>
      <w:kern w:val="0"/>
      <w:sz w:val="20"/>
      <w:szCs w:val="20"/>
    </w:rPr>
  </w:style>
  <w:style w:type="paragraph" w:customStyle="1" w:styleId="1749">
    <w:name w:val="标题 23"/>
    <w:basedOn w:val="1"/>
    <w:qFormat/>
    <w:uiPriority w:val="0"/>
    <w:pPr>
      <w:widowControl/>
      <w:tabs>
        <w:tab w:val="left" w:pos="360"/>
        <w:tab w:val="left" w:pos="576"/>
      </w:tabs>
      <w:spacing w:line="480" w:lineRule="exact"/>
      <w:ind w:left="576" w:hanging="576" w:firstLineChars="200"/>
      <w:jc w:val="left"/>
    </w:pPr>
    <w:rPr>
      <w:color w:val="1F497D"/>
      <w:kern w:val="0"/>
      <w:sz w:val="20"/>
      <w:szCs w:val="20"/>
    </w:rPr>
  </w:style>
  <w:style w:type="paragraph" w:customStyle="1" w:styleId="1750">
    <w:name w:val="标题 33"/>
    <w:basedOn w:val="1"/>
    <w:qFormat/>
    <w:uiPriority w:val="0"/>
    <w:pPr>
      <w:widowControl/>
      <w:tabs>
        <w:tab w:val="left" w:pos="360"/>
        <w:tab w:val="left" w:pos="720"/>
      </w:tabs>
      <w:spacing w:line="480" w:lineRule="exact"/>
      <w:ind w:left="720" w:hanging="720" w:firstLineChars="200"/>
      <w:jc w:val="left"/>
    </w:pPr>
    <w:rPr>
      <w:color w:val="1F497D"/>
      <w:kern w:val="0"/>
      <w:sz w:val="20"/>
      <w:szCs w:val="20"/>
    </w:rPr>
  </w:style>
  <w:style w:type="paragraph" w:customStyle="1" w:styleId="1751">
    <w:name w:val="标题 63"/>
    <w:basedOn w:val="1"/>
    <w:qFormat/>
    <w:uiPriority w:val="0"/>
    <w:pPr>
      <w:widowControl/>
      <w:tabs>
        <w:tab w:val="left" w:pos="1152"/>
      </w:tabs>
      <w:spacing w:line="480" w:lineRule="exact"/>
      <w:ind w:left="1152" w:hanging="1152" w:firstLineChars="200"/>
      <w:jc w:val="left"/>
    </w:pPr>
    <w:rPr>
      <w:color w:val="1F497D"/>
      <w:kern w:val="0"/>
      <w:sz w:val="20"/>
      <w:szCs w:val="20"/>
    </w:rPr>
  </w:style>
  <w:style w:type="paragraph" w:customStyle="1" w:styleId="1752">
    <w:name w:val="标题 73"/>
    <w:basedOn w:val="1"/>
    <w:qFormat/>
    <w:uiPriority w:val="0"/>
    <w:pPr>
      <w:widowControl/>
      <w:tabs>
        <w:tab w:val="left" w:pos="1296"/>
      </w:tabs>
      <w:spacing w:line="480" w:lineRule="exact"/>
      <w:ind w:left="1296" w:hanging="1296" w:firstLineChars="200"/>
      <w:jc w:val="left"/>
    </w:pPr>
    <w:rPr>
      <w:color w:val="1F497D"/>
      <w:kern w:val="0"/>
      <w:sz w:val="20"/>
      <w:szCs w:val="20"/>
    </w:rPr>
  </w:style>
  <w:style w:type="paragraph" w:customStyle="1" w:styleId="1753">
    <w:name w:val="标题 83"/>
    <w:basedOn w:val="1"/>
    <w:qFormat/>
    <w:uiPriority w:val="0"/>
    <w:pPr>
      <w:widowControl/>
      <w:tabs>
        <w:tab w:val="left" w:pos="1440"/>
      </w:tabs>
      <w:spacing w:line="480" w:lineRule="exact"/>
      <w:ind w:left="1440" w:hanging="1440" w:firstLineChars="200"/>
      <w:jc w:val="left"/>
    </w:pPr>
    <w:rPr>
      <w:color w:val="1F497D"/>
      <w:kern w:val="0"/>
      <w:sz w:val="20"/>
      <w:szCs w:val="20"/>
    </w:rPr>
  </w:style>
  <w:style w:type="paragraph" w:customStyle="1" w:styleId="1754">
    <w:name w:val="标题 93"/>
    <w:basedOn w:val="1"/>
    <w:qFormat/>
    <w:uiPriority w:val="0"/>
    <w:pPr>
      <w:widowControl/>
      <w:tabs>
        <w:tab w:val="left" w:pos="1584"/>
      </w:tabs>
      <w:spacing w:line="480" w:lineRule="exact"/>
      <w:ind w:left="1584" w:hanging="1584" w:firstLineChars="200"/>
      <w:jc w:val="left"/>
    </w:pPr>
    <w:rPr>
      <w:color w:val="1F497D"/>
      <w:kern w:val="0"/>
      <w:sz w:val="20"/>
      <w:szCs w:val="20"/>
    </w:rPr>
  </w:style>
  <w:style w:type="paragraph" w:customStyle="1" w:styleId="1755">
    <w:name w:val="Char1 Char Char Char Char Char Char1 Char Char Char1"/>
    <w:basedOn w:val="1"/>
    <w:qFormat/>
    <w:uiPriority w:val="0"/>
    <w:pPr>
      <w:spacing w:line="360" w:lineRule="auto"/>
      <w:ind w:firstLine="200" w:firstLineChars="200"/>
      <w:jc w:val="left"/>
    </w:pPr>
    <w:rPr>
      <w:rFonts w:ascii="宋体" w:hAnsi="宋体" w:cs="宋体"/>
      <w:color w:val="1F497D"/>
      <w:sz w:val="24"/>
    </w:rPr>
  </w:style>
  <w:style w:type="paragraph" w:customStyle="1" w:styleId="1756">
    <w:name w:val="Char21"/>
    <w:basedOn w:val="1"/>
    <w:qFormat/>
    <w:uiPriority w:val="0"/>
    <w:pPr>
      <w:spacing w:line="480" w:lineRule="exact"/>
      <w:ind w:firstLine="200" w:firstLineChars="200"/>
      <w:jc w:val="left"/>
    </w:pPr>
    <w:rPr>
      <w:rFonts w:ascii="FangSong_GB2312" w:eastAsia="FangSong_GB2312"/>
      <w:b/>
      <w:color w:val="1F497D"/>
      <w:sz w:val="32"/>
      <w:szCs w:val="32"/>
    </w:rPr>
  </w:style>
  <w:style w:type="paragraph" w:customStyle="1" w:styleId="1757">
    <w:name w:val="图1"/>
    <w:basedOn w:val="1"/>
    <w:next w:val="1"/>
    <w:qFormat/>
    <w:uiPriority w:val="0"/>
    <w:pPr>
      <w:widowControl/>
      <w:tabs>
        <w:tab w:val="left" w:pos="777"/>
      </w:tabs>
      <w:spacing w:beforeLines="50" w:afterLines="100" w:line="360" w:lineRule="auto"/>
      <w:ind w:left="2210" w:hanging="748" w:firstLineChars="200"/>
      <w:jc w:val="center"/>
    </w:pPr>
    <w:rPr>
      <w:rFonts w:ascii="宋体" w:hAnsi="宋体" w:cs="宋体"/>
      <w:color w:val="1F497D"/>
      <w:kern w:val="0"/>
      <w:sz w:val="24"/>
    </w:rPr>
  </w:style>
  <w:style w:type="paragraph" w:customStyle="1" w:styleId="1758">
    <w:name w:val="Char Char1 Char Char"/>
    <w:basedOn w:val="1"/>
    <w:qFormat/>
    <w:uiPriority w:val="0"/>
    <w:pPr>
      <w:spacing w:line="480" w:lineRule="exact"/>
      <w:ind w:firstLine="200" w:firstLineChars="200"/>
      <w:jc w:val="left"/>
    </w:pPr>
    <w:rPr>
      <w:rFonts w:ascii="Tahoma" w:hAnsi="Tahoma" w:cs="FangSong_GB2312"/>
      <w:color w:val="1F497D"/>
      <w:sz w:val="24"/>
      <w:szCs w:val="20"/>
    </w:rPr>
  </w:style>
  <w:style w:type="paragraph" w:customStyle="1" w:styleId="1759">
    <w:name w:val="样式 标题2 1.1 + 段前: 0 磅 段后: 0 磅"/>
    <w:basedOn w:val="1"/>
    <w:qFormat/>
    <w:uiPriority w:val="0"/>
    <w:pPr>
      <w:keepNext/>
      <w:tabs>
        <w:tab w:val="left" w:pos="567"/>
      </w:tabs>
      <w:spacing w:line="480" w:lineRule="atLeast"/>
      <w:ind w:left="567" w:hanging="567" w:firstLineChars="200"/>
      <w:jc w:val="left"/>
      <w:outlineLvl w:val="1"/>
    </w:pPr>
    <w:rPr>
      <w:color w:val="1F497D"/>
      <w:sz w:val="28"/>
      <w:szCs w:val="20"/>
    </w:rPr>
  </w:style>
  <w:style w:type="paragraph" w:customStyle="1" w:styleId="1760">
    <w:name w:val="Char Char Char Char Char1"/>
    <w:basedOn w:val="1"/>
    <w:qFormat/>
    <w:uiPriority w:val="0"/>
    <w:pPr>
      <w:spacing w:line="480" w:lineRule="exact"/>
      <w:ind w:firstLine="200" w:firstLineChars="200"/>
      <w:jc w:val="left"/>
    </w:pPr>
    <w:rPr>
      <w:rFonts w:ascii="Tahoma" w:hAnsi="Tahoma"/>
      <w:color w:val="1F497D"/>
      <w:sz w:val="24"/>
      <w:szCs w:val="20"/>
    </w:rPr>
  </w:style>
  <w:style w:type="paragraph" w:customStyle="1" w:styleId="1761">
    <w:name w:val="样式 样式 正文段落 + 段前: 0.2 行 + 段前: 0.5 行"/>
    <w:basedOn w:val="1"/>
    <w:qFormat/>
    <w:uiPriority w:val="0"/>
    <w:pPr>
      <w:autoSpaceDE w:val="0"/>
      <w:autoSpaceDN w:val="0"/>
      <w:adjustRightInd w:val="0"/>
      <w:snapToGrid w:val="0"/>
      <w:spacing w:beforeLines="20" w:line="540" w:lineRule="exact"/>
      <w:ind w:firstLine="567"/>
      <w:textAlignment w:val="baseline"/>
    </w:pPr>
    <w:rPr>
      <w:rFonts w:ascii="宋体" w:hAnsi="Tms Rmn" w:cs="宋体"/>
      <w:kern w:val="0"/>
      <w:sz w:val="26"/>
      <w:szCs w:val="20"/>
    </w:rPr>
  </w:style>
  <w:style w:type="paragraph" w:customStyle="1" w:styleId="1762">
    <w:name w:val="A-12"/>
    <w:basedOn w:val="1"/>
    <w:qFormat/>
    <w:uiPriority w:val="0"/>
    <w:pPr>
      <w:widowControl/>
      <w:spacing w:line="480" w:lineRule="exact"/>
      <w:ind w:firstLine="200" w:firstLineChars="200"/>
      <w:jc w:val="left"/>
    </w:pPr>
    <w:rPr>
      <w:rFonts w:ascii="Arial" w:hAnsi="Arial"/>
      <w:color w:val="1F497D"/>
      <w:kern w:val="0"/>
      <w:sz w:val="24"/>
      <w:szCs w:val="20"/>
      <w:lang w:val="en-GB"/>
    </w:rPr>
  </w:style>
  <w:style w:type="paragraph" w:customStyle="1" w:styleId="1763">
    <w:name w:val="正文左侧缩进2字符"/>
    <w:basedOn w:val="1"/>
    <w:next w:val="1"/>
    <w:semiHidden/>
    <w:qFormat/>
    <w:uiPriority w:val="0"/>
    <w:pPr>
      <w:spacing w:line="360" w:lineRule="auto"/>
      <w:ind w:firstLine="200" w:firstLineChars="200"/>
      <w:jc w:val="left"/>
    </w:pPr>
    <w:rPr>
      <w:rFonts w:cs="宋体"/>
      <w:color w:val="1F497D"/>
      <w:sz w:val="24"/>
      <w:szCs w:val="20"/>
    </w:rPr>
  </w:style>
  <w:style w:type="paragraph" w:customStyle="1" w:styleId="1764">
    <w:name w:val="2级项目符号"/>
    <w:basedOn w:val="160"/>
    <w:qFormat/>
    <w:uiPriority w:val="0"/>
    <w:pPr>
      <w:tabs>
        <w:tab w:val="left" w:pos="1134"/>
      </w:tabs>
      <w:ind w:left="1134" w:hanging="425"/>
    </w:pPr>
  </w:style>
  <w:style w:type="paragraph" w:customStyle="1" w:styleId="1765">
    <w:name w:val="3级符号"/>
    <w:basedOn w:val="1764"/>
    <w:qFormat/>
    <w:uiPriority w:val="0"/>
    <w:pPr>
      <w:tabs>
        <w:tab w:val="left" w:pos="1446"/>
        <w:tab w:val="clear" w:pos="1134"/>
      </w:tabs>
      <w:ind w:left="1446" w:hanging="312"/>
    </w:pPr>
  </w:style>
  <w:style w:type="paragraph" w:customStyle="1" w:styleId="1766">
    <w:name w:val="样式9"/>
    <w:basedOn w:val="1"/>
    <w:qFormat/>
    <w:uiPriority w:val="0"/>
    <w:pPr>
      <w:spacing w:line="480" w:lineRule="exact"/>
      <w:ind w:firstLine="480" w:firstLineChars="200"/>
      <w:jc w:val="left"/>
    </w:pPr>
    <w:rPr>
      <w:rFonts w:cs="宋体"/>
      <w:color w:val="1F497D"/>
      <w:sz w:val="24"/>
      <w:szCs w:val="20"/>
    </w:rPr>
  </w:style>
  <w:style w:type="paragraph" w:customStyle="1" w:styleId="1767">
    <w:name w:val="样式 二级标题格式 + 段后: 1 行"/>
    <w:basedOn w:val="1"/>
    <w:qFormat/>
    <w:uiPriority w:val="0"/>
    <w:pPr>
      <w:tabs>
        <w:tab w:val="left" w:pos="780"/>
      </w:tabs>
      <w:spacing w:afterLines="100"/>
      <w:ind w:left="2552" w:hanging="452"/>
      <w:jc w:val="left"/>
      <w:outlineLvl w:val="1"/>
    </w:pPr>
    <w:rPr>
      <w:rFonts w:eastAsia="黑体" w:cs="宋体"/>
      <w:color w:val="FF0000"/>
      <w:sz w:val="28"/>
      <w:szCs w:val="20"/>
    </w:rPr>
  </w:style>
  <w:style w:type="paragraph" w:customStyle="1" w:styleId="1768">
    <w:name w:val="二级标题格式"/>
    <w:basedOn w:val="4"/>
    <w:qFormat/>
    <w:uiPriority w:val="0"/>
    <w:pPr>
      <w:keepNext w:val="0"/>
      <w:keepLines w:val="0"/>
      <w:widowControl w:val="0"/>
      <w:tabs>
        <w:tab w:val="left" w:pos="780"/>
      </w:tabs>
      <w:spacing w:before="240" w:afterLines="100" w:line="240" w:lineRule="auto"/>
      <w:ind w:left="780" w:hanging="360"/>
      <w:jc w:val="left"/>
    </w:pPr>
    <w:rPr>
      <w:rFonts w:ascii="Times New Roman" w:hAnsi="Times New Roman"/>
      <w:bCs/>
      <w:color w:val="00B050"/>
      <w:kern w:val="2"/>
      <w:sz w:val="28"/>
      <w:szCs w:val="28"/>
    </w:rPr>
  </w:style>
  <w:style w:type="paragraph" w:customStyle="1" w:styleId="1769">
    <w:name w:val="三级标题格式"/>
    <w:basedOn w:val="5"/>
    <w:qFormat/>
    <w:uiPriority w:val="0"/>
    <w:pPr>
      <w:keepNext w:val="0"/>
      <w:keepLines w:val="0"/>
      <w:widowControl w:val="0"/>
      <w:tabs>
        <w:tab w:val="left" w:pos="780"/>
        <w:tab w:val="clear" w:pos="720"/>
        <w:tab w:val="clear" w:pos="1260"/>
      </w:tabs>
      <w:spacing w:before="240" w:afterLines="100" w:line="240" w:lineRule="auto"/>
      <w:ind w:left="780" w:hanging="360"/>
      <w:jc w:val="left"/>
    </w:pPr>
    <w:rPr>
      <w:rFonts w:eastAsia="黑体"/>
      <w:b/>
      <w:bCs/>
      <w:color w:val="4F6228"/>
      <w:kern w:val="2"/>
      <w:sz w:val="28"/>
      <w:szCs w:val="28"/>
    </w:rPr>
  </w:style>
  <w:style w:type="paragraph" w:customStyle="1" w:styleId="1770">
    <w:name w:val="正缩2字符"/>
    <w:basedOn w:val="1"/>
    <w:qFormat/>
    <w:uiPriority w:val="0"/>
    <w:pPr>
      <w:spacing w:line="480" w:lineRule="exact"/>
      <w:ind w:firstLine="200" w:firstLineChars="200"/>
    </w:pPr>
    <w:rPr>
      <w:sz w:val="24"/>
    </w:rPr>
  </w:style>
  <w:style w:type="paragraph" w:customStyle="1" w:styleId="1771">
    <w:name w:val="九级标题格式"/>
    <w:basedOn w:val="1"/>
    <w:qFormat/>
    <w:uiPriority w:val="0"/>
    <w:pPr>
      <w:spacing w:afterLines="50" w:line="336" w:lineRule="auto"/>
      <w:ind w:firstLine="200" w:firstLineChars="200"/>
      <w:jc w:val="left"/>
      <w:outlineLvl w:val="8"/>
    </w:pPr>
    <w:rPr>
      <w:rFonts w:cs="宋体"/>
      <w:color w:val="1F497D"/>
      <w:sz w:val="24"/>
      <w:szCs w:val="20"/>
    </w:rPr>
  </w:style>
  <w:style w:type="paragraph" w:customStyle="1" w:styleId="1772">
    <w:name w:val="六级标题格式"/>
    <w:basedOn w:val="1"/>
    <w:qFormat/>
    <w:uiPriority w:val="0"/>
    <w:pPr>
      <w:spacing w:afterLines="50" w:line="336" w:lineRule="auto"/>
      <w:ind w:firstLine="200" w:firstLineChars="200"/>
      <w:jc w:val="left"/>
      <w:outlineLvl w:val="5"/>
    </w:pPr>
    <w:rPr>
      <w:color w:val="1F497D"/>
      <w:sz w:val="24"/>
    </w:rPr>
  </w:style>
  <w:style w:type="paragraph" w:customStyle="1" w:styleId="1773">
    <w:name w:val="七级标题格式"/>
    <w:basedOn w:val="1"/>
    <w:qFormat/>
    <w:uiPriority w:val="0"/>
    <w:pPr>
      <w:spacing w:afterLines="50" w:line="336" w:lineRule="auto"/>
      <w:ind w:firstLine="200" w:firstLineChars="200"/>
      <w:jc w:val="left"/>
      <w:outlineLvl w:val="6"/>
    </w:pPr>
    <w:rPr>
      <w:color w:val="1F497D"/>
      <w:sz w:val="24"/>
    </w:rPr>
  </w:style>
  <w:style w:type="paragraph" w:customStyle="1" w:styleId="1774">
    <w:name w:val="八级正文格式"/>
    <w:basedOn w:val="1"/>
    <w:qFormat/>
    <w:uiPriority w:val="0"/>
    <w:pPr>
      <w:spacing w:afterLines="50" w:line="336" w:lineRule="auto"/>
      <w:ind w:firstLine="200" w:firstLineChars="200"/>
      <w:jc w:val="left"/>
      <w:outlineLvl w:val="7"/>
    </w:pPr>
    <w:rPr>
      <w:rFonts w:cs="宋体"/>
      <w:color w:val="1F497D"/>
      <w:sz w:val="24"/>
      <w:szCs w:val="20"/>
    </w:rPr>
  </w:style>
  <w:style w:type="paragraph" w:customStyle="1" w:styleId="1775">
    <w:name w:val="正文缩进21"/>
    <w:basedOn w:val="1"/>
    <w:qFormat/>
    <w:uiPriority w:val="0"/>
    <w:pPr>
      <w:ind w:firstLine="420"/>
    </w:pPr>
    <w:rPr>
      <w:szCs w:val="20"/>
    </w:rPr>
  </w:style>
  <w:style w:type="paragraph" w:customStyle="1" w:styleId="1776">
    <w:name w:val="格式1"/>
    <w:basedOn w:val="3"/>
    <w:qFormat/>
    <w:uiPriority w:val="0"/>
    <w:pPr>
      <w:spacing w:line="576" w:lineRule="auto"/>
      <w:ind w:left="1973" w:hanging="420"/>
      <w:jc w:val="center"/>
    </w:pPr>
    <w:rPr>
      <w:rFonts w:ascii="黑体" w:eastAsia="黑体"/>
      <w:b w:val="0"/>
      <w:bCs w:val="0"/>
    </w:rPr>
  </w:style>
  <w:style w:type="paragraph" w:customStyle="1" w:styleId="1777">
    <w:name w:val="Char Char Char Char Char Char Char Char Char1 Char1"/>
    <w:basedOn w:val="1"/>
    <w:qFormat/>
    <w:uiPriority w:val="0"/>
    <w:rPr>
      <w:rFonts w:ascii="FangSong_GB2312" w:eastAsia="FangSong_GB2312"/>
      <w:b/>
      <w:sz w:val="32"/>
      <w:szCs w:val="32"/>
    </w:rPr>
  </w:style>
  <w:style w:type="paragraph" w:customStyle="1" w:styleId="1778">
    <w:name w:val="表格文字格式（左右居中）"/>
    <w:basedOn w:val="234"/>
    <w:qFormat/>
    <w:uiPriority w:val="0"/>
    <w:rPr>
      <w:rFonts w:cs="宋体"/>
      <w:color w:val="E36C0A"/>
    </w:rPr>
  </w:style>
  <w:style w:type="paragraph" w:customStyle="1" w:styleId="1779">
    <w:name w:val="样式 四级标题格式 + 段后: 1 行"/>
    <w:basedOn w:val="246"/>
    <w:qFormat/>
    <w:uiPriority w:val="0"/>
    <w:pPr>
      <w:numPr>
        <w:ilvl w:val="1"/>
        <w:numId w:val="26"/>
      </w:numPr>
      <w:tabs>
        <w:tab w:val="left" w:pos="1145"/>
      </w:tabs>
      <w:spacing w:after="100"/>
      <w:jc w:val="both"/>
    </w:pPr>
    <w:rPr>
      <w:rFonts w:cs="宋体"/>
      <w:b w:val="0"/>
      <w:bCs w:val="0"/>
      <w:color w:val="008000"/>
      <w:szCs w:val="20"/>
    </w:rPr>
  </w:style>
  <w:style w:type="paragraph" w:customStyle="1" w:styleId="1780">
    <w:name w:val="表格文字格式（左对齐）"/>
    <w:basedOn w:val="1778"/>
    <w:qFormat/>
    <w:uiPriority w:val="0"/>
    <w:pPr>
      <w:jc w:val="left"/>
    </w:pPr>
    <w:rPr>
      <w:color w:val="31849B"/>
    </w:rPr>
  </w:style>
  <w:style w:type="paragraph" w:customStyle="1" w:styleId="1781">
    <w:name w:val="mjd"/>
    <w:basedOn w:val="1"/>
    <w:qFormat/>
    <w:uiPriority w:val="0"/>
    <w:pPr>
      <w:tabs>
        <w:tab w:val="left" w:pos="1080"/>
        <w:tab w:val="left" w:pos="6960"/>
      </w:tabs>
      <w:autoSpaceDE w:val="0"/>
      <w:autoSpaceDN w:val="0"/>
      <w:adjustRightInd w:val="0"/>
      <w:spacing w:line="312" w:lineRule="atLeast"/>
      <w:ind w:left="1080" w:hanging="1080"/>
      <w:jc w:val="left"/>
    </w:pPr>
    <w:rPr>
      <w:rFonts w:hint="eastAsia" w:ascii="宋体" w:hAnsi="Tms Rmn"/>
      <w:kern w:val="0"/>
      <w:szCs w:val="20"/>
    </w:rPr>
  </w:style>
  <w:style w:type="paragraph" w:customStyle="1" w:styleId="1782">
    <w:name w:val="Sprechblasentext"/>
    <w:basedOn w:val="1"/>
    <w:semiHidden/>
    <w:qFormat/>
    <w:uiPriority w:val="0"/>
    <w:pPr>
      <w:spacing w:line="300" w:lineRule="atLeast"/>
      <w:ind w:firstLine="709"/>
    </w:pPr>
    <w:rPr>
      <w:rFonts w:ascii="Tahoma" w:hAnsi="Tahoma" w:cs="Tahoma"/>
      <w:sz w:val="16"/>
      <w:szCs w:val="16"/>
    </w:rPr>
  </w:style>
  <w:style w:type="paragraph" w:customStyle="1" w:styleId="1783">
    <w:name w:val="样式 标题 2标题 1.1head:2#2 headlinehheadlineS&amp;R2ERMH2Head 2 +..."/>
    <w:basedOn w:val="4"/>
    <w:qFormat/>
    <w:uiPriority w:val="0"/>
    <w:pPr>
      <w:widowControl w:val="0"/>
      <w:numPr>
        <w:ilvl w:val="1"/>
        <w:numId w:val="27"/>
      </w:numPr>
      <w:tabs>
        <w:tab w:val="left" w:pos="1200"/>
      </w:tabs>
      <w:autoSpaceDE w:val="0"/>
      <w:autoSpaceDN w:val="0"/>
      <w:adjustRightInd w:val="0"/>
      <w:spacing w:before="120" w:after="120" w:line="360" w:lineRule="auto"/>
      <w:textAlignment w:val="baseline"/>
    </w:pPr>
    <w:rPr>
      <w:rFonts w:eastAsia="宋体"/>
      <w:bCs/>
      <w:sz w:val="24"/>
    </w:rPr>
  </w:style>
  <w:style w:type="paragraph" w:customStyle="1" w:styleId="1784">
    <w:name w:val="Numbered List"/>
    <w:basedOn w:val="57"/>
    <w:qFormat/>
    <w:uiPriority w:val="0"/>
    <w:pPr>
      <w:widowControl/>
      <w:numPr>
        <w:ilvl w:val="0"/>
        <w:numId w:val="28"/>
      </w:numPr>
      <w:pBdr>
        <w:bottom w:val="none" w:color="auto" w:sz="0" w:space="0"/>
      </w:pBdr>
      <w:tabs>
        <w:tab w:val="left" w:pos="1365"/>
        <w:tab w:val="left" w:pos="1620"/>
        <w:tab w:val="clear" w:pos="4153"/>
        <w:tab w:val="clear" w:pos="8306"/>
      </w:tabs>
      <w:snapToGrid/>
      <w:jc w:val="left"/>
    </w:pPr>
    <w:rPr>
      <w:rFonts w:ascii="Univers" w:hAnsi="Univers"/>
      <w:kern w:val="0"/>
      <w:sz w:val="22"/>
      <w:szCs w:val="20"/>
    </w:rPr>
  </w:style>
  <w:style w:type="paragraph" w:customStyle="1" w:styleId="1785">
    <w:name w:val="Char Char Char Char Char Char1 Char Char Char Char1"/>
    <w:basedOn w:val="1"/>
    <w:qFormat/>
    <w:uiPriority w:val="0"/>
    <w:rPr>
      <w:rFonts w:ascii="FangSong_GB2312" w:eastAsia="FangSong_GB2312"/>
      <w:b/>
      <w:sz w:val="32"/>
      <w:szCs w:val="32"/>
    </w:rPr>
  </w:style>
  <w:style w:type="paragraph" w:customStyle="1" w:styleId="1786">
    <w:name w:val="图名图序"/>
    <w:qFormat/>
    <w:uiPriority w:val="0"/>
    <w:pPr>
      <w:adjustRightInd w:val="0"/>
      <w:spacing w:before="120" w:after="240"/>
      <w:jc w:val="center"/>
    </w:pPr>
    <w:rPr>
      <w:rFonts w:ascii="宋体" w:hAnsi="宋体" w:eastAsia="宋体" w:cs="Times New Roman"/>
      <w:kern w:val="2"/>
      <w:sz w:val="21"/>
      <w:lang w:val="en-US" w:eastAsia="zh-CN" w:bidi="ar-SA"/>
    </w:rPr>
  </w:style>
  <w:style w:type="paragraph" w:customStyle="1" w:styleId="1787">
    <w:name w:val="样式 左侧:  2 字符 段前: 0.5 行"/>
    <w:basedOn w:val="1"/>
    <w:qFormat/>
    <w:uiPriority w:val="0"/>
    <w:pPr>
      <w:spacing w:beforeLines="50"/>
      <w:ind w:firstLine="200" w:firstLineChars="200"/>
    </w:pPr>
    <w:rPr>
      <w:rFonts w:ascii="宋体" w:cs="宋体"/>
      <w:sz w:val="24"/>
      <w:szCs w:val="20"/>
    </w:rPr>
  </w:style>
  <w:style w:type="paragraph" w:customStyle="1" w:styleId="1788">
    <w:name w:val="样式33"/>
    <w:basedOn w:val="21"/>
    <w:qFormat/>
    <w:uiPriority w:val="0"/>
    <w:pPr>
      <w:widowControl w:val="0"/>
      <w:tabs>
        <w:tab w:val="left" w:pos="360"/>
      </w:tabs>
      <w:autoSpaceDE w:val="0"/>
      <w:autoSpaceDN w:val="0"/>
      <w:adjustRightInd w:val="0"/>
      <w:spacing w:afterLines="50" w:line="360" w:lineRule="exact"/>
      <w:ind w:firstLine="567"/>
      <w:jc w:val="left"/>
      <w:textAlignment w:val="baseline"/>
    </w:pPr>
    <w:rPr>
      <w:rFonts w:ascii="宋体" w:hAnsi="宋体"/>
      <w:b w:val="0"/>
      <w:color w:val="FF0000"/>
      <w:kern w:val="2"/>
      <w:sz w:val="24"/>
      <w:szCs w:val="21"/>
    </w:rPr>
  </w:style>
  <w:style w:type="paragraph" w:customStyle="1" w:styleId="1789">
    <w:name w:val="样式31"/>
    <w:qFormat/>
    <w:uiPriority w:val="0"/>
    <w:pPr>
      <w:tabs>
        <w:tab w:val="left" w:pos="1134"/>
      </w:tabs>
      <w:ind w:left="1134" w:hanging="1134"/>
    </w:pPr>
    <w:rPr>
      <w:rFonts w:ascii="Times New Roman" w:hAnsi="Times New Roman" w:eastAsia="宋体" w:cs="Times New Roman"/>
      <w:kern w:val="2"/>
      <w:sz w:val="24"/>
      <w:szCs w:val="24"/>
      <w:lang w:val="en-US" w:eastAsia="zh-CN" w:bidi="ar-SA"/>
    </w:rPr>
  </w:style>
  <w:style w:type="paragraph" w:customStyle="1" w:styleId="1790">
    <w:name w:val="样式57"/>
    <w:qFormat/>
    <w:uiPriority w:val="0"/>
    <w:pPr>
      <w:numPr>
        <w:ilvl w:val="2"/>
        <w:numId w:val="29"/>
      </w:numPr>
      <w:tabs>
        <w:tab w:val="left" w:pos="425"/>
        <w:tab w:val="left" w:pos="2040"/>
      </w:tabs>
      <w:spacing w:afterLines="50" w:line="360" w:lineRule="exact"/>
    </w:pPr>
    <w:rPr>
      <w:rFonts w:ascii="宋体" w:hAnsi="宋体" w:eastAsia="宋体" w:cs="Times New Roman"/>
      <w:color w:val="000000"/>
      <w:kern w:val="2"/>
      <w:sz w:val="24"/>
      <w:szCs w:val="21"/>
      <w:lang w:val="en-US" w:eastAsia="zh-CN" w:bidi="ar-SA"/>
    </w:rPr>
  </w:style>
  <w:style w:type="paragraph" w:customStyle="1" w:styleId="1791">
    <w:name w:val="样式42"/>
    <w:basedOn w:val="1462"/>
    <w:qFormat/>
    <w:uiPriority w:val="0"/>
    <w:pPr>
      <w:tabs>
        <w:tab w:val="left" w:pos="1134"/>
      </w:tabs>
      <w:ind w:left="0" w:firstLine="0"/>
    </w:pPr>
  </w:style>
  <w:style w:type="paragraph" w:customStyle="1" w:styleId="1792">
    <w:name w:val="序号3"/>
    <w:basedOn w:val="1"/>
    <w:qFormat/>
    <w:uiPriority w:val="0"/>
    <w:pPr>
      <w:tabs>
        <w:tab w:val="left" w:pos="425"/>
      </w:tabs>
      <w:spacing w:line="360" w:lineRule="auto"/>
      <w:ind w:left="425" w:hanging="425"/>
    </w:pPr>
    <w:rPr>
      <w:rFonts w:ascii="宋体" w:hAnsi="宋体"/>
      <w:kern w:val="0"/>
      <w:sz w:val="24"/>
    </w:rPr>
  </w:style>
  <w:style w:type="paragraph" w:customStyle="1" w:styleId="1793">
    <w:name w:val="_Style 1420"/>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794">
    <w:name w:val="內文1-1-1"/>
    <w:qFormat/>
    <w:uiPriority w:val="0"/>
    <w:pPr>
      <w:spacing w:line="360" w:lineRule="auto"/>
      <w:ind w:left="1361" w:hanging="340"/>
      <w:jc w:val="both"/>
    </w:pPr>
    <w:rPr>
      <w:rFonts w:ascii="Times New Roman" w:hAnsi="Times New Roman" w:eastAsia="PMingLiU" w:cs="Times New Roman"/>
      <w:sz w:val="24"/>
      <w:lang w:val="en-US" w:eastAsia="zh-CN" w:bidi="ar-SA"/>
    </w:rPr>
  </w:style>
  <w:style w:type="paragraph" w:customStyle="1" w:styleId="1795">
    <w:name w:val="Char22"/>
    <w:basedOn w:val="1"/>
    <w:qFormat/>
    <w:uiPriority w:val="0"/>
    <w:pPr>
      <w:spacing w:line="480" w:lineRule="exact"/>
      <w:ind w:firstLine="200" w:firstLineChars="200"/>
      <w:jc w:val="left"/>
    </w:pPr>
    <w:rPr>
      <w:rFonts w:ascii="FangSong_GB2312" w:eastAsia="FangSong_GB2312"/>
      <w:b/>
      <w:color w:val="1F497D"/>
      <w:sz w:val="32"/>
      <w:szCs w:val="32"/>
    </w:rPr>
  </w:style>
  <w:style w:type="paragraph" w:customStyle="1" w:styleId="1796">
    <w:name w:val="菲页(卷)"/>
    <w:basedOn w:val="3"/>
    <w:next w:val="1"/>
    <w:qFormat/>
    <w:uiPriority w:val="0"/>
    <w:pPr>
      <w:keepLines w:val="0"/>
      <w:widowControl/>
      <w:numPr>
        <w:ilvl w:val="0"/>
        <w:numId w:val="30"/>
      </w:numPr>
      <w:tabs>
        <w:tab w:val="left" w:pos="360"/>
        <w:tab w:val="left" w:pos="432"/>
        <w:tab w:val="left" w:pos="780"/>
      </w:tabs>
      <w:spacing w:before="0" w:after="0" w:line="240" w:lineRule="auto"/>
      <w:jc w:val="center"/>
      <w:outlineLvl w:val="1"/>
    </w:pPr>
    <w:rPr>
      <w:rFonts w:ascii="黑体" w:eastAsia="黑体"/>
      <w:bCs w:val="0"/>
      <w:kern w:val="0"/>
      <w:sz w:val="52"/>
      <w:szCs w:val="20"/>
    </w:rPr>
  </w:style>
  <w:style w:type="paragraph" w:customStyle="1" w:styleId="1797">
    <w:name w:val="正文5"/>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1798">
    <w:name w:val="Char1 Char Char Char Char Char Char1 Char Char Char2"/>
    <w:basedOn w:val="1"/>
    <w:qFormat/>
    <w:uiPriority w:val="0"/>
    <w:pPr>
      <w:spacing w:line="360" w:lineRule="auto"/>
      <w:ind w:firstLine="200" w:firstLineChars="200"/>
      <w:jc w:val="left"/>
    </w:pPr>
    <w:rPr>
      <w:rFonts w:ascii="宋体" w:hAnsi="宋体" w:cs="宋体"/>
      <w:color w:val="1F497D"/>
      <w:sz w:val="24"/>
    </w:rPr>
  </w:style>
  <w:style w:type="paragraph" w:customStyle="1" w:styleId="1799">
    <w:name w:val="內文1"/>
    <w:qFormat/>
    <w:uiPriority w:val="0"/>
    <w:pPr>
      <w:spacing w:line="360" w:lineRule="auto"/>
      <w:ind w:left="397" w:hanging="397"/>
      <w:jc w:val="both"/>
    </w:pPr>
    <w:rPr>
      <w:rFonts w:ascii="Times New Roman" w:hAnsi="Times New Roman" w:eastAsia="PMingLiU" w:cs="Times New Roman"/>
      <w:sz w:val="24"/>
      <w:lang w:val="en-US" w:eastAsia="zh-CN" w:bidi="ar-SA"/>
    </w:rPr>
  </w:style>
  <w:style w:type="paragraph" w:customStyle="1" w:styleId="1800">
    <w:name w:val="Char1 Char Char Char2"/>
    <w:basedOn w:val="1"/>
    <w:qFormat/>
    <w:uiPriority w:val="0"/>
    <w:rPr>
      <w:rFonts w:ascii="Tahoma" w:hAnsi="Tahoma" w:eastAsia="FangSong_GB2312"/>
      <w:b/>
      <w:sz w:val="24"/>
      <w:szCs w:val="20"/>
    </w:rPr>
  </w:style>
  <w:style w:type="paragraph" w:customStyle="1" w:styleId="1801">
    <w:name w:val="Char Char Char Char4"/>
    <w:basedOn w:val="1"/>
    <w:qFormat/>
    <w:uiPriority w:val="0"/>
    <w:rPr>
      <w:rFonts w:ascii="FangSong_GB2312" w:eastAsia="FangSong_GB2312"/>
      <w:b/>
      <w:sz w:val="32"/>
      <w:szCs w:val="32"/>
    </w:rPr>
  </w:style>
  <w:style w:type="paragraph" w:customStyle="1" w:styleId="1802">
    <w:name w:val="Char Char110"/>
    <w:basedOn w:val="1"/>
    <w:qFormat/>
    <w:uiPriority w:val="0"/>
    <w:pPr>
      <w:jc w:val="center"/>
    </w:pPr>
    <w:rPr>
      <w:rFonts w:ascii="宋体" w:hAnsi="宋体"/>
      <w:b/>
      <w:sz w:val="32"/>
      <w:szCs w:val="32"/>
    </w:rPr>
  </w:style>
  <w:style w:type="paragraph" w:customStyle="1" w:styleId="1803">
    <w:name w:val="Normal 2"/>
    <w:basedOn w:val="1"/>
    <w:qFormat/>
    <w:uiPriority w:val="0"/>
    <w:pPr>
      <w:keepNext/>
      <w:keepLines/>
      <w:widowControl/>
      <w:tabs>
        <w:tab w:val="left" w:pos="567"/>
      </w:tabs>
      <w:suppressAutoHyphens/>
      <w:ind w:left="567" w:right="170" w:hanging="567"/>
    </w:pPr>
    <w:rPr>
      <w:snapToGrid w:val="0"/>
      <w:kern w:val="0"/>
      <w:sz w:val="20"/>
      <w:szCs w:val="20"/>
      <w:lang w:val="fr-FR"/>
    </w:rPr>
  </w:style>
  <w:style w:type="paragraph" w:customStyle="1" w:styleId="1804">
    <w:name w:val="Char Char Char Char Char Char Char Char Char Char1"/>
    <w:basedOn w:val="1"/>
    <w:qFormat/>
    <w:uiPriority w:val="0"/>
    <w:rPr>
      <w:rFonts w:ascii="Tahoma" w:hAnsi="Tahoma" w:cs="FangSong_GB2312"/>
      <w:sz w:val="24"/>
      <w:szCs w:val="20"/>
    </w:rPr>
  </w:style>
  <w:style w:type="paragraph" w:customStyle="1" w:styleId="1805">
    <w:name w:val="Text1"/>
    <w:basedOn w:val="1"/>
    <w:qFormat/>
    <w:uiPriority w:val="0"/>
    <w:pPr>
      <w:widowControl/>
      <w:spacing w:before="60" w:after="120"/>
      <w:ind w:left="1701"/>
    </w:pPr>
    <w:rPr>
      <w:rFonts w:ascii="Arial" w:hAnsi="Arial"/>
      <w:bCs/>
      <w:kern w:val="0"/>
      <w:sz w:val="22"/>
      <w:lang w:val="en-GB" w:eastAsia="fr-FR"/>
    </w:rPr>
  </w:style>
  <w:style w:type="paragraph" w:customStyle="1" w:styleId="1806">
    <w:name w:val="Char Char Char1 Char Char Char Char Char Char1"/>
    <w:basedOn w:val="1"/>
    <w:qFormat/>
    <w:uiPriority w:val="0"/>
    <w:rPr>
      <w:rFonts w:ascii="Tahoma" w:hAnsi="Tahoma"/>
      <w:sz w:val="24"/>
      <w:szCs w:val="20"/>
    </w:rPr>
  </w:style>
  <w:style w:type="paragraph" w:customStyle="1" w:styleId="1807">
    <w:name w:val="Char Char Char1 Char Char Char Char Char Char Char Char Char1"/>
    <w:basedOn w:val="1"/>
    <w:qFormat/>
    <w:uiPriority w:val="0"/>
    <w:rPr>
      <w:rFonts w:ascii="Tahoma" w:hAnsi="Tahoma"/>
      <w:sz w:val="24"/>
      <w:szCs w:val="20"/>
    </w:rPr>
  </w:style>
  <w:style w:type="paragraph" w:customStyle="1" w:styleId="1808">
    <w:name w:val="Char Char Char1 Char Char Char Char Char Char Char Char Char Char Char Char Char Char Char Char Char Char Char Char Char Char Char Char Char"/>
    <w:basedOn w:val="1"/>
    <w:qFormat/>
    <w:uiPriority w:val="0"/>
    <w:rPr>
      <w:rFonts w:ascii="Tahoma" w:hAnsi="Tahoma"/>
      <w:sz w:val="24"/>
      <w:szCs w:val="20"/>
    </w:rPr>
  </w:style>
  <w:style w:type="paragraph" w:customStyle="1" w:styleId="1809">
    <w:name w:val="CM230"/>
    <w:basedOn w:val="146"/>
    <w:next w:val="146"/>
    <w:qFormat/>
    <w:uiPriority w:val="0"/>
    <w:pPr>
      <w:spacing w:after="1030"/>
    </w:pPr>
    <w:rPr>
      <w:rFonts w:cs="Times New Roman"/>
      <w:color w:val="auto"/>
      <w:szCs w:val="20"/>
    </w:rPr>
  </w:style>
  <w:style w:type="paragraph" w:customStyle="1" w:styleId="1810">
    <w:name w:val="Char Char Char1 Char Char Char Char Char Char Char Char Char Char Char Char Char Char Char Char1"/>
    <w:basedOn w:val="1"/>
    <w:qFormat/>
    <w:uiPriority w:val="0"/>
    <w:rPr>
      <w:rFonts w:ascii="Tahoma" w:hAnsi="Tahoma"/>
      <w:sz w:val="24"/>
      <w:szCs w:val="20"/>
    </w:rPr>
  </w:style>
  <w:style w:type="paragraph" w:customStyle="1" w:styleId="1811">
    <w:name w:val="CM211"/>
    <w:basedOn w:val="146"/>
    <w:next w:val="146"/>
    <w:qFormat/>
    <w:uiPriority w:val="0"/>
    <w:rPr>
      <w:rFonts w:cs="Times New Roman"/>
      <w:color w:val="auto"/>
      <w:szCs w:val="20"/>
    </w:rPr>
  </w:style>
  <w:style w:type="paragraph" w:customStyle="1" w:styleId="1812">
    <w:name w:val="Body6"/>
    <w:basedOn w:val="8"/>
    <w:qFormat/>
    <w:uiPriority w:val="0"/>
    <w:pPr>
      <w:keepNext w:val="0"/>
      <w:keepLines w:val="0"/>
      <w:numPr>
        <w:ilvl w:val="0"/>
        <w:numId w:val="0"/>
      </w:numPr>
      <w:tabs>
        <w:tab w:val="left" w:pos="470"/>
        <w:tab w:val="left" w:pos="1008"/>
      </w:tabs>
      <w:spacing w:before="0" w:after="240" w:line="240" w:lineRule="auto"/>
      <w:ind w:left="1728"/>
      <w:jc w:val="left"/>
      <w:outlineLvl w:val="9"/>
    </w:pPr>
    <w:rPr>
      <w:rFonts w:eastAsia="PMingLiU"/>
      <w:bCs w:val="0"/>
      <w:szCs w:val="20"/>
      <w:lang w:eastAsia="zh-TW"/>
    </w:rPr>
  </w:style>
  <w:style w:type="paragraph" w:customStyle="1" w:styleId="1813">
    <w:name w:val="CM243"/>
    <w:basedOn w:val="146"/>
    <w:next w:val="146"/>
    <w:qFormat/>
    <w:uiPriority w:val="0"/>
    <w:pPr>
      <w:spacing w:after="170"/>
    </w:pPr>
    <w:rPr>
      <w:rFonts w:cs="Times New Roman"/>
      <w:color w:val="auto"/>
      <w:szCs w:val="20"/>
    </w:rPr>
  </w:style>
  <w:style w:type="paragraph" w:customStyle="1" w:styleId="1814">
    <w:name w:val="Style Body Text Indent 3 + Left  6.5 ch First line:  0 ch"/>
    <w:basedOn w:val="70"/>
    <w:qFormat/>
    <w:uiPriority w:val="0"/>
    <w:pPr>
      <w:tabs>
        <w:tab w:val="left" w:pos="-1843"/>
        <w:tab w:val="left" w:pos="-2"/>
        <w:tab w:val="left" w:pos="360"/>
        <w:tab w:val="left" w:pos="849"/>
      </w:tabs>
      <w:suppressAutoHyphens/>
      <w:snapToGrid/>
      <w:spacing w:line="240" w:lineRule="auto"/>
      <w:ind w:left="360" w:hanging="360" w:firstLineChars="0"/>
      <w:jc w:val="left"/>
    </w:pPr>
    <w:rPr>
      <w:rFonts w:ascii="Times New Roman" w:eastAsia="PMingLiU"/>
      <w:snapToGrid w:val="0"/>
      <w:kern w:val="0"/>
      <w:sz w:val="24"/>
      <w:szCs w:val="20"/>
      <w:lang w:val="en-GB" w:eastAsia="zh-TW"/>
    </w:rPr>
  </w:style>
  <w:style w:type="paragraph" w:customStyle="1" w:styleId="1815">
    <w:name w:val="CM217"/>
    <w:basedOn w:val="146"/>
    <w:next w:val="146"/>
    <w:qFormat/>
    <w:uiPriority w:val="0"/>
    <w:pPr>
      <w:spacing w:line="260" w:lineRule="atLeast"/>
    </w:pPr>
    <w:rPr>
      <w:rFonts w:cs="Times New Roman"/>
      <w:color w:val="auto"/>
      <w:szCs w:val="20"/>
    </w:rPr>
  </w:style>
  <w:style w:type="paragraph" w:customStyle="1" w:styleId="1816">
    <w:name w:val="CM114"/>
    <w:basedOn w:val="146"/>
    <w:next w:val="146"/>
    <w:qFormat/>
    <w:uiPriority w:val="0"/>
    <w:pPr>
      <w:spacing w:line="556" w:lineRule="atLeast"/>
    </w:pPr>
    <w:rPr>
      <w:rFonts w:cs="Times New Roman"/>
      <w:color w:val="auto"/>
      <w:szCs w:val="20"/>
    </w:rPr>
  </w:style>
  <w:style w:type="paragraph" w:customStyle="1" w:styleId="1817">
    <w:name w:val="CM242"/>
    <w:basedOn w:val="146"/>
    <w:next w:val="146"/>
    <w:qFormat/>
    <w:uiPriority w:val="0"/>
    <w:pPr>
      <w:spacing w:after="60"/>
    </w:pPr>
    <w:rPr>
      <w:rFonts w:cs="Times New Roman"/>
      <w:color w:val="auto"/>
      <w:szCs w:val="20"/>
    </w:rPr>
  </w:style>
  <w:style w:type="paragraph" w:customStyle="1" w:styleId="1818">
    <w:name w:val="CM214"/>
    <w:basedOn w:val="146"/>
    <w:next w:val="146"/>
    <w:qFormat/>
    <w:uiPriority w:val="0"/>
    <w:rPr>
      <w:rFonts w:cs="Times New Roman"/>
      <w:color w:val="auto"/>
      <w:szCs w:val="20"/>
    </w:rPr>
  </w:style>
  <w:style w:type="paragraph" w:customStyle="1" w:styleId="1819">
    <w:name w:val="CM264"/>
    <w:basedOn w:val="146"/>
    <w:next w:val="146"/>
    <w:qFormat/>
    <w:uiPriority w:val="0"/>
    <w:pPr>
      <w:spacing w:after="1908"/>
    </w:pPr>
    <w:rPr>
      <w:rFonts w:cs="Times New Roman"/>
      <w:color w:val="auto"/>
      <w:szCs w:val="20"/>
    </w:rPr>
  </w:style>
  <w:style w:type="paragraph" w:customStyle="1" w:styleId="1820">
    <w:name w:val="CM246"/>
    <w:basedOn w:val="146"/>
    <w:next w:val="146"/>
    <w:qFormat/>
    <w:uiPriority w:val="0"/>
    <w:pPr>
      <w:spacing w:after="1790"/>
    </w:pPr>
    <w:rPr>
      <w:rFonts w:cs="Times New Roman"/>
      <w:color w:val="auto"/>
      <w:szCs w:val="20"/>
    </w:rPr>
  </w:style>
  <w:style w:type="paragraph" w:customStyle="1" w:styleId="1821">
    <w:name w:val="CM150"/>
    <w:basedOn w:val="146"/>
    <w:next w:val="146"/>
    <w:qFormat/>
    <w:uiPriority w:val="0"/>
    <w:rPr>
      <w:rFonts w:cs="Times New Roman"/>
      <w:color w:val="auto"/>
      <w:szCs w:val="20"/>
    </w:rPr>
  </w:style>
  <w:style w:type="paragraph" w:customStyle="1" w:styleId="1822">
    <w:name w:val="CM51"/>
    <w:basedOn w:val="146"/>
    <w:next w:val="146"/>
    <w:qFormat/>
    <w:uiPriority w:val="0"/>
    <w:pPr>
      <w:spacing w:line="313" w:lineRule="atLeast"/>
    </w:pPr>
    <w:rPr>
      <w:rFonts w:cs="Times New Roman"/>
      <w:color w:val="auto"/>
      <w:szCs w:val="20"/>
    </w:rPr>
  </w:style>
  <w:style w:type="paragraph" w:customStyle="1" w:styleId="1823">
    <w:name w:val="CM200"/>
    <w:basedOn w:val="146"/>
    <w:next w:val="146"/>
    <w:qFormat/>
    <w:uiPriority w:val="0"/>
    <w:pPr>
      <w:spacing w:line="653" w:lineRule="atLeast"/>
    </w:pPr>
    <w:rPr>
      <w:rFonts w:cs="Times New Roman"/>
      <w:color w:val="auto"/>
      <w:szCs w:val="20"/>
    </w:rPr>
  </w:style>
  <w:style w:type="paragraph" w:customStyle="1" w:styleId="1824">
    <w:name w:val="CM253"/>
    <w:basedOn w:val="146"/>
    <w:next w:val="146"/>
    <w:qFormat/>
    <w:uiPriority w:val="0"/>
    <w:pPr>
      <w:spacing w:after="3480"/>
    </w:pPr>
    <w:rPr>
      <w:rFonts w:cs="Times New Roman"/>
      <w:color w:val="auto"/>
      <w:szCs w:val="20"/>
    </w:rPr>
  </w:style>
  <w:style w:type="paragraph" w:customStyle="1" w:styleId="1825">
    <w:name w:val="CM195"/>
    <w:basedOn w:val="146"/>
    <w:next w:val="146"/>
    <w:qFormat/>
    <w:uiPriority w:val="0"/>
    <w:rPr>
      <w:rFonts w:cs="Times New Roman"/>
      <w:color w:val="auto"/>
      <w:szCs w:val="20"/>
    </w:rPr>
  </w:style>
  <w:style w:type="paragraph" w:customStyle="1" w:styleId="1826">
    <w:name w:val="Char Char Char Char Char Char Char Char Char1"/>
    <w:basedOn w:val="1"/>
    <w:qFormat/>
    <w:uiPriority w:val="0"/>
    <w:pPr>
      <w:spacing w:line="360" w:lineRule="auto"/>
      <w:ind w:firstLine="200" w:firstLineChars="200"/>
    </w:pPr>
    <w:rPr>
      <w:rFonts w:ascii="宋体" w:hAnsi="宋体"/>
      <w:sz w:val="24"/>
      <w:szCs w:val="20"/>
    </w:rPr>
  </w:style>
  <w:style w:type="paragraph" w:customStyle="1" w:styleId="1827">
    <w:name w:val="可研报告模板"/>
    <w:basedOn w:val="1"/>
    <w:qFormat/>
    <w:uiPriority w:val="0"/>
    <w:pPr>
      <w:jc w:val="center"/>
    </w:pPr>
    <w:rPr>
      <w:sz w:val="28"/>
      <w:szCs w:val="20"/>
    </w:rPr>
  </w:style>
  <w:style w:type="paragraph" w:customStyle="1" w:styleId="1828">
    <w:name w:val="CM15"/>
    <w:basedOn w:val="146"/>
    <w:next w:val="146"/>
    <w:qFormat/>
    <w:uiPriority w:val="0"/>
    <w:pPr>
      <w:spacing w:line="313" w:lineRule="atLeast"/>
    </w:pPr>
    <w:rPr>
      <w:rFonts w:cs="Times New Roman"/>
      <w:color w:val="auto"/>
      <w:szCs w:val="20"/>
    </w:rPr>
  </w:style>
  <w:style w:type="paragraph" w:customStyle="1" w:styleId="1829">
    <w:name w:val="CM185"/>
    <w:basedOn w:val="146"/>
    <w:next w:val="146"/>
    <w:qFormat/>
    <w:uiPriority w:val="0"/>
    <w:pPr>
      <w:spacing w:line="313" w:lineRule="atLeast"/>
    </w:pPr>
    <w:rPr>
      <w:rFonts w:cs="Times New Roman"/>
      <w:color w:val="auto"/>
      <w:szCs w:val="20"/>
    </w:rPr>
  </w:style>
  <w:style w:type="paragraph" w:customStyle="1" w:styleId="1830">
    <w:name w:val="CM71"/>
    <w:basedOn w:val="146"/>
    <w:next w:val="146"/>
    <w:qFormat/>
    <w:uiPriority w:val="0"/>
    <w:pPr>
      <w:spacing w:line="553" w:lineRule="atLeast"/>
    </w:pPr>
    <w:rPr>
      <w:rFonts w:cs="Times New Roman"/>
      <w:color w:val="auto"/>
      <w:szCs w:val="20"/>
    </w:rPr>
  </w:style>
  <w:style w:type="paragraph" w:customStyle="1" w:styleId="1831">
    <w:name w:val="CM262"/>
    <w:basedOn w:val="146"/>
    <w:next w:val="146"/>
    <w:qFormat/>
    <w:uiPriority w:val="0"/>
    <w:pPr>
      <w:spacing w:after="6028"/>
    </w:pPr>
    <w:rPr>
      <w:rFonts w:cs="Times New Roman"/>
      <w:color w:val="auto"/>
      <w:szCs w:val="20"/>
    </w:rPr>
  </w:style>
  <w:style w:type="paragraph" w:customStyle="1" w:styleId="1832">
    <w:name w:val="CM78"/>
    <w:basedOn w:val="146"/>
    <w:next w:val="146"/>
    <w:qFormat/>
    <w:uiPriority w:val="0"/>
    <w:pPr>
      <w:spacing w:line="558" w:lineRule="atLeast"/>
    </w:pPr>
    <w:rPr>
      <w:rFonts w:cs="Times New Roman"/>
      <w:color w:val="auto"/>
      <w:szCs w:val="20"/>
    </w:rPr>
  </w:style>
  <w:style w:type="paragraph" w:customStyle="1" w:styleId="1833">
    <w:name w:val="需求书2"/>
    <w:basedOn w:val="1"/>
    <w:qFormat/>
    <w:uiPriority w:val="0"/>
    <w:pPr>
      <w:spacing w:line="360" w:lineRule="auto"/>
    </w:pPr>
    <w:rPr>
      <w:rFonts w:ascii="宋体" w:hAnsi="宋体"/>
      <w:sz w:val="24"/>
      <w:szCs w:val="20"/>
    </w:rPr>
  </w:style>
  <w:style w:type="paragraph" w:customStyle="1" w:styleId="1834">
    <w:name w:val="CM127"/>
    <w:basedOn w:val="146"/>
    <w:next w:val="146"/>
    <w:qFormat/>
    <w:uiPriority w:val="0"/>
    <w:pPr>
      <w:spacing w:line="313" w:lineRule="atLeast"/>
    </w:pPr>
    <w:rPr>
      <w:rFonts w:cs="Times New Roman"/>
      <w:color w:val="auto"/>
      <w:szCs w:val="20"/>
    </w:rPr>
  </w:style>
  <w:style w:type="paragraph" w:customStyle="1" w:styleId="1835">
    <w:name w:val="CM227"/>
    <w:basedOn w:val="146"/>
    <w:next w:val="146"/>
    <w:qFormat/>
    <w:uiPriority w:val="0"/>
    <w:pPr>
      <w:spacing w:after="128"/>
    </w:pPr>
    <w:rPr>
      <w:rFonts w:cs="Times New Roman"/>
      <w:color w:val="auto"/>
      <w:szCs w:val="20"/>
    </w:rPr>
  </w:style>
  <w:style w:type="paragraph" w:customStyle="1" w:styleId="1836">
    <w:name w:val="CM14"/>
    <w:basedOn w:val="146"/>
    <w:next w:val="146"/>
    <w:qFormat/>
    <w:uiPriority w:val="0"/>
    <w:pPr>
      <w:spacing w:line="313" w:lineRule="atLeast"/>
    </w:pPr>
    <w:rPr>
      <w:rFonts w:cs="Times New Roman"/>
      <w:color w:val="auto"/>
      <w:szCs w:val="20"/>
    </w:rPr>
  </w:style>
  <w:style w:type="paragraph" w:customStyle="1" w:styleId="1837">
    <w:name w:val="目录"/>
    <w:basedOn w:val="1"/>
    <w:qFormat/>
    <w:uiPriority w:val="0"/>
    <w:pPr>
      <w:widowControl/>
      <w:jc w:val="center"/>
    </w:pPr>
    <w:rPr>
      <w:rFonts w:ascii="宋体"/>
      <w:b/>
      <w:kern w:val="0"/>
      <w:sz w:val="36"/>
      <w:szCs w:val="20"/>
    </w:rPr>
  </w:style>
  <w:style w:type="paragraph" w:customStyle="1" w:styleId="1838">
    <w:name w:val="CM238"/>
    <w:basedOn w:val="146"/>
    <w:next w:val="146"/>
    <w:qFormat/>
    <w:uiPriority w:val="0"/>
    <w:pPr>
      <w:spacing w:after="1090"/>
    </w:pPr>
    <w:rPr>
      <w:rFonts w:cs="Times New Roman"/>
      <w:color w:val="auto"/>
      <w:szCs w:val="20"/>
    </w:rPr>
  </w:style>
  <w:style w:type="paragraph" w:customStyle="1" w:styleId="1839">
    <w:name w:val="CM123"/>
    <w:basedOn w:val="146"/>
    <w:next w:val="146"/>
    <w:qFormat/>
    <w:uiPriority w:val="0"/>
    <w:pPr>
      <w:spacing w:line="288" w:lineRule="atLeast"/>
    </w:pPr>
    <w:rPr>
      <w:rFonts w:cs="Times New Roman"/>
      <w:color w:val="auto"/>
      <w:szCs w:val="20"/>
    </w:rPr>
  </w:style>
  <w:style w:type="paragraph" w:customStyle="1" w:styleId="1840">
    <w:name w:val="CM248"/>
    <w:basedOn w:val="146"/>
    <w:next w:val="146"/>
    <w:qFormat/>
    <w:uiPriority w:val="0"/>
    <w:pPr>
      <w:spacing w:after="2193"/>
    </w:pPr>
    <w:rPr>
      <w:rFonts w:cs="Times New Roman"/>
      <w:color w:val="auto"/>
      <w:szCs w:val="20"/>
    </w:rPr>
  </w:style>
  <w:style w:type="paragraph" w:customStyle="1" w:styleId="1841">
    <w:name w:val="CM203"/>
    <w:basedOn w:val="146"/>
    <w:next w:val="146"/>
    <w:qFormat/>
    <w:uiPriority w:val="0"/>
    <w:pPr>
      <w:spacing w:line="391" w:lineRule="atLeast"/>
    </w:pPr>
    <w:rPr>
      <w:rFonts w:cs="Times New Roman"/>
      <w:color w:val="auto"/>
      <w:szCs w:val="20"/>
    </w:rPr>
  </w:style>
  <w:style w:type="paragraph" w:customStyle="1" w:styleId="1842">
    <w:name w:val="CM171"/>
    <w:basedOn w:val="146"/>
    <w:next w:val="146"/>
    <w:qFormat/>
    <w:uiPriority w:val="0"/>
    <w:pPr>
      <w:spacing w:line="433" w:lineRule="atLeast"/>
    </w:pPr>
    <w:rPr>
      <w:rFonts w:cs="Times New Roman"/>
      <w:color w:val="auto"/>
      <w:szCs w:val="20"/>
    </w:rPr>
  </w:style>
  <w:style w:type="paragraph" w:customStyle="1" w:styleId="1843">
    <w:name w:val="CM166"/>
    <w:basedOn w:val="146"/>
    <w:next w:val="146"/>
    <w:qFormat/>
    <w:uiPriority w:val="0"/>
    <w:pPr>
      <w:spacing w:line="286" w:lineRule="atLeast"/>
    </w:pPr>
    <w:rPr>
      <w:rFonts w:cs="Times New Roman"/>
      <w:color w:val="auto"/>
      <w:szCs w:val="20"/>
    </w:rPr>
  </w:style>
  <w:style w:type="paragraph" w:customStyle="1" w:styleId="1844">
    <w:name w:val="CM201"/>
    <w:basedOn w:val="146"/>
    <w:next w:val="146"/>
    <w:qFormat/>
    <w:uiPriority w:val="0"/>
    <w:rPr>
      <w:rFonts w:cs="Times New Roman"/>
      <w:color w:val="auto"/>
      <w:szCs w:val="20"/>
    </w:rPr>
  </w:style>
  <w:style w:type="paragraph" w:customStyle="1" w:styleId="1845">
    <w:name w:val="Style Body Text Indent 3 + Left  5.29 ch First line:  0.01 ch"/>
    <w:basedOn w:val="70"/>
    <w:qFormat/>
    <w:uiPriority w:val="0"/>
    <w:pPr>
      <w:keepNext/>
      <w:keepLines/>
      <w:tabs>
        <w:tab w:val="left" w:pos="-1843"/>
      </w:tabs>
      <w:suppressAutoHyphens/>
      <w:snapToGrid/>
      <w:spacing w:afterLines="50" w:line="240" w:lineRule="auto"/>
      <w:ind w:left="1890" w:leftChars="945" w:firstLine="0" w:firstLineChars="0"/>
    </w:pPr>
    <w:rPr>
      <w:rFonts w:ascii="Times New Roman" w:eastAsia="PMingLiU"/>
      <w:snapToGrid w:val="0"/>
      <w:kern w:val="0"/>
      <w:sz w:val="24"/>
      <w:szCs w:val="20"/>
      <w:lang w:val="en-GB" w:eastAsia="zh-TW"/>
    </w:rPr>
  </w:style>
  <w:style w:type="paragraph" w:customStyle="1" w:styleId="1846">
    <w:name w:val="CM212"/>
    <w:basedOn w:val="146"/>
    <w:next w:val="146"/>
    <w:qFormat/>
    <w:uiPriority w:val="0"/>
    <w:pPr>
      <w:spacing w:line="773" w:lineRule="atLeast"/>
    </w:pPr>
    <w:rPr>
      <w:rFonts w:cs="Times New Roman"/>
      <w:color w:val="auto"/>
      <w:szCs w:val="20"/>
    </w:rPr>
  </w:style>
  <w:style w:type="paragraph" w:customStyle="1" w:styleId="1847">
    <w:name w:val="CM82"/>
    <w:basedOn w:val="146"/>
    <w:next w:val="146"/>
    <w:qFormat/>
    <w:uiPriority w:val="0"/>
    <w:pPr>
      <w:spacing w:line="313" w:lineRule="atLeast"/>
    </w:pPr>
    <w:rPr>
      <w:rFonts w:cs="Times New Roman"/>
      <w:color w:val="auto"/>
      <w:szCs w:val="20"/>
    </w:rPr>
  </w:style>
  <w:style w:type="paragraph" w:customStyle="1" w:styleId="1848">
    <w:name w:val="CM237"/>
    <w:basedOn w:val="146"/>
    <w:next w:val="146"/>
    <w:qFormat/>
    <w:uiPriority w:val="0"/>
    <w:pPr>
      <w:spacing w:after="1133"/>
    </w:pPr>
    <w:rPr>
      <w:rFonts w:cs="Times New Roman"/>
      <w:color w:val="auto"/>
      <w:szCs w:val="20"/>
    </w:rPr>
  </w:style>
  <w:style w:type="paragraph" w:customStyle="1" w:styleId="1849">
    <w:name w:val="CM182"/>
    <w:basedOn w:val="146"/>
    <w:next w:val="146"/>
    <w:qFormat/>
    <w:uiPriority w:val="0"/>
    <w:pPr>
      <w:spacing w:line="313" w:lineRule="atLeast"/>
    </w:pPr>
    <w:rPr>
      <w:rFonts w:cs="Times New Roman"/>
      <w:color w:val="auto"/>
      <w:szCs w:val="20"/>
    </w:rPr>
  </w:style>
  <w:style w:type="paragraph" w:customStyle="1" w:styleId="1850">
    <w:name w:val="CM44"/>
    <w:basedOn w:val="146"/>
    <w:next w:val="146"/>
    <w:qFormat/>
    <w:uiPriority w:val="0"/>
    <w:pPr>
      <w:spacing w:line="313" w:lineRule="atLeast"/>
    </w:pPr>
    <w:rPr>
      <w:rFonts w:cs="Times New Roman"/>
      <w:color w:val="auto"/>
      <w:szCs w:val="20"/>
    </w:rPr>
  </w:style>
  <w:style w:type="paragraph" w:customStyle="1" w:styleId="1851">
    <w:name w:val="CM168"/>
    <w:basedOn w:val="146"/>
    <w:next w:val="146"/>
    <w:qFormat/>
    <w:uiPriority w:val="0"/>
    <w:pPr>
      <w:spacing w:line="553" w:lineRule="atLeast"/>
    </w:pPr>
    <w:rPr>
      <w:rFonts w:cs="Times New Roman"/>
      <w:color w:val="auto"/>
      <w:szCs w:val="20"/>
    </w:rPr>
  </w:style>
  <w:style w:type="paragraph" w:customStyle="1" w:styleId="1852">
    <w:name w:val="CM202"/>
    <w:basedOn w:val="146"/>
    <w:next w:val="146"/>
    <w:qFormat/>
    <w:uiPriority w:val="0"/>
    <w:pPr>
      <w:spacing w:line="666" w:lineRule="atLeast"/>
    </w:pPr>
    <w:rPr>
      <w:rFonts w:cs="Times New Roman"/>
      <w:color w:val="auto"/>
      <w:szCs w:val="20"/>
    </w:rPr>
  </w:style>
  <w:style w:type="paragraph" w:customStyle="1" w:styleId="1853">
    <w:name w:val="CM57"/>
    <w:basedOn w:val="146"/>
    <w:next w:val="146"/>
    <w:qFormat/>
    <w:uiPriority w:val="0"/>
    <w:pPr>
      <w:spacing w:line="313" w:lineRule="atLeast"/>
    </w:pPr>
    <w:rPr>
      <w:rFonts w:cs="Times New Roman"/>
      <w:color w:val="auto"/>
      <w:szCs w:val="20"/>
    </w:rPr>
  </w:style>
  <w:style w:type="paragraph" w:customStyle="1" w:styleId="1854">
    <w:name w:val="n"/>
    <w:basedOn w:val="1"/>
    <w:qFormat/>
    <w:uiPriority w:val="0"/>
    <w:pPr>
      <w:autoSpaceDE w:val="0"/>
      <w:autoSpaceDN w:val="0"/>
      <w:adjustRightInd w:val="0"/>
      <w:spacing w:line="400" w:lineRule="atLeast"/>
      <w:textAlignment w:val="baseline"/>
    </w:pPr>
    <w:rPr>
      <w:rFonts w:ascii="宋体"/>
      <w:kern w:val="0"/>
      <w:sz w:val="24"/>
      <w:szCs w:val="20"/>
    </w:rPr>
  </w:style>
  <w:style w:type="paragraph" w:customStyle="1" w:styleId="1855">
    <w:name w:val="Char Char Char1 Char Char Char Char Char Char Char Char Char Char Char Char Char Char Char Char Char Char Char Char Char Char Char Char Char1"/>
    <w:basedOn w:val="1"/>
    <w:qFormat/>
    <w:uiPriority w:val="0"/>
    <w:rPr>
      <w:rFonts w:ascii="Tahoma" w:hAnsi="Tahoma"/>
      <w:sz w:val="24"/>
      <w:szCs w:val="20"/>
    </w:rPr>
  </w:style>
  <w:style w:type="paragraph" w:customStyle="1" w:styleId="1856">
    <w:name w:val="Level.1.TOC Char"/>
    <w:qFormat/>
    <w:uiPriority w:val="0"/>
    <w:pPr>
      <w:tabs>
        <w:tab w:val="left" w:pos="567"/>
        <w:tab w:val="left" w:pos="1560"/>
        <w:tab w:val="left" w:pos="2400"/>
      </w:tabs>
      <w:spacing w:afterLines="100"/>
      <w:ind w:left="2400" w:right="306" w:hanging="227"/>
      <w:jc w:val="both"/>
    </w:pPr>
    <w:rPr>
      <w:rFonts w:ascii="Times New Roman" w:hAnsi="Times New Roman" w:eastAsia="PMingLiU" w:cs="Times New Roman"/>
      <w:b/>
      <w:sz w:val="24"/>
      <w:lang w:val="en-US" w:eastAsia="zh-TW" w:bidi="ar-SA"/>
    </w:rPr>
  </w:style>
  <w:style w:type="paragraph" w:customStyle="1" w:styleId="1857">
    <w:name w:val="CM245"/>
    <w:basedOn w:val="146"/>
    <w:next w:val="146"/>
    <w:qFormat/>
    <w:uiPriority w:val="0"/>
    <w:pPr>
      <w:spacing w:after="107"/>
    </w:pPr>
    <w:rPr>
      <w:rFonts w:cs="Times New Roman"/>
      <w:color w:val="auto"/>
      <w:szCs w:val="20"/>
    </w:rPr>
  </w:style>
  <w:style w:type="paragraph" w:customStyle="1" w:styleId="1858">
    <w:name w:val="CM216"/>
    <w:basedOn w:val="146"/>
    <w:next w:val="146"/>
    <w:qFormat/>
    <w:uiPriority w:val="0"/>
    <w:rPr>
      <w:rFonts w:cs="Times New Roman"/>
      <w:color w:val="auto"/>
      <w:szCs w:val="20"/>
    </w:rPr>
  </w:style>
  <w:style w:type="paragraph" w:customStyle="1" w:styleId="1859">
    <w:name w:val="样式 左侧:  0.74 厘米1"/>
    <w:basedOn w:val="1"/>
    <w:qFormat/>
    <w:uiPriority w:val="0"/>
    <w:rPr>
      <w:szCs w:val="20"/>
    </w:rPr>
  </w:style>
  <w:style w:type="paragraph" w:customStyle="1" w:styleId="1860">
    <w:name w:val="CM178"/>
    <w:basedOn w:val="146"/>
    <w:next w:val="146"/>
    <w:qFormat/>
    <w:uiPriority w:val="0"/>
    <w:rPr>
      <w:rFonts w:cs="Times New Roman"/>
      <w:color w:val="auto"/>
      <w:szCs w:val="20"/>
    </w:rPr>
  </w:style>
  <w:style w:type="paragraph" w:customStyle="1" w:styleId="1861">
    <w:name w:val="CM95"/>
    <w:basedOn w:val="146"/>
    <w:next w:val="146"/>
    <w:qFormat/>
    <w:uiPriority w:val="0"/>
    <w:pPr>
      <w:spacing w:line="313" w:lineRule="atLeast"/>
    </w:pPr>
    <w:rPr>
      <w:rFonts w:cs="Times New Roman"/>
      <w:color w:val="auto"/>
      <w:szCs w:val="20"/>
    </w:rPr>
  </w:style>
  <w:style w:type="paragraph" w:customStyle="1" w:styleId="1862">
    <w:name w:val="CM76"/>
    <w:basedOn w:val="146"/>
    <w:next w:val="146"/>
    <w:qFormat/>
    <w:uiPriority w:val="0"/>
    <w:pPr>
      <w:spacing w:line="313" w:lineRule="atLeast"/>
    </w:pPr>
    <w:rPr>
      <w:rFonts w:cs="Times New Roman"/>
      <w:color w:val="auto"/>
      <w:szCs w:val="20"/>
    </w:rPr>
  </w:style>
  <w:style w:type="paragraph" w:customStyle="1" w:styleId="1863">
    <w:name w:val="CM162"/>
    <w:basedOn w:val="146"/>
    <w:next w:val="146"/>
    <w:qFormat/>
    <w:uiPriority w:val="0"/>
    <w:pPr>
      <w:spacing w:line="313" w:lineRule="atLeast"/>
    </w:pPr>
    <w:rPr>
      <w:rFonts w:cs="Times New Roman"/>
      <w:color w:val="auto"/>
      <w:szCs w:val="20"/>
    </w:rPr>
  </w:style>
  <w:style w:type="paragraph" w:customStyle="1" w:styleId="1864">
    <w:name w:val="CM174"/>
    <w:basedOn w:val="146"/>
    <w:next w:val="146"/>
    <w:qFormat/>
    <w:uiPriority w:val="0"/>
    <w:pPr>
      <w:spacing w:line="263" w:lineRule="atLeast"/>
    </w:pPr>
    <w:rPr>
      <w:rFonts w:cs="Times New Roman"/>
      <w:color w:val="auto"/>
      <w:szCs w:val="20"/>
    </w:rPr>
  </w:style>
  <w:style w:type="paragraph" w:customStyle="1" w:styleId="1865">
    <w:name w:val="CM223"/>
    <w:basedOn w:val="146"/>
    <w:next w:val="146"/>
    <w:qFormat/>
    <w:uiPriority w:val="0"/>
    <w:pPr>
      <w:spacing w:after="370"/>
    </w:pPr>
    <w:rPr>
      <w:rFonts w:cs="Times New Roman"/>
      <w:color w:val="auto"/>
      <w:szCs w:val="20"/>
    </w:rPr>
  </w:style>
  <w:style w:type="paragraph" w:customStyle="1" w:styleId="1866">
    <w:name w:val="CM147"/>
    <w:basedOn w:val="146"/>
    <w:next w:val="146"/>
    <w:qFormat/>
    <w:uiPriority w:val="0"/>
    <w:rPr>
      <w:rFonts w:cs="Times New Roman"/>
      <w:color w:val="auto"/>
      <w:szCs w:val="20"/>
    </w:rPr>
  </w:style>
  <w:style w:type="paragraph" w:customStyle="1" w:styleId="1867">
    <w:name w:val="CM252"/>
    <w:basedOn w:val="146"/>
    <w:next w:val="146"/>
    <w:qFormat/>
    <w:uiPriority w:val="0"/>
    <w:pPr>
      <w:spacing w:after="287"/>
    </w:pPr>
    <w:rPr>
      <w:rFonts w:cs="Times New Roman"/>
      <w:color w:val="auto"/>
      <w:szCs w:val="20"/>
    </w:rPr>
  </w:style>
  <w:style w:type="paragraph" w:customStyle="1" w:styleId="1868">
    <w:name w:val="正文文本 24"/>
    <w:basedOn w:val="1"/>
    <w:qFormat/>
    <w:uiPriority w:val="0"/>
    <w:pPr>
      <w:widowControl/>
      <w:overflowPunct w:val="0"/>
      <w:autoSpaceDE w:val="0"/>
      <w:autoSpaceDN w:val="0"/>
      <w:adjustRightInd w:val="0"/>
      <w:ind w:left="709" w:firstLine="567" w:firstLineChars="200"/>
      <w:jc w:val="left"/>
      <w:textAlignment w:val="baseline"/>
    </w:pPr>
    <w:rPr>
      <w:kern w:val="0"/>
      <w:sz w:val="24"/>
      <w:szCs w:val="20"/>
    </w:rPr>
  </w:style>
  <w:style w:type="paragraph" w:customStyle="1" w:styleId="1869">
    <w:name w:val="CM149"/>
    <w:basedOn w:val="146"/>
    <w:next w:val="146"/>
    <w:qFormat/>
    <w:uiPriority w:val="0"/>
    <w:rPr>
      <w:rFonts w:cs="Times New Roman"/>
      <w:color w:val="auto"/>
      <w:szCs w:val="20"/>
    </w:rPr>
  </w:style>
  <w:style w:type="paragraph" w:customStyle="1" w:styleId="1870">
    <w:name w:val="CM263"/>
    <w:basedOn w:val="146"/>
    <w:next w:val="146"/>
    <w:qFormat/>
    <w:uiPriority w:val="0"/>
    <w:pPr>
      <w:spacing w:after="4583"/>
    </w:pPr>
    <w:rPr>
      <w:rFonts w:cs="Times New Roman"/>
      <w:color w:val="auto"/>
      <w:szCs w:val="20"/>
    </w:rPr>
  </w:style>
  <w:style w:type="paragraph" w:customStyle="1" w:styleId="1871">
    <w:name w:val="CM33"/>
    <w:basedOn w:val="146"/>
    <w:next w:val="146"/>
    <w:qFormat/>
    <w:uiPriority w:val="0"/>
    <w:pPr>
      <w:spacing w:line="313" w:lineRule="atLeast"/>
    </w:pPr>
    <w:rPr>
      <w:rFonts w:cs="Times New Roman"/>
      <w:color w:val="auto"/>
      <w:szCs w:val="20"/>
    </w:rPr>
  </w:style>
  <w:style w:type="paragraph" w:customStyle="1" w:styleId="1872">
    <w:name w:val="CM189"/>
    <w:basedOn w:val="146"/>
    <w:next w:val="146"/>
    <w:qFormat/>
    <w:uiPriority w:val="0"/>
    <w:pPr>
      <w:spacing w:line="1253" w:lineRule="atLeast"/>
    </w:pPr>
    <w:rPr>
      <w:rFonts w:cs="Times New Roman"/>
      <w:color w:val="auto"/>
      <w:szCs w:val="20"/>
    </w:rPr>
  </w:style>
  <w:style w:type="paragraph" w:customStyle="1" w:styleId="1873">
    <w:name w:val="CM74"/>
    <w:basedOn w:val="146"/>
    <w:next w:val="146"/>
    <w:qFormat/>
    <w:uiPriority w:val="0"/>
    <w:pPr>
      <w:spacing w:line="313" w:lineRule="atLeast"/>
    </w:pPr>
    <w:rPr>
      <w:rFonts w:cs="Times New Roman"/>
      <w:color w:val="auto"/>
      <w:szCs w:val="20"/>
    </w:rPr>
  </w:style>
  <w:style w:type="paragraph" w:customStyle="1" w:styleId="1874">
    <w:name w:val="样式 标题 2 +"/>
    <w:basedOn w:val="4"/>
    <w:qFormat/>
    <w:uiPriority w:val="0"/>
    <w:pPr>
      <w:widowControl w:val="0"/>
      <w:spacing w:beforeAutospacing="1" w:afterAutospacing="1"/>
      <w:jc w:val="both"/>
    </w:pPr>
    <w:rPr>
      <w:rFonts w:eastAsia="宋体" w:cs="Arial"/>
      <w:b w:val="0"/>
      <w:bCs/>
      <w:sz w:val="28"/>
      <w:szCs w:val="32"/>
    </w:rPr>
  </w:style>
  <w:style w:type="paragraph" w:customStyle="1" w:styleId="1875">
    <w:name w:val="1）"/>
    <w:basedOn w:val="1"/>
    <w:qFormat/>
    <w:uiPriority w:val="0"/>
    <w:pPr>
      <w:numPr>
        <w:ilvl w:val="0"/>
        <w:numId w:val="31"/>
      </w:numPr>
      <w:tabs>
        <w:tab w:val="left" w:pos="1200"/>
      </w:tabs>
      <w:autoSpaceDE w:val="0"/>
      <w:autoSpaceDN w:val="0"/>
      <w:adjustRightInd w:val="0"/>
      <w:spacing w:line="360" w:lineRule="auto"/>
    </w:pPr>
    <w:rPr>
      <w:rFonts w:ascii="宋体" w:cs="宋体"/>
      <w:sz w:val="24"/>
      <w:szCs w:val="20"/>
      <w:lang w:val="zh-CN"/>
    </w:rPr>
  </w:style>
  <w:style w:type="paragraph" w:customStyle="1" w:styleId="1876">
    <w:name w:val="Heading 2"/>
    <w:basedOn w:val="1"/>
    <w:qFormat/>
    <w:uiPriority w:val="0"/>
    <w:pPr>
      <w:widowControl/>
      <w:tabs>
        <w:tab w:val="left" w:pos="360"/>
        <w:tab w:val="left" w:pos="576"/>
      </w:tabs>
      <w:spacing w:line="480" w:lineRule="exact"/>
      <w:ind w:left="576" w:hanging="576" w:firstLineChars="200"/>
      <w:jc w:val="left"/>
    </w:pPr>
    <w:rPr>
      <w:color w:val="1F497D"/>
      <w:kern w:val="0"/>
      <w:sz w:val="20"/>
      <w:szCs w:val="20"/>
    </w:rPr>
  </w:style>
  <w:style w:type="paragraph" w:customStyle="1" w:styleId="1877">
    <w:name w:val="字元 字元1"/>
    <w:basedOn w:val="1"/>
    <w:qFormat/>
    <w:uiPriority w:val="0"/>
    <w:rPr>
      <w:rFonts w:ascii="FangSong_GB2312" w:eastAsia="FangSong_GB2312"/>
      <w:b/>
      <w:sz w:val="32"/>
      <w:szCs w:val="32"/>
    </w:rPr>
  </w:style>
  <w:style w:type="paragraph" w:customStyle="1" w:styleId="1878">
    <w:name w:val="样式 标题 2标题 1.1编号标题22 headlinehheadlineS&amp;R2ERMH2head:2#He...1"/>
    <w:basedOn w:val="4"/>
    <w:qFormat/>
    <w:uiPriority w:val="0"/>
    <w:pPr>
      <w:keepNext w:val="0"/>
      <w:keepLines w:val="0"/>
      <w:widowControl w:val="0"/>
      <w:numPr>
        <w:ilvl w:val="1"/>
        <w:numId w:val="32"/>
      </w:numPr>
      <w:tabs>
        <w:tab w:val="left" w:pos="1134"/>
        <w:tab w:val="left" w:pos="1620"/>
        <w:tab w:val="left" w:pos="2340"/>
      </w:tabs>
      <w:spacing w:beforeLines="100" w:afterLines="50" w:line="348" w:lineRule="auto"/>
      <w:jc w:val="left"/>
    </w:pPr>
    <w:rPr>
      <w:rFonts w:ascii="宋体" w:hAnsi="宋体" w:eastAsia="宋体" w:cs="宋体"/>
      <w:bCs/>
      <w:kern w:val="2"/>
      <w:sz w:val="24"/>
    </w:rPr>
  </w:style>
  <w:style w:type="paragraph" w:customStyle="1" w:styleId="1879">
    <w:name w:val="样式 标题 4 +"/>
    <w:basedOn w:val="6"/>
    <w:qFormat/>
    <w:uiPriority w:val="0"/>
    <w:pPr>
      <w:keepLines w:val="0"/>
      <w:tabs>
        <w:tab w:val="left" w:pos="720"/>
        <w:tab w:val="left" w:pos="810"/>
        <w:tab w:val="left" w:pos="864"/>
        <w:tab w:val="left" w:pos="1080"/>
        <w:tab w:val="left" w:pos="1820"/>
        <w:tab w:val="left" w:pos="2417"/>
      </w:tabs>
      <w:spacing w:before="120" w:after="120" w:line="360" w:lineRule="auto"/>
      <w:ind w:hanging="420"/>
    </w:pPr>
    <w:rPr>
      <w:rFonts w:eastAsia="宋体"/>
      <w:b w:val="0"/>
      <w:bCs w:val="0"/>
      <w:kern w:val="0"/>
      <w:sz w:val="21"/>
      <w:szCs w:val="20"/>
    </w:rPr>
  </w:style>
  <w:style w:type="paragraph" w:customStyle="1" w:styleId="1880">
    <w:name w:val="文档结构图9"/>
    <w:basedOn w:val="1"/>
    <w:qFormat/>
    <w:uiPriority w:val="0"/>
    <w:pPr>
      <w:shd w:val="clear" w:color="auto" w:fill="000080"/>
      <w:autoSpaceDE w:val="0"/>
      <w:autoSpaceDN w:val="0"/>
      <w:adjustRightInd w:val="0"/>
      <w:spacing w:line="480" w:lineRule="exact"/>
      <w:ind w:firstLine="200" w:firstLineChars="200"/>
      <w:jc w:val="left"/>
      <w:textAlignment w:val="baseline"/>
    </w:pPr>
    <w:rPr>
      <w:color w:val="1F497D"/>
      <w:sz w:val="24"/>
    </w:rPr>
  </w:style>
  <w:style w:type="paragraph" w:customStyle="1" w:styleId="1881">
    <w:name w:val="正文缩进   技术"/>
    <w:basedOn w:val="21"/>
    <w:qFormat/>
    <w:uiPriority w:val="0"/>
    <w:pPr>
      <w:widowControl w:val="0"/>
      <w:spacing w:line="360" w:lineRule="auto"/>
      <w:ind w:firstLine="500" w:firstLineChars="238"/>
      <w:jc w:val="both"/>
    </w:pPr>
    <w:rPr>
      <w:b w:val="0"/>
      <w:color w:val="FF0000"/>
      <w:kern w:val="2"/>
      <w:sz w:val="21"/>
      <w:szCs w:val="21"/>
    </w:rPr>
  </w:style>
  <w:style w:type="paragraph" w:customStyle="1" w:styleId="1882">
    <w:name w:val="Char Char Char Char Char Char Char Char1"/>
    <w:basedOn w:val="1"/>
    <w:qFormat/>
    <w:uiPriority w:val="0"/>
    <w:pPr>
      <w:ind w:firstLine="200" w:firstLineChars="200"/>
      <w:jc w:val="left"/>
    </w:pPr>
    <w:rPr>
      <w:rFonts w:ascii="Tahoma" w:hAnsi="Tahoma"/>
      <w:color w:val="1F497D"/>
      <w:sz w:val="24"/>
      <w:szCs w:val="20"/>
    </w:rPr>
  </w:style>
  <w:style w:type="paragraph" w:customStyle="1" w:styleId="1883">
    <w:name w:val="无间隔4"/>
    <w:qFormat/>
    <w:uiPriority w:val="0"/>
    <w:pPr>
      <w:widowControl w:val="0"/>
      <w:jc w:val="both"/>
    </w:pPr>
    <w:rPr>
      <w:rFonts w:ascii="Calibri" w:hAnsi="Calibri" w:eastAsia="宋体" w:cs="Times New Roman"/>
      <w:kern w:val="2"/>
      <w:sz w:val="21"/>
      <w:szCs w:val="22"/>
      <w:lang w:val="en-US" w:eastAsia="zh-CN" w:bidi="ar-SA"/>
    </w:rPr>
  </w:style>
  <w:style w:type="paragraph" w:customStyle="1" w:styleId="1884">
    <w:name w:val="正文文本缩进 34"/>
    <w:basedOn w:val="1"/>
    <w:qFormat/>
    <w:uiPriority w:val="0"/>
    <w:pPr>
      <w:autoSpaceDE w:val="0"/>
      <w:autoSpaceDN w:val="0"/>
      <w:adjustRightInd w:val="0"/>
      <w:spacing w:line="480" w:lineRule="exact"/>
      <w:ind w:firstLine="525" w:firstLineChars="200"/>
      <w:jc w:val="left"/>
      <w:textAlignment w:val="baseline"/>
    </w:pPr>
    <w:rPr>
      <w:color w:val="1F497D"/>
      <w:sz w:val="24"/>
    </w:rPr>
  </w:style>
  <w:style w:type="paragraph" w:customStyle="1" w:styleId="1885">
    <w:name w:val="Char16"/>
    <w:basedOn w:val="1"/>
    <w:qFormat/>
    <w:uiPriority w:val="0"/>
    <w:pPr>
      <w:spacing w:line="480" w:lineRule="exact"/>
      <w:ind w:firstLine="200" w:firstLineChars="200"/>
      <w:jc w:val="left"/>
    </w:pPr>
    <w:rPr>
      <w:rFonts w:ascii="Tahoma" w:hAnsi="Tahoma"/>
      <w:color w:val="1F497D"/>
      <w:sz w:val="24"/>
      <w:szCs w:val="20"/>
    </w:rPr>
  </w:style>
  <w:style w:type="paragraph" w:customStyle="1" w:styleId="1886">
    <w:name w:val="Char Char Char Char Char Char Char3"/>
    <w:basedOn w:val="1"/>
    <w:qFormat/>
    <w:uiPriority w:val="0"/>
    <w:pPr>
      <w:widowControl/>
      <w:spacing w:after="160" w:line="240" w:lineRule="exact"/>
      <w:ind w:firstLine="200" w:firstLineChars="200"/>
      <w:jc w:val="left"/>
    </w:pPr>
    <w:rPr>
      <w:rFonts w:ascii="Tahoma" w:hAnsi="Tahoma" w:cs="Tahoma"/>
      <w:color w:val="1F497D"/>
      <w:kern w:val="0"/>
      <w:sz w:val="20"/>
      <w:szCs w:val="20"/>
      <w:lang w:eastAsia="en-US"/>
    </w:rPr>
  </w:style>
  <w:style w:type="paragraph" w:customStyle="1" w:styleId="1887">
    <w:name w:val="Char Char Char1 Char Char Char1 Char1"/>
    <w:basedOn w:val="1"/>
    <w:qFormat/>
    <w:uiPriority w:val="0"/>
    <w:rPr>
      <w:rFonts w:ascii="Tahoma" w:hAnsi="Tahoma"/>
      <w:sz w:val="24"/>
      <w:szCs w:val="20"/>
    </w:rPr>
  </w:style>
  <w:style w:type="paragraph" w:customStyle="1" w:styleId="1888">
    <w:name w:val="Heading 6"/>
    <w:basedOn w:val="1"/>
    <w:qFormat/>
    <w:uiPriority w:val="0"/>
    <w:pPr>
      <w:widowControl/>
      <w:tabs>
        <w:tab w:val="left" w:pos="1152"/>
      </w:tabs>
      <w:spacing w:line="480" w:lineRule="exact"/>
      <w:ind w:left="1152" w:hanging="1152" w:firstLineChars="200"/>
      <w:jc w:val="left"/>
    </w:pPr>
    <w:rPr>
      <w:color w:val="1F497D"/>
      <w:kern w:val="0"/>
      <w:sz w:val="20"/>
      <w:szCs w:val="20"/>
    </w:rPr>
  </w:style>
  <w:style w:type="paragraph" w:customStyle="1" w:styleId="1889">
    <w:name w:val="Heading 7"/>
    <w:basedOn w:val="1"/>
    <w:qFormat/>
    <w:uiPriority w:val="0"/>
    <w:pPr>
      <w:widowControl/>
      <w:tabs>
        <w:tab w:val="left" w:pos="1296"/>
      </w:tabs>
      <w:spacing w:line="480" w:lineRule="exact"/>
      <w:ind w:left="1296" w:hanging="1296" w:firstLineChars="200"/>
      <w:jc w:val="left"/>
    </w:pPr>
    <w:rPr>
      <w:color w:val="1F497D"/>
      <w:kern w:val="0"/>
      <w:sz w:val="20"/>
      <w:szCs w:val="20"/>
    </w:rPr>
  </w:style>
  <w:style w:type="paragraph" w:customStyle="1" w:styleId="1890">
    <w:name w:val="Heading 8"/>
    <w:basedOn w:val="1"/>
    <w:qFormat/>
    <w:uiPriority w:val="0"/>
    <w:pPr>
      <w:widowControl/>
      <w:tabs>
        <w:tab w:val="left" w:pos="1440"/>
      </w:tabs>
      <w:spacing w:line="480" w:lineRule="exact"/>
      <w:ind w:left="1440" w:hanging="1440" w:firstLineChars="200"/>
      <w:jc w:val="left"/>
    </w:pPr>
    <w:rPr>
      <w:color w:val="1F497D"/>
      <w:kern w:val="0"/>
      <w:sz w:val="20"/>
      <w:szCs w:val="20"/>
    </w:rPr>
  </w:style>
  <w:style w:type="paragraph" w:customStyle="1" w:styleId="1891">
    <w:name w:val="Char Char1 Char Char1"/>
    <w:basedOn w:val="1"/>
    <w:qFormat/>
    <w:uiPriority w:val="0"/>
    <w:pPr>
      <w:spacing w:line="480" w:lineRule="exact"/>
      <w:ind w:firstLine="200" w:firstLineChars="200"/>
      <w:jc w:val="left"/>
    </w:pPr>
    <w:rPr>
      <w:rFonts w:ascii="Tahoma" w:hAnsi="Tahoma" w:cs="FangSong_GB2312"/>
      <w:color w:val="1F497D"/>
      <w:sz w:val="24"/>
      <w:szCs w:val="20"/>
    </w:rPr>
  </w:style>
  <w:style w:type="paragraph" w:customStyle="1" w:styleId="1892">
    <w:name w:val="批注框文本21"/>
    <w:basedOn w:val="1"/>
    <w:semiHidden/>
    <w:qFormat/>
    <w:uiPriority w:val="0"/>
    <w:rPr>
      <w:sz w:val="16"/>
      <w:szCs w:val="16"/>
    </w:rPr>
  </w:style>
  <w:style w:type="paragraph" w:customStyle="1" w:styleId="1893">
    <w:name w:val="Char Char Char Char Char Char1"/>
    <w:basedOn w:val="1"/>
    <w:qFormat/>
    <w:uiPriority w:val="0"/>
    <w:pPr>
      <w:snapToGrid w:val="0"/>
      <w:spacing w:line="360" w:lineRule="auto"/>
      <w:ind w:firstLine="200" w:firstLineChars="200"/>
    </w:pPr>
    <w:rPr>
      <w:rFonts w:ascii="宋体"/>
      <w:b/>
    </w:rPr>
  </w:style>
  <w:style w:type="paragraph" w:customStyle="1" w:styleId="1894">
    <w:name w:val="Char Char Char1 Char Char Char Char Char Char Char Char Char Char Char Char Char Char Char Char Char Char Char1"/>
    <w:basedOn w:val="1"/>
    <w:qFormat/>
    <w:uiPriority w:val="0"/>
    <w:rPr>
      <w:rFonts w:ascii="Tahoma" w:hAnsi="Tahoma"/>
      <w:sz w:val="24"/>
      <w:szCs w:val="20"/>
    </w:rPr>
  </w:style>
  <w:style w:type="paragraph" w:customStyle="1" w:styleId="1895">
    <w:name w:val="Char Char Char1 Char Char Char Char Char Char Char Char Char Char Char Char Char Char Char Char Char Char Char Char Char Char1"/>
    <w:basedOn w:val="1"/>
    <w:qFormat/>
    <w:uiPriority w:val="0"/>
    <w:rPr>
      <w:rFonts w:ascii="Tahoma" w:hAnsi="Tahoma"/>
      <w:sz w:val="24"/>
      <w:szCs w:val="20"/>
    </w:rPr>
  </w:style>
  <w:style w:type="paragraph" w:customStyle="1" w:styleId="1896">
    <w:name w:val="正文文本 241"/>
    <w:basedOn w:val="1"/>
    <w:qFormat/>
    <w:uiPriority w:val="0"/>
    <w:pPr>
      <w:widowControl/>
      <w:overflowPunct w:val="0"/>
      <w:autoSpaceDE w:val="0"/>
      <w:autoSpaceDN w:val="0"/>
      <w:adjustRightInd w:val="0"/>
      <w:ind w:left="709" w:firstLine="567" w:firstLineChars="200"/>
      <w:jc w:val="left"/>
      <w:textAlignment w:val="baseline"/>
    </w:pPr>
    <w:rPr>
      <w:kern w:val="0"/>
      <w:sz w:val="24"/>
      <w:szCs w:val="20"/>
    </w:rPr>
  </w:style>
  <w:style w:type="paragraph" w:customStyle="1" w:styleId="1897">
    <w:name w:val="正文文本缩进 23"/>
    <w:basedOn w:val="1"/>
    <w:qFormat/>
    <w:uiPriority w:val="0"/>
    <w:pPr>
      <w:autoSpaceDE w:val="0"/>
      <w:autoSpaceDN w:val="0"/>
      <w:adjustRightInd w:val="0"/>
      <w:spacing w:line="480" w:lineRule="exact"/>
      <w:ind w:firstLine="420" w:firstLineChars="200"/>
      <w:jc w:val="left"/>
      <w:textAlignment w:val="baseline"/>
    </w:pPr>
    <w:rPr>
      <w:color w:val="1F497D"/>
      <w:sz w:val="24"/>
    </w:rPr>
  </w:style>
  <w:style w:type="paragraph" w:customStyle="1" w:styleId="1898">
    <w:name w:val="标题 14"/>
    <w:basedOn w:val="1"/>
    <w:qFormat/>
    <w:uiPriority w:val="0"/>
    <w:pPr>
      <w:widowControl/>
      <w:tabs>
        <w:tab w:val="left" w:pos="360"/>
      </w:tabs>
      <w:spacing w:line="480" w:lineRule="exact"/>
      <w:ind w:left="360" w:firstLine="200" w:firstLineChars="200"/>
      <w:jc w:val="left"/>
    </w:pPr>
    <w:rPr>
      <w:color w:val="1F497D"/>
      <w:kern w:val="0"/>
      <w:sz w:val="20"/>
      <w:szCs w:val="20"/>
    </w:rPr>
  </w:style>
  <w:style w:type="paragraph" w:customStyle="1" w:styleId="1899">
    <w:name w:val="标题 55"/>
    <w:basedOn w:val="1"/>
    <w:qFormat/>
    <w:uiPriority w:val="0"/>
    <w:pPr>
      <w:widowControl/>
      <w:tabs>
        <w:tab w:val="left" w:pos="1008"/>
      </w:tabs>
      <w:spacing w:line="480" w:lineRule="exact"/>
      <w:ind w:left="1008" w:hanging="1008" w:firstLineChars="200"/>
      <w:jc w:val="left"/>
    </w:pPr>
    <w:rPr>
      <w:color w:val="1F497D"/>
      <w:kern w:val="0"/>
      <w:sz w:val="20"/>
      <w:szCs w:val="20"/>
    </w:rPr>
  </w:style>
  <w:style w:type="table" w:customStyle="1" w:styleId="1900">
    <w:name w:val="样式-表格"/>
    <w:basedOn w:val="88"/>
    <w:qFormat/>
    <w:uiPriority w:val="0"/>
    <w:rPr>
      <w:sz w:val="21"/>
    </w:rPr>
    <w:tblPr>
      <w:jc w:val="center"/>
      <w:tblCellMar>
        <w:top w:w="0" w:type="dxa"/>
        <w:left w:w="108" w:type="dxa"/>
        <w:bottom w:w="0" w:type="dxa"/>
        <w:right w:w="108" w:type="dxa"/>
      </w:tblCellMar>
    </w:tblPr>
    <w:trPr>
      <w:jc w:val="center"/>
    </w:trPr>
    <w:tcPr>
      <w:vAlign w:val="center"/>
    </w:tcPr>
  </w:style>
  <w:style w:type="table" w:customStyle="1" w:styleId="1901">
    <w:name w:val="网格型1"/>
    <w:basedOn w:val="88"/>
    <w:qFormat/>
    <w:uiPriority w:val="0"/>
    <w:rPr>
      <w:rFonts w:eastAsia="PMingLiU"/>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902">
    <w:name w:val="Table Paragraph"/>
    <w:basedOn w:val="1"/>
    <w:qFormat/>
    <w:uiPriority w:val="1"/>
  </w:style>
  <w:style w:type="character" w:customStyle="1" w:styleId="1903">
    <w:name w:val="不明显强调3"/>
    <w:qFormat/>
    <w:uiPriority w:val="0"/>
    <w:rPr>
      <w:i/>
      <w:iCs/>
      <w:color w:val="808080"/>
    </w:rPr>
  </w:style>
  <w:style w:type="character" w:customStyle="1" w:styleId="1904">
    <w:name w:val="明显强调2"/>
    <w:qFormat/>
    <w:uiPriority w:val="0"/>
    <w:rPr>
      <w:b/>
      <w:bCs/>
      <w:i/>
      <w:iCs/>
      <w:color w:val="4F81BD"/>
    </w:rPr>
  </w:style>
  <w:style w:type="character" w:customStyle="1" w:styleId="1905">
    <w:name w:val="明显参考2"/>
    <w:qFormat/>
    <w:uiPriority w:val="0"/>
    <w:rPr>
      <w:b/>
      <w:bCs/>
      <w:smallCaps/>
      <w:color w:val="C0504D"/>
      <w:spacing w:val="5"/>
      <w:u w:val="single"/>
    </w:rPr>
  </w:style>
  <w:style w:type="character" w:customStyle="1" w:styleId="1906">
    <w:name w:val="书籍标题2"/>
    <w:qFormat/>
    <w:uiPriority w:val="0"/>
    <w:rPr>
      <w:b/>
      <w:bCs/>
      <w:smallCaps/>
      <w:spacing w:val="5"/>
    </w:rPr>
  </w:style>
  <w:style w:type="character" w:customStyle="1" w:styleId="1907">
    <w:name w:val="样式 标题 3 + (中文) 黑体 小四 非加粗 段前: 7.8 磅 段后: 0 磅 行距: 固定值 20 磅 Char Char"/>
    <w:link w:val="714"/>
    <w:qFormat/>
    <w:uiPriority w:val="0"/>
    <w:rPr>
      <w:rFonts w:eastAsia="黑体" w:cs="宋体"/>
      <w:sz w:val="24"/>
    </w:rPr>
  </w:style>
  <w:style w:type="character" w:customStyle="1" w:styleId="1908">
    <w:name w:val="不明显参考2"/>
    <w:qFormat/>
    <w:uiPriority w:val="0"/>
    <w:rPr>
      <w:smallCaps/>
      <w:color w:val="C0504D"/>
      <w:u w:val="single"/>
    </w:rPr>
  </w:style>
  <w:style w:type="paragraph" w:customStyle="1" w:styleId="1909">
    <w:name w:val="TOC 标题2"/>
    <w:basedOn w:val="3"/>
    <w:next w:val="1"/>
    <w:qFormat/>
    <w:uiPriority w:val="0"/>
    <w:pPr>
      <w:tabs>
        <w:tab w:val="left" w:pos="432"/>
      </w:tabs>
      <w:spacing w:line="576" w:lineRule="auto"/>
      <w:outlineLvl w:val="9"/>
    </w:pPr>
    <w:rPr>
      <w:rFonts w:ascii="Calibri" w:hAnsi="Calibri"/>
    </w:rPr>
  </w:style>
  <w:style w:type="paragraph" w:customStyle="1" w:styleId="1910">
    <w:name w:val="样式 正文（首行缩进两字） + 宋体 小四"/>
    <w:basedOn w:val="21"/>
    <w:qFormat/>
    <w:uiPriority w:val="0"/>
    <w:pPr>
      <w:widowControl w:val="0"/>
      <w:spacing w:line="100" w:lineRule="atLeast"/>
      <w:ind w:firstLine="614" w:firstLineChars="192"/>
      <w:jc w:val="left"/>
    </w:pPr>
    <w:rPr>
      <w:rFonts w:ascii="FangSong_GB2312" w:hAnsi="宋体" w:eastAsia="FangSong_GB2312"/>
      <w:b w:val="0"/>
      <w:kern w:val="2"/>
      <w:sz w:val="32"/>
    </w:rPr>
  </w:style>
  <w:style w:type="paragraph" w:customStyle="1" w:styleId="1911">
    <w:name w:val="WPSOffice手动目录 1"/>
    <w:qFormat/>
    <w:uiPriority w:val="0"/>
    <w:rPr>
      <w:rFonts w:ascii="Calibri" w:hAnsi="Calibri" w:eastAsia="宋体" w:cs="Times New Roman"/>
      <w:lang w:val="en-US" w:eastAsia="zh-CN" w:bidi="ar-SA"/>
    </w:rPr>
  </w:style>
  <w:style w:type="table" w:customStyle="1" w:styleId="1912">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customXml" Target="../customXml/item2.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2.wmf"/><Relationship Id="rId11" Type="http://schemas.openxmlformats.org/officeDocument/2006/relationships/oleObject" Target="embeddings/oleObject1.bin"/><Relationship Id="rId10" Type="http://schemas.openxmlformats.org/officeDocument/2006/relationships/image" Target="media/image1.pn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584C11A-1ED1-4FC5-8623-49C0DAD6B84F}">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143</Pages>
  <Words>14273</Words>
  <Characters>16042</Characters>
  <Lines>743</Lines>
  <Paragraphs>209</Paragraphs>
  <TotalTime>1</TotalTime>
  <ScaleCrop>false</ScaleCrop>
  <LinksUpToDate>false</LinksUpToDate>
  <CharactersWithSpaces>16453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2020-10-20T04:54:00Z</dcterms:created>
  <dc:creator>吴明启</dc:creator>
  <cp:lastModifiedBy>A曲丽妃</cp:lastModifiedBy>
  <cp:lastPrinted>2021-06-24T03:30:00Z</cp:lastPrinted>
  <dcterms:modified xsi:type="dcterms:W3CDTF">2025-04-10T03:33:28Z</dcterms:modified>
  <dc:title>第二章  投标人须知</dc:title>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518B8C7113AE477382E659E1D72EF364_13</vt:lpwstr>
  </property>
  <property fmtid="{D5CDD505-2E9C-101B-9397-08002B2CF9AE}" pid="4" name="KSOTemplateDocerSaveRecord">
    <vt:lpwstr>eyJoZGlkIjoiYTM0Y2UzNjFhZmViMWNmODI4ZDJhMTUzNDAxYTY1ZTIiLCJ1c2VySWQiOiIxMDA5NzU2NTE0In0=</vt:lpwstr>
  </property>
</Properties>
</file>