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  <w:lang w:eastAsia="zh-CN"/>
        </w:rPr>
        <w:t>HSZB-2024-480</w:t>
      </w:r>
      <w:bookmarkEnd w:id="0"/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浙江省杭州第四中学国际部教学楼、厕所、屋面等维修项目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22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杭州硕茂建设有限公司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总分79.19排名第2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杭州华恒建设工程有限公司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总分71.34排名第3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杭州金顺建设有限公司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总分70.11排名第4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4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总分68.67排名第5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B4DE2"/>
    <w:rsid w:val="002D7097"/>
    <w:rsid w:val="003A01EC"/>
    <w:rsid w:val="00507446"/>
    <w:rsid w:val="00A3330A"/>
    <w:rsid w:val="00B3445D"/>
    <w:rsid w:val="00BB4DE2"/>
    <w:rsid w:val="00C90B6B"/>
    <w:rsid w:val="033A5CF6"/>
    <w:rsid w:val="081F25E1"/>
    <w:rsid w:val="432B0F16"/>
    <w:rsid w:val="485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134</Characters>
  <Lines>1</Lines>
  <Paragraphs>1</Paragraphs>
  <TotalTime>2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仁</cp:lastModifiedBy>
  <dcterms:modified xsi:type="dcterms:W3CDTF">2024-06-25T10:16:24Z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F8EC61FFDCF64BADBD47A84AE9AB29AD_13</vt:lpwstr>
  </property>
</Properties>
</file>