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083C5C">
      <w:pPr>
        <w:pStyle w:val="31"/>
        <w:rPr>
          <w:rFonts w:hint="eastAsia" w:ascii="仿宋" w:hAnsi="仿宋" w:eastAsia="仿宋" w:cs="仿宋"/>
          <w:color w:val="auto"/>
          <w:highlight w:val="none"/>
          <w:lang w:val="en-US" w:eastAsia="zh-CN"/>
        </w:rPr>
      </w:pPr>
      <w:bookmarkStart w:id="7" w:name="_GoBack"/>
      <w:r>
        <w:rPr>
          <w:rFonts w:hint="eastAsia" w:ascii="仿宋" w:hAnsi="仿宋" w:eastAsia="仿宋" w:cs="仿宋"/>
          <w:color w:val="auto"/>
          <w:highlight w:val="none"/>
          <w:lang w:val="en-US" w:eastAsia="zh-CN"/>
        </w:rPr>
        <w:t xml:space="preserve"> </w:t>
      </w:r>
    </w:p>
    <w:p w14:paraId="76E2E4B3">
      <w:pPr>
        <w:pStyle w:val="31"/>
        <w:rPr>
          <w:rFonts w:hint="eastAsia" w:ascii="仿宋" w:hAnsi="仿宋" w:eastAsia="仿宋" w:cs="仿宋"/>
          <w:color w:val="auto"/>
          <w:highlight w:val="none"/>
        </w:rPr>
      </w:pPr>
    </w:p>
    <w:p w14:paraId="7BC50BA8">
      <w:pPr>
        <w:pStyle w:val="31"/>
        <w:jc w:val="both"/>
        <w:rPr>
          <w:rFonts w:hint="eastAsia" w:ascii="仿宋" w:hAnsi="仿宋" w:eastAsia="仿宋" w:cs="仿宋"/>
          <w:b/>
          <w:i w:val="0"/>
          <w:iCs w:val="0"/>
          <w:caps w:val="0"/>
          <w:color w:val="auto"/>
          <w:spacing w:val="0"/>
          <w:kern w:val="2"/>
          <w:sz w:val="48"/>
          <w:szCs w:val="48"/>
          <w:highlight w:val="none"/>
          <w:lang w:val="en-US" w:eastAsia="zh-CN" w:bidi="ar-SA"/>
        </w:rPr>
      </w:pPr>
      <w:r>
        <w:rPr>
          <w:rFonts w:hint="eastAsia" w:ascii="仿宋" w:hAnsi="仿宋" w:eastAsia="仿宋" w:cs="仿宋"/>
          <w:b/>
          <w:i w:val="0"/>
          <w:iCs w:val="0"/>
          <w:caps w:val="0"/>
          <w:color w:val="auto"/>
          <w:spacing w:val="0"/>
          <w:kern w:val="2"/>
          <w:sz w:val="48"/>
          <w:szCs w:val="48"/>
          <w:highlight w:val="none"/>
          <w:lang w:val="en-US" w:eastAsia="zh-CN" w:bidi="ar-SA"/>
        </w:rPr>
        <w:t xml:space="preserve">   </w:t>
      </w:r>
    </w:p>
    <w:p w14:paraId="1884FBBC">
      <w:pPr>
        <w:pStyle w:val="31"/>
        <w:jc w:val="center"/>
        <w:rPr>
          <w:rFonts w:hint="eastAsia" w:ascii="仿宋" w:hAnsi="仿宋" w:eastAsia="仿宋" w:cs="Times New Roman"/>
          <w:color w:val="auto"/>
          <w:sz w:val="30"/>
          <w:szCs w:val="30"/>
          <w:highlight w:val="none"/>
        </w:rPr>
      </w:pPr>
      <w:r>
        <w:rPr>
          <w:rFonts w:hint="eastAsia" w:ascii="仿宋" w:hAnsi="仿宋" w:eastAsia="仿宋" w:cs="仿宋"/>
          <w:b/>
          <w:i w:val="0"/>
          <w:iCs w:val="0"/>
          <w:caps w:val="0"/>
          <w:color w:val="auto"/>
          <w:spacing w:val="0"/>
          <w:kern w:val="2"/>
          <w:sz w:val="48"/>
          <w:szCs w:val="48"/>
          <w:highlight w:val="none"/>
          <w:lang w:val="en-US" w:eastAsia="zh-CN" w:bidi="ar-SA"/>
        </w:rPr>
        <w:t>湖州南太湖新区西区、104国道、杨家埠等区域环卫作业一体化服务项目（2025-2027年度）</w:t>
      </w:r>
    </w:p>
    <w:p w14:paraId="355086F2">
      <w:pPr>
        <w:pStyle w:val="31"/>
        <w:jc w:val="center"/>
        <w:rPr>
          <w:rFonts w:hint="eastAsia" w:ascii="仿宋" w:hAnsi="仿宋" w:eastAsia="仿宋" w:cs="Times New Roman"/>
          <w:color w:val="auto"/>
          <w:sz w:val="30"/>
          <w:szCs w:val="30"/>
          <w:highlight w:val="none"/>
        </w:rPr>
      </w:pPr>
    </w:p>
    <w:p w14:paraId="6FC86227">
      <w:pPr>
        <w:pStyle w:val="31"/>
        <w:jc w:val="center"/>
        <w:rPr>
          <w:rFonts w:ascii="仿宋" w:hAnsi="仿宋" w:eastAsia="仿宋" w:cs="Times New Roman"/>
          <w:color w:val="auto"/>
          <w:sz w:val="30"/>
          <w:szCs w:val="30"/>
          <w:highlight w:val="none"/>
        </w:rPr>
      </w:pPr>
      <w:r>
        <w:rPr>
          <w:rFonts w:hint="eastAsia" w:ascii="仿宋" w:hAnsi="仿宋" w:eastAsia="仿宋" w:cs="Times New Roman"/>
          <w:color w:val="auto"/>
          <w:sz w:val="30"/>
          <w:szCs w:val="30"/>
          <w:highlight w:val="none"/>
        </w:rPr>
        <w:t>（财政审批编号:临[202</w:t>
      </w:r>
      <w:r>
        <w:rPr>
          <w:rFonts w:hint="eastAsia" w:ascii="仿宋" w:hAnsi="仿宋" w:eastAsia="仿宋" w:cs="Times New Roman"/>
          <w:color w:val="auto"/>
          <w:sz w:val="30"/>
          <w:szCs w:val="30"/>
          <w:highlight w:val="none"/>
          <w:lang w:val="en-US" w:eastAsia="zh-CN"/>
        </w:rPr>
        <w:t>5</w:t>
      </w:r>
      <w:r>
        <w:rPr>
          <w:rFonts w:hint="eastAsia" w:ascii="仿宋" w:hAnsi="仿宋" w:eastAsia="仿宋" w:cs="Times New Roman"/>
          <w:color w:val="auto"/>
          <w:sz w:val="30"/>
          <w:szCs w:val="30"/>
          <w:highlight w:val="none"/>
        </w:rPr>
        <w:t>]</w:t>
      </w:r>
      <w:r>
        <w:rPr>
          <w:rFonts w:hint="eastAsia" w:ascii="仿宋" w:hAnsi="仿宋" w:eastAsia="仿宋" w:cs="Times New Roman"/>
          <w:color w:val="auto"/>
          <w:sz w:val="30"/>
          <w:szCs w:val="30"/>
          <w:highlight w:val="none"/>
          <w:lang w:val="en-US" w:eastAsia="zh-CN"/>
        </w:rPr>
        <w:t>1586</w:t>
      </w:r>
      <w:r>
        <w:rPr>
          <w:rFonts w:hint="eastAsia" w:ascii="仿宋" w:hAnsi="仿宋" w:eastAsia="仿宋" w:cs="Times New Roman"/>
          <w:color w:val="auto"/>
          <w:sz w:val="30"/>
          <w:szCs w:val="30"/>
          <w:highlight w:val="none"/>
        </w:rPr>
        <w:t>号</w:t>
      </w:r>
      <w:r>
        <w:rPr>
          <w:rFonts w:hint="eastAsia" w:ascii="仿宋" w:hAnsi="仿宋" w:eastAsia="仿宋" w:cs="Times New Roman"/>
          <w:color w:val="auto"/>
          <w:sz w:val="30"/>
          <w:szCs w:val="30"/>
          <w:highlight w:val="none"/>
          <w:lang w:eastAsia="zh-CN"/>
        </w:rPr>
        <w:t>、</w:t>
      </w:r>
      <w:r>
        <w:rPr>
          <w:rFonts w:hint="eastAsia" w:ascii="仿宋" w:hAnsi="仿宋" w:eastAsia="仿宋" w:cs="Times New Roman"/>
          <w:color w:val="auto"/>
          <w:sz w:val="30"/>
          <w:szCs w:val="30"/>
          <w:highlight w:val="none"/>
          <w:lang w:val="en-US" w:eastAsia="zh-CN"/>
        </w:rPr>
        <w:t>1587号、1588号</w:t>
      </w:r>
      <w:r>
        <w:rPr>
          <w:rFonts w:hint="eastAsia" w:ascii="仿宋" w:hAnsi="仿宋" w:eastAsia="仿宋" w:cs="Times New Roman"/>
          <w:color w:val="auto"/>
          <w:sz w:val="30"/>
          <w:szCs w:val="30"/>
          <w:highlight w:val="none"/>
        </w:rPr>
        <w:t>）</w:t>
      </w:r>
    </w:p>
    <w:p w14:paraId="777013C7">
      <w:pPr>
        <w:pStyle w:val="31"/>
        <w:jc w:val="center"/>
        <w:rPr>
          <w:rFonts w:hint="eastAsia" w:ascii="仿宋" w:hAnsi="仿宋" w:eastAsia="仿宋" w:cs="仿宋"/>
          <w:b/>
          <w:i w:val="0"/>
          <w:iCs w:val="0"/>
          <w:caps w:val="0"/>
          <w:color w:val="auto"/>
          <w:spacing w:val="0"/>
          <w:kern w:val="2"/>
          <w:sz w:val="44"/>
          <w:szCs w:val="44"/>
          <w:highlight w:val="none"/>
          <w:lang w:val="en-US" w:eastAsia="zh-CN" w:bidi="ar-SA"/>
        </w:rPr>
      </w:pPr>
    </w:p>
    <w:p w14:paraId="15275CA5">
      <w:pPr>
        <w:pStyle w:val="31"/>
        <w:jc w:val="center"/>
        <w:rPr>
          <w:rFonts w:hint="eastAsia" w:ascii="仿宋" w:hAnsi="仿宋" w:eastAsia="仿宋" w:cs="仿宋"/>
          <w:color w:val="auto"/>
          <w:sz w:val="72"/>
          <w:szCs w:val="72"/>
          <w:highlight w:val="none"/>
        </w:rPr>
      </w:pPr>
    </w:p>
    <w:p w14:paraId="1A8C4594">
      <w:pPr>
        <w:pStyle w:val="31"/>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公开招标文件</w:t>
      </w:r>
    </w:p>
    <w:p w14:paraId="773D5163">
      <w:pPr>
        <w:pStyle w:val="31"/>
        <w:tabs>
          <w:tab w:val="center" w:pos="4766"/>
          <w:tab w:val="left" w:pos="8074"/>
        </w:tabs>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ab/>
      </w:r>
      <w:r>
        <w:rPr>
          <w:rFonts w:hint="eastAsia" w:ascii="仿宋" w:hAnsi="仿宋" w:eastAsia="仿宋" w:cs="仿宋"/>
          <w:color w:val="auto"/>
          <w:sz w:val="21"/>
          <w:szCs w:val="21"/>
          <w:highlight w:val="none"/>
        </w:rPr>
        <w:t>（全流程电子）</w:t>
      </w:r>
      <w:r>
        <w:rPr>
          <w:rFonts w:hint="eastAsia" w:ascii="仿宋" w:hAnsi="仿宋" w:eastAsia="仿宋" w:cs="仿宋"/>
          <w:color w:val="auto"/>
          <w:sz w:val="21"/>
          <w:szCs w:val="21"/>
          <w:highlight w:val="none"/>
          <w:lang w:eastAsia="zh-CN"/>
        </w:rPr>
        <w:tab/>
      </w:r>
    </w:p>
    <w:p w14:paraId="7ACD7863">
      <w:pPr>
        <w:pStyle w:val="31"/>
        <w:jc w:val="both"/>
        <w:rPr>
          <w:rFonts w:hint="eastAsia" w:ascii="仿宋" w:hAnsi="仿宋" w:eastAsia="仿宋" w:cs="仿宋"/>
          <w:color w:val="auto"/>
          <w:sz w:val="72"/>
          <w:szCs w:val="72"/>
          <w:highlight w:val="none"/>
        </w:rPr>
      </w:pPr>
    </w:p>
    <w:p w14:paraId="21F42260">
      <w:pPr>
        <w:pStyle w:val="31"/>
        <w:jc w:val="both"/>
        <w:rPr>
          <w:rFonts w:hint="eastAsia" w:ascii="仿宋" w:hAnsi="仿宋" w:eastAsia="仿宋" w:cs="仿宋"/>
          <w:color w:val="auto"/>
          <w:sz w:val="72"/>
          <w:szCs w:val="72"/>
          <w:highlight w:val="none"/>
        </w:rPr>
      </w:pPr>
    </w:p>
    <w:p w14:paraId="69142115">
      <w:pPr>
        <w:pStyle w:val="31"/>
        <w:keepNext w:val="0"/>
        <w:keepLines w:val="0"/>
        <w:pageBreakBefore w:val="0"/>
        <w:widowControl w:val="0"/>
        <w:kinsoku/>
        <w:wordWrap/>
        <w:overflowPunct/>
        <w:topLinePunct w:val="0"/>
        <w:autoSpaceDE w:val="0"/>
        <w:autoSpaceDN w:val="0"/>
        <w:bidi w:val="0"/>
        <w:adjustRightInd w:val="0"/>
        <w:snapToGrid/>
        <w:spacing w:line="600" w:lineRule="exact"/>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项目编号：</w:t>
      </w:r>
      <w:r>
        <w:rPr>
          <w:rFonts w:hint="default" w:ascii="仿宋" w:hAnsi="仿宋" w:eastAsia="仿宋" w:cs="仿宋"/>
          <w:color w:val="auto"/>
          <w:sz w:val="30"/>
          <w:szCs w:val="30"/>
          <w:highlight w:val="none"/>
          <w:u w:val="single"/>
          <w:lang w:val="en-US" w:eastAsia="zh-CN"/>
        </w:rPr>
        <w:t>XCXHZ-2025-0</w:t>
      </w:r>
      <w:r>
        <w:rPr>
          <w:rFonts w:hint="eastAsia" w:ascii="仿宋" w:hAnsi="仿宋" w:eastAsia="仿宋" w:cs="仿宋"/>
          <w:color w:val="auto"/>
          <w:sz w:val="30"/>
          <w:szCs w:val="30"/>
          <w:highlight w:val="none"/>
          <w:u w:val="single"/>
          <w:lang w:val="en-US" w:eastAsia="zh-CN"/>
        </w:rPr>
        <w:t>15</w:t>
      </w:r>
      <w:r>
        <w:rPr>
          <w:rFonts w:hint="default" w:ascii="仿宋" w:hAnsi="仿宋" w:eastAsia="仿宋" w:cs="仿宋"/>
          <w:color w:val="auto"/>
          <w:sz w:val="30"/>
          <w:szCs w:val="30"/>
          <w:highlight w:val="none"/>
          <w:u w:val="single"/>
          <w:lang w:val="en-US" w:eastAsia="zh-CN"/>
        </w:rPr>
        <w:t>（CG）</w:t>
      </w:r>
      <w:r>
        <w:rPr>
          <w:rFonts w:hint="eastAsia" w:ascii="仿宋" w:hAnsi="仿宋" w:eastAsia="仿宋" w:cs="仿宋"/>
          <w:color w:val="auto"/>
          <w:sz w:val="30"/>
          <w:szCs w:val="30"/>
          <w:highlight w:val="none"/>
          <w:u w:val="single"/>
          <w:lang w:val="en-US" w:eastAsia="zh-CN"/>
        </w:rPr>
        <w:t xml:space="preserve">                              </w:t>
      </w:r>
    </w:p>
    <w:p w14:paraId="4E8C18E8">
      <w:pPr>
        <w:pStyle w:val="31"/>
        <w:keepNext w:val="0"/>
        <w:keepLines w:val="0"/>
        <w:pageBreakBefore w:val="0"/>
        <w:widowControl w:val="0"/>
        <w:kinsoku/>
        <w:wordWrap/>
        <w:overflowPunct/>
        <w:topLinePunct w:val="0"/>
        <w:autoSpaceDE w:val="0"/>
        <w:autoSpaceDN w:val="0"/>
        <w:bidi w:val="0"/>
        <w:adjustRightInd w:val="0"/>
        <w:snapToGrid/>
        <w:spacing w:line="600" w:lineRule="exact"/>
        <w:ind w:left="1500" w:hanging="1500" w:hangingChars="500"/>
        <w:jc w:val="both"/>
        <w:textAlignment w:val="auto"/>
        <w:rPr>
          <w:rFonts w:hint="default" w:ascii="仿宋" w:hAnsi="仿宋" w:eastAsia="仿宋" w:cs="仿宋"/>
          <w:color w:val="auto"/>
          <w:sz w:val="30"/>
          <w:szCs w:val="30"/>
          <w:highlight w:val="none"/>
          <w:lang w:val="en-US"/>
        </w:rPr>
      </w:pPr>
      <w:r>
        <w:rPr>
          <w:rFonts w:hint="eastAsia" w:ascii="仿宋" w:hAnsi="仿宋" w:eastAsia="仿宋" w:cs="仿宋"/>
          <w:color w:val="auto"/>
          <w:sz w:val="30"/>
          <w:szCs w:val="30"/>
          <w:highlight w:val="none"/>
        </w:rPr>
        <w:t>项目名称：</w:t>
      </w:r>
      <w:r>
        <w:rPr>
          <w:rFonts w:hint="eastAsia" w:ascii="仿宋" w:hAnsi="仿宋" w:eastAsia="仿宋" w:cs="仿宋"/>
          <w:color w:val="auto"/>
          <w:spacing w:val="-20"/>
          <w:sz w:val="30"/>
          <w:szCs w:val="30"/>
          <w:highlight w:val="none"/>
          <w:u w:val="single"/>
          <w:lang w:val="en-US" w:eastAsia="zh-CN"/>
        </w:rPr>
        <w:t xml:space="preserve">湖州南太湖新区西区、104国道、杨家埠等区域环卫作业一体化服务项目（2025-2027年度） </w:t>
      </w:r>
      <w:r>
        <w:rPr>
          <w:rFonts w:hint="eastAsia" w:ascii="仿宋" w:hAnsi="仿宋" w:eastAsia="仿宋" w:cs="仿宋"/>
          <w:color w:val="auto"/>
          <w:sz w:val="30"/>
          <w:szCs w:val="30"/>
          <w:highlight w:val="none"/>
          <w:u w:val="single"/>
          <w:lang w:val="en-US" w:eastAsia="zh-CN"/>
        </w:rPr>
        <w:t xml:space="preserve">                                       </w:t>
      </w:r>
    </w:p>
    <w:p w14:paraId="2C6DEA3F">
      <w:pPr>
        <w:pStyle w:val="31"/>
        <w:keepNext w:val="0"/>
        <w:keepLines w:val="0"/>
        <w:pageBreakBefore w:val="0"/>
        <w:widowControl w:val="0"/>
        <w:kinsoku/>
        <w:wordWrap/>
        <w:overflowPunct/>
        <w:topLinePunct w:val="0"/>
        <w:autoSpaceDE w:val="0"/>
        <w:autoSpaceDN w:val="0"/>
        <w:bidi w:val="0"/>
        <w:adjustRightInd w:val="0"/>
        <w:snapToGrid/>
        <w:spacing w:line="600" w:lineRule="exact"/>
        <w:textAlignment w:val="auto"/>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采 购 人：</w:t>
      </w:r>
      <w:r>
        <w:rPr>
          <w:rFonts w:hint="eastAsia" w:ascii="仿宋" w:hAnsi="仿宋" w:eastAsia="仿宋" w:cs="仿宋"/>
          <w:color w:val="auto"/>
          <w:sz w:val="30"/>
          <w:szCs w:val="30"/>
          <w:highlight w:val="none"/>
          <w:u w:val="single"/>
          <w:lang w:eastAsia="zh-CN"/>
        </w:rPr>
        <w:t xml:space="preserve">湖州南太湖新区公用事业管理中心 </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u w:val="single"/>
          <w:lang w:val="en-US" w:eastAsia="zh-CN"/>
        </w:rPr>
        <w:t xml:space="preserve">          </w:t>
      </w:r>
      <w:r>
        <w:rPr>
          <w:rFonts w:hint="eastAsia" w:ascii="仿宋" w:hAnsi="仿宋" w:eastAsia="仿宋" w:cs="仿宋"/>
          <w:color w:val="auto"/>
          <w:sz w:val="30"/>
          <w:szCs w:val="30"/>
          <w:highlight w:val="none"/>
          <w:u w:val="single"/>
        </w:rPr>
        <w:t xml:space="preserve">（盖章） </w:t>
      </w:r>
    </w:p>
    <w:p w14:paraId="038ACBB9">
      <w:pPr>
        <w:pStyle w:val="31"/>
        <w:keepNext w:val="0"/>
        <w:keepLines w:val="0"/>
        <w:pageBreakBefore w:val="0"/>
        <w:widowControl w:val="0"/>
        <w:kinsoku/>
        <w:wordWrap/>
        <w:overflowPunct/>
        <w:topLinePunct w:val="0"/>
        <w:autoSpaceDE w:val="0"/>
        <w:autoSpaceDN w:val="0"/>
        <w:bidi w:val="0"/>
        <w:adjustRightInd w:val="0"/>
        <w:snapToGrid/>
        <w:spacing w:line="600" w:lineRule="exact"/>
        <w:textAlignment w:val="auto"/>
        <w:rPr>
          <w:rFonts w:hint="eastAsia" w:ascii="仿宋" w:hAnsi="仿宋" w:eastAsia="仿宋" w:cs="仿宋"/>
          <w:color w:val="auto"/>
          <w:sz w:val="30"/>
          <w:szCs w:val="30"/>
          <w:highlight w:val="none"/>
          <w:u w:val="single"/>
          <w:lang w:val="en-US" w:eastAsia="zh-CN"/>
        </w:rPr>
      </w:pPr>
      <w:r>
        <w:rPr>
          <w:rFonts w:hint="eastAsia" w:ascii="仿宋" w:hAnsi="仿宋" w:eastAsia="仿宋" w:cs="仿宋"/>
          <w:color w:val="auto"/>
          <w:sz w:val="30"/>
          <w:szCs w:val="30"/>
          <w:highlight w:val="none"/>
        </w:rPr>
        <w:t>代理机构：</w:t>
      </w:r>
      <w:r>
        <w:rPr>
          <w:rFonts w:hint="eastAsia" w:ascii="仿宋" w:hAnsi="仿宋" w:eastAsia="仿宋" w:cs="仿宋"/>
          <w:color w:val="auto"/>
          <w:sz w:val="30"/>
          <w:szCs w:val="30"/>
          <w:highlight w:val="none"/>
          <w:u w:val="single"/>
          <w:lang w:eastAsia="zh-CN"/>
        </w:rPr>
        <w:t>浙江新诚信工程咨询有限公司</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u w:val="single"/>
          <w:lang w:val="en-US" w:eastAsia="zh-CN"/>
        </w:rPr>
        <w:t xml:space="preserve">         </w:t>
      </w:r>
      <w:r>
        <w:rPr>
          <w:rFonts w:hint="eastAsia" w:ascii="仿宋" w:hAnsi="仿宋" w:eastAsia="仿宋" w:cs="仿宋"/>
          <w:color w:val="auto"/>
          <w:sz w:val="30"/>
          <w:szCs w:val="30"/>
          <w:highlight w:val="none"/>
          <w:u w:val="single"/>
        </w:rPr>
        <w:t xml:space="preserve">  （盖章） </w:t>
      </w:r>
      <w:r>
        <w:rPr>
          <w:rFonts w:hint="eastAsia" w:ascii="仿宋" w:hAnsi="仿宋" w:eastAsia="仿宋" w:cs="仿宋"/>
          <w:color w:val="auto"/>
          <w:sz w:val="30"/>
          <w:szCs w:val="30"/>
          <w:highlight w:val="none"/>
          <w:u w:val="single"/>
          <w:lang w:val="en-US" w:eastAsia="zh-CN"/>
        </w:rPr>
        <w:t xml:space="preserve">  </w:t>
      </w:r>
    </w:p>
    <w:p w14:paraId="7CBF770D">
      <w:pPr>
        <w:pStyle w:val="31"/>
        <w:spacing w:line="360" w:lineRule="auto"/>
        <w:jc w:val="center"/>
        <w:rPr>
          <w:rFonts w:hint="eastAsia" w:ascii="仿宋" w:hAnsi="仿宋" w:eastAsia="仿宋" w:cs="仿宋"/>
          <w:color w:val="auto"/>
          <w:sz w:val="28"/>
          <w:szCs w:val="28"/>
          <w:highlight w:val="none"/>
        </w:rPr>
      </w:pPr>
    </w:p>
    <w:p w14:paraId="2401CC55">
      <w:pPr>
        <w:pStyle w:val="31"/>
        <w:spacing w:line="360" w:lineRule="auto"/>
        <w:jc w:val="center"/>
        <w:rPr>
          <w:rFonts w:hint="eastAsia" w:ascii="仿宋" w:hAnsi="仿宋" w:eastAsia="仿宋" w:cs="仿宋"/>
          <w:color w:val="auto"/>
          <w:sz w:val="28"/>
          <w:szCs w:val="28"/>
          <w:highlight w:val="none"/>
        </w:rPr>
      </w:pPr>
    </w:p>
    <w:p w14:paraId="7460B1E3">
      <w:pPr>
        <w:pStyle w:val="31"/>
        <w:spacing w:line="360" w:lineRule="auto"/>
        <w:jc w:val="center"/>
        <w:rPr>
          <w:rFonts w:hint="eastAsia" w:ascii="仿宋" w:hAnsi="仿宋" w:eastAsia="仿宋" w:cs="仿宋"/>
          <w:color w:val="auto"/>
          <w:sz w:val="28"/>
          <w:szCs w:val="28"/>
          <w:highlight w:val="none"/>
        </w:rPr>
      </w:pPr>
    </w:p>
    <w:p w14:paraId="0F2D89A9">
      <w:pPr>
        <w:pStyle w:val="31"/>
        <w:spacing w:line="360" w:lineRule="auto"/>
        <w:jc w:val="center"/>
        <w:rPr>
          <w:rFonts w:hint="eastAsia" w:ascii="仿宋" w:hAnsi="仿宋" w:eastAsia="仿宋" w:cs="仿宋"/>
          <w:color w:val="auto"/>
          <w:sz w:val="28"/>
          <w:szCs w:val="28"/>
          <w:highlight w:val="none"/>
        </w:rPr>
      </w:pPr>
    </w:p>
    <w:p w14:paraId="0795CD98">
      <w:pPr>
        <w:pStyle w:val="31"/>
        <w:spacing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月</w:t>
      </w:r>
    </w:p>
    <w:p w14:paraId="392D5166">
      <w:pPr>
        <w:pageBreakBefore/>
        <w:tabs>
          <w:tab w:val="left" w:pos="3153"/>
          <w:tab w:val="center" w:pos="4260"/>
        </w:tabs>
        <w:spacing w:beforeLines="100" w:line="288" w:lineRule="auto"/>
        <w:jc w:val="center"/>
        <w:rPr>
          <w:rFonts w:hint="eastAsia" w:ascii="仿宋" w:hAnsi="仿宋" w:eastAsia="仿宋" w:cs="仿宋"/>
          <w:b/>
          <w:color w:val="auto"/>
          <w:sz w:val="36"/>
          <w:szCs w:val="36"/>
          <w:highlight w:val="none"/>
        </w:rPr>
        <w:sectPr>
          <w:headerReference r:id="rId3" w:type="default"/>
          <w:pgSz w:w="11906" w:h="16838"/>
          <w:pgMar w:top="1134" w:right="1247" w:bottom="1134" w:left="1247" w:header="851" w:footer="851" w:gutter="0"/>
          <w:pgBorders>
            <w:top w:val="none" w:sz="0" w:space="0"/>
            <w:left w:val="none" w:sz="0" w:space="0"/>
            <w:bottom w:val="none" w:sz="0" w:space="0"/>
            <w:right w:val="none" w:sz="0" w:space="0"/>
          </w:pgBorders>
          <w:pgNumType w:fmt="numberInDash"/>
          <w:cols w:space="720" w:num="1"/>
          <w:titlePg/>
          <w:docGrid w:linePitch="312" w:charSpace="0"/>
        </w:sectPr>
      </w:pPr>
    </w:p>
    <w:p w14:paraId="353D04F9">
      <w:pPr>
        <w:pageBreakBefore/>
        <w:tabs>
          <w:tab w:val="left" w:pos="3153"/>
          <w:tab w:val="center" w:pos="4260"/>
        </w:tabs>
        <w:spacing w:beforeLines="100" w:line="288"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目    录</w:t>
      </w:r>
    </w:p>
    <w:p w14:paraId="750B2E2A">
      <w:pPr>
        <w:pStyle w:val="31"/>
        <w:keepNext w:val="0"/>
        <w:keepLines w:val="0"/>
        <w:pageBreakBefore w:val="0"/>
        <w:widowControl w:val="0"/>
        <w:tabs>
          <w:tab w:val="left" w:pos="7938"/>
        </w:tabs>
        <w:kinsoku/>
        <w:wordWrap/>
        <w:overflowPunct/>
        <w:topLinePunct w:val="0"/>
        <w:bidi w:val="0"/>
        <w:snapToGrid/>
        <w:spacing w:line="360" w:lineRule="auto"/>
        <w:jc w:val="distribute"/>
        <w:textAlignment w:val="auto"/>
        <w:rPr>
          <w:rFonts w:hint="eastAsia" w:ascii="仿宋" w:hAnsi="仿宋" w:eastAsia="仿宋" w:cs="仿宋"/>
          <w:color w:val="auto"/>
          <w:sz w:val="30"/>
          <w:szCs w:val="30"/>
          <w:highlight w:val="none"/>
        </w:rPr>
      </w:pPr>
    </w:p>
    <w:p w14:paraId="667BDCB3">
      <w:pPr>
        <w:pStyle w:val="31"/>
        <w:keepNext w:val="0"/>
        <w:keepLines w:val="0"/>
        <w:pageBreakBefore w:val="0"/>
        <w:widowControl w:val="0"/>
        <w:tabs>
          <w:tab w:val="left" w:pos="7938"/>
        </w:tabs>
        <w:kinsoku/>
        <w:wordWrap/>
        <w:overflowPunct/>
        <w:topLinePunct w:val="0"/>
        <w:bidi w:val="0"/>
        <w:snapToGrid/>
        <w:spacing w:line="360" w:lineRule="auto"/>
        <w:jc w:val="distribute"/>
        <w:textAlignment w:val="auto"/>
        <w:rPr>
          <w:rFonts w:hint="eastAsia" w:ascii="仿宋" w:hAnsi="仿宋" w:eastAsia="仿宋" w:cs="仿宋"/>
          <w:color w:val="auto"/>
          <w:sz w:val="30"/>
          <w:szCs w:val="30"/>
          <w:highlight w:val="none"/>
        </w:rPr>
      </w:pPr>
    </w:p>
    <w:p w14:paraId="48E016CF">
      <w:pPr>
        <w:pStyle w:val="31"/>
        <w:keepNext w:val="0"/>
        <w:keepLines w:val="0"/>
        <w:pageBreakBefore w:val="0"/>
        <w:widowControl w:val="0"/>
        <w:tabs>
          <w:tab w:val="left" w:pos="7938"/>
        </w:tabs>
        <w:kinsoku/>
        <w:wordWrap/>
        <w:overflowPunct/>
        <w:topLinePunct w:val="0"/>
        <w:bidi w:val="0"/>
        <w:snapToGrid/>
        <w:spacing w:line="360" w:lineRule="auto"/>
        <w:jc w:val="distribute"/>
        <w:textAlignment w:val="auto"/>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第一章 公开招标公告………………………………………0</w:t>
      </w:r>
      <w:r>
        <w:rPr>
          <w:rFonts w:hint="eastAsia" w:ascii="仿宋" w:hAnsi="仿宋" w:eastAsia="仿宋" w:cs="仿宋"/>
          <w:color w:val="auto"/>
          <w:sz w:val="30"/>
          <w:szCs w:val="30"/>
          <w:highlight w:val="none"/>
          <w:lang w:val="en-US" w:eastAsia="zh-CN"/>
        </w:rPr>
        <w:t>1</w:t>
      </w:r>
    </w:p>
    <w:p w14:paraId="4C41AFAA">
      <w:pPr>
        <w:pStyle w:val="31"/>
        <w:keepNext w:val="0"/>
        <w:keepLines w:val="0"/>
        <w:pageBreakBefore w:val="0"/>
        <w:widowControl w:val="0"/>
        <w:kinsoku/>
        <w:wordWrap/>
        <w:overflowPunct/>
        <w:topLinePunct w:val="0"/>
        <w:bidi w:val="0"/>
        <w:snapToGrid/>
        <w:spacing w:line="360" w:lineRule="auto"/>
        <w:jc w:val="distribute"/>
        <w:textAlignment w:val="auto"/>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第二章 招标需求…………………………………………………</w:t>
      </w:r>
      <w:r>
        <w:rPr>
          <w:rFonts w:hint="eastAsia" w:ascii="仿宋" w:hAnsi="仿宋" w:eastAsia="仿宋" w:cs="仿宋"/>
          <w:color w:val="auto"/>
          <w:sz w:val="30"/>
          <w:szCs w:val="30"/>
          <w:highlight w:val="none"/>
          <w:lang w:val="en-US" w:eastAsia="zh-CN"/>
        </w:rPr>
        <w:t>06</w:t>
      </w:r>
    </w:p>
    <w:p w14:paraId="5A33339A">
      <w:pPr>
        <w:pStyle w:val="31"/>
        <w:keepNext w:val="0"/>
        <w:keepLines w:val="0"/>
        <w:pageBreakBefore w:val="0"/>
        <w:widowControl w:val="0"/>
        <w:tabs>
          <w:tab w:val="left" w:pos="7938"/>
        </w:tabs>
        <w:kinsoku/>
        <w:wordWrap/>
        <w:overflowPunct/>
        <w:topLinePunct w:val="0"/>
        <w:bidi w:val="0"/>
        <w:snapToGrid/>
        <w:spacing w:line="360" w:lineRule="auto"/>
        <w:jc w:val="distribute"/>
        <w:textAlignment w:val="auto"/>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第三章 投标人须知……………………………………………</w:t>
      </w:r>
      <w:r>
        <w:rPr>
          <w:rFonts w:hint="eastAsia" w:ascii="仿宋" w:hAnsi="仿宋" w:eastAsia="仿宋" w:cs="仿宋"/>
          <w:color w:val="auto"/>
          <w:sz w:val="30"/>
          <w:szCs w:val="30"/>
          <w:highlight w:val="none"/>
          <w:lang w:val="en-US" w:eastAsia="zh-CN"/>
        </w:rPr>
        <w:t>27</w:t>
      </w:r>
    </w:p>
    <w:p w14:paraId="6ACFD224">
      <w:pPr>
        <w:pStyle w:val="31"/>
        <w:keepNext w:val="0"/>
        <w:keepLines w:val="0"/>
        <w:pageBreakBefore w:val="0"/>
        <w:widowControl w:val="0"/>
        <w:kinsoku/>
        <w:wordWrap/>
        <w:overflowPunct/>
        <w:topLinePunct w:val="0"/>
        <w:bidi w:val="0"/>
        <w:snapToGrid/>
        <w:spacing w:line="360" w:lineRule="auto"/>
        <w:jc w:val="distribute"/>
        <w:textAlignment w:val="auto"/>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第四章 评标办法及评分标准…………………………………</w:t>
      </w:r>
      <w:r>
        <w:rPr>
          <w:rFonts w:hint="eastAsia" w:ascii="仿宋" w:hAnsi="仿宋" w:eastAsia="仿宋" w:cs="仿宋"/>
          <w:color w:val="auto"/>
          <w:sz w:val="30"/>
          <w:szCs w:val="30"/>
          <w:highlight w:val="none"/>
          <w:lang w:val="en-US" w:eastAsia="zh-CN"/>
        </w:rPr>
        <w:t>44</w:t>
      </w:r>
    </w:p>
    <w:p w14:paraId="50DC52E4">
      <w:pPr>
        <w:pStyle w:val="31"/>
        <w:keepNext w:val="0"/>
        <w:keepLines w:val="0"/>
        <w:pageBreakBefore w:val="0"/>
        <w:widowControl w:val="0"/>
        <w:kinsoku/>
        <w:wordWrap/>
        <w:overflowPunct/>
        <w:topLinePunct w:val="0"/>
        <w:bidi w:val="0"/>
        <w:snapToGrid/>
        <w:spacing w:line="360" w:lineRule="auto"/>
        <w:jc w:val="distribute"/>
        <w:textAlignment w:val="auto"/>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第五章 合同主要条款……………………………………………</w:t>
      </w:r>
      <w:r>
        <w:rPr>
          <w:rFonts w:hint="eastAsia" w:ascii="仿宋" w:hAnsi="仿宋" w:eastAsia="仿宋" w:cs="仿宋"/>
          <w:color w:val="auto"/>
          <w:sz w:val="30"/>
          <w:szCs w:val="30"/>
          <w:highlight w:val="none"/>
          <w:lang w:val="en-US" w:eastAsia="zh-CN"/>
        </w:rPr>
        <w:t>49</w:t>
      </w:r>
    </w:p>
    <w:p w14:paraId="5B06AF8E">
      <w:pPr>
        <w:keepNext w:val="0"/>
        <w:keepLines w:val="0"/>
        <w:pageBreakBefore w:val="0"/>
        <w:widowControl w:val="0"/>
        <w:kinsoku/>
        <w:wordWrap/>
        <w:overflowPunct/>
        <w:topLinePunct w:val="0"/>
        <w:bidi w:val="0"/>
        <w:snapToGrid/>
        <w:spacing w:line="360" w:lineRule="auto"/>
        <w:jc w:val="distribute"/>
        <w:textAlignment w:val="auto"/>
        <w:rPr>
          <w:rFonts w:hint="default" w:ascii="仿宋" w:hAnsi="仿宋" w:eastAsia="仿宋" w:cs="仿宋"/>
          <w:color w:val="auto"/>
          <w:kern w:val="0"/>
          <w:sz w:val="30"/>
          <w:szCs w:val="30"/>
          <w:highlight w:val="none"/>
          <w:lang w:val="en-US" w:eastAsia="zh-CN"/>
        </w:rPr>
      </w:pPr>
      <w:r>
        <w:rPr>
          <w:rFonts w:hint="eastAsia" w:ascii="仿宋" w:hAnsi="仿宋" w:eastAsia="仿宋" w:cs="仿宋"/>
          <w:color w:val="auto"/>
          <w:sz w:val="30"/>
          <w:szCs w:val="30"/>
          <w:highlight w:val="none"/>
        </w:rPr>
        <w:t>第六章 投标格式…………………………………………</w:t>
      </w:r>
      <w:r>
        <w:rPr>
          <w:rFonts w:hint="eastAsia" w:ascii="仿宋" w:hAnsi="仿宋" w:eastAsia="仿宋" w:cs="仿宋"/>
          <w:color w:val="auto"/>
          <w:kern w:val="0"/>
          <w:sz w:val="30"/>
          <w:szCs w:val="30"/>
          <w:highlight w:val="none"/>
          <w:lang w:val="en-US" w:eastAsia="zh-CN"/>
        </w:rPr>
        <w:t>56</w:t>
      </w:r>
    </w:p>
    <w:p w14:paraId="55A86D92">
      <w:pPr>
        <w:spacing w:line="720" w:lineRule="auto"/>
        <w:rPr>
          <w:rFonts w:hint="eastAsia" w:ascii="仿宋" w:hAnsi="仿宋" w:eastAsia="仿宋" w:cs="仿宋"/>
          <w:color w:val="auto"/>
          <w:kern w:val="0"/>
          <w:sz w:val="30"/>
          <w:szCs w:val="30"/>
          <w:highlight w:val="none"/>
        </w:rPr>
      </w:pPr>
    </w:p>
    <w:p w14:paraId="2A9A7459">
      <w:pPr>
        <w:pStyle w:val="4"/>
        <w:spacing w:line="560" w:lineRule="exact"/>
        <w:rPr>
          <w:rFonts w:hint="eastAsia" w:ascii="仿宋" w:hAnsi="仿宋" w:eastAsia="仿宋" w:cs="仿宋"/>
          <w:color w:val="auto"/>
          <w:sz w:val="32"/>
          <w:highlight w:val="none"/>
        </w:rPr>
        <w:sectPr>
          <w:footerReference r:id="rId5" w:type="first"/>
          <w:footerReference r:id="rId4" w:type="default"/>
          <w:pgSz w:w="11906" w:h="16838"/>
          <w:pgMar w:top="1134" w:right="1247" w:bottom="1134" w:left="1247" w:header="851" w:footer="851" w:gutter="0"/>
          <w:pgBorders>
            <w:top w:val="none" w:sz="0" w:space="0"/>
            <w:left w:val="none" w:sz="0" w:space="0"/>
            <w:bottom w:val="none" w:sz="0" w:space="0"/>
            <w:right w:val="none" w:sz="0" w:space="0"/>
          </w:pgBorders>
          <w:pgNumType w:fmt="numberInDash"/>
          <w:cols w:space="720" w:num="1"/>
          <w:titlePg/>
          <w:docGrid w:linePitch="312" w:charSpace="0"/>
        </w:sectPr>
      </w:pPr>
    </w:p>
    <w:p w14:paraId="347D0618">
      <w:pPr>
        <w:pStyle w:val="4"/>
        <w:spacing w:line="560" w:lineRule="exact"/>
        <w:rPr>
          <w:rFonts w:hint="eastAsia" w:ascii="仿宋" w:hAnsi="仿宋" w:eastAsia="仿宋" w:cs="仿宋"/>
          <w:color w:val="auto"/>
          <w:sz w:val="32"/>
          <w:highlight w:val="none"/>
        </w:rPr>
      </w:pPr>
      <w:r>
        <w:rPr>
          <w:rFonts w:hint="eastAsia" w:ascii="仿宋" w:hAnsi="仿宋" w:eastAsia="仿宋" w:cs="仿宋"/>
          <w:color w:val="auto"/>
          <w:sz w:val="32"/>
          <w:highlight w:val="none"/>
        </w:rPr>
        <w:t>第一章   公开招标公告</w:t>
      </w:r>
    </w:p>
    <w:p w14:paraId="046F239B">
      <w:pPr>
        <w:pStyle w:val="31"/>
        <w:keepNext w:val="0"/>
        <w:keepLines w:val="0"/>
        <w:pageBreakBefore w:val="0"/>
        <w:widowControl w:val="0"/>
        <w:kinsoku/>
        <w:wordWrap/>
        <w:overflowPunct/>
        <w:topLinePunct w:val="0"/>
        <w:autoSpaceDE w:val="0"/>
        <w:autoSpaceDN w:val="0"/>
        <w:bidi w:val="0"/>
        <w:adjustRightInd w:val="0"/>
        <w:snapToGrid/>
        <w:spacing w:beforeLines="50" w:afterLines="50" w:line="5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根据《中华人民共和国政府采购法》《政府采购货物和服务招标投标管理办法》及相关法律、法规等规定，经财政局</w:t>
      </w:r>
      <w:r>
        <w:rPr>
          <w:rFonts w:hint="eastAsia" w:ascii="仿宋" w:hAnsi="仿宋" w:eastAsia="仿宋" w:cs="仿宋"/>
          <w:color w:val="auto"/>
          <w:sz w:val="24"/>
          <w:highlight w:val="none"/>
          <w:u w:val="none"/>
        </w:rPr>
        <w:t>(</w:t>
      </w:r>
      <w:r>
        <w:rPr>
          <w:rFonts w:hint="eastAsia" w:ascii="仿宋" w:hAnsi="仿宋" w:eastAsia="仿宋" w:cs="仿宋"/>
          <w:color w:val="auto"/>
          <w:sz w:val="24"/>
          <w:highlight w:val="none"/>
          <w:u w:val="none"/>
          <w:lang w:eastAsia="zh-CN"/>
        </w:rPr>
        <w:t>财政审批编号：</w:t>
      </w:r>
      <w:r>
        <w:rPr>
          <w:rFonts w:hint="eastAsia" w:ascii="仿宋" w:hAnsi="仿宋" w:eastAsia="仿宋" w:cs="仿宋"/>
          <w:color w:val="auto"/>
          <w:sz w:val="24"/>
          <w:highlight w:val="none"/>
          <w:u w:val="single"/>
          <w:lang w:eastAsia="zh-CN"/>
        </w:rPr>
        <w:t>临[202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1586</w:t>
      </w:r>
      <w:r>
        <w:rPr>
          <w:rFonts w:hint="eastAsia" w:ascii="仿宋" w:hAnsi="仿宋" w:eastAsia="仿宋" w:cs="仿宋"/>
          <w:color w:val="auto"/>
          <w:sz w:val="24"/>
          <w:highlight w:val="none"/>
          <w:u w:val="single"/>
          <w:lang w:eastAsia="zh-CN"/>
        </w:rPr>
        <w:t>号、</w:t>
      </w:r>
      <w:r>
        <w:rPr>
          <w:rFonts w:hint="eastAsia" w:ascii="仿宋" w:hAnsi="仿宋" w:eastAsia="仿宋" w:cs="仿宋"/>
          <w:color w:val="auto"/>
          <w:sz w:val="24"/>
          <w:highlight w:val="none"/>
          <w:u w:val="single"/>
          <w:lang w:val="en-US" w:eastAsia="zh-CN"/>
        </w:rPr>
        <w:t>1587号、1588号</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批准，</w:t>
      </w:r>
      <w:r>
        <w:rPr>
          <w:rFonts w:hint="eastAsia" w:ascii="仿宋" w:hAnsi="仿宋" w:eastAsia="仿宋" w:cs="仿宋"/>
          <w:color w:val="auto"/>
          <w:sz w:val="24"/>
          <w:highlight w:val="none"/>
          <w:u w:val="single"/>
          <w:lang w:eastAsia="zh-CN"/>
        </w:rPr>
        <w:t>浙江新诚信工程咨询有限公司</w:t>
      </w:r>
      <w:r>
        <w:rPr>
          <w:rFonts w:hint="eastAsia" w:ascii="仿宋" w:hAnsi="仿宋" w:eastAsia="仿宋" w:cs="仿宋"/>
          <w:color w:val="auto"/>
          <w:sz w:val="24"/>
          <w:highlight w:val="none"/>
        </w:rPr>
        <w:t>受</w:t>
      </w:r>
      <w:r>
        <w:rPr>
          <w:rFonts w:hint="eastAsia" w:ascii="仿宋" w:hAnsi="仿宋" w:eastAsia="仿宋" w:cs="仿宋"/>
          <w:color w:val="auto"/>
          <w:sz w:val="24"/>
          <w:highlight w:val="none"/>
          <w:u w:val="single"/>
          <w:lang w:eastAsia="zh-CN"/>
        </w:rPr>
        <w:t>湖州南太湖新区公用事业管理中心</w:t>
      </w:r>
      <w:r>
        <w:rPr>
          <w:rFonts w:hint="eastAsia" w:ascii="仿宋" w:hAnsi="仿宋" w:eastAsia="仿宋" w:cs="仿宋"/>
          <w:color w:val="auto"/>
          <w:sz w:val="24"/>
          <w:highlight w:val="none"/>
        </w:rPr>
        <w:t>委托，现就</w:t>
      </w:r>
      <w:r>
        <w:rPr>
          <w:rFonts w:hint="eastAsia" w:ascii="仿宋" w:hAnsi="仿宋" w:eastAsia="仿宋" w:cs="仿宋"/>
          <w:color w:val="auto"/>
          <w:sz w:val="24"/>
          <w:highlight w:val="none"/>
          <w:u w:val="single"/>
          <w:lang w:val="en-US" w:eastAsia="zh-CN"/>
        </w:rPr>
        <w:t>湖州南太湖新区西区、104国道、杨家埠等区域环卫作业一体化服务项目（2025-2027年度）</w:t>
      </w:r>
      <w:r>
        <w:rPr>
          <w:rFonts w:hint="eastAsia" w:ascii="仿宋" w:hAnsi="仿宋" w:eastAsia="仿宋" w:cs="仿宋"/>
          <w:color w:val="auto"/>
          <w:sz w:val="24"/>
          <w:highlight w:val="none"/>
        </w:rPr>
        <w:t>进行公开招标采购，欢迎中华人民共和国境内的合格投标人前来参加投标。</w:t>
      </w:r>
    </w:p>
    <w:p w14:paraId="722A77A6">
      <w:pPr>
        <w:numPr>
          <w:ilvl w:val="0"/>
          <w:numId w:val="3"/>
        </w:numPr>
        <w:spacing w:line="560" w:lineRule="exact"/>
        <w:ind w:firstLine="482" w:firstLineChars="200"/>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项目编号：</w:t>
      </w:r>
      <w:r>
        <w:rPr>
          <w:rFonts w:hint="default" w:ascii="仿宋" w:hAnsi="仿宋" w:eastAsia="仿宋" w:cs="仿宋"/>
          <w:color w:val="auto"/>
          <w:sz w:val="24"/>
          <w:highlight w:val="none"/>
          <w:lang w:val="en-US" w:eastAsia="zh-CN"/>
        </w:rPr>
        <w:t>XCXHZ-2025-0</w:t>
      </w:r>
      <w:r>
        <w:rPr>
          <w:rFonts w:hint="eastAsia" w:ascii="仿宋" w:hAnsi="仿宋" w:eastAsia="仿宋" w:cs="仿宋"/>
          <w:color w:val="auto"/>
          <w:sz w:val="24"/>
          <w:highlight w:val="none"/>
          <w:lang w:val="en-US" w:eastAsia="zh-CN"/>
        </w:rPr>
        <w:t>15</w:t>
      </w:r>
      <w:r>
        <w:rPr>
          <w:rFonts w:hint="default" w:ascii="仿宋" w:hAnsi="仿宋" w:eastAsia="仿宋" w:cs="仿宋"/>
          <w:color w:val="auto"/>
          <w:sz w:val="24"/>
          <w:highlight w:val="none"/>
          <w:lang w:val="en-US" w:eastAsia="zh-CN"/>
        </w:rPr>
        <w:t>（CG）</w:t>
      </w:r>
    </w:p>
    <w:p w14:paraId="56054C9F">
      <w:pPr>
        <w:numPr>
          <w:ilvl w:val="0"/>
          <w:numId w:val="0"/>
        </w:numPr>
        <w:spacing w:line="560" w:lineRule="exact"/>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二、采购组织类型：</w:t>
      </w:r>
      <w:r>
        <w:rPr>
          <w:rFonts w:hint="eastAsia" w:ascii="仿宋" w:hAnsi="仿宋" w:eastAsia="仿宋" w:cs="仿宋"/>
          <w:color w:val="auto"/>
          <w:sz w:val="24"/>
          <w:highlight w:val="none"/>
        </w:rPr>
        <w:t>分散采购</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委托代理</w:t>
      </w:r>
    </w:p>
    <w:p w14:paraId="0E6F3FD9">
      <w:pPr>
        <w:spacing w:line="560" w:lineRule="exact"/>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三、采购方式：</w:t>
      </w:r>
      <w:r>
        <w:rPr>
          <w:rFonts w:hint="eastAsia" w:ascii="仿宋" w:hAnsi="仿宋" w:eastAsia="仿宋" w:cs="仿宋"/>
          <w:color w:val="auto"/>
          <w:sz w:val="24"/>
          <w:highlight w:val="none"/>
        </w:rPr>
        <w:t>公开招标</w:t>
      </w:r>
    </w:p>
    <w:p w14:paraId="089C19E9">
      <w:pPr>
        <w:spacing w:line="560" w:lineRule="exact"/>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四、招标项目概况</w:t>
      </w:r>
      <w:r>
        <w:rPr>
          <w:rFonts w:hint="eastAsia" w:ascii="仿宋" w:hAnsi="仿宋" w:eastAsia="仿宋" w:cs="仿宋"/>
          <w:color w:val="auto"/>
          <w:sz w:val="24"/>
          <w:highlight w:val="none"/>
        </w:rPr>
        <w:t>（内容、数量、简要技术要求等）:</w:t>
      </w:r>
    </w:p>
    <w:tbl>
      <w:tblPr>
        <w:tblStyle w:val="23"/>
        <w:tblW w:w="9465" w:type="dxa"/>
        <w:jc w:val="center"/>
        <w:tblLayout w:type="fixed"/>
        <w:tblCellMar>
          <w:top w:w="0" w:type="dxa"/>
          <w:left w:w="10" w:type="dxa"/>
          <w:bottom w:w="0" w:type="dxa"/>
          <w:right w:w="10" w:type="dxa"/>
        </w:tblCellMar>
      </w:tblPr>
      <w:tblGrid>
        <w:gridCol w:w="885"/>
        <w:gridCol w:w="3160"/>
        <w:gridCol w:w="1080"/>
        <w:gridCol w:w="1065"/>
        <w:gridCol w:w="1845"/>
        <w:gridCol w:w="1430"/>
      </w:tblGrid>
      <w:tr w14:paraId="6C4AA4F2">
        <w:tblPrEx>
          <w:tblCellMar>
            <w:top w:w="0" w:type="dxa"/>
            <w:left w:w="10" w:type="dxa"/>
            <w:bottom w:w="0" w:type="dxa"/>
            <w:right w:w="10" w:type="dxa"/>
          </w:tblCellMar>
        </w:tblPrEx>
        <w:trPr>
          <w:trHeight w:val="262" w:hRule="atLeast"/>
          <w:jc w:val="center"/>
        </w:trPr>
        <w:tc>
          <w:tcPr>
            <w:tcW w:w="885" w:type="dxa"/>
            <w:tcBorders>
              <w:top w:val="single" w:color="auto" w:sz="6" w:space="0"/>
              <w:left w:val="single" w:color="auto" w:sz="6" w:space="0"/>
              <w:bottom w:val="single" w:color="auto" w:sz="6" w:space="0"/>
              <w:right w:val="single" w:color="auto" w:sz="6" w:space="0"/>
            </w:tcBorders>
            <w:noWrap/>
            <w:vAlign w:val="center"/>
          </w:tcPr>
          <w:p w14:paraId="40A08BC9">
            <w:pPr>
              <w:keepNext w:val="0"/>
              <w:keepLines w:val="0"/>
              <w:widowControl/>
              <w:suppressLineNumbers w:val="0"/>
              <w:spacing w:before="0" w:beforeAutospacing="0" w:after="0" w:afterAutospacing="0" w:line="500" w:lineRule="exact"/>
              <w:ind w:left="60" w:right="60"/>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标项</w:t>
            </w:r>
          </w:p>
        </w:tc>
        <w:tc>
          <w:tcPr>
            <w:tcW w:w="3160" w:type="dxa"/>
            <w:tcBorders>
              <w:top w:val="single" w:color="auto" w:sz="6" w:space="0"/>
              <w:left w:val="single" w:color="auto" w:sz="4" w:space="0"/>
              <w:bottom w:val="single" w:color="auto" w:sz="6" w:space="0"/>
              <w:right w:val="single" w:color="auto" w:sz="4" w:space="0"/>
            </w:tcBorders>
            <w:noWrap/>
            <w:vAlign w:val="center"/>
          </w:tcPr>
          <w:p w14:paraId="7C3319B0">
            <w:pPr>
              <w:keepNext w:val="0"/>
              <w:keepLines w:val="0"/>
              <w:widowControl/>
              <w:suppressLineNumbers w:val="0"/>
              <w:spacing w:before="0" w:beforeAutospacing="0" w:after="0" w:afterAutospacing="0" w:line="500" w:lineRule="exact"/>
              <w:ind w:left="60" w:right="60"/>
              <w:jc w:val="center"/>
              <w:rPr>
                <w:rFonts w:hint="default" w:ascii="仿宋" w:hAnsi="仿宋" w:eastAsia="仿宋" w:cs="仿宋"/>
                <w:color w:val="auto"/>
                <w:kern w:val="0"/>
                <w:sz w:val="24"/>
                <w:highlight w:val="none"/>
              </w:rPr>
            </w:pPr>
            <w:r>
              <w:rPr>
                <w:rFonts w:hint="eastAsia" w:ascii="仿宋" w:hAnsi="仿宋" w:eastAsia="仿宋" w:cs="仿宋"/>
                <w:color w:val="auto"/>
                <w:kern w:val="0"/>
                <w:sz w:val="24"/>
                <w:highlight w:val="none"/>
              </w:rPr>
              <w:t>采购内容</w:t>
            </w:r>
          </w:p>
        </w:tc>
        <w:tc>
          <w:tcPr>
            <w:tcW w:w="1080" w:type="dxa"/>
            <w:tcBorders>
              <w:top w:val="single" w:color="auto" w:sz="6" w:space="0"/>
              <w:left w:val="single" w:color="auto" w:sz="4" w:space="0"/>
              <w:bottom w:val="single" w:color="auto" w:sz="6" w:space="0"/>
              <w:right w:val="single" w:color="auto" w:sz="4" w:space="0"/>
            </w:tcBorders>
            <w:noWrap/>
            <w:vAlign w:val="center"/>
          </w:tcPr>
          <w:p w14:paraId="5227BD6D">
            <w:pPr>
              <w:keepNext w:val="0"/>
              <w:keepLines w:val="0"/>
              <w:widowControl/>
              <w:suppressLineNumbers w:val="0"/>
              <w:spacing w:before="0" w:beforeAutospacing="0" w:after="0" w:afterAutospacing="0" w:line="500" w:lineRule="exact"/>
              <w:ind w:left="60" w:leftChars="0" w:right="60" w:rightChars="0"/>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单位及数量</w:t>
            </w:r>
          </w:p>
        </w:tc>
        <w:tc>
          <w:tcPr>
            <w:tcW w:w="1065" w:type="dxa"/>
            <w:tcBorders>
              <w:top w:val="single" w:color="auto" w:sz="6" w:space="0"/>
              <w:left w:val="single" w:color="auto" w:sz="4" w:space="0"/>
              <w:bottom w:val="single" w:color="auto" w:sz="6" w:space="0"/>
              <w:right w:val="single" w:color="auto" w:sz="4" w:space="0"/>
            </w:tcBorders>
            <w:noWrap/>
            <w:vAlign w:val="center"/>
          </w:tcPr>
          <w:p w14:paraId="363DE1CE">
            <w:pPr>
              <w:keepNext w:val="0"/>
              <w:keepLines w:val="0"/>
              <w:widowControl/>
              <w:suppressLineNumbers w:val="0"/>
              <w:spacing w:before="0" w:beforeAutospacing="0" w:after="0" w:afterAutospacing="0" w:line="500" w:lineRule="exact"/>
              <w:ind w:left="60" w:leftChars="0" w:right="60" w:rightChars="0"/>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服务期</w:t>
            </w:r>
          </w:p>
        </w:tc>
        <w:tc>
          <w:tcPr>
            <w:tcW w:w="1845" w:type="dxa"/>
            <w:tcBorders>
              <w:top w:val="single" w:color="auto" w:sz="6" w:space="0"/>
              <w:left w:val="single" w:color="auto" w:sz="4" w:space="0"/>
              <w:bottom w:val="single" w:color="auto" w:sz="4" w:space="0"/>
              <w:right w:val="single" w:color="auto" w:sz="6" w:space="0"/>
            </w:tcBorders>
            <w:noWrap/>
            <w:vAlign w:val="center"/>
          </w:tcPr>
          <w:p w14:paraId="50C762D7">
            <w:pPr>
              <w:keepNext w:val="0"/>
              <w:keepLines w:val="0"/>
              <w:widowControl/>
              <w:suppressLineNumbers w:val="0"/>
              <w:spacing w:before="0" w:beforeAutospacing="0" w:after="0" w:afterAutospacing="0" w:line="500" w:lineRule="exact"/>
              <w:ind w:left="60" w:leftChars="0" w:right="60" w:rightChars="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预算金额</w:t>
            </w:r>
          </w:p>
          <w:p w14:paraId="601D95EC">
            <w:pPr>
              <w:keepNext w:val="0"/>
              <w:keepLines w:val="0"/>
              <w:widowControl/>
              <w:suppressLineNumbers w:val="0"/>
              <w:spacing w:before="0" w:beforeAutospacing="0" w:after="0" w:afterAutospacing="0" w:line="500" w:lineRule="exact"/>
              <w:ind w:left="60" w:leftChars="0" w:right="60" w:rightChars="0"/>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最高限价</w:t>
            </w:r>
            <w:r>
              <w:rPr>
                <w:rFonts w:hint="eastAsia" w:ascii="仿宋" w:hAnsi="仿宋" w:eastAsia="仿宋" w:cs="仿宋"/>
                <w:color w:val="auto"/>
                <w:kern w:val="0"/>
                <w:sz w:val="24"/>
                <w:highlight w:val="none"/>
                <w:lang w:eastAsia="zh-CN"/>
              </w:rPr>
              <w:t>）</w:t>
            </w:r>
          </w:p>
        </w:tc>
        <w:tc>
          <w:tcPr>
            <w:tcW w:w="1430" w:type="dxa"/>
            <w:tcBorders>
              <w:top w:val="single" w:color="auto" w:sz="6" w:space="0"/>
              <w:left w:val="single" w:color="auto" w:sz="4" w:space="0"/>
              <w:bottom w:val="single" w:color="auto" w:sz="4" w:space="0"/>
              <w:right w:val="single" w:color="auto" w:sz="6" w:space="0"/>
            </w:tcBorders>
            <w:noWrap/>
            <w:vAlign w:val="center"/>
          </w:tcPr>
          <w:p w14:paraId="4862EBB0">
            <w:pPr>
              <w:keepNext w:val="0"/>
              <w:keepLines w:val="0"/>
              <w:widowControl/>
              <w:suppressLineNumbers w:val="0"/>
              <w:spacing w:before="0" w:beforeAutospacing="0" w:after="0" w:afterAutospacing="0" w:line="500" w:lineRule="exact"/>
              <w:ind w:left="60" w:leftChars="0" w:right="60" w:rightChars="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技术要求</w:t>
            </w:r>
          </w:p>
        </w:tc>
      </w:tr>
      <w:tr w14:paraId="46A62673">
        <w:tblPrEx>
          <w:tblCellMar>
            <w:top w:w="0" w:type="dxa"/>
            <w:left w:w="10" w:type="dxa"/>
            <w:bottom w:w="0" w:type="dxa"/>
            <w:right w:w="10" w:type="dxa"/>
          </w:tblCellMar>
        </w:tblPrEx>
        <w:trPr>
          <w:trHeight w:val="828" w:hRule="atLeast"/>
          <w:jc w:val="center"/>
        </w:trPr>
        <w:tc>
          <w:tcPr>
            <w:tcW w:w="885" w:type="dxa"/>
            <w:tcBorders>
              <w:top w:val="single" w:color="auto" w:sz="6" w:space="0"/>
              <w:left w:val="single" w:color="auto" w:sz="6" w:space="0"/>
              <w:bottom w:val="single" w:color="auto" w:sz="6" w:space="0"/>
              <w:right w:val="single" w:color="auto" w:sz="6" w:space="0"/>
            </w:tcBorders>
            <w:noWrap/>
            <w:vAlign w:val="center"/>
          </w:tcPr>
          <w:p w14:paraId="0D792544">
            <w:pPr>
              <w:spacing w:line="56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一</w:t>
            </w:r>
          </w:p>
        </w:tc>
        <w:tc>
          <w:tcPr>
            <w:tcW w:w="3160" w:type="dxa"/>
            <w:tcBorders>
              <w:top w:val="single" w:color="auto" w:sz="6" w:space="0"/>
              <w:left w:val="single" w:color="auto" w:sz="6" w:space="0"/>
              <w:bottom w:val="single" w:color="auto" w:sz="6" w:space="0"/>
              <w:right w:val="single" w:color="auto" w:sz="6" w:space="0"/>
            </w:tcBorders>
            <w:noWrap/>
            <w:vAlign w:val="center"/>
          </w:tcPr>
          <w:p w14:paraId="41CCB5CD">
            <w:pPr>
              <w:spacing w:line="560" w:lineRule="exact"/>
              <w:jc w:val="center"/>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西区（罗师庄、九九桥区域）环卫作业一体化</w:t>
            </w:r>
          </w:p>
        </w:tc>
        <w:tc>
          <w:tcPr>
            <w:tcW w:w="1080" w:type="dxa"/>
            <w:tcBorders>
              <w:top w:val="single" w:color="auto" w:sz="6" w:space="0"/>
              <w:left w:val="single" w:color="auto" w:sz="6" w:space="0"/>
              <w:bottom w:val="single" w:color="auto" w:sz="6" w:space="0"/>
              <w:right w:val="single" w:color="auto" w:sz="4" w:space="0"/>
            </w:tcBorders>
            <w:noWrap/>
            <w:vAlign w:val="center"/>
          </w:tcPr>
          <w:p w14:paraId="383ECC61">
            <w:pPr>
              <w:spacing w:line="56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1项</w:t>
            </w:r>
          </w:p>
        </w:tc>
        <w:tc>
          <w:tcPr>
            <w:tcW w:w="1065" w:type="dxa"/>
            <w:tcBorders>
              <w:top w:val="single" w:color="auto" w:sz="6" w:space="0"/>
              <w:left w:val="single" w:color="auto" w:sz="6" w:space="0"/>
              <w:bottom w:val="single" w:color="auto" w:sz="6" w:space="0"/>
              <w:right w:val="single" w:color="auto" w:sz="4" w:space="0"/>
            </w:tcBorders>
            <w:noWrap/>
            <w:vAlign w:val="center"/>
          </w:tcPr>
          <w:p w14:paraId="21108A1B">
            <w:pPr>
              <w:spacing w:line="56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3年</w:t>
            </w:r>
          </w:p>
        </w:tc>
        <w:tc>
          <w:tcPr>
            <w:tcW w:w="1845" w:type="dxa"/>
            <w:tcBorders>
              <w:top w:val="single" w:color="auto" w:sz="4" w:space="0"/>
              <w:left w:val="single" w:color="auto" w:sz="4" w:space="0"/>
              <w:bottom w:val="single" w:color="auto" w:sz="4" w:space="0"/>
              <w:right w:val="single" w:color="auto" w:sz="4" w:space="0"/>
            </w:tcBorders>
            <w:noWrap/>
            <w:vAlign w:val="center"/>
          </w:tcPr>
          <w:p w14:paraId="5C4E22FC">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1350万元</w:t>
            </w:r>
          </w:p>
          <w:p w14:paraId="60514910">
            <w:pPr>
              <w:spacing w:line="5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（450万/年）</w:t>
            </w:r>
          </w:p>
        </w:tc>
        <w:tc>
          <w:tcPr>
            <w:tcW w:w="1430" w:type="dxa"/>
            <w:tcBorders>
              <w:top w:val="single" w:color="auto" w:sz="4" w:space="0"/>
              <w:left w:val="single" w:color="auto" w:sz="4" w:space="0"/>
              <w:bottom w:val="single" w:color="auto" w:sz="4" w:space="0"/>
              <w:right w:val="single" w:color="auto" w:sz="4" w:space="0"/>
            </w:tcBorders>
            <w:noWrap/>
            <w:vAlign w:val="center"/>
          </w:tcPr>
          <w:p w14:paraId="7E5BA7E0">
            <w:pPr>
              <w:spacing w:line="5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color w:val="auto"/>
                <w:sz w:val="24"/>
                <w:highlight w:val="none"/>
                <w:lang w:val="en-US" w:eastAsia="zh-CN"/>
              </w:rPr>
              <w:t>第二章招标需求</w:t>
            </w:r>
          </w:p>
        </w:tc>
      </w:tr>
      <w:tr w14:paraId="27B5C3A7">
        <w:tblPrEx>
          <w:tblCellMar>
            <w:top w:w="0" w:type="dxa"/>
            <w:left w:w="10" w:type="dxa"/>
            <w:bottom w:w="0" w:type="dxa"/>
            <w:right w:w="10" w:type="dxa"/>
          </w:tblCellMar>
        </w:tblPrEx>
        <w:trPr>
          <w:trHeight w:val="828" w:hRule="atLeast"/>
          <w:jc w:val="center"/>
        </w:trPr>
        <w:tc>
          <w:tcPr>
            <w:tcW w:w="885" w:type="dxa"/>
            <w:tcBorders>
              <w:top w:val="single" w:color="auto" w:sz="6" w:space="0"/>
              <w:left w:val="single" w:color="auto" w:sz="6" w:space="0"/>
              <w:bottom w:val="single" w:color="auto" w:sz="6" w:space="0"/>
              <w:right w:val="single" w:color="auto" w:sz="6" w:space="0"/>
            </w:tcBorders>
            <w:noWrap/>
            <w:vAlign w:val="center"/>
          </w:tcPr>
          <w:p w14:paraId="3EB7A650">
            <w:pPr>
              <w:spacing w:line="56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二</w:t>
            </w:r>
          </w:p>
        </w:tc>
        <w:tc>
          <w:tcPr>
            <w:tcW w:w="3160" w:type="dxa"/>
            <w:tcBorders>
              <w:top w:val="single" w:color="auto" w:sz="6" w:space="0"/>
              <w:left w:val="single" w:color="auto" w:sz="6" w:space="0"/>
              <w:bottom w:val="single" w:color="auto" w:sz="6" w:space="0"/>
              <w:right w:val="single" w:color="auto" w:sz="6" w:space="0"/>
            </w:tcBorders>
            <w:noWrap/>
            <w:vAlign w:val="center"/>
          </w:tcPr>
          <w:p w14:paraId="3C5E04CC">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赵湾、104国道、生物医药产业园环卫作业一体化</w:t>
            </w:r>
          </w:p>
        </w:tc>
        <w:tc>
          <w:tcPr>
            <w:tcW w:w="1080" w:type="dxa"/>
            <w:tcBorders>
              <w:top w:val="single" w:color="auto" w:sz="6" w:space="0"/>
              <w:left w:val="single" w:color="auto" w:sz="6" w:space="0"/>
              <w:bottom w:val="single" w:color="auto" w:sz="6" w:space="0"/>
              <w:right w:val="single" w:color="auto" w:sz="4" w:space="0"/>
            </w:tcBorders>
            <w:shd w:val="clear" w:color="auto" w:fill="auto"/>
            <w:noWrap/>
            <w:vAlign w:val="center"/>
          </w:tcPr>
          <w:p w14:paraId="053003CB">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1项</w:t>
            </w:r>
          </w:p>
        </w:tc>
        <w:tc>
          <w:tcPr>
            <w:tcW w:w="1065" w:type="dxa"/>
            <w:tcBorders>
              <w:top w:val="single" w:color="auto" w:sz="6" w:space="0"/>
              <w:left w:val="single" w:color="auto" w:sz="6" w:space="0"/>
              <w:bottom w:val="single" w:color="auto" w:sz="6" w:space="0"/>
              <w:right w:val="single" w:color="auto" w:sz="4" w:space="0"/>
            </w:tcBorders>
            <w:shd w:val="clear" w:color="auto" w:fill="auto"/>
            <w:noWrap/>
            <w:vAlign w:val="center"/>
          </w:tcPr>
          <w:p w14:paraId="512CEA79">
            <w:pPr>
              <w:spacing w:line="56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3年</w:t>
            </w:r>
          </w:p>
        </w:tc>
        <w:tc>
          <w:tcPr>
            <w:tcW w:w="184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729333">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1230万元</w:t>
            </w:r>
          </w:p>
          <w:p w14:paraId="1B0596CB">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（410万/年）</w:t>
            </w:r>
          </w:p>
        </w:tc>
        <w:tc>
          <w:tcPr>
            <w:tcW w:w="143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A681E5">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详见</w:t>
            </w:r>
            <w:r>
              <w:rPr>
                <w:rFonts w:hint="eastAsia" w:ascii="仿宋" w:hAnsi="仿宋" w:eastAsia="仿宋" w:cs="仿宋"/>
                <w:color w:val="auto"/>
                <w:sz w:val="24"/>
                <w:highlight w:val="none"/>
                <w:lang w:val="en-US" w:eastAsia="zh-CN"/>
              </w:rPr>
              <w:t>第二章招标需求</w:t>
            </w:r>
          </w:p>
        </w:tc>
      </w:tr>
      <w:tr w14:paraId="029D1464">
        <w:tblPrEx>
          <w:tblCellMar>
            <w:top w:w="0" w:type="dxa"/>
            <w:left w:w="10" w:type="dxa"/>
            <w:bottom w:w="0" w:type="dxa"/>
            <w:right w:w="10" w:type="dxa"/>
          </w:tblCellMar>
        </w:tblPrEx>
        <w:trPr>
          <w:trHeight w:val="828" w:hRule="atLeast"/>
          <w:jc w:val="center"/>
        </w:trPr>
        <w:tc>
          <w:tcPr>
            <w:tcW w:w="885" w:type="dxa"/>
            <w:tcBorders>
              <w:top w:val="single" w:color="auto" w:sz="6" w:space="0"/>
              <w:left w:val="single" w:color="auto" w:sz="6" w:space="0"/>
              <w:bottom w:val="single" w:color="auto" w:sz="6" w:space="0"/>
              <w:right w:val="single" w:color="auto" w:sz="6" w:space="0"/>
            </w:tcBorders>
            <w:noWrap/>
            <w:vAlign w:val="center"/>
          </w:tcPr>
          <w:p w14:paraId="2EC5FFDE">
            <w:pPr>
              <w:spacing w:line="56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三</w:t>
            </w:r>
          </w:p>
        </w:tc>
        <w:tc>
          <w:tcPr>
            <w:tcW w:w="3160" w:type="dxa"/>
            <w:tcBorders>
              <w:top w:val="single" w:color="auto" w:sz="6" w:space="0"/>
              <w:left w:val="single" w:color="auto" w:sz="6" w:space="0"/>
              <w:bottom w:val="single" w:color="auto" w:sz="6" w:space="0"/>
              <w:right w:val="single" w:color="auto" w:sz="6" w:space="0"/>
            </w:tcBorders>
            <w:noWrap/>
            <w:vAlign w:val="center"/>
          </w:tcPr>
          <w:p w14:paraId="153B441F">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杨家埠片区环卫作业一体化</w:t>
            </w:r>
          </w:p>
        </w:tc>
        <w:tc>
          <w:tcPr>
            <w:tcW w:w="1080" w:type="dxa"/>
            <w:tcBorders>
              <w:top w:val="single" w:color="auto" w:sz="6" w:space="0"/>
              <w:left w:val="single" w:color="auto" w:sz="6" w:space="0"/>
              <w:bottom w:val="single" w:color="auto" w:sz="6" w:space="0"/>
              <w:right w:val="single" w:color="auto" w:sz="4" w:space="0"/>
            </w:tcBorders>
            <w:shd w:val="clear" w:color="auto" w:fill="auto"/>
            <w:noWrap/>
            <w:vAlign w:val="center"/>
          </w:tcPr>
          <w:p w14:paraId="128FF2A6">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1项</w:t>
            </w:r>
          </w:p>
        </w:tc>
        <w:tc>
          <w:tcPr>
            <w:tcW w:w="1065" w:type="dxa"/>
            <w:tcBorders>
              <w:top w:val="single" w:color="auto" w:sz="6" w:space="0"/>
              <w:left w:val="single" w:color="auto" w:sz="6" w:space="0"/>
              <w:bottom w:val="single" w:color="auto" w:sz="6" w:space="0"/>
              <w:right w:val="single" w:color="auto" w:sz="4" w:space="0"/>
            </w:tcBorders>
            <w:shd w:val="clear" w:color="auto" w:fill="auto"/>
            <w:noWrap/>
            <w:vAlign w:val="center"/>
          </w:tcPr>
          <w:p w14:paraId="163E5C07">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3年</w:t>
            </w:r>
          </w:p>
        </w:tc>
        <w:tc>
          <w:tcPr>
            <w:tcW w:w="184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498662">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1320万元</w:t>
            </w:r>
          </w:p>
          <w:p w14:paraId="24083E71">
            <w:pPr>
              <w:spacing w:line="5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（440万/年）</w:t>
            </w:r>
          </w:p>
        </w:tc>
        <w:tc>
          <w:tcPr>
            <w:tcW w:w="143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135E936">
            <w:pPr>
              <w:spacing w:line="5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color w:val="auto"/>
                <w:sz w:val="24"/>
                <w:highlight w:val="none"/>
                <w:lang w:val="en-US" w:eastAsia="zh-CN"/>
              </w:rPr>
              <w:t>第二章招标需求</w:t>
            </w:r>
          </w:p>
        </w:tc>
      </w:tr>
      <w:tr w14:paraId="21C223B6">
        <w:tblPrEx>
          <w:tblCellMar>
            <w:top w:w="0" w:type="dxa"/>
            <w:left w:w="10" w:type="dxa"/>
            <w:bottom w:w="0" w:type="dxa"/>
            <w:right w:w="10" w:type="dxa"/>
          </w:tblCellMar>
        </w:tblPrEx>
        <w:trPr>
          <w:trHeight w:val="828" w:hRule="atLeast"/>
          <w:jc w:val="center"/>
        </w:trPr>
        <w:tc>
          <w:tcPr>
            <w:tcW w:w="885" w:type="dxa"/>
            <w:tcBorders>
              <w:top w:val="single" w:color="auto" w:sz="6" w:space="0"/>
              <w:left w:val="single" w:color="auto" w:sz="6" w:space="0"/>
              <w:bottom w:val="single" w:color="auto" w:sz="6" w:space="0"/>
              <w:right w:val="single" w:color="auto" w:sz="4" w:space="0"/>
            </w:tcBorders>
            <w:noWrap/>
            <w:vAlign w:val="center"/>
          </w:tcPr>
          <w:p w14:paraId="7B59F0A4">
            <w:pPr>
              <w:spacing w:line="560" w:lineRule="exact"/>
              <w:jc w:val="center"/>
              <w:rPr>
                <w:rFonts w:hint="eastAsia" w:ascii="仿宋" w:hAnsi="仿宋" w:eastAsia="仿宋" w:cs="仿宋"/>
                <w:color w:val="auto"/>
                <w:sz w:val="24"/>
                <w:highlight w:val="none"/>
                <w:lang w:val="en-US" w:eastAsia="zh-CN"/>
              </w:rPr>
            </w:pPr>
          </w:p>
        </w:tc>
        <w:tc>
          <w:tcPr>
            <w:tcW w:w="5305" w:type="dxa"/>
            <w:gridSpan w:val="3"/>
            <w:tcBorders>
              <w:top w:val="single" w:color="auto" w:sz="6" w:space="0"/>
              <w:left w:val="single" w:color="auto" w:sz="6" w:space="0"/>
              <w:bottom w:val="single" w:color="auto" w:sz="6" w:space="0"/>
              <w:right w:val="single" w:color="auto" w:sz="4" w:space="0"/>
            </w:tcBorders>
            <w:noWrap/>
            <w:vAlign w:val="center"/>
          </w:tcPr>
          <w:p w14:paraId="5DE1B9CE">
            <w:pPr>
              <w:spacing w:line="56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合计</w:t>
            </w:r>
          </w:p>
        </w:tc>
        <w:tc>
          <w:tcPr>
            <w:tcW w:w="184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CC1A7D">
            <w:pPr>
              <w:spacing w:line="56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3900万元</w:t>
            </w:r>
          </w:p>
        </w:tc>
        <w:tc>
          <w:tcPr>
            <w:tcW w:w="143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B1FF58">
            <w:pPr>
              <w:spacing w:line="560" w:lineRule="exact"/>
              <w:ind w:firstLine="480" w:firstLineChars="200"/>
              <w:rPr>
                <w:rFonts w:hint="eastAsia" w:ascii="仿宋" w:hAnsi="仿宋" w:eastAsia="仿宋" w:cs="仿宋"/>
                <w:color w:val="auto"/>
                <w:sz w:val="24"/>
                <w:highlight w:val="none"/>
              </w:rPr>
            </w:pPr>
          </w:p>
        </w:tc>
      </w:tr>
      <w:tr w14:paraId="6C048A2C">
        <w:tblPrEx>
          <w:tblCellMar>
            <w:top w:w="0" w:type="dxa"/>
            <w:left w:w="10" w:type="dxa"/>
            <w:bottom w:w="0" w:type="dxa"/>
            <w:right w:w="10" w:type="dxa"/>
          </w:tblCellMar>
        </w:tblPrEx>
        <w:trPr>
          <w:trHeight w:val="828" w:hRule="atLeast"/>
          <w:jc w:val="center"/>
        </w:trPr>
        <w:tc>
          <w:tcPr>
            <w:tcW w:w="9465" w:type="dxa"/>
            <w:gridSpan w:val="6"/>
            <w:tcBorders>
              <w:top w:val="single" w:color="auto" w:sz="6" w:space="0"/>
              <w:left w:val="single" w:color="auto" w:sz="6" w:space="0"/>
              <w:bottom w:val="single" w:color="auto" w:sz="6" w:space="0"/>
              <w:right w:val="single" w:color="auto" w:sz="4" w:space="0"/>
            </w:tcBorders>
            <w:noWrap/>
            <w:vAlign w:val="center"/>
          </w:tcPr>
          <w:p w14:paraId="76719A56">
            <w:pPr>
              <w:keepNext w:val="0"/>
              <w:keepLines w:val="0"/>
              <w:suppressLineNumbers w:val="0"/>
              <w:spacing w:before="0" w:beforeAutospacing="0" w:after="0" w:afterAutospacing="0" w:line="500" w:lineRule="exact"/>
              <w:ind w:left="0" w:leftChars="0" w:right="60" w:rightChars="0"/>
              <w:jc w:val="left"/>
              <w:rPr>
                <w:rFonts w:hint="eastAsia" w:ascii="仿宋" w:hAnsi="仿宋" w:eastAsia="仿宋" w:cs="仿宋"/>
                <w:color w:val="auto"/>
                <w:kern w:val="0"/>
                <w:sz w:val="24"/>
                <w:highlight w:val="none"/>
              </w:rPr>
            </w:pPr>
            <w:r>
              <w:rPr>
                <w:rFonts w:hint="eastAsia" w:ascii="仿宋" w:hAnsi="仿宋" w:eastAsia="仿宋" w:cs="仿宋"/>
                <w:b w:val="0"/>
                <w:bCs/>
                <w:color w:val="auto"/>
                <w:kern w:val="0"/>
                <w:sz w:val="24"/>
                <w:szCs w:val="21"/>
                <w:highlight w:val="none"/>
              </w:rPr>
              <w:t>注：1、</w:t>
            </w:r>
            <w:r>
              <w:rPr>
                <w:rFonts w:hint="eastAsia" w:ascii="仿宋" w:hAnsi="仿宋" w:eastAsia="仿宋" w:cs="仿宋"/>
                <w:b w:val="0"/>
                <w:bCs/>
                <w:color w:val="auto"/>
                <w:sz w:val="24"/>
                <w:szCs w:val="21"/>
                <w:highlight w:val="none"/>
              </w:rPr>
              <w:t>投标报价超最高限价为无效；2、</w:t>
            </w:r>
            <w:r>
              <w:rPr>
                <w:rFonts w:hint="eastAsia" w:ascii="仿宋" w:hAnsi="仿宋" w:eastAsia="仿宋" w:cs="仿宋"/>
                <w:b w:val="0"/>
                <w:bCs w:val="0"/>
                <w:color w:val="auto"/>
                <w:sz w:val="24"/>
                <w:highlight w:val="none"/>
                <w:lang w:val="en-US" w:eastAsia="zh-CN"/>
              </w:rPr>
              <w:t>本项目分3个标项进行采购，按标项一、标项二、标项三顺序开标、评标，采取兼投不兼中原则，符合条件的供应商允许多个标项报名并进行多个标项评审，但同一供应商最多只能中标1个标项，中标顺序按评标顺序，已推荐为标项一中标候选人的供应商</w:t>
            </w:r>
            <w:r>
              <w:rPr>
                <w:rFonts w:hint="eastAsia" w:ascii="仿宋" w:hAnsi="仿宋" w:eastAsia="仿宋" w:cs="仿宋"/>
                <w:color w:val="auto"/>
                <w:kern w:val="0"/>
                <w:sz w:val="24"/>
                <w:szCs w:val="24"/>
                <w:highlight w:val="none"/>
                <w:lang w:eastAsia="zh-CN"/>
              </w:rPr>
              <w:t>在其所投剩余标项中，只参加评审、不参加排序、</w:t>
            </w:r>
            <w:r>
              <w:rPr>
                <w:rFonts w:hint="eastAsia" w:ascii="仿宋" w:hAnsi="仿宋" w:eastAsia="仿宋" w:cs="仿宋"/>
                <w:color w:val="auto"/>
                <w:kern w:val="0"/>
                <w:sz w:val="24"/>
                <w:szCs w:val="24"/>
                <w:highlight w:val="none"/>
                <w:lang w:val="en-US" w:eastAsia="zh-CN"/>
              </w:rPr>
              <w:t>不</w:t>
            </w:r>
            <w:r>
              <w:rPr>
                <w:rFonts w:hint="eastAsia" w:ascii="仿宋" w:hAnsi="仿宋" w:eastAsia="仿宋" w:cs="仿宋"/>
                <w:color w:val="auto"/>
                <w:kern w:val="0"/>
                <w:sz w:val="24"/>
                <w:szCs w:val="24"/>
                <w:highlight w:val="none"/>
                <w:lang w:eastAsia="zh-CN"/>
              </w:rPr>
              <w:t>推荐中标。</w:t>
            </w:r>
            <w:r>
              <w:rPr>
                <w:rFonts w:hint="eastAsia" w:ascii="仿宋" w:hAnsi="仿宋" w:eastAsia="仿宋" w:cs="仿宋"/>
                <w:b w:val="0"/>
                <w:bCs w:val="0"/>
                <w:color w:val="auto"/>
                <w:sz w:val="24"/>
                <w:highlight w:val="none"/>
                <w:lang w:val="en-US" w:eastAsia="zh-CN"/>
              </w:rPr>
              <w:t>以此类推。</w:t>
            </w:r>
          </w:p>
        </w:tc>
      </w:tr>
    </w:tbl>
    <w:p w14:paraId="28CE53C7">
      <w:pPr>
        <w:spacing w:line="380" w:lineRule="exact"/>
        <w:ind w:firstLine="482" w:firstLineChars="200"/>
        <w:jc w:val="left"/>
        <w:rPr>
          <w:rFonts w:hint="eastAsia" w:ascii="仿宋" w:hAnsi="仿宋" w:eastAsia="仿宋" w:cs="仿宋"/>
          <w:b/>
          <w:bCs/>
          <w:color w:val="auto"/>
          <w:sz w:val="24"/>
          <w:highlight w:val="none"/>
        </w:rPr>
      </w:pPr>
    </w:p>
    <w:p w14:paraId="15DA8FF7">
      <w:pPr>
        <w:spacing w:line="380" w:lineRule="exact"/>
        <w:ind w:firstLine="482" w:firstLineChars="200"/>
        <w:jc w:val="left"/>
        <w:rPr>
          <w:rFonts w:hint="eastAsia" w:ascii="仿宋" w:hAnsi="仿宋" w:eastAsia="仿宋" w:cs="仿宋"/>
          <w:b/>
          <w:bCs/>
          <w:color w:val="auto"/>
          <w:sz w:val="24"/>
          <w:highlight w:val="none"/>
        </w:rPr>
      </w:pPr>
    </w:p>
    <w:p w14:paraId="34FDF4CC">
      <w:pPr>
        <w:spacing w:line="380" w:lineRule="exact"/>
        <w:ind w:firstLine="482" w:firstLineChars="20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五、投标人资格要求:</w:t>
      </w:r>
    </w:p>
    <w:p w14:paraId="5A0052B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中华人民共和国政府采购法》第二十二条规定,且未被“信用中国”（www.creditchina.gov.cn）、“中国政府采购网”（www.ccgp.gov.cn）等列入失信被执行人、重大税收违法案件当事人名单、政府采购严重违法失信行为记录名单。</w:t>
      </w:r>
    </w:p>
    <w:p w14:paraId="17B536D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本项目属于预留份额专门面向中小企业采购的采购项目【预留份额通过以下措施实施：预留采购项目预算总额的40%专门面向小微企业采购。大型和中型企业向小微企业合理分包，分包意向协议中须明确采购项目总额的40%以上专门面向小微企业采购。接受分包合同的小微企业与分包企业之间不得存在直接控股、管理关系。若供应商提供所有标的均由小微企业制造、承建或承接，则视同符合本条资格条件，无需再进行分包，无需提供分包意向协议。】</w:t>
      </w:r>
    </w:p>
    <w:p w14:paraId="37A5A0A8">
      <w:pPr>
        <w:spacing w:line="560" w:lineRule="exact"/>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3</w:t>
      </w:r>
      <w:r>
        <w:rPr>
          <w:rFonts w:hint="eastAsia" w:ascii="仿宋" w:hAnsi="仿宋" w:eastAsia="仿宋" w:cs="仿宋"/>
          <w:b w:val="0"/>
          <w:bCs w:val="0"/>
          <w:color w:val="auto"/>
          <w:sz w:val="24"/>
          <w:highlight w:val="none"/>
        </w:rPr>
        <w:t>、本项目的特定资格要求：</w:t>
      </w:r>
      <w:r>
        <w:rPr>
          <w:rFonts w:hint="eastAsia" w:ascii="仿宋" w:hAnsi="仿宋" w:eastAsia="仿宋" w:cs="仿宋"/>
          <w:b w:val="0"/>
          <w:bCs w:val="0"/>
          <w:color w:val="auto"/>
          <w:sz w:val="24"/>
          <w:highlight w:val="none"/>
          <w:lang w:val="en-US" w:eastAsia="zh-CN"/>
        </w:rPr>
        <w:t>无</w:t>
      </w:r>
    </w:p>
    <w:p w14:paraId="3AA21DCA">
      <w:pPr>
        <w:spacing w:line="56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、本项目</w:t>
      </w:r>
      <w:r>
        <w:rPr>
          <w:rFonts w:hint="eastAsia" w:ascii="仿宋" w:hAnsi="仿宋" w:eastAsia="仿宋" w:cs="仿宋"/>
          <w:color w:val="auto"/>
          <w:sz w:val="24"/>
          <w:highlight w:val="none"/>
          <w:lang w:val="en-US" w:eastAsia="zh-CN"/>
        </w:rPr>
        <w:t>不</w:t>
      </w:r>
      <w:r>
        <w:rPr>
          <w:rFonts w:hint="eastAsia" w:ascii="仿宋" w:hAnsi="仿宋" w:eastAsia="仿宋" w:cs="仿宋"/>
          <w:color w:val="auto"/>
          <w:sz w:val="24"/>
          <w:highlight w:val="none"/>
        </w:rPr>
        <w:t>接受联合体投标</w:t>
      </w:r>
      <w:r>
        <w:rPr>
          <w:rFonts w:hint="eastAsia" w:ascii="仿宋" w:hAnsi="仿宋" w:eastAsia="仿宋" w:cs="仿宋"/>
          <w:color w:val="auto"/>
          <w:sz w:val="24"/>
          <w:highlight w:val="none"/>
          <w:lang w:eastAsia="zh-CN"/>
        </w:rPr>
        <w:t>。</w:t>
      </w:r>
    </w:p>
    <w:p w14:paraId="757BF3F7">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六、招标文件的获取:</w:t>
      </w:r>
    </w:p>
    <w:p w14:paraId="463E09D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1、获取招标文件时间：</w:t>
      </w:r>
      <w:r>
        <w:rPr>
          <w:rFonts w:hint="eastAsia" w:ascii="仿宋" w:hAnsi="仿宋" w:eastAsia="仿宋" w:cs="仿宋"/>
          <w:color w:val="auto"/>
          <w:sz w:val="24"/>
          <w:highlight w:val="none"/>
          <w:shd w:val="pct10" w:color="auto" w:fill="FFFFFF"/>
          <w:lang w:val="en-US" w:eastAsia="zh-CN"/>
        </w:rPr>
        <w:t>2025</w:t>
      </w:r>
      <w:r>
        <w:rPr>
          <w:rFonts w:hint="eastAsia" w:ascii="仿宋" w:hAnsi="仿宋" w:eastAsia="仿宋" w:cs="仿宋"/>
          <w:color w:val="auto"/>
          <w:sz w:val="24"/>
          <w:highlight w:val="none"/>
          <w:shd w:val="pct10" w:color="auto" w:fill="FFFFFF"/>
        </w:rPr>
        <w:t>年月日至投标截止时间</w:t>
      </w:r>
      <w:r>
        <w:rPr>
          <w:rFonts w:hint="eastAsia" w:ascii="仿宋" w:hAnsi="仿宋" w:eastAsia="仿宋" w:cs="仿宋"/>
          <w:color w:val="auto"/>
          <w:sz w:val="24"/>
          <w:highlight w:val="none"/>
        </w:rPr>
        <w:t>(潜在投标人获取采购文件前应当在电子交易平台上注册账号并登录，截止时间后不再接受潜在投标人获取采购文件)。</w:t>
      </w:r>
    </w:p>
    <w:p w14:paraId="62816E1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2、本项目招标文件实行网上获取，不</w:t>
      </w:r>
      <w:r>
        <w:rPr>
          <w:rFonts w:hint="eastAsia" w:ascii="仿宋" w:hAnsi="仿宋" w:eastAsia="仿宋" w:cs="仿宋"/>
          <w:color w:val="auto"/>
          <w:sz w:val="24"/>
          <w:highlight w:val="none"/>
          <w:lang w:val="en-US" w:eastAsia="zh-CN"/>
        </w:rPr>
        <w:t>再</w:t>
      </w:r>
      <w:r>
        <w:rPr>
          <w:rFonts w:hint="eastAsia" w:ascii="仿宋" w:hAnsi="仿宋" w:eastAsia="仿宋" w:cs="仿宋"/>
          <w:color w:val="auto"/>
          <w:sz w:val="24"/>
          <w:highlight w:val="none"/>
        </w:rPr>
        <w:t>接受投标人现场报名。投标人登录浙江政府采购网（http://zfcg.czt.zj.gov.cn/)进入政采云系统“项目采购”模块“获取采购文件”菜单，进行网上获取招标文件。（“政采云”注册账号、密码登录系统后获取采购文件）。</w:t>
      </w:r>
    </w:p>
    <w:p w14:paraId="029100AA">
      <w:pPr>
        <w:spacing w:line="56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3、免费注册网址：浙江政府采购网（投标人注册页面）:https://middle.zcygov.cn/“政采云”，咨询电话：</w:t>
      </w:r>
      <w:r>
        <w:rPr>
          <w:rFonts w:hint="eastAsia" w:ascii="仿宋" w:hAnsi="仿宋" w:eastAsia="仿宋" w:cs="仿宋"/>
          <w:color w:val="auto"/>
          <w:sz w:val="24"/>
          <w:highlight w:val="none"/>
          <w:lang w:val="en-US" w:eastAsia="zh-CN"/>
        </w:rPr>
        <w:t>95763</w:t>
      </w:r>
      <w:r>
        <w:rPr>
          <w:rFonts w:hint="eastAsia" w:ascii="仿宋" w:hAnsi="仿宋" w:eastAsia="仿宋" w:cs="仿宋"/>
          <w:color w:val="auto"/>
          <w:sz w:val="24"/>
          <w:highlight w:val="none"/>
        </w:rPr>
        <w:t>。已经注册成功的投标人无需重复注册</w:t>
      </w:r>
      <w:r>
        <w:rPr>
          <w:rFonts w:hint="eastAsia" w:ascii="仿宋" w:hAnsi="仿宋" w:eastAsia="仿宋" w:cs="仿宋"/>
          <w:color w:val="auto"/>
          <w:sz w:val="24"/>
          <w:highlight w:val="none"/>
          <w:lang w:eastAsia="zh-CN"/>
        </w:rPr>
        <w:t>。</w:t>
      </w:r>
    </w:p>
    <w:p w14:paraId="72AE2089">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七、投标文件的递交及相关事宜</w:t>
      </w:r>
    </w:p>
    <w:p w14:paraId="0826C162">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1、投标文件递交的截止时间（投标截止时间，下同）为</w:t>
      </w:r>
      <w:r>
        <w:rPr>
          <w:rFonts w:hint="eastAsia" w:ascii="仿宋" w:hAnsi="仿宋" w:eastAsia="仿宋" w:cs="仿宋"/>
          <w:color w:val="auto"/>
          <w:sz w:val="24"/>
          <w:highlight w:val="none"/>
          <w:shd w:val="pct10" w:color="auto" w:fill="FFFFFF"/>
        </w:rPr>
        <w:t>202</w:t>
      </w:r>
      <w:r>
        <w:rPr>
          <w:rFonts w:hint="eastAsia" w:ascii="仿宋" w:hAnsi="仿宋" w:eastAsia="仿宋" w:cs="仿宋"/>
          <w:color w:val="auto"/>
          <w:sz w:val="24"/>
          <w:highlight w:val="none"/>
          <w:shd w:val="pct10" w:color="auto" w:fill="FFFFFF"/>
          <w:lang w:val="en-US" w:eastAsia="zh-CN"/>
        </w:rPr>
        <w:t>5</w:t>
      </w:r>
      <w:r>
        <w:rPr>
          <w:rFonts w:hint="eastAsia" w:ascii="仿宋" w:hAnsi="仿宋" w:eastAsia="仿宋" w:cs="仿宋"/>
          <w:color w:val="auto"/>
          <w:sz w:val="24"/>
          <w:highlight w:val="none"/>
          <w:shd w:val="pct10" w:color="auto" w:fill="FFFFFF"/>
        </w:rPr>
        <w:t>年月日</w:t>
      </w:r>
      <w:r>
        <w:rPr>
          <w:rFonts w:hint="eastAsia" w:ascii="仿宋" w:hAnsi="仿宋" w:eastAsia="仿宋" w:cs="仿宋"/>
          <w:color w:val="auto"/>
          <w:sz w:val="24"/>
          <w:highlight w:val="none"/>
          <w:shd w:val="pct10" w:color="auto" w:fill="FFFFFF"/>
          <w:lang w:val="en-US" w:eastAsia="zh-CN"/>
        </w:rPr>
        <w:t>9</w:t>
      </w:r>
      <w:r>
        <w:rPr>
          <w:rFonts w:hint="eastAsia" w:ascii="仿宋" w:hAnsi="仿宋" w:eastAsia="仿宋" w:cs="仿宋"/>
          <w:color w:val="auto"/>
          <w:sz w:val="24"/>
          <w:highlight w:val="none"/>
          <w:shd w:val="pct10" w:color="auto" w:fill="FFFFFF"/>
          <w:lang w:eastAsia="zh-CN"/>
        </w:rPr>
        <w:t>:</w:t>
      </w:r>
      <w:r>
        <w:rPr>
          <w:rFonts w:hint="eastAsia" w:ascii="仿宋" w:hAnsi="仿宋" w:eastAsia="仿宋" w:cs="仿宋"/>
          <w:color w:val="auto"/>
          <w:sz w:val="24"/>
          <w:highlight w:val="none"/>
          <w:shd w:val="pct10" w:color="auto" w:fill="FFFFFF"/>
          <w:lang w:val="en-US" w:eastAsia="zh-CN"/>
        </w:rPr>
        <w:t>0</w:t>
      </w:r>
      <w:r>
        <w:rPr>
          <w:rFonts w:hint="eastAsia" w:ascii="仿宋" w:hAnsi="仿宋" w:eastAsia="仿宋" w:cs="仿宋"/>
          <w:color w:val="auto"/>
          <w:sz w:val="24"/>
          <w:highlight w:val="none"/>
          <w:shd w:val="pct10" w:color="auto" w:fill="FFFFFF"/>
          <w:lang w:eastAsia="zh-CN"/>
        </w:rPr>
        <w:t>0时</w:t>
      </w:r>
      <w:r>
        <w:rPr>
          <w:rFonts w:hint="eastAsia" w:ascii="仿宋" w:hAnsi="仿宋" w:eastAsia="仿宋" w:cs="仿宋"/>
          <w:color w:val="auto"/>
          <w:sz w:val="24"/>
          <w:highlight w:val="none"/>
          <w:shd w:val="pct10" w:color="auto" w:fill="FFFFFF"/>
        </w:rPr>
        <w:t>（北京时间）</w:t>
      </w:r>
      <w:r>
        <w:rPr>
          <w:rFonts w:hint="eastAsia" w:ascii="仿宋" w:hAnsi="仿宋" w:eastAsia="仿宋" w:cs="仿宋"/>
          <w:color w:val="auto"/>
          <w:sz w:val="24"/>
          <w:highlight w:val="none"/>
        </w:rPr>
        <w:t>。</w:t>
      </w:r>
    </w:p>
    <w:p w14:paraId="68D12874">
      <w:pPr>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2、投标文件递交方式：</w:t>
      </w:r>
    </w:p>
    <w:p w14:paraId="646BD4DE">
      <w:pPr>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(1)电子投标文件：按政采云平台项目采购-电子交易操作指南及本招标文件要求递交。投标人应于</w:t>
      </w:r>
      <w:r>
        <w:rPr>
          <w:rFonts w:hint="eastAsia" w:ascii="仿宋" w:hAnsi="仿宋" w:eastAsia="仿宋" w:cs="仿宋"/>
          <w:color w:val="auto"/>
          <w:sz w:val="24"/>
          <w:highlight w:val="none"/>
          <w:shd w:val="pct10" w:color="auto" w:fill="FFFFFF"/>
        </w:rPr>
        <w:t>20</w:t>
      </w:r>
      <w:r>
        <w:rPr>
          <w:rFonts w:hint="eastAsia" w:ascii="仿宋" w:hAnsi="仿宋" w:eastAsia="仿宋" w:cs="仿宋"/>
          <w:color w:val="auto"/>
          <w:sz w:val="24"/>
          <w:highlight w:val="none"/>
          <w:shd w:val="pct10" w:color="auto" w:fill="FFFFFF"/>
          <w:lang w:val="en-US" w:eastAsia="zh-CN"/>
        </w:rPr>
        <w:t>25</w:t>
      </w:r>
      <w:r>
        <w:rPr>
          <w:rFonts w:hint="eastAsia" w:ascii="仿宋" w:hAnsi="仿宋" w:eastAsia="仿宋" w:cs="仿宋"/>
          <w:color w:val="auto"/>
          <w:sz w:val="24"/>
          <w:highlight w:val="none"/>
          <w:shd w:val="pct10" w:color="auto" w:fill="FFFFFF"/>
        </w:rPr>
        <w:t>年月日</w:t>
      </w:r>
      <w:r>
        <w:rPr>
          <w:rFonts w:hint="eastAsia" w:ascii="仿宋" w:hAnsi="仿宋" w:eastAsia="仿宋" w:cs="仿宋"/>
          <w:color w:val="auto"/>
          <w:sz w:val="24"/>
          <w:highlight w:val="none"/>
          <w:shd w:val="pct10" w:color="auto" w:fill="FFFFFF"/>
          <w:lang w:val="en-US" w:eastAsia="zh-CN"/>
        </w:rPr>
        <w:t>9</w:t>
      </w:r>
      <w:r>
        <w:rPr>
          <w:rFonts w:hint="eastAsia" w:ascii="仿宋" w:hAnsi="仿宋" w:eastAsia="仿宋" w:cs="仿宋"/>
          <w:color w:val="auto"/>
          <w:sz w:val="24"/>
          <w:highlight w:val="none"/>
          <w:shd w:val="pct10" w:color="auto" w:fill="FFFFFF"/>
          <w:lang w:eastAsia="zh-CN"/>
        </w:rPr>
        <w:t>:</w:t>
      </w:r>
      <w:r>
        <w:rPr>
          <w:rFonts w:hint="eastAsia" w:ascii="仿宋" w:hAnsi="仿宋" w:eastAsia="仿宋" w:cs="仿宋"/>
          <w:color w:val="auto"/>
          <w:sz w:val="24"/>
          <w:highlight w:val="none"/>
          <w:shd w:val="pct10" w:color="auto" w:fill="FFFFFF"/>
          <w:lang w:val="en-US" w:eastAsia="zh-CN"/>
        </w:rPr>
        <w:t>0</w:t>
      </w:r>
      <w:r>
        <w:rPr>
          <w:rFonts w:hint="eastAsia" w:ascii="仿宋" w:hAnsi="仿宋" w:eastAsia="仿宋" w:cs="仿宋"/>
          <w:color w:val="auto"/>
          <w:sz w:val="24"/>
          <w:highlight w:val="none"/>
          <w:shd w:val="pct10" w:color="auto" w:fill="FFFFFF"/>
          <w:lang w:eastAsia="zh-CN"/>
        </w:rPr>
        <w:t>0时</w:t>
      </w:r>
      <w:r>
        <w:rPr>
          <w:rFonts w:hint="eastAsia" w:ascii="仿宋" w:hAnsi="仿宋" w:eastAsia="仿宋" w:cs="仿宋"/>
          <w:color w:val="auto"/>
          <w:sz w:val="24"/>
          <w:highlight w:val="none"/>
        </w:rPr>
        <w:t>(北京时间）前将加密的电子版投标文件上传到政采云系统中（不准时上传视为不参加）。</w:t>
      </w:r>
    </w:p>
    <w:p w14:paraId="208A782A">
      <w:pPr>
        <w:spacing w:line="5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kern w:val="0"/>
          <w:sz w:val="24"/>
          <w:highlight w:val="none"/>
        </w:rPr>
        <w:t xml:space="preserve"> 数据电子备份投标文件（U盘）：以U盘形式提供的数据电子备份投标文件格式及内容须与政采云平台项目采购-电子交易操作指南中制作、加密并递交的电子投标文件格式及内容一致。</w:t>
      </w:r>
      <w:r>
        <w:rPr>
          <w:rFonts w:hint="eastAsia" w:ascii="仿宋" w:hAnsi="仿宋" w:eastAsia="仿宋" w:cs="仿宋"/>
          <w:b/>
          <w:bCs/>
          <w:color w:val="auto"/>
          <w:kern w:val="0"/>
          <w:sz w:val="24"/>
          <w:highlight w:val="none"/>
        </w:rPr>
        <w:t>递交方式：</w:t>
      </w:r>
      <w:r>
        <w:rPr>
          <w:rFonts w:hint="eastAsia" w:ascii="仿宋" w:hAnsi="仿宋" w:eastAsia="仿宋" w:cs="仿宋"/>
          <w:color w:val="auto"/>
          <w:kern w:val="0"/>
          <w:sz w:val="24"/>
          <w:highlight w:val="none"/>
        </w:rPr>
        <w:t>数据电子备份投标文件（U盘）应通过邮寄快递方式送达（原则上邮寄公司统一采用</w:t>
      </w:r>
      <w:r>
        <w:rPr>
          <w:rFonts w:hint="eastAsia" w:ascii="仿宋" w:hAnsi="仿宋" w:eastAsia="仿宋" w:cs="仿宋"/>
          <w:color w:val="auto"/>
          <w:kern w:val="0"/>
          <w:sz w:val="24"/>
          <w:highlight w:val="none"/>
          <w:lang w:val="en-US" w:eastAsia="zh-CN"/>
        </w:rPr>
        <w:t>顺丰</w:t>
      </w:r>
      <w:r>
        <w:rPr>
          <w:rFonts w:hint="eastAsia" w:ascii="仿宋" w:hAnsi="仿宋" w:eastAsia="仿宋" w:cs="仿宋"/>
          <w:color w:val="auto"/>
          <w:kern w:val="0"/>
          <w:sz w:val="24"/>
          <w:highlight w:val="none"/>
        </w:rPr>
        <w:t>），邮寄地址为：</w:t>
      </w:r>
      <w:r>
        <w:rPr>
          <w:rFonts w:hint="eastAsia" w:ascii="仿宋" w:hAnsi="仿宋" w:eastAsia="仿宋" w:cs="仿宋"/>
          <w:color w:val="auto"/>
          <w:kern w:val="0"/>
          <w:sz w:val="24"/>
          <w:highlight w:val="none"/>
          <w:lang w:eastAsia="zh-CN"/>
        </w:rPr>
        <w:t>浙江新诚信工程咨询有限公司</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湖州市太湖路1155号</w:t>
      </w:r>
      <w:r>
        <w:rPr>
          <w:rFonts w:hint="eastAsia" w:ascii="仿宋" w:hAnsi="仿宋" w:eastAsia="仿宋" w:cs="仿宋"/>
          <w:color w:val="auto"/>
          <w:sz w:val="24"/>
          <w:highlight w:val="none"/>
          <w:lang w:val="en-US" w:eastAsia="zh-CN"/>
        </w:rPr>
        <w:t>14楼1402</w:t>
      </w:r>
      <w:r>
        <w:rPr>
          <w:rFonts w:hint="eastAsia" w:ascii="仿宋" w:hAnsi="仿宋" w:eastAsia="仿宋" w:cs="仿宋"/>
          <w:color w:val="auto"/>
          <w:sz w:val="24"/>
          <w:highlight w:val="none"/>
        </w:rPr>
        <w:t>室</w:t>
      </w:r>
      <w:r>
        <w:rPr>
          <w:rFonts w:hint="eastAsia" w:ascii="仿宋" w:hAnsi="仿宋" w:eastAsia="仿宋" w:cs="仿宋"/>
          <w:color w:val="auto"/>
          <w:kern w:val="0"/>
          <w:sz w:val="24"/>
          <w:highlight w:val="none"/>
        </w:rPr>
        <w:t>]，联系电话：</w:t>
      </w:r>
      <w:r>
        <w:rPr>
          <w:rFonts w:hint="eastAsia" w:ascii="仿宋" w:hAnsi="仿宋" w:eastAsia="仿宋" w:cs="仿宋"/>
          <w:color w:val="auto"/>
          <w:kern w:val="0"/>
          <w:sz w:val="24"/>
          <w:highlight w:val="none"/>
          <w:lang w:val="en-US" w:eastAsia="zh-CN"/>
        </w:rPr>
        <w:t>18768247439</w:t>
      </w:r>
      <w:r>
        <w:rPr>
          <w:rFonts w:hint="eastAsia" w:ascii="仿宋" w:hAnsi="仿宋" w:eastAsia="仿宋" w:cs="仿宋"/>
          <w:color w:val="auto"/>
          <w:kern w:val="0"/>
          <w:sz w:val="24"/>
          <w:highlight w:val="none"/>
        </w:rPr>
        <w:t>。邮寄截止时间：投标人应于202</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年月日17:00时前准时送达，逾期不予受理。投标人须留足投标文件邮寄时间,确保数据电子备份投标文件（U盘）于规定的时间前送达指定地点，未按时送达的，均按未提供处理。</w:t>
      </w:r>
    </w:p>
    <w:p w14:paraId="11D55607">
      <w:pPr>
        <w:widowControl/>
        <w:spacing w:line="540" w:lineRule="exact"/>
        <w:ind w:left="44" w:leftChars="21" w:right="60" w:firstLine="482" w:firstLineChars="200"/>
        <w:jc w:val="left"/>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注：（1）投标人应权衡利弊考虑是否提供数据电子备份投标文件（U盘），</w:t>
      </w:r>
      <w:r>
        <w:rPr>
          <w:rFonts w:hint="eastAsia" w:ascii="仿宋" w:hAnsi="仿宋" w:eastAsia="仿宋" w:cs="仿宋"/>
          <w:b/>
          <w:color w:val="auto"/>
          <w:kern w:val="0"/>
          <w:sz w:val="24"/>
          <w:highlight w:val="none"/>
          <w:lang w:eastAsia="zh-CN"/>
        </w:rPr>
        <w:t>采购人</w:t>
      </w:r>
      <w:r>
        <w:rPr>
          <w:rFonts w:hint="eastAsia" w:ascii="仿宋" w:hAnsi="仿宋" w:eastAsia="仿宋" w:cs="仿宋"/>
          <w:b/>
          <w:color w:val="auto"/>
          <w:kern w:val="0"/>
          <w:sz w:val="24"/>
          <w:highlight w:val="none"/>
        </w:rPr>
        <w:t>及采购代理机构不做强制性要求，若因下一条款（第3条）原因须启用数据电子备份投标文件（U盘）时，而投标人未提供的，视为放弃投标资格，作</w:t>
      </w:r>
      <w:r>
        <w:rPr>
          <w:rFonts w:hint="eastAsia" w:ascii="仿宋" w:hAnsi="仿宋" w:eastAsia="仿宋" w:cs="仿宋"/>
          <w:b/>
          <w:color w:val="auto"/>
          <w:kern w:val="0"/>
          <w:sz w:val="24"/>
          <w:highlight w:val="none"/>
          <w:lang w:eastAsia="zh-CN"/>
        </w:rPr>
        <w:t>未递交投标文件处理</w:t>
      </w:r>
      <w:r>
        <w:rPr>
          <w:rFonts w:hint="eastAsia" w:ascii="仿宋" w:hAnsi="仿宋" w:eastAsia="仿宋" w:cs="仿宋"/>
          <w:b/>
          <w:color w:val="auto"/>
          <w:kern w:val="0"/>
          <w:sz w:val="24"/>
          <w:highlight w:val="none"/>
        </w:rPr>
        <w:t>；（2）投标人应对提供的数据电子备份投标文件（U盘）进行加密处理，若需要启用数据电子备份投标文件（U盘）时，由</w:t>
      </w:r>
      <w:r>
        <w:rPr>
          <w:rFonts w:hint="eastAsia" w:ascii="仿宋" w:hAnsi="仿宋" w:eastAsia="仿宋" w:cs="仿宋"/>
          <w:b/>
          <w:color w:val="auto"/>
          <w:kern w:val="0"/>
          <w:sz w:val="24"/>
          <w:highlight w:val="none"/>
          <w:lang w:eastAsia="zh-CN"/>
        </w:rPr>
        <w:t>采购人</w:t>
      </w:r>
      <w:r>
        <w:rPr>
          <w:rFonts w:hint="eastAsia" w:ascii="仿宋" w:hAnsi="仿宋" w:eastAsia="仿宋" w:cs="仿宋"/>
          <w:b/>
          <w:color w:val="auto"/>
          <w:kern w:val="0"/>
          <w:sz w:val="24"/>
          <w:highlight w:val="none"/>
        </w:rPr>
        <w:t>或采购代理机构启封并进行解密；（3）若投标人未提供数据电子备份投标文件（U盘），招标公告及招标文件中关于数据电子备份投标文件（U盘）的要求及内容不再适用。</w:t>
      </w:r>
    </w:p>
    <w:p w14:paraId="179657D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3、CA锁解密时间为开标当日投标截止时间后</w:t>
      </w:r>
      <w:r>
        <w:rPr>
          <w:rFonts w:hint="eastAsia" w:ascii="仿宋" w:hAnsi="仿宋" w:eastAsia="仿宋" w:cs="仿宋"/>
          <w:color w:val="auto"/>
          <w:sz w:val="24"/>
          <w:highlight w:val="none"/>
          <w:shd w:val="pct10" w:color="auto" w:fill="FFFFFF"/>
        </w:rPr>
        <w:t>30分钟内</w:t>
      </w:r>
      <w:r>
        <w:rPr>
          <w:rFonts w:hint="eastAsia" w:ascii="仿宋" w:hAnsi="仿宋" w:eastAsia="仿宋" w:cs="仿宋"/>
          <w:color w:val="auto"/>
          <w:sz w:val="24"/>
          <w:highlight w:val="none"/>
        </w:rPr>
        <w:t>。投标截止时间止未完成上传的电子投标文件作</w:t>
      </w:r>
      <w:r>
        <w:rPr>
          <w:rFonts w:hint="eastAsia" w:ascii="仿宋" w:hAnsi="仿宋" w:eastAsia="仿宋" w:cs="仿宋"/>
          <w:color w:val="auto"/>
          <w:sz w:val="24"/>
          <w:highlight w:val="none"/>
          <w:lang w:eastAsia="zh-CN"/>
        </w:rPr>
        <w:t>未递交投标文件处理</w:t>
      </w:r>
      <w:r>
        <w:rPr>
          <w:rFonts w:hint="eastAsia" w:ascii="仿宋" w:hAnsi="仿宋" w:eastAsia="仿宋" w:cs="仿宋"/>
          <w:color w:val="auto"/>
          <w:sz w:val="24"/>
          <w:highlight w:val="none"/>
        </w:rPr>
        <w:t>；未按招标文件要求密封、包装的数据电子备份投标文件（U 盘）将拒绝接收。整个开标过程中若因投标人问题造成电子投标文件无法正常解密的，均认定为未提交电子投标文件，作</w:t>
      </w:r>
      <w:r>
        <w:rPr>
          <w:rFonts w:hint="eastAsia" w:ascii="仿宋" w:hAnsi="仿宋" w:eastAsia="仿宋" w:cs="仿宋"/>
          <w:color w:val="auto"/>
          <w:sz w:val="24"/>
          <w:highlight w:val="none"/>
          <w:lang w:eastAsia="zh-CN"/>
        </w:rPr>
        <w:t>未递交投标文件处理</w:t>
      </w:r>
      <w:r>
        <w:rPr>
          <w:rFonts w:hint="eastAsia" w:ascii="仿宋" w:hAnsi="仿宋" w:eastAsia="仿宋" w:cs="仿宋"/>
          <w:color w:val="auto"/>
          <w:sz w:val="24"/>
          <w:highlight w:val="none"/>
        </w:rPr>
        <w:t>。若因网络或者其他非投标人问题造成电子投标文件无法正常解密的，启用数据电子备份投标文件（U 盘），因投标人自身原因造成数据电子备份投标文件（U 盘）无法打开的，作</w:t>
      </w:r>
      <w:r>
        <w:rPr>
          <w:rFonts w:hint="eastAsia" w:ascii="仿宋" w:hAnsi="仿宋" w:eastAsia="仿宋" w:cs="仿宋"/>
          <w:color w:val="auto"/>
          <w:sz w:val="24"/>
          <w:highlight w:val="none"/>
          <w:lang w:eastAsia="zh-CN"/>
        </w:rPr>
        <w:t>未递交投标文件处理</w:t>
      </w:r>
      <w:r>
        <w:rPr>
          <w:rFonts w:hint="eastAsia" w:ascii="仿宋" w:hAnsi="仿宋" w:eastAsia="仿宋" w:cs="仿宋"/>
          <w:color w:val="auto"/>
          <w:sz w:val="24"/>
          <w:highlight w:val="none"/>
        </w:rPr>
        <w:t>。若正常解密成功，则数据电子备份投标文件（U 盘）不予开启。</w:t>
      </w:r>
    </w:p>
    <w:p w14:paraId="782CA85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投标人须在线获取CA数字证书（完成CA数字证书办理预计一周左右，建议各投标人自行把握时间）,办理流程详见https://service.zcygov.cn/，并登陆“浙江省政府采购网”（http://zfcg.czt.zj.gov.cn/),进入“下载专区”下载“电子交易客户端”，制作投标文件。</w:t>
      </w:r>
    </w:p>
    <w:p w14:paraId="33A6B9D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5、投标人将加密的电子版投标文件于投标截止时间前上传到政采云系统中。</w:t>
      </w:r>
    </w:p>
    <w:p w14:paraId="6FF4F0C0">
      <w:pPr>
        <w:spacing w:line="5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6、具体的投标文件加密上传等操作详见政采云平台操作指南。（下载网址：https://service.zcygov.cn</w:t>
      </w:r>
      <w:r>
        <w:rPr>
          <w:rFonts w:hint="eastAsia" w:ascii="仿宋" w:hAnsi="仿宋" w:eastAsia="仿宋" w:cs="仿宋"/>
          <w:color w:val="auto"/>
          <w:sz w:val="24"/>
          <w:highlight w:val="none"/>
          <w:lang w:eastAsia="zh-CN"/>
        </w:rPr>
        <w:t>）</w:t>
      </w:r>
    </w:p>
    <w:p w14:paraId="6D888FEF">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八、投标地址： </w:t>
      </w:r>
    </w:p>
    <w:p w14:paraId="45B2060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1、本项目通过“政府采购云平台（www.zcygov.cn）”实行在线投标响应（电子投标）。 </w:t>
      </w:r>
    </w:p>
    <w:p w14:paraId="62582A2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2、投标人应当在投标截止时间前，将“电子加密投标文件”上传递交至“政府采购云平台”实行在线投标响应。投标截止时间以后上传递交的投标文件将被“政府采购云平台”拒收，作</w:t>
      </w:r>
      <w:r>
        <w:rPr>
          <w:rFonts w:hint="eastAsia" w:ascii="仿宋" w:hAnsi="仿宋" w:eastAsia="仿宋" w:cs="仿宋"/>
          <w:color w:val="auto"/>
          <w:sz w:val="24"/>
          <w:highlight w:val="none"/>
          <w:lang w:eastAsia="zh-CN"/>
        </w:rPr>
        <w:t>未递交投标文件处理</w:t>
      </w:r>
      <w:r>
        <w:rPr>
          <w:rFonts w:hint="eastAsia" w:ascii="仿宋" w:hAnsi="仿宋" w:eastAsia="仿宋" w:cs="仿宋"/>
          <w:color w:val="auto"/>
          <w:sz w:val="24"/>
          <w:highlight w:val="none"/>
        </w:rPr>
        <w:t xml:space="preserve">。 </w:t>
      </w:r>
    </w:p>
    <w:p w14:paraId="724724D3">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九、开标时间：202</w:t>
      </w: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年月日</w:t>
      </w:r>
      <w:r>
        <w:rPr>
          <w:rFonts w:hint="eastAsia" w:ascii="仿宋" w:hAnsi="仿宋" w:eastAsia="仿宋" w:cs="仿宋"/>
          <w:b/>
          <w:color w:val="auto"/>
          <w:sz w:val="24"/>
          <w:highlight w:val="none"/>
          <w:lang w:val="en-US" w:eastAsia="zh-CN"/>
        </w:rPr>
        <w:t>9</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0</w:t>
      </w:r>
      <w:r>
        <w:rPr>
          <w:rFonts w:hint="eastAsia" w:ascii="仿宋" w:hAnsi="仿宋" w:eastAsia="仿宋" w:cs="仿宋"/>
          <w:b/>
          <w:color w:val="auto"/>
          <w:sz w:val="24"/>
          <w:highlight w:val="none"/>
          <w:lang w:eastAsia="zh-CN"/>
        </w:rPr>
        <w:t>0时</w:t>
      </w:r>
      <w:r>
        <w:rPr>
          <w:rFonts w:hint="eastAsia" w:ascii="仿宋" w:hAnsi="仿宋" w:eastAsia="仿宋" w:cs="仿宋"/>
          <w:b/>
          <w:color w:val="auto"/>
          <w:sz w:val="24"/>
          <w:highlight w:val="none"/>
        </w:rPr>
        <w:t xml:space="preserve">整 </w:t>
      </w:r>
    </w:p>
    <w:p w14:paraId="0BD4547D">
      <w:pPr>
        <w:spacing w:line="500" w:lineRule="exact"/>
        <w:ind w:firstLine="482" w:firstLineChars="200"/>
        <w:rPr>
          <w:rFonts w:ascii="仿宋" w:hAnsi="仿宋" w:eastAsia="仿宋"/>
          <w:color w:val="auto"/>
          <w:sz w:val="24"/>
          <w:highlight w:val="none"/>
        </w:rPr>
      </w:pPr>
      <w:r>
        <w:rPr>
          <w:rFonts w:hint="eastAsia" w:ascii="仿宋" w:hAnsi="仿宋" w:eastAsia="仿宋" w:cs="仿宋"/>
          <w:b/>
          <w:color w:val="auto"/>
          <w:sz w:val="24"/>
          <w:highlight w:val="none"/>
        </w:rPr>
        <w:t>十、开标地址：</w:t>
      </w:r>
      <w:r>
        <w:rPr>
          <w:rFonts w:hint="eastAsia" w:ascii="仿宋" w:hAnsi="仿宋" w:eastAsia="仿宋"/>
          <w:color w:val="auto"/>
          <w:sz w:val="24"/>
          <w:highlight w:val="none"/>
        </w:rPr>
        <w:t>湖州市公共资源交易中心（湖州市仁皇山片区金盖山路</w:t>
      </w:r>
      <w:r>
        <w:rPr>
          <w:rFonts w:ascii="仿宋" w:hAnsi="仿宋" w:eastAsia="仿宋"/>
          <w:color w:val="auto"/>
          <w:sz w:val="24"/>
          <w:highlight w:val="none"/>
        </w:rPr>
        <w:t>66</w:t>
      </w:r>
      <w:r>
        <w:rPr>
          <w:rFonts w:hint="eastAsia" w:ascii="仿宋" w:hAnsi="仿宋" w:eastAsia="仿宋"/>
          <w:color w:val="auto"/>
          <w:sz w:val="24"/>
          <w:highlight w:val="none"/>
        </w:rPr>
        <w:t>号</w:t>
      </w:r>
      <w:r>
        <w:rPr>
          <w:rFonts w:ascii="仿宋" w:hAnsi="仿宋" w:eastAsia="仿宋"/>
          <w:color w:val="auto"/>
          <w:sz w:val="24"/>
          <w:highlight w:val="none"/>
        </w:rPr>
        <w:t>2</w:t>
      </w:r>
      <w:r>
        <w:rPr>
          <w:rFonts w:hint="eastAsia" w:ascii="仿宋" w:hAnsi="仿宋" w:eastAsia="仿宋"/>
          <w:color w:val="auto"/>
          <w:sz w:val="24"/>
          <w:highlight w:val="none"/>
        </w:rPr>
        <w:t>号楼二楼开标室，届时详见二楼休息区电子显示屏），投标人应在投标截止时间前登入“政府采购云平台（</w:t>
      </w:r>
      <w:r>
        <w:rPr>
          <w:rFonts w:ascii="仿宋" w:hAnsi="仿宋" w:eastAsia="仿宋"/>
          <w:color w:val="auto"/>
          <w:sz w:val="24"/>
          <w:highlight w:val="none"/>
        </w:rPr>
        <w:t>www.zcygov.cn</w:t>
      </w:r>
      <w:r>
        <w:rPr>
          <w:rFonts w:hint="eastAsia" w:ascii="仿宋" w:hAnsi="仿宋" w:eastAsia="仿宋"/>
          <w:color w:val="auto"/>
          <w:sz w:val="24"/>
          <w:highlight w:val="none"/>
        </w:rPr>
        <w:t>）”在线参与开标，并完成</w:t>
      </w:r>
      <w:r>
        <w:rPr>
          <w:rFonts w:ascii="仿宋" w:hAnsi="仿宋" w:eastAsia="仿宋"/>
          <w:color w:val="auto"/>
          <w:sz w:val="24"/>
          <w:highlight w:val="none"/>
        </w:rPr>
        <w:t xml:space="preserve"> CA </w:t>
      </w:r>
      <w:r>
        <w:rPr>
          <w:rFonts w:hint="eastAsia" w:ascii="仿宋" w:hAnsi="仿宋" w:eastAsia="仿宋"/>
          <w:color w:val="auto"/>
          <w:sz w:val="24"/>
          <w:highlight w:val="none"/>
        </w:rPr>
        <w:t>锁在线解密投标文件等相关工作。</w:t>
      </w:r>
    </w:p>
    <w:p w14:paraId="0300EBBE">
      <w:pPr>
        <w:spacing w:line="560" w:lineRule="exact"/>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十</w:t>
      </w:r>
      <w:r>
        <w:rPr>
          <w:rFonts w:hint="eastAsia" w:ascii="仿宋" w:hAnsi="仿宋" w:eastAsia="仿宋" w:cs="仿宋"/>
          <w:b/>
          <w:color w:val="auto"/>
          <w:sz w:val="24"/>
          <w:highlight w:val="none"/>
          <w:lang w:eastAsia="zh-CN"/>
        </w:rPr>
        <w:t>一</w:t>
      </w:r>
      <w:r>
        <w:rPr>
          <w:rFonts w:hint="eastAsia" w:ascii="仿宋" w:hAnsi="仿宋" w:eastAsia="仿宋" w:cs="仿宋"/>
          <w:b/>
          <w:color w:val="auto"/>
          <w:sz w:val="24"/>
          <w:highlight w:val="none"/>
        </w:rPr>
        <w:t>、其他事项：</w:t>
      </w:r>
    </w:p>
    <w:p w14:paraId="12CCA6A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为电子招投标项目，实行网上招投标，应按照本招标文件及政采云平台的要求编制、加密并要求投标人通过政采云系统在线投标响应，投标截止时间前须完成电子投标文件的上传，同时投标人须使用在线投标响应文件时所用的 CA 锁，投标人在使用系统进行投标的过程中遇到涉及平台使用的任何问题，可致电政采云平台技术支持热线咨询，联系方式：</w:t>
      </w:r>
      <w:r>
        <w:rPr>
          <w:rFonts w:hint="eastAsia" w:ascii="仿宋" w:hAnsi="仿宋" w:eastAsia="仿宋" w:cs="仿宋"/>
          <w:color w:val="auto"/>
          <w:sz w:val="24"/>
          <w:highlight w:val="none"/>
          <w:lang w:val="en-US" w:eastAsia="zh-CN"/>
        </w:rPr>
        <w:t>95763</w:t>
      </w:r>
      <w:r>
        <w:rPr>
          <w:rFonts w:hint="eastAsia" w:ascii="仿宋" w:hAnsi="仿宋" w:eastAsia="仿宋" w:cs="仿宋"/>
          <w:color w:val="auto"/>
          <w:sz w:val="24"/>
          <w:highlight w:val="none"/>
        </w:rPr>
        <w:t xml:space="preserve">。 </w:t>
      </w:r>
    </w:p>
    <w:p w14:paraId="7CE303F3">
      <w:pPr>
        <w:keepNext w:val="0"/>
        <w:keepLines w:val="0"/>
        <w:pageBreakBefore w:val="0"/>
        <w:kinsoku/>
        <w:overflowPunct/>
        <w:topLinePunct w:val="0"/>
        <w:autoSpaceDE/>
        <w:autoSpaceDN/>
        <w:bidi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本项目公告期限为自本公告发布之日起5个工作日。投标人如认为采购文件使自己的权益受到损害的，可以自获取采购文件之日或者采购文件公告期限届满之日（公告期限届满后获取采购文件的，以公告期限届满之日为准）起7个工作日内，以书面形式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、采购代理机构提出质疑，根据《中华人民共和国财政部令第 94 号-政府采购质疑和投诉办法》第十条第二款规定，投标人在法定质疑期内须一次性提出针对同一采购程序环节的质疑，否则采购代理机构有权拒绝第一次质疑以外其他所有质疑。质疑投标人对</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、采购代理机构的答复不满意或者</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 xml:space="preserve">、采购代理机构未在规定的时间内作出答复的，可以在答复期满后十五个工作日内向同级政府采购监督管理部门投诉。质疑函范本、投诉书范本请到浙江政府采购网下载专区下载。 </w:t>
      </w:r>
    </w:p>
    <w:p w14:paraId="3857B76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3、潜在投标人已依法获取其可质疑的招标文件，可以对该文件提出质疑。未按照规定方式依法获取招标文件的，不得对招标文件提起质疑投诉。 </w:t>
      </w:r>
    </w:p>
    <w:p w14:paraId="6BA020F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4、答疑内容是招标文件的组成部分，并将在网上发布补充（答疑、澄清）文件，潜在投标人应自行关注网站公告，</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 xml:space="preserve">不再一一通知，投标人因自身贻误行为导致投标失效的，责任自负。  </w:t>
      </w:r>
    </w:p>
    <w:p w14:paraId="08A1371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5、参与政府采购项目的注册投标人，需登录浙江政府采购云平台 （http://www.zcygov.cn）进行网上报名，尚未注册的投标人应当先在浙江政府采购云平台上申请注册，注册终审通过后再进行网上报名。 </w:t>
      </w:r>
    </w:p>
    <w:p w14:paraId="158E6D8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6、为有效破解当前中小微企业面临的“融资难、融资贵”困局，充分发挥好政府采购扶持小微企业发展的政策功能，本项目中标人可凭中标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  </w:t>
      </w:r>
    </w:p>
    <w:p w14:paraId="74EA832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、本项目采购标的对应的中小企业划分标准所属行业为：其他未列明行业。</w:t>
      </w:r>
    </w:p>
    <w:p w14:paraId="2673E9D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本项目公告发布网站：浙江政府采购网：http://zfcg.czt.zj.gov.cn/ 、湖州市公共资源交易信息网：http://ggzyjy.huzhou.gov.cn/</w:t>
      </w:r>
    </w:p>
    <w:p w14:paraId="557C373E">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w:t>
      </w:r>
      <w:r>
        <w:rPr>
          <w:rFonts w:hint="eastAsia" w:ascii="仿宋" w:hAnsi="仿宋" w:eastAsia="仿宋" w:cs="仿宋"/>
          <w:b/>
          <w:color w:val="auto"/>
          <w:sz w:val="24"/>
          <w:highlight w:val="none"/>
          <w:lang w:val="en-US" w:eastAsia="zh-CN"/>
        </w:rPr>
        <w:t>二</w:t>
      </w:r>
      <w:r>
        <w:rPr>
          <w:rFonts w:hint="eastAsia" w:ascii="仿宋" w:hAnsi="仿宋" w:eastAsia="仿宋" w:cs="仿宋"/>
          <w:b/>
          <w:color w:val="auto"/>
          <w:sz w:val="24"/>
          <w:highlight w:val="none"/>
        </w:rPr>
        <w:t>、联系方式：</w:t>
      </w:r>
    </w:p>
    <w:p w14:paraId="11E4765B">
      <w:pPr>
        <w:spacing w:line="56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1、采购代理机构名称：</w:t>
      </w:r>
      <w:r>
        <w:rPr>
          <w:rFonts w:hint="eastAsia" w:ascii="仿宋" w:hAnsi="仿宋" w:eastAsia="仿宋" w:cs="仿宋"/>
          <w:color w:val="auto"/>
          <w:sz w:val="24"/>
          <w:highlight w:val="none"/>
          <w:lang w:eastAsia="zh-CN"/>
        </w:rPr>
        <w:t>浙江新诚信工程咨询有限公司</w:t>
      </w:r>
    </w:p>
    <w:p w14:paraId="30B92755">
      <w:pPr>
        <w:spacing w:line="56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val="en-US" w:eastAsia="zh-CN"/>
        </w:rPr>
        <w:t>郭婷</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lang w:val="en-US" w:eastAsia="zh-CN"/>
        </w:rPr>
        <w:t>18768247439</w:t>
      </w:r>
    </w:p>
    <w:p w14:paraId="46B5D7AB">
      <w:pPr>
        <w:keepNext w:val="0"/>
        <w:keepLines w:val="0"/>
        <w:pageBreakBefore w:val="0"/>
        <w:kinsoku/>
        <w:wordWrap/>
        <w:overflowPunct/>
        <w:topLinePunct w:val="0"/>
        <w:autoSpaceDE/>
        <w:autoSpaceDN/>
        <w:bidi w:val="0"/>
        <w:adjustRightInd/>
        <w:snapToGrid w:val="0"/>
        <w:spacing w:line="5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质疑函接收人：</w:t>
      </w:r>
      <w:r>
        <w:rPr>
          <w:rFonts w:hint="eastAsia" w:ascii="仿宋" w:hAnsi="仿宋" w:eastAsia="仿宋" w:cs="仿宋"/>
          <w:color w:val="auto"/>
          <w:sz w:val="24"/>
          <w:highlight w:val="none"/>
          <w:lang w:val="en-US" w:eastAsia="zh-CN"/>
        </w:rPr>
        <w:t>赵丽娅</w:t>
      </w:r>
      <w:r>
        <w:rPr>
          <w:rFonts w:hint="eastAsia" w:ascii="仿宋" w:hAnsi="仿宋" w:eastAsia="仿宋" w:cs="仿宋"/>
          <w:color w:val="auto"/>
          <w:sz w:val="24"/>
          <w:highlight w:val="none"/>
        </w:rPr>
        <w:t xml:space="preserve">      联系电话：</w:t>
      </w:r>
      <w:r>
        <w:rPr>
          <w:rFonts w:hint="eastAsia" w:ascii="仿宋" w:hAnsi="仿宋" w:eastAsia="仿宋" w:cs="仿宋"/>
          <w:b w:val="0"/>
          <w:bCs w:val="0"/>
          <w:color w:val="auto"/>
          <w:sz w:val="24"/>
          <w:szCs w:val="24"/>
          <w:highlight w:val="none"/>
        </w:rPr>
        <w:t>0572-2051833</w:t>
      </w:r>
    </w:p>
    <w:p w14:paraId="0D1D1152">
      <w:pPr>
        <w:snapToGrid w:val="0"/>
        <w:spacing w:line="5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地址：湖州市太湖路1155号中新商务大厦</w:t>
      </w:r>
      <w:r>
        <w:rPr>
          <w:rFonts w:hint="eastAsia" w:ascii="仿宋" w:hAnsi="仿宋" w:eastAsia="仿宋" w:cs="仿宋"/>
          <w:color w:val="auto"/>
          <w:sz w:val="24"/>
          <w:highlight w:val="none"/>
          <w:lang w:val="en-US" w:eastAsia="zh-CN"/>
        </w:rPr>
        <w:t>14楼1402室</w:t>
      </w:r>
    </w:p>
    <w:p w14:paraId="65751979">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2、采购人名称：</w:t>
      </w:r>
      <w:r>
        <w:rPr>
          <w:rFonts w:hint="eastAsia" w:ascii="仿宋" w:hAnsi="仿宋" w:eastAsia="仿宋" w:cs="仿宋"/>
          <w:color w:val="auto"/>
          <w:sz w:val="24"/>
          <w:highlight w:val="none"/>
          <w:lang w:eastAsia="zh-CN"/>
        </w:rPr>
        <w:t xml:space="preserve">湖州南太湖新区公用事业管理中心 </w:t>
      </w:r>
      <w:r>
        <w:rPr>
          <w:rFonts w:hint="eastAsia" w:ascii="仿宋" w:hAnsi="仿宋" w:eastAsia="仿宋" w:cs="仿宋"/>
          <w:color w:val="auto"/>
          <w:sz w:val="24"/>
          <w:highlight w:val="none"/>
        </w:rPr>
        <w:t xml:space="preserve">                  </w:t>
      </w:r>
    </w:p>
    <w:p w14:paraId="2CF02EF4">
      <w:pPr>
        <w:pStyle w:val="34"/>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联系人：</w:t>
      </w:r>
      <w:r>
        <w:rPr>
          <w:rFonts w:hint="eastAsia" w:ascii="仿宋" w:hAnsi="仿宋" w:eastAsia="仿宋" w:cs="仿宋"/>
          <w:color w:val="auto"/>
          <w:kern w:val="0"/>
          <w:sz w:val="24"/>
          <w:szCs w:val="24"/>
          <w:highlight w:val="none"/>
        </w:rPr>
        <w:t>朱</w:t>
      </w:r>
      <w:r>
        <w:rPr>
          <w:rFonts w:hint="eastAsia" w:ascii="仿宋" w:hAnsi="仿宋" w:eastAsia="仿宋" w:cs="仿宋"/>
          <w:color w:val="auto"/>
          <w:kern w:val="0"/>
          <w:sz w:val="24"/>
          <w:szCs w:val="24"/>
          <w:highlight w:val="none"/>
          <w:lang w:val="en-US" w:eastAsia="zh-CN"/>
        </w:rPr>
        <w:t>晓峰</w:t>
      </w:r>
      <w:r>
        <w:rPr>
          <w:rFonts w:hint="eastAsia" w:ascii="仿宋" w:hAnsi="仿宋" w:eastAsia="仿宋" w:cs="仿宋"/>
          <w:color w:val="auto"/>
          <w:kern w:val="2"/>
          <w:sz w:val="24"/>
          <w:szCs w:val="24"/>
          <w:highlight w:val="none"/>
          <w:lang w:val="en-US" w:eastAsia="zh-CN" w:bidi="ar-SA"/>
        </w:rPr>
        <w:t xml:space="preserve">            联系电话：0572-2110206</w:t>
      </w:r>
    </w:p>
    <w:p w14:paraId="75E28069">
      <w:pPr>
        <w:snapToGrid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3、政府采购行政监管及投诉受理部门：湖州市财政局政府采购监管处</w:t>
      </w:r>
    </w:p>
    <w:p w14:paraId="47D6A33D">
      <w:pPr>
        <w:snapToGrid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联系人：程先生         联系电话：0572-2150216</w:t>
      </w:r>
    </w:p>
    <w:p w14:paraId="644F56FE">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地址：湖州市龙王山路</w:t>
      </w:r>
      <w:r>
        <w:rPr>
          <w:rFonts w:ascii="仿宋" w:hAnsi="仿宋" w:eastAsia="仿宋" w:cs="仿宋"/>
          <w:color w:val="auto"/>
          <w:sz w:val="24"/>
          <w:highlight w:val="none"/>
        </w:rPr>
        <w:t>518</w:t>
      </w:r>
      <w:r>
        <w:rPr>
          <w:rFonts w:hint="eastAsia" w:ascii="仿宋" w:hAnsi="仿宋" w:eastAsia="仿宋" w:cs="仿宋"/>
          <w:color w:val="auto"/>
          <w:sz w:val="24"/>
          <w:highlight w:val="none"/>
        </w:rPr>
        <w:t>号</w:t>
      </w:r>
    </w:p>
    <w:p w14:paraId="2915B9F7">
      <w:pPr>
        <w:pStyle w:val="4"/>
        <w:keepNext w:val="0"/>
        <w:pageBreakBefore/>
        <w:spacing w:line="360" w:lineRule="auto"/>
        <w:rPr>
          <w:rFonts w:hint="eastAsia" w:ascii="仿宋" w:hAnsi="仿宋" w:eastAsia="仿宋" w:cs="仿宋"/>
          <w:color w:val="auto"/>
          <w:sz w:val="32"/>
          <w:highlight w:val="none"/>
        </w:rPr>
      </w:pPr>
      <w:r>
        <w:rPr>
          <w:rFonts w:hint="eastAsia" w:ascii="仿宋" w:hAnsi="仿宋" w:eastAsia="仿宋" w:cs="仿宋"/>
          <w:color w:val="auto"/>
          <w:sz w:val="32"/>
          <w:highlight w:val="none"/>
        </w:rPr>
        <w:t>第二章</w:t>
      </w:r>
      <w:r>
        <w:rPr>
          <w:rFonts w:hint="eastAsia" w:ascii="仿宋" w:hAnsi="仿宋" w:eastAsia="仿宋" w:cs="仿宋"/>
          <w:color w:val="auto"/>
          <w:sz w:val="32"/>
          <w:highlight w:val="none"/>
          <w:lang w:val="en-US" w:eastAsia="zh-CN"/>
        </w:rPr>
        <w:t xml:space="preserve">  </w:t>
      </w:r>
      <w:r>
        <w:rPr>
          <w:rFonts w:hint="eastAsia" w:ascii="仿宋" w:hAnsi="仿宋" w:eastAsia="仿宋" w:cs="仿宋"/>
          <w:color w:val="auto"/>
          <w:sz w:val="32"/>
          <w:highlight w:val="none"/>
        </w:rPr>
        <w:t>招标需求</w:t>
      </w:r>
    </w:p>
    <w:p w14:paraId="1BFDF641">
      <w:pPr>
        <w:keepNext w:val="0"/>
        <w:keepLines w:val="0"/>
        <w:pageBreakBefore w:val="0"/>
        <w:widowControl/>
        <w:kinsoku/>
        <w:wordWrap/>
        <w:overflowPunct/>
        <w:topLinePunct w:val="0"/>
        <w:autoSpaceDE/>
        <w:bidi w:val="0"/>
        <w:adjustRightInd/>
        <w:spacing w:line="500" w:lineRule="exact"/>
        <w:jc w:val="lef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一、项目</w:t>
      </w:r>
      <w:r>
        <w:rPr>
          <w:rFonts w:hint="eastAsia" w:ascii="仿宋" w:hAnsi="仿宋" w:eastAsia="仿宋" w:cs="仿宋"/>
          <w:b/>
          <w:color w:val="auto"/>
          <w:sz w:val="24"/>
          <w:szCs w:val="24"/>
          <w:highlight w:val="none"/>
          <w:lang w:val="en-US" w:eastAsia="zh-CN"/>
        </w:rPr>
        <w:t>概况</w:t>
      </w:r>
    </w:p>
    <w:p w14:paraId="101F7543">
      <w:pPr>
        <w:keepNext w:val="0"/>
        <w:keepLines w:val="0"/>
        <w:pageBreakBefore w:val="0"/>
        <w:widowControl/>
        <w:kinsoku/>
        <w:wordWrap/>
        <w:overflowPunct/>
        <w:topLinePunct w:val="0"/>
        <w:autoSpaceDE/>
        <w:bidi w:val="0"/>
        <w:adjustRightInd/>
        <w:spacing w:line="500" w:lineRule="exact"/>
        <w:jc w:val="left"/>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1.1项目</w:t>
      </w:r>
      <w:r>
        <w:rPr>
          <w:rFonts w:hint="eastAsia" w:ascii="仿宋" w:hAnsi="仿宋" w:eastAsia="仿宋" w:cs="仿宋"/>
          <w:b/>
          <w:color w:val="auto"/>
          <w:sz w:val="24"/>
          <w:szCs w:val="24"/>
          <w:highlight w:val="none"/>
        </w:rPr>
        <w:t>名称：</w:t>
      </w:r>
      <w:r>
        <w:rPr>
          <w:rFonts w:hint="eastAsia" w:ascii="仿宋" w:hAnsi="仿宋" w:eastAsia="仿宋" w:cs="仿宋"/>
          <w:b w:val="0"/>
          <w:bCs/>
          <w:color w:val="auto"/>
          <w:sz w:val="24"/>
          <w:szCs w:val="24"/>
          <w:highlight w:val="none"/>
          <w:lang w:val="en-US" w:eastAsia="zh-CN"/>
        </w:rPr>
        <w:t>湖州南太湖新区西区、104国道、杨家埠等区域环卫作业一体化服务项目（2025-2027年度）;</w:t>
      </w:r>
    </w:p>
    <w:p w14:paraId="0E6F7CD1">
      <w:pPr>
        <w:spacing w:line="400" w:lineRule="exac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1.2</w:t>
      </w:r>
      <w:r>
        <w:rPr>
          <w:rFonts w:hint="eastAsia" w:ascii="仿宋" w:hAnsi="仿宋" w:eastAsia="仿宋" w:cs="仿宋"/>
          <w:b/>
          <w:bCs/>
          <w:color w:val="auto"/>
          <w:sz w:val="24"/>
          <w:szCs w:val="24"/>
          <w:highlight w:val="none"/>
        </w:rPr>
        <w:t>项目业主：</w:t>
      </w:r>
      <w:r>
        <w:rPr>
          <w:rFonts w:hint="eastAsia" w:ascii="仿宋" w:hAnsi="仿宋" w:eastAsia="仿宋" w:cs="仿宋"/>
          <w:color w:val="auto"/>
          <w:sz w:val="24"/>
          <w:szCs w:val="24"/>
          <w:highlight w:val="none"/>
        </w:rPr>
        <w:t>湖州南太湖新区公用事业管理中心；</w:t>
      </w:r>
    </w:p>
    <w:p w14:paraId="0669D9C7">
      <w:pPr>
        <w:spacing w:line="400" w:lineRule="exac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1.3 实施范围：</w:t>
      </w:r>
      <w:r>
        <w:rPr>
          <w:rFonts w:hint="eastAsia" w:ascii="仿宋" w:hAnsi="仿宋" w:eastAsia="仿宋" w:cs="仿宋"/>
          <w:color w:val="auto"/>
          <w:sz w:val="24"/>
          <w:szCs w:val="24"/>
          <w:highlight w:val="none"/>
        </w:rPr>
        <w:t>湖州南太湖新区；</w:t>
      </w:r>
    </w:p>
    <w:p w14:paraId="49EC0166">
      <w:pPr>
        <w:spacing w:line="400" w:lineRule="exac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1.4 项目规模及内容：</w:t>
      </w:r>
    </w:p>
    <w:p w14:paraId="40C9492B">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1.4.1预算金额【最高限价】：</w:t>
      </w:r>
    </w:p>
    <w:p w14:paraId="396AF634">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标项一（西区：罗师庄、九九桥区域）：</w:t>
      </w:r>
      <w:r>
        <w:rPr>
          <w:rFonts w:hint="eastAsia" w:ascii="仿宋" w:hAnsi="仿宋" w:eastAsia="仿宋" w:cs="仿宋"/>
          <w:color w:val="auto"/>
          <w:sz w:val="24"/>
          <w:szCs w:val="24"/>
          <w:highlight w:val="none"/>
          <w:lang w:val="en-US" w:eastAsia="zh-CN"/>
        </w:rPr>
        <w:t>1350</w:t>
      </w:r>
      <w:r>
        <w:rPr>
          <w:rFonts w:hint="eastAsia" w:ascii="仿宋" w:hAnsi="仿宋" w:eastAsia="仿宋" w:cs="仿宋"/>
          <w:color w:val="auto"/>
          <w:sz w:val="24"/>
          <w:szCs w:val="24"/>
          <w:highlight w:val="none"/>
        </w:rPr>
        <w:t>万元【450万元/年】</w:t>
      </w:r>
    </w:p>
    <w:p w14:paraId="58455A1B">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标项二（赵湾、104国道、生物医药产业园）：</w:t>
      </w:r>
      <w:r>
        <w:rPr>
          <w:rFonts w:hint="eastAsia" w:ascii="仿宋" w:hAnsi="仿宋" w:eastAsia="仿宋" w:cs="仿宋"/>
          <w:color w:val="auto"/>
          <w:sz w:val="24"/>
          <w:szCs w:val="24"/>
          <w:highlight w:val="none"/>
          <w:lang w:val="en-US" w:eastAsia="zh-CN"/>
        </w:rPr>
        <w:t>1230</w:t>
      </w:r>
      <w:r>
        <w:rPr>
          <w:rFonts w:hint="eastAsia" w:ascii="仿宋" w:hAnsi="仿宋" w:eastAsia="仿宋" w:cs="仿宋"/>
          <w:color w:val="auto"/>
          <w:sz w:val="24"/>
          <w:szCs w:val="24"/>
          <w:highlight w:val="none"/>
        </w:rPr>
        <w:t>万元【410万元/年】</w:t>
      </w:r>
    </w:p>
    <w:p w14:paraId="4C39878A">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标项三（杨家埠片区）：</w:t>
      </w:r>
      <w:r>
        <w:rPr>
          <w:rFonts w:hint="eastAsia" w:ascii="仿宋" w:hAnsi="仿宋" w:eastAsia="仿宋" w:cs="仿宋"/>
          <w:color w:val="auto"/>
          <w:sz w:val="24"/>
          <w:szCs w:val="24"/>
          <w:highlight w:val="none"/>
          <w:lang w:val="en-US" w:eastAsia="zh-CN"/>
        </w:rPr>
        <w:t>1320</w:t>
      </w:r>
      <w:r>
        <w:rPr>
          <w:rFonts w:hint="eastAsia" w:ascii="仿宋" w:hAnsi="仿宋" w:eastAsia="仿宋" w:cs="仿宋"/>
          <w:color w:val="auto"/>
          <w:sz w:val="24"/>
          <w:szCs w:val="24"/>
          <w:highlight w:val="none"/>
        </w:rPr>
        <w:t>万元【440万元/年】</w:t>
      </w:r>
    </w:p>
    <w:p w14:paraId="14A435A4">
      <w:pPr>
        <w:spacing w:line="400" w:lineRule="exac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1.5服务内容</w:t>
      </w:r>
      <w:r>
        <w:rPr>
          <w:rFonts w:hint="eastAsia" w:ascii="仿宋" w:hAnsi="仿宋" w:eastAsia="仿宋" w:cs="仿宋"/>
          <w:color w:val="auto"/>
          <w:sz w:val="24"/>
          <w:szCs w:val="24"/>
          <w:highlight w:val="none"/>
        </w:rPr>
        <w:t>包括但不限于已建成的道路及绿化，主次干道、人行道、排水沟、河边、桥面、桥下、桥边，人行道、小道路、匝道、辅道等道路的清扫、冲洗、绿化保洁、垃圾收集清运以及工程车渣土抛洒滴漏清理、各类偷倒垃圾、商店门口垃圾的清理等环卫作业。具体详见各个标项需求明细。</w:t>
      </w:r>
    </w:p>
    <w:p w14:paraId="61D7F38B">
      <w:pPr>
        <w:spacing w:line="400" w:lineRule="exac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1.6特别说明：</w:t>
      </w:r>
      <w:r>
        <w:rPr>
          <w:rFonts w:hint="eastAsia" w:ascii="仿宋" w:hAnsi="仿宋" w:eastAsia="仿宋" w:cs="仿宋"/>
          <w:color w:val="auto"/>
          <w:sz w:val="24"/>
          <w:szCs w:val="24"/>
          <w:highlight w:val="none"/>
          <w:lang w:val="en-US" w:eastAsia="zh-CN"/>
        </w:rPr>
        <w:t>本项目标的划分的行业为其他未列明行业。</w:t>
      </w:r>
    </w:p>
    <w:p w14:paraId="15C2C6B4">
      <w:pPr>
        <w:spacing w:line="400" w:lineRule="exac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二、</w:t>
      </w:r>
      <w:r>
        <w:rPr>
          <w:rFonts w:hint="eastAsia" w:ascii="仿宋" w:hAnsi="仿宋" w:eastAsia="仿宋" w:cs="仿宋"/>
          <w:b/>
          <w:bCs/>
          <w:color w:val="auto"/>
          <w:kern w:val="0"/>
          <w:sz w:val="24"/>
          <w:szCs w:val="24"/>
          <w:highlight w:val="none"/>
        </w:rPr>
        <w:t>委托管理服务事项</w:t>
      </w:r>
    </w:p>
    <w:p w14:paraId="035832E5">
      <w:pPr>
        <w:spacing w:line="400" w:lineRule="exact"/>
        <w:jc w:val="center"/>
        <w:rPr>
          <w:rFonts w:hint="eastAsia" w:ascii="仿宋" w:hAnsi="仿宋" w:eastAsia="仿宋" w:cs="仿宋"/>
          <w:b/>
          <w:bCs/>
          <w:color w:val="auto"/>
          <w:sz w:val="24"/>
          <w:szCs w:val="24"/>
          <w:highlight w:val="none"/>
        </w:rPr>
      </w:pPr>
      <w:bookmarkStart w:id="0" w:name="_Toc11931"/>
      <w:r>
        <w:rPr>
          <w:rFonts w:hint="eastAsia" w:ascii="仿宋" w:hAnsi="仿宋" w:eastAsia="仿宋" w:cs="仿宋"/>
          <w:b/>
          <w:bCs/>
          <w:color w:val="auto"/>
          <w:sz w:val="24"/>
          <w:szCs w:val="24"/>
          <w:highlight w:val="none"/>
        </w:rPr>
        <w:t>标项一：西区：罗师庄、九九桥区域</w:t>
      </w:r>
    </w:p>
    <w:p w14:paraId="3DC234DF">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服务内容及服务量</w:t>
      </w:r>
    </w:p>
    <w:p w14:paraId="5DC26F43">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本标项所指的西区：罗师庄、九九桥区域详见附件道路清单一览表，清单仅供参考，如有遗漏，不</w:t>
      </w:r>
      <w:r>
        <w:rPr>
          <w:rFonts w:hint="eastAsia" w:ascii="仿宋" w:hAnsi="仿宋" w:eastAsia="仿宋" w:cs="仿宋"/>
          <w:color w:val="auto"/>
          <w:sz w:val="24"/>
          <w:szCs w:val="24"/>
          <w:highlight w:val="none"/>
          <w:lang w:val="en-US" w:eastAsia="zh-CN"/>
        </w:rPr>
        <w:t>再</w:t>
      </w:r>
      <w:r>
        <w:rPr>
          <w:rFonts w:hint="eastAsia" w:ascii="仿宋" w:hAnsi="仿宋" w:eastAsia="仿宋" w:cs="仿宋"/>
          <w:color w:val="auto"/>
          <w:sz w:val="24"/>
          <w:szCs w:val="24"/>
          <w:highlight w:val="none"/>
        </w:rPr>
        <w:t>额外增加费用，各投标单位自行考虑在报价中，具体以采购人实际移交为准。</w:t>
      </w:r>
    </w:p>
    <w:p w14:paraId="703466FF">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道路保洁面积基数：约49.2万平方米</w:t>
      </w:r>
    </w:p>
    <w:tbl>
      <w:tblPr>
        <w:tblStyle w:val="23"/>
        <w:tblW w:w="9339" w:type="dxa"/>
        <w:tblInd w:w="93" w:type="dxa"/>
        <w:tblLayout w:type="autofit"/>
        <w:tblCellMar>
          <w:top w:w="0" w:type="dxa"/>
          <w:left w:w="108" w:type="dxa"/>
          <w:bottom w:w="0" w:type="dxa"/>
          <w:right w:w="108" w:type="dxa"/>
        </w:tblCellMar>
      </w:tblPr>
      <w:tblGrid>
        <w:gridCol w:w="2435"/>
        <w:gridCol w:w="6904"/>
      </w:tblGrid>
      <w:tr w14:paraId="4237C747">
        <w:tblPrEx>
          <w:tblCellMar>
            <w:top w:w="0" w:type="dxa"/>
            <w:left w:w="108" w:type="dxa"/>
            <w:bottom w:w="0" w:type="dxa"/>
            <w:right w:w="108" w:type="dxa"/>
          </w:tblCellMar>
        </w:tblPrEx>
        <w:trPr>
          <w:trHeight w:val="412" w:hRule="atLeast"/>
        </w:trPr>
        <w:tc>
          <w:tcPr>
            <w:tcW w:w="243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E6824A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690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4C16E8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道路名称</w:t>
            </w:r>
          </w:p>
        </w:tc>
      </w:tr>
      <w:tr w14:paraId="207C219B">
        <w:tblPrEx>
          <w:tblCellMar>
            <w:top w:w="0" w:type="dxa"/>
            <w:left w:w="108" w:type="dxa"/>
            <w:bottom w:w="0" w:type="dxa"/>
            <w:right w:w="108" w:type="dxa"/>
          </w:tblCellMar>
        </w:tblPrEx>
        <w:trPr>
          <w:trHeight w:val="412" w:hRule="atLeast"/>
        </w:trPr>
        <w:tc>
          <w:tcPr>
            <w:tcW w:w="243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EFD2B7">
            <w:pPr>
              <w:spacing w:line="400" w:lineRule="exact"/>
              <w:jc w:val="center"/>
              <w:rPr>
                <w:rFonts w:hint="eastAsia" w:ascii="仿宋" w:hAnsi="仿宋" w:eastAsia="仿宋" w:cs="仿宋"/>
                <w:color w:val="auto"/>
                <w:sz w:val="24"/>
                <w:szCs w:val="24"/>
                <w:highlight w:val="none"/>
              </w:rPr>
            </w:pPr>
          </w:p>
        </w:tc>
        <w:tc>
          <w:tcPr>
            <w:tcW w:w="69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5A3041">
            <w:pPr>
              <w:spacing w:line="400" w:lineRule="exact"/>
              <w:jc w:val="center"/>
              <w:rPr>
                <w:rFonts w:hint="eastAsia" w:ascii="仿宋" w:hAnsi="仿宋" w:eastAsia="仿宋" w:cs="仿宋"/>
                <w:color w:val="auto"/>
                <w:sz w:val="24"/>
                <w:szCs w:val="24"/>
                <w:highlight w:val="none"/>
              </w:rPr>
            </w:pPr>
          </w:p>
        </w:tc>
      </w:tr>
      <w:tr w14:paraId="2C68B1F8">
        <w:tblPrEx>
          <w:tblCellMar>
            <w:top w:w="0" w:type="dxa"/>
            <w:left w:w="108" w:type="dxa"/>
            <w:bottom w:w="0" w:type="dxa"/>
            <w:right w:w="108" w:type="dxa"/>
          </w:tblCellMar>
        </w:tblPrEx>
        <w:trPr>
          <w:trHeight w:val="90" w:hRule="atLeast"/>
        </w:trPr>
        <w:tc>
          <w:tcPr>
            <w:tcW w:w="2435" w:type="dxa"/>
            <w:tcBorders>
              <w:top w:val="nil"/>
              <w:left w:val="single" w:color="000000" w:sz="4" w:space="0"/>
              <w:bottom w:val="single" w:color="000000" w:sz="4" w:space="0"/>
              <w:right w:val="single" w:color="000000" w:sz="4" w:space="0"/>
            </w:tcBorders>
            <w:shd w:val="clear" w:color="auto" w:fill="FFFFFF"/>
            <w:vAlign w:val="center"/>
          </w:tcPr>
          <w:p w14:paraId="6081E2B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9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9572C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创业大道(104国道至东浜路)（重点道路）</w:t>
            </w:r>
          </w:p>
        </w:tc>
      </w:tr>
      <w:tr w14:paraId="1639A5D9">
        <w:tblPrEx>
          <w:tblCellMar>
            <w:top w:w="0" w:type="dxa"/>
            <w:left w:w="108" w:type="dxa"/>
            <w:bottom w:w="0" w:type="dxa"/>
            <w:right w:w="108" w:type="dxa"/>
          </w:tblCellMar>
        </w:tblPrEx>
        <w:trPr>
          <w:trHeight w:val="378" w:hRule="atLeast"/>
        </w:trPr>
        <w:tc>
          <w:tcPr>
            <w:tcW w:w="2435" w:type="dxa"/>
            <w:tcBorders>
              <w:top w:val="nil"/>
              <w:left w:val="single" w:color="000000" w:sz="4" w:space="0"/>
              <w:bottom w:val="single" w:color="000000" w:sz="4" w:space="0"/>
              <w:right w:val="single" w:color="000000" w:sz="4" w:space="0"/>
            </w:tcBorders>
            <w:shd w:val="clear" w:color="auto" w:fill="FFFFFF"/>
            <w:vAlign w:val="center"/>
          </w:tcPr>
          <w:p w14:paraId="2606D30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9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B7398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田横路</w:t>
            </w:r>
          </w:p>
        </w:tc>
      </w:tr>
      <w:tr w14:paraId="5A6E0F49">
        <w:tblPrEx>
          <w:tblCellMar>
            <w:top w:w="0" w:type="dxa"/>
            <w:left w:w="108" w:type="dxa"/>
            <w:bottom w:w="0" w:type="dxa"/>
            <w:right w:w="108" w:type="dxa"/>
          </w:tblCellMar>
        </w:tblPrEx>
        <w:trPr>
          <w:trHeight w:val="378" w:hRule="atLeast"/>
        </w:trPr>
        <w:tc>
          <w:tcPr>
            <w:tcW w:w="2435" w:type="dxa"/>
            <w:tcBorders>
              <w:top w:val="nil"/>
              <w:left w:val="single" w:color="000000" w:sz="4" w:space="0"/>
              <w:bottom w:val="single" w:color="000000" w:sz="4" w:space="0"/>
              <w:right w:val="single" w:color="000000" w:sz="4" w:space="0"/>
            </w:tcBorders>
            <w:shd w:val="clear" w:color="auto" w:fill="FFFFFF"/>
            <w:vAlign w:val="center"/>
          </w:tcPr>
          <w:p w14:paraId="167046B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69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4A9AC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里村路</w:t>
            </w:r>
          </w:p>
        </w:tc>
      </w:tr>
      <w:tr w14:paraId="19F3EA51">
        <w:tblPrEx>
          <w:tblCellMar>
            <w:top w:w="0" w:type="dxa"/>
            <w:left w:w="108" w:type="dxa"/>
            <w:bottom w:w="0" w:type="dxa"/>
            <w:right w:w="108" w:type="dxa"/>
          </w:tblCellMar>
        </w:tblPrEx>
        <w:trPr>
          <w:trHeight w:val="378" w:hRule="atLeast"/>
        </w:trPr>
        <w:tc>
          <w:tcPr>
            <w:tcW w:w="2435" w:type="dxa"/>
            <w:tcBorders>
              <w:top w:val="nil"/>
              <w:left w:val="single" w:color="000000" w:sz="4" w:space="0"/>
              <w:bottom w:val="single" w:color="auto" w:sz="4" w:space="0"/>
              <w:right w:val="single" w:color="000000" w:sz="4" w:space="0"/>
            </w:tcBorders>
            <w:shd w:val="clear" w:color="auto" w:fill="FFFFFF"/>
            <w:vAlign w:val="center"/>
          </w:tcPr>
          <w:p w14:paraId="7D44419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6904" w:type="dxa"/>
            <w:tcBorders>
              <w:top w:val="single" w:color="000000" w:sz="4" w:space="0"/>
              <w:left w:val="single" w:color="000000" w:sz="4" w:space="0"/>
              <w:bottom w:val="single" w:color="auto" w:sz="4" w:space="0"/>
              <w:right w:val="single" w:color="000000" w:sz="4" w:space="0"/>
            </w:tcBorders>
            <w:shd w:val="clear" w:color="auto" w:fill="FFFFFF"/>
            <w:vAlign w:val="center"/>
          </w:tcPr>
          <w:p w14:paraId="05A5B56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腊山路</w:t>
            </w:r>
          </w:p>
        </w:tc>
      </w:tr>
      <w:tr w14:paraId="3181AE56">
        <w:tblPrEx>
          <w:tblCellMar>
            <w:top w:w="0" w:type="dxa"/>
            <w:left w:w="108" w:type="dxa"/>
            <w:bottom w:w="0" w:type="dxa"/>
            <w:right w:w="108" w:type="dxa"/>
          </w:tblCellMar>
        </w:tblPrEx>
        <w:trPr>
          <w:trHeight w:val="37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3AD3724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490B115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紫荆路</w:t>
            </w:r>
          </w:p>
        </w:tc>
      </w:tr>
      <w:tr w14:paraId="53CFC901">
        <w:tblPrEx>
          <w:tblCellMar>
            <w:top w:w="0" w:type="dxa"/>
            <w:left w:w="108" w:type="dxa"/>
            <w:bottom w:w="0" w:type="dxa"/>
            <w:right w:w="108" w:type="dxa"/>
          </w:tblCellMar>
        </w:tblPrEx>
        <w:trPr>
          <w:trHeight w:val="37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58C622D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1A3F632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广源路</w:t>
            </w:r>
          </w:p>
        </w:tc>
      </w:tr>
      <w:tr w14:paraId="4C332D88">
        <w:tblPrEx>
          <w:tblCellMar>
            <w:top w:w="0" w:type="dxa"/>
            <w:left w:w="108" w:type="dxa"/>
            <w:bottom w:w="0" w:type="dxa"/>
            <w:right w:w="108" w:type="dxa"/>
          </w:tblCellMar>
        </w:tblPrEx>
        <w:trPr>
          <w:trHeight w:val="37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5CB8349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10BEA6D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新竹路（重点道路）</w:t>
            </w:r>
          </w:p>
        </w:tc>
      </w:tr>
      <w:tr w14:paraId="0C0F8C0B">
        <w:tblPrEx>
          <w:tblCellMar>
            <w:top w:w="0" w:type="dxa"/>
            <w:left w:w="108" w:type="dxa"/>
            <w:bottom w:w="0" w:type="dxa"/>
            <w:right w:w="108" w:type="dxa"/>
          </w:tblCellMar>
        </w:tblPrEx>
        <w:trPr>
          <w:trHeight w:val="37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4B136FC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5EB7515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师庄路</w:t>
            </w:r>
          </w:p>
        </w:tc>
      </w:tr>
      <w:tr w14:paraId="3CE704C3">
        <w:tblPrEx>
          <w:tblCellMar>
            <w:top w:w="0" w:type="dxa"/>
            <w:left w:w="108" w:type="dxa"/>
            <w:bottom w:w="0" w:type="dxa"/>
            <w:right w:w="108" w:type="dxa"/>
          </w:tblCellMar>
        </w:tblPrEx>
        <w:trPr>
          <w:trHeight w:val="37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6E04964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4CA9340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西凤路</w:t>
            </w:r>
          </w:p>
        </w:tc>
      </w:tr>
      <w:tr w14:paraId="61955B6C">
        <w:tblPrEx>
          <w:tblCellMar>
            <w:top w:w="0" w:type="dxa"/>
            <w:left w:w="108" w:type="dxa"/>
            <w:bottom w:w="0" w:type="dxa"/>
            <w:right w:w="108" w:type="dxa"/>
          </w:tblCellMar>
        </w:tblPrEx>
        <w:trPr>
          <w:trHeight w:val="378" w:hRule="atLeast"/>
        </w:trPr>
        <w:tc>
          <w:tcPr>
            <w:tcW w:w="2435"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14:paraId="4B875D7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4BE7C4F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梦溪路（二环西路路至腊山路）</w:t>
            </w:r>
          </w:p>
        </w:tc>
      </w:tr>
      <w:tr w14:paraId="1107ECF9">
        <w:tblPrEx>
          <w:tblCellMar>
            <w:top w:w="0" w:type="dxa"/>
            <w:left w:w="108" w:type="dxa"/>
            <w:bottom w:w="0" w:type="dxa"/>
            <w:right w:w="108" w:type="dxa"/>
          </w:tblCellMar>
        </w:tblPrEx>
        <w:trPr>
          <w:trHeight w:val="378" w:hRule="atLeast"/>
        </w:trPr>
        <w:tc>
          <w:tcPr>
            <w:tcW w:w="243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6C7ACF9A">
            <w:pPr>
              <w:spacing w:line="400" w:lineRule="exact"/>
              <w:jc w:val="center"/>
              <w:rPr>
                <w:rFonts w:hint="eastAsia" w:ascii="仿宋" w:hAnsi="仿宋" w:eastAsia="仿宋" w:cs="仿宋"/>
                <w:color w:val="auto"/>
                <w:sz w:val="24"/>
                <w:szCs w:val="24"/>
                <w:highlight w:val="none"/>
              </w:rPr>
            </w:pP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2F00986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梦溪路（腊山路至田横路）</w:t>
            </w:r>
          </w:p>
        </w:tc>
      </w:tr>
      <w:tr w14:paraId="3614A344">
        <w:tblPrEx>
          <w:tblCellMar>
            <w:top w:w="0" w:type="dxa"/>
            <w:left w:w="108" w:type="dxa"/>
            <w:bottom w:w="0" w:type="dxa"/>
            <w:right w:w="108" w:type="dxa"/>
          </w:tblCellMar>
        </w:tblPrEx>
        <w:trPr>
          <w:trHeight w:val="378" w:hRule="atLeast"/>
        </w:trPr>
        <w:tc>
          <w:tcPr>
            <w:tcW w:w="243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191B1C0A">
            <w:pPr>
              <w:spacing w:line="400" w:lineRule="exact"/>
              <w:jc w:val="center"/>
              <w:rPr>
                <w:rFonts w:hint="eastAsia" w:ascii="仿宋" w:hAnsi="仿宋" w:eastAsia="仿宋" w:cs="仿宋"/>
                <w:color w:val="auto"/>
                <w:sz w:val="24"/>
                <w:szCs w:val="24"/>
                <w:highlight w:val="none"/>
              </w:rPr>
            </w:pP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4E7E3CE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梦溪路（创业大道至田横路）</w:t>
            </w:r>
          </w:p>
        </w:tc>
      </w:tr>
      <w:tr w14:paraId="08F9D255">
        <w:tblPrEx>
          <w:tblCellMar>
            <w:top w:w="0" w:type="dxa"/>
            <w:left w:w="108" w:type="dxa"/>
            <w:bottom w:w="0" w:type="dxa"/>
            <w:right w:w="108" w:type="dxa"/>
          </w:tblCellMar>
        </w:tblPrEx>
        <w:trPr>
          <w:trHeight w:val="391"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36C6CAD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2E7FD0C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创业大道汽车城（重点道路）</w:t>
            </w:r>
          </w:p>
        </w:tc>
      </w:tr>
      <w:tr w14:paraId="3E5D465E">
        <w:tblPrEx>
          <w:tblCellMar>
            <w:top w:w="0" w:type="dxa"/>
            <w:left w:w="108" w:type="dxa"/>
            <w:bottom w:w="0" w:type="dxa"/>
            <w:right w:w="108" w:type="dxa"/>
          </w:tblCellMar>
        </w:tblPrEx>
        <w:trPr>
          <w:trHeight w:val="37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17625B4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204C05F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方石路</w:t>
            </w:r>
          </w:p>
        </w:tc>
      </w:tr>
      <w:tr w14:paraId="7036E97F">
        <w:tblPrEx>
          <w:tblCellMar>
            <w:top w:w="0" w:type="dxa"/>
            <w:left w:w="108" w:type="dxa"/>
            <w:bottom w:w="0" w:type="dxa"/>
            <w:right w:w="108" w:type="dxa"/>
          </w:tblCellMar>
        </w:tblPrEx>
        <w:trPr>
          <w:trHeight w:val="37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6AE2B43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4D65E46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大船湾路</w:t>
            </w:r>
          </w:p>
        </w:tc>
      </w:tr>
      <w:tr w14:paraId="09A72BD2">
        <w:tblPrEx>
          <w:tblCellMar>
            <w:top w:w="0" w:type="dxa"/>
            <w:left w:w="108" w:type="dxa"/>
            <w:bottom w:w="0" w:type="dxa"/>
            <w:right w:w="108" w:type="dxa"/>
          </w:tblCellMar>
        </w:tblPrEx>
        <w:trPr>
          <w:trHeight w:val="378" w:hRule="atLeast"/>
        </w:trPr>
        <w:tc>
          <w:tcPr>
            <w:tcW w:w="2435" w:type="dxa"/>
            <w:tcBorders>
              <w:top w:val="single" w:color="auto" w:sz="4" w:space="0"/>
              <w:left w:val="single" w:color="000000" w:sz="4" w:space="0"/>
              <w:bottom w:val="single" w:color="000000" w:sz="4" w:space="0"/>
              <w:right w:val="single" w:color="000000" w:sz="4" w:space="0"/>
            </w:tcBorders>
            <w:shd w:val="clear" w:color="auto" w:fill="FFFFFF"/>
            <w:vAlign w:val="center"/>
          </w:tcPr>
          <w:p w14:paraId="3CCBE1E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6904" w:type="dxa"/>
            <w:tcBorders>
              <w:top w:val="single" w:color="auto" w:sz="4" w:space="0"/>
              <w:left w:val="single" w:color="000000" w:sz="4" w:space="0"/>
              <w:bottom w:val="single" w:color="000000" w:sz="4" w:space="0"/>
              <w:right w:val="single" w:color="000000" w:sz="4" w:space="0"/>
            </w:tcBorders>
            <w:shd w:val="clear" w:color="auto" w:fill="FFFFFF"/>
            <w:vAlign w:val="center"/>
          </w:tcPr>
          <w:p w14:paraId="220661D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计祥路</w:t>
            </w:r>
          </w:p>
        </w:tc>
      </w:tr>
      <w:tr w14:paraId="267F96F3">
        <w:tblPrEx>
          <w:tblCellMar>
            <w:top w:w="0" w:type="dxa"/>
            <w:left w:w="108" w:type="dxa"/>
            <w:bottom w:w="0" w:type="dxa"/>
            <w:right w:w="108" w:type="dxa"/>
          </w:tblCellMar>
        </w:tblPrEx>
        <w:trPr>
          <w:trHeight w:val="378" w:hRule="atLeast"/>
        </w:trPr>
        <w:tc>
          <w:tcPr>
            <w:tcW w:w="2435" w:type="dxa"/>
            <w:tcBorders>
              <w:top w:val="nil"/>
              <w:left w:val="single" w:color="000000" w:sz="4" w:space="0"/>
              <w:bottom w:val="single" w:color="000000" w:sz="4" w:space="0"/>
              <w:right w:val="single" w:color="000000" w:sz="4" w:space="0"/>
            </w:tcBorders>
            <w:shd w:val="clear" w:color="auto" w:fill="FFFFFF"/>
            <w:vAlign w:val="center"/>
          </w:tcPr>
          <w:p w14:paraId="3038D90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69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CAB7A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长湖路</w:t>
            </w:r>
          </w:p>
        </w:tc>
      </w:tr>
      <w:tr w14:paraId="3C8DA5E0">
        <w:tblPrEx>
          <w:tblCellMar>
            <w:top w:w="0" w:type="dxa"/>
            <w:left w:w="108" w:type="dxa"/>
            <w:bottom w:w="0" w:type="dxa"/>
            <w:right w:w="108" w:type="dxa"/>
          </w:tblCellMar>
        </w:tblPrEx>
        <w:trPr>
          <w:trHeight w:val="378" w:hRule="atLeast"/>
        </w:trPr>
        <w:tc>
          <w:tcPr>
            <w:tcW w:w="2435" w:type="dxa"/>
            <w:tcBorders>
              <w:top w:val="nil"/>
              <w:left w:val="single" w:color="000000" w:sz="4" w:space="0"/>
              <w:bottom w:val="single" w:color="000000" w:sz="4" w:space="0"/>
              <w:right w:val="single" w:color="000000" w:sz="4" w:space="0"/>
            </w:tcBorders>
            <w:shd w:val="clear" w:color="auto" w:fill="FFFFFF"/>
            <w:vAlign w:val="center"/>
          </w:tcPr>
          <w:p w14:paraId="60F1576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c>
          <w:tcPr>
            <w:tcW w:w="69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3D417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田兴路</w:t>
            </w:r>
          </w:p>
        </w:tc>
      </w:tr>
      <w:tr w14:paraId="3794DC4B">
        <w:tblPrEx>
          <w:tblCellMar>
            <w:top w:w="0" w:type="dxa"/>
            <w:left w:w="108" w:type="dxa"/>
            <w:bottom w:w="0" w:type="dxa"/>
            <w:right w:w="108" w:type="dxa"/>
          </w:tblCellMar>
        </w:tblPrEx>
        <w:trPr>
          <w:trHeight w:val="378" w:hRule="atLeast"/>
        </w:trPr>
        <w:tc>
          <w:tcPr>
            <w:tcW w:w="2435" w:type="dxa"/>
            <w:tcBorders>
              <w:top w:val="nil"/>
              <w:left w:val="single" w:color="000000" w:sz="4" w:space="0"/>
              <w:bottom w:val="single" w:color="000000" w:sz="4" w:space="0"/>
              <w:right w:val="single" w:color="000000" w:sz="4" w:space="0"/>
            </w:tcBorders>
            <w:shd w:val="clear" w:color="auto" w:fill="FFFFFF"/>
            <w:vAlign w:val="center"/>
          </w:tcPr>
          <w:p w14:paraId="7188D10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w:t>
            </w:r>
          </w:p>
        </w:tc>
        <w:tc>
          <w:tcPr>
            <w:tcW w:w="69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3A811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彩凤路</w:t>
            </w:r>
          </w:p>
        </w:tc>
      </w:tr>
      <w:tr w14:paraId="443769E3">
        <w:tblPrEx>
          <w:tblCellMar>
            <w:top w:w="0" w:type="dxa"/>
            <w:left w:w="108" w:type="dxa"/>
            <w:bottom w:w="0" w:type="dxa"/>
            <w:right w:w="108" w:type="dxa"/>
          </w:tblCellMar>
        </w:tblPrEx>
        <w:trPr>
          <w:trHeight w:val="378" w:hRule="atLeast"/>
        </w:trPr>
        <w:tc>
          <w:tcPr>
            <w:tcW w:w="2435" w:type="dxa"/>
            <w:tcBorders>
              <w:top w:val="nil"/>
              <w:left w:val="single" w:color="000000" w:sz="4" w:space="0"/>
              <w:bottom w:val="single" w:color="auto" w:sz="4" w:space="0"/>
              <w:right w:val="single" w:color="000000" w:sz="4" w:space="0"/>
            </w:tcBorders>
            <w:shd w:val="clear" w:color="auto" w:fill="FFFFFF"/>
            <w:vAlign w:val="center"/>
          </w:tcPr>
          <w:p w14:paraId="6E9FB74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w:t>
            </w:r>
          </w:p>
        </w:tc>
        <w:tc>
          <w:tcPr>
            <w:tcW w:w="6904" w:type="dxa"/>
            <w:tcBorders>
              <w:top w:val="single" w:color="000000" w:sz="4" w:space="0"/>
              <w:left w:val="single" w:color="000000" w:sz="4" w:space="0"/>
              <w:bottom w:val="single" w:color="auto" w:sz="4" w:space="0"/>
              <w:right w:val="single" w:color="000000" w:sz="4" w:space="0"/>
            </w:tcBorders>
            <w:shd w:val="clear" w:color="auto" w:fill="FFFFFF"/>
            <w:vAlign w:val="center"/>
          </w:tcPr>
          <w:p w14:paraId="4CC9D51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长湖路延伸段</w:t>
            </w:r>
          </w:p>
        </w:tc>
      </w:tr>
      <w:tr w14:paraId="14F5B889">
        <w:tblPrEx>
          <w:tblCellMar>
            <w:top w:w="0" w:type="dxa"/>
            <w:left w:w="108" w:type="dxa"/>
            <w:bottom w:w="0" w:type="dxa"/>
            <w:right w:w="108" w:type="dxa"/>
          </w:tblCellMar>
        </w:tblPrEx>
        <w:trPr>
          <w:trHeight w:val="37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1299145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06F7166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师庄二路（重点道路）</w:t>
            </w:r>
          </w:p>
        </w:tc>
      </w:tr>
      <w:tr w14:paraId="07912DC8">
        <w:tblPrEx>
          <w:tblCellMar>
            <w:top w:w="0" w:type="dxa"/>
            <w:left w:w="108" w:type="dxa"/>
            <w:bottom w:w="0" w:type="dxa"/>
            <w:right w:w="108" w:type="dxa"/>
          </w:tblCellMar>
        </w:tblPrEx>
        <w:trPr>
          <w:trHeight w:val="37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3FEE38A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09E7C0E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师庄三路（重点道路）</w:t>
            </w:r>
          </w:p>
        </w:tc>
      </w:tr>
      <w:tr w14:paraId="55E40281">
        <w:tblPrEx>
          <w:tblCellMar>
            <w:top w:w="0" w:type="dxa"/>
            <w:left w:w="108" w:type="dxa"/>
            <w:bottom w:w="0" w:type="dxa"/>
            <w:right w:w="108" w:type="dxa"/>
          </w:tblCellMar>
        </w:tblPrEx>
        <w:trPr>
          <w:trHeight w:val="40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656EF5F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02839AF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尹家村路</w:t>
            </w:r>
          </w:p>
        </w:tc>
      </w:tr>
      <w:tr w14:paraId="43A0EEC5">
        <w:tblPrEx>
          <w:tblCellMar>
            <w:top w:w="0" w:type="dxa"/>
            <w:left w:w="108" w:type="dxa"/>
            <w:bottom w:w="0" w:type="dxa"/>
            <w:right w:w="108" w:type="dxa"/>
          </w:tblCellMar>
        </w:tblPrEx>
        <w:trPr>
          <w:trHeight w:val="408" w:hRule="atLeast"/>
        </w:trPr>
        <w:tc>
          <w:tcPr>
            <w:tcW w:w="2435" w:type="dxa"/>
            <w:tcBorders>
              <w:top w:val="single" w:color="auto" w:sz="4" w:space="0"/>
              <w:left w:val="single" w:color="auto" w:sz="4" w:space="0"/>
              <w:bottom w:val="single" w:color="auto" w:sz="4" w:space="0"/>
              <w:right w:val="single" w:color="auto" w:sz="4" w:space="0"/>
            </w:tcBorders>
            <w:shd w:val="clear" w:color="auto" w:fill="FFFFFF"/>
            <w:vAlign w:val="center"/>
          </w:tcPr>
          <w:p w14:paraId="71FD9E9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p>
        </w:tc>
        <w:tc>
          <w:tcPr>
            <w:tcW w:w="6904" w:type="dxa"/>
            <w:tcBorders>
              <w:top w:val="single" w:color="auto" w:sz="4" w:space="0"/>
              <w:left w:val="single" w:color="auto" w:sz="4" w:space="0"/>
              <w:bottom w:val="single" w:color="auto" w:sz="4" w:space="0"/>
              <w:right w:val="single" w:color="auto" w:sz="4" w:space="0"/>
            </w:tcBorders>
            <w:shd w:val="clear" w:color="auto" w:fill="FFFFFF"/>
            <w:vAlign w:val="center"/>
          </w:tcPr>
          <w:p w14:paraId="70FFDF2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创业大桥</w:t>
            </w:r>
          </w:p>
        </w:tc>
      </w:tr>
      <w:tr w14:paraId="33EE1D61">
        <w:tblPrEx>
          <w:tblCellMar>
            <w:top w:w="0" w:type="dxa"/>
            <w:left w:w="108" w:type="dxa"/>
            <w:bottom w:w="0" w:type="dxa"/>
            <w:right w:w="108" w:type="dxa"/>
          </w:tblCellMar>
        </w:tblPrEx>
        <w:trPr>
          <w:trHeight w:val="370" w:hRule="atLeast"/>
        </w:trPr>
        <w:tc>
          <w:tcPr>
            <w:tcW w:w="9339"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14:paraId="72C07B3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备注：重点道路实施16小时制道路保洁，其他道路实施12小时制道路保洁。</w:t>
            </w:r>
          </w:p>
        </w:tc>
      </w:tr>
    </w:tbl>
    <w:p w14:paraId="64A8BD8C">
      <w:pPr>
        <w:spacing w:line="400" w:lineRule="exact"/>
        <w:rPr>
          <w:rFonts w:hint="eastAsia" w:ascii="仿宋" w:hAnsi="仿宋" w:eastAsia="仿宋" w:cs="仿宋"/>
          <w:color w:val="auto"/>
          <w:sz w:val="24"/>
          <w:szCs w:val="24"/>
          <w:highlight w:val="none"/>
        </w:rPr>
      </w:pPr>
    </w:p>
    <w:p w14:paraId="601CAF9A">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人员配置</w:t>
      </w:r>
    </w:p>
    <w:p w14:paraId="3B0FC98D">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以下配置清单要求仅为本项目初始要求，采购人可根据本项目服务内容及服务量的调整要求中标人进行调配，中标人须按采购人要求结合人员调班、辅助岗位等情况进行合理调配后向采购人提交配置清单。采购人以核准的配置清单为主要依据对中标人进行考核。 </w:t>
      </w:r>
    </w:p>
    <w:tbl>
      <w:tblPr>
        <w:tblStyle w:val="23"/>
        <w:tblW w:w="9239" w:type="dxa"/>
        <w:tblInd w:w="93" w:type="dxa"/>
        <w:tblLayout w:type="fixed"/>
        <w:tblCellMar>
          <w:top w:w="0" w:type="dxa"/>
          <w:left w:w="108" w:type="dxa"/>
          <w:bottom w:w="0" w:type="dxa"/>
          <w:right w:w="108" w:type="dxa"/>
        </w:tblCellMar>
      </w:tblPr>
      <w:tblGrid>
        <w:gridCol w:w="736"/>
        <w:gridCol w:w="1671"/>
        <w:gridCol w:w="6832"/>
      </w:tblGrid>
      <w:tr w14:paraId="0F20166C">
        <w:tblPrEx>
          <w:tblCellMar>
            <w:top w:w="0" w:type="dxa"/>
            <w:left w:w="108" w:type="dxa"/>
            <w:bottom w:w="0" w:type="dxa"/>
            <w:right w:w="108" w:type="dxa"/>
          </w:tblCellMar>
        </w:tblPrEx>
        <w:trPr>
          <w:trHeight w:val="405" w:hRule="atLeast"/>
        </w:trPr>
        <w:tc>
          <w:tcPr>
            <w:tcW w:w="736" w:type="dxa"/>
            <w:tcBorders>
              <w:top w:val="single" w:color="auto" w:sz="4" w:space="0"/>
              <w:left w:val="single" w:color="auto" w:sz="4" w:space="0"/>
              <w:bottom w:val="single" w:color="auto" w:sz="4" w:space="0"/>
              <w:right w:val="single" w:color="auto" w:sz="4" w:space="0"/>
            </w:tcBorders>
            <w:vAlign w:val="center"/>
          </w:tcPr>
          <w:p w14:paraId="0B232BC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671" w:type="dxa"/>
            <w:tcBorders>
              <w:top w:val="single" w:color="auto" w:sz="4" w:space="0"/>
              <w:left w:val="nil"/>
              <w:bottom w:val="single" w:color="auto" w:sz="4" w:space="0"/>
              <w:right w:val="single" w:color="auto" w:sz="4" w:space="0"/>
            </w:tcBorders>
            <w:vAlign w:val="center"/>
          </w:tcPr>
          <w:p w14:paraId="421421B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工种</w:t>
            </w:r>
          </w:p>
        </w:tc>
        <w:tc>
          <w:tcPr>
            <w:tcW w:w="6832" w:type="dxa"/>
            <w:tcBorders>
              <w:top w:val="single" w:color="auto" w:sz="4" w:space="0"/>
              <w:left w:val="nil"/>
              <w:bottom w:val="single" w:color="auto" w:sz="4" w:space="0"/>
              <w:right w:val="single" w:color="auto" w:sz="4" w:space="0"/>
            </w:tcBorders>
            <w:vAlign w:val="center"/>
          </w:tcPr>
          <w:p w14:paraId="72513A4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要求</w:t>
            </w:r>
          </w:p>
        </w:tc>
      </w:tr>
      <w:tr w14:paraId="430811E6">
        <w:tblPrEx>
          <w:tblCellMar>
            <w:top w:w="0" w:type="dxa"/>
            <w:left w:w="108" w:type="dxa"/>
            <w:bottom w:w="0" w:type="dxa"/>
            <w:right w:w="108" w:type="dxa"/>
          </w:tblCellMar>
        </w:tblPrEx>
        <w:trPr>
          <w:trHeight w:val="801" w:hRule="atLeast"/>
        </w:trPr>
        <w:tc>
          <w:tcPr>
            <w:tcW w:w="736" w:type="dxa"/>
            <w:tcBorders>
              <w:top w:val="nil"/>
              <w:left w:val="single" w:color="auto" w:sz="4" w:space="0"/>
              <w:bottom w:val="single" w:color="auto" w:sz="4" w:space="0"/>
              <w:right w:val="single" w:color="auto" w:sz="4" w:space="0"/>
            </w:tcBorders>
            <w:vAlign w:val="center"/>
          </w:tcPr>
          <w:p w14:paraId="50DE2B2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671" w:type="dxa"/>
            <w:tcBorders>
              <w:top w:val="nil"/>
              <w:left w:val="nil"/>
              <w:bottom w:val="single" w:color="auto" w:sz="4" w:space="0"/>
              <w:right w:val="single" w:color="auto" w:sz="4" w:space="0"/>
            </w:tcBorders>
            <w:vAlign w:val="center"/>
          </w:tcPr>
          <w:p w14:paraId="22FB6BE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一线保洁人员</w:t>
            </w:r>
          </w:p>
        </w:tc>
        <w:tc>
          <w:tcPr>
            <w:tcW w:w="6832" w:type="dxa"/>
            <w:tcBorders>
              <w:top w:val="nil"/>
              <w:left w:val="nil"/>
              <w:bottom w:val="single" w:color="auto" w:sz="4" w:space="0"/>
              <w:right w:val="single" w:color="auto" w:sz="4" w:space="0"/>
            </w:tcBorders>
            <w:vAlign w:val="center"/>
          </w:tcPr>
          <w:p w14:paraId="27D1D70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至少80人(含71名保洁清扫工、7名巡检工、2名冲洗工)</w:t>
            </w:r>
          </w:p>
        </w:tc>
      </w:tr>
      <w:tr w14:paraId="6E38A9BD">
        <w:tblPrEx>
          <w:tblCellMar>
            <w:top w:w="0" w:type="dxa"/>
            <w:left w:w="108" w:type="dxa"/>
            <w:bottom w:w="0" w:type="dxa"/>
            <w:right w:w="108" w:type="dxa"/>
          </w:tblCellMar>
        </w:tblPrEx>
        <w:trPr>
          <w:trHeight w:val="801" w:hRule="atLeast"/>
        </w:trPr>
        <w:tc>
          <w:tcPr>
            <w:tcW w:w="736" w:type="dxa"/>
            <w:tcBorders>
              <w:top w:val="single" w:color="auto" w:sz="4" w:space="0"/>
              <w:left w:val="single" w:color="auto" w:sz="4" w:space="0"/>
              <w:bottom w:val="single" w:color="auto" w:sz="4" w:space="0"/>
              <w:right w:val="single" w:color="auto" w:sz="4" w:space="0"/>
            </w:tcBorders>
            <w:vAlign w:val="center"/>
          </w:tcPr>
          <w:p w14:paraId="77B6E41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671" w:type="dxa"/>
            <w:tcBorders>
              <w:top w:val="single" w:color="auto" w:sz="4" w:space="0"/>
              <w:left w:val="single" w:color="auto" w:sz="4" w:space="0"/>
              <w:bottom w:val="single" w:color="auto" w:sz="4" w:space="0"/>
              <w:right w:val="single" w:color="auto" w:sz="4" w:space="0"/>
            </w:tcBorders>
            <w:vAlign w:val="center"/>
          </w:tcPr>
          <w:p w14:paraId="60F84DC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驾驶员</w:t>
            </w:r>
          </w:p>
        </w:tc>
        <w:tc>
          <w:tcPr>
            <w:tcW w:w="6832" w:type="dxa"/>
            <w:tcBorders>
              <w:top w:val="single" w:color="auto" w:sz="4" w:space="0"/>
              <w:left w:val="single" w:color="auto" w:sz="4" w:space="0"/>
              <w:bottom w:val="single" w:color="auto" w:sz="4" w:space="0"/>
              <w:right w:val="single" w:color="auto" w:sz="4" w:space="0"/>
            </w:tcBorders>
            <w:vAlign w:val="center"/>
          </w:tcPr>
          <w:p w14:paraId="2DE4F5F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每辆车配备1名驾驶员，共6人（其中1名机动人员）</w:t>
            </w:r>
          </w:p>
        </w:tc>
      </w:tr>
      <w:tr w14:paraId="100D3403">
        <w:tblPrEx>
          <w:tblCellMar>
            <w:top w:w="0" w:type="dxa"/>
            <w:left w:w="108" w:type="dxa"/>
            <w:bottom w:w="0" w:type="dxa"/>
            <w:right w:w="108" w:type="dxa"/>
          </w:tblCellMar>
        </w:tblPrEx>
        <w:trPr>
          <w:trHeight w:val="655" w:hRule="atLeast"/>
        </w:trPr>
        <w:tc>
          <w:tcPr>
            <w:tcW w:w="736" w:type="dxa"/>
            <w:tcBorders>
              <w:top w:val="single" w:color="auto" w:sz="4" w:space="0"/>
              <w:left w:val="single" w:color="auto" w:sz="4" w:space="0"/>
              <w:bottom w:val="single" w:color="auto" w:sz="4" w:space="0"/>
              <w:right w:val="single" w:color="auto" w:sz="4" w:space="0"/>
            </w:tcBorders>
            <w:vAlign w:val="center"/>
          </w:tcPr>
          <w:p w14:paraId="08B1744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671" w:type="dxa"/>
            <w:tcBorders>
              <w:top w:val="single" w:color="auto" w:sz="4" w:space="0"/>
              <w:left w:val="nil"/>
              <w:bottom w:val="single" w:color="auto" w:sz="4" w:space="0"/>
              <w:right w:val="single" w:color="auto" w:sz="4" w:space="0"/>
            </w:tcBorders>
            <w:vAlign w:val="center"/>
          </w:tcPr>
          <w:p w14:paraId="74E4125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管理人员</w:t>
            </w:r>
          </w:p>
        </w:tc>
        <w:tc>
          <w:tcPr>
            <w:tcW w:w="6832" w:type="dxa"/>
            <w:tcBorders>
              <w:top w:val="single" w:color="auto" w:sz="4" w:space="0"/>
              <w:left w:val="nil"/>
              <w:bottom w:val="single" w:color="auto" w:sz="4" w:space="0"/>
              <w:right w:val="single" w:color="auto" w:sz="4" w:space="0"/>
            </w:tcBorders>
            <w:vAlign w:val="center"/>
          </w:tcPr>
          <w:p w14:paraId="37698BB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3人（专职项目负责人2人、后勤1人）</w:t>
            </w:r>
          </w:p>
        </w:tc>
      </w:tr>
    </w:tbl>
    <w:p w14:paraId="70B4C33F">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车辆、设备配置</w:t>
      </w:r>
    </w:p>
    <w:tbl>
      <w:tblPr>
        <w:tblStyle w:val="23"/>
        <w:tblW w:w="9229" w:type="dxa"/>
        <w:tblInd w:w="93" w:type="dxa"/>
        <w:tblLayout w:type="fixed"/>
        <w:tblCellMar>
          <w:top w:w="0" w:type="dxa"/>
          <w:left w:w="108" w:type="dxa"/>
          <w:bottom w:w="0" w:type="dxa"/>
          <w:right w:w="108" w:type="dxa"/>
        </w:tblCellMar>
      </w:tblPr>
      <w:tblGrid>
        <w:gridCol w:w="582"/>
        <w:gridCol w:w="2655"/>
        <w:gridCol w:w="930"/>
        <w:gridCol w:w="2760"/>
        <w:gridCol w:w="2302"/>
      </w:tblGrid>
      <w:tr w14:paraId="4FE34E4E">
        <w:tblPrEx>
          <w:tblCellMar>
            <w:top w:w="0" w:type="dxa"/>
            <w:left w:w="108" w:type="dxa"/>
            <w:bottom w:w="0" w:type="dxa"/>
            <w:right w:w="108" w:type="dxa"/>
          </w:tblCellMar>
        </w:tblPrEx>
        <w:trPr>
          <w:trHeight w:val="1018" w:hRule="atLeast"/>
        </w:trPr>
        <w:tc>
          <w:tcPr>
            <w:tcW w:w="582" w:type="dxa"/>
            <w:tcBorders>
              <w:top w:val="single" w:color="auto" w:sz="4" w:space="0"/>
              <w:left w:val="single" w:color="auto" w:sz="4" w:space="0"/>
              <w:bottom w:val="single" w:color="auto" w:sz="4" w:space="0"/>
              <w:right w:val="single" w:color="auto" w:sz="4" w:space="0"/>
            </w:tcBorders>
            <w:vAlign w:val="center"/>
          </w:tcPr>
          <w:p w14:paraId="56EB131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655" w:type="dxa"/>
            <w:tcBorders>
              <w:top w:val="single" w:color="auto" w:sz="4" w:space="0"/>
              <w:left w:val="nil"/>
              <w:bottom w:val="single" w:color="auto" w:sz="4" w:space="0"/>
              <w:right w:val="single" w:color="auto" w:sz="4" w:space="0"/>
            </w:tcBorders>
            <w:vAlign w:val="center"/>
          </w:tcPr>
          <w:p w14:paraId="252D197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车辆类型</w:t>
            </w:r>
          </w:p>
        </w:tc>
        <w:tc>
          <w:tcPr>
            <w:tcW w:w="930" w:type="dxa"/>
            <w:tcBorders>
              <w:top w:val="single" w:color="auto" w:sz="4" w:space="0"/>
              <w:left w:val="nil"/>
              <w:bottom w:val="single" w:color="auto" w:sz="4" w:space="0"/>
              <w:right w:val="single" w:color="auto" w:sz="4" w:space="0"/>
            </w:tcBorders>
            <w:vAlign w:val="center"/>
          </w:tcPr>
          <w:p w14:paraId="0565118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2760" w:type="dxa"/>
            <w:tcBorders>
              <w:top w:val="single" w:color="auto" w:sz="4" w:space="0"/>
              <w:left w:val="nil"/>
              <w:bottom w:val="single" w:color="auto" w:sz="4" w:space="0"/>
              <w:right w:val="single" w:color="auto" w:sz="4" w:space="0"/>
            </w:tcBorders>
            <w:vAlign w:val="center"/>
          </w:tcPr>
          <w:p w14:paraId="2813604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规格要求</w:t>
            </w:r>
          </w:p>
        </w:tc>
        <w:tc>
          <w:tcPr>
            <w:tcW w:w="2302" w:type="dxa"/>
            <w:tcBorders>
              <w:top w:val="single" w:color="auto" w:sz="4" w:space="0"/>
              <w:left w:val="nil"/>
              <w:bottom w:val="single" w:color="auto" w:sz="4" w:space="0"/>
              <w:right w:val="single" w:color="auto" w:sz="4" w:space="0"/>
            </w:tcBorders>
            <w:vAlign w:val="center"/>
          </w:tcPr>
          <w:p w14:paraId="5867C56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68191637">
        <w:tblPrEx>
          <w:tblCellMar>
            <w:top w:w="0" w:type="dxa"/>
            <w:left w:w="108" w:type="dxa"/>
            <w:bottom w:w="0" w:type="dxa"/>
            <w:right w:w="108" w:type="dxa"/>
          </w:tblCellMar>
        </w:tblPrEx>
        <w:trPr>
          <w:trHeight w:val="965" w:hRule="atLeast"/>
        </w:trPr>
        <w:tc>
          <w:tcPr>
            <w:tcW w:w="582" w:type="dxa"/>
            <w:tcBorders>
              <w:top w:val="single" w:color="auto" w:sz="4" w:space="0"/>
              <w:left w:val="single" w:color="auto" w:sz="4" w:space="0"/>
              <w:bottom w:val="single" w:color="auto" w:sz="4" w:space="0"/>
              <w:right w:val="single" w:color="auto" w:sz="4" w:space="0"/>
            </w:tcBorders>
            <w:vAlign w:val="center"/>
          </w:tcPr>
          <w:p w14:paraId="174B031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655" w:type="dxa"/>
            <w:tcBorders>
              <w:top w:val="single" w:color="auto" w:sz="4" w:space="0"/>
              <w:left w:val="single" w:color="auto" w:sz="4" w:space="0"/>
              <w:bottom w:val="single" w:color="auto" w:sz="4" w:space="0"/>
              <w:right w:val="single" w:color="auto" w:sz="4" w:space="0"/>
            </w:tcBorders>
            <w:vAlign w:val="center"/>
          </w:tcPr>
          <w:p w14:paraId="0D91994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洗扫车/扫路车等</w:t>
            </w:r>
          </w:p>
        </w:tc>
        <w:tc>
          <w:tcPr>
            <w:tcW w:w="930" w:type="dxa"/>
            <w:tcBorders>
              <w:top w:val="single" w:color="auto" w:sz="4" w:space="0"/>
              <w:left w:val="single" w:color="auto" w:sz="4" w:space="0"/>
              <w:bottom w:val="single" w:color="auto" w:sz="4" w:space="0"/>
              <w:right w:val="single" w:color="auto" w:sz="4" w:space="0"/>
            </w:tcBorders>
            <w:vAlign w:val="center"/>
          </w:tcPr>
          <w:p w14:paraId="1C2AE16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760" w:type="dxa"/>
            <w:tcBorders>
              <w:top w:val="single" w:color="auto" w:sz="4" w:space="0"/>
              <w:left w:val="single" w:color="auto" w:sz="4" w:space="0"/>
              <w:bottom w:val="single" w:color="auto" w:sz="4" w:space="0"/>
              <w:right w:val="single" w:color="auto" w:sz="4" w:space="0"/>
            </w:tcBorders>
            <w:vAlign w:val="center"/>
          </w:tcPr>
          <w:p w14:paraId="50E84FC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1辆总质量≥8吨,1辆总质量≥5吨</w:t>
            </w:r>
          </w:p>
        </w:tc>
        <w:tc>
          <w:tcPr>
            <w:tcW w:w="2302" w:type="dxa"/>
            <w:tcBorders>
              <w:top w:val="single" w:color="auto" w:sz="4" w:space="0"/>
              <w:left w:val="single" w:color="auto" w:sz="4" w:space="0"/>
              <w:bottom w:val="single" w:color="auto" w:sz="4" w:space="0"/>
              <w:right w:val="single" w:color="auto" w:sz="4" w:space="0"/>
            </w:tcBorders>
            <w:vAlign w:val="center"/>
          </w:tcPr>
          <w:p w14:paraId="1767E48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带抑尘功能</w:t>
            </w:r>
          </w:p>
        </w:tc>
      </w:tr>
      <w:tr w14:paraId="7D831D7E">
        <w:tblPrEx>
          <w:tblCellMar>
            <w:top w:w="0" w:type="dxa"/>
            <w:left w:w="108" w:type="dxa"/>
            <w:bottom w:w="0" w:type="dxa"/>
            <w:right w:w="108" w:type="dxa"/>
          </w:tblCellMar>
        </w:tblPrEx>
        <w:trPr>
          <w:trHeight w:val="90" w:hRule="atLeast"/>
        </w:trPr>
        <w:tc>
          <w:tcPr>
            <w:tcW w:w="582" w:type="dxa"/>
            <w:tcBorders>
              <w:top w:val="single" w:color="auto" w:sz="4" w:space="0"/>
              <w:left w:val="single" w:color="auto" w:sz="4" w:space="0"/>
              <w:bottom w:val="single" w:color="auto" w:sz="4" w:space="0"/>
              <w:right w:val="single" w:color="auto" w:sz="4" w:space="0"/>
            </w:tcBorders>
            <w:vAlign w:val="center"/>
          </w:tcPr>
          <w:p w14:paraId="65C1EDF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655" w:type="dxa"/>
            <w:tcBorders>
              <w:top w:val="single" w:color="auto" w:sz="4" w:space="0"/>
              <w:left w:val="single" w:color="auto" w:sz="4" w:space="0"/>
              <w:bottom w:val="single" w:color="auto" w:sz="4" w:space="0"/>
              <w:right w:val="single" w:color="auto" w:sz="4" w:space="0"/>
            </w:tcBorders>
            <w:vAlign w:val="center"/>
          </w:tcPr>
          <w:p w14:paraId="59977E9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洒水车/高压冲洗车/清洗车等</w:t>
            </w:r>
          </w:p>
        </w:tc>
        <w:tc>
          <w:tcPr>
            <w:tcW w:w="930" w:type="dxa"/>
            <w:tcBorders>
              <w:top w:val="single" w:color="auto" w:sz="4" w:space="0"/>
              <w:left w:val="single" w:color="auto" w:sz="4" w:space="0"/>
              <w:bottom w:val="single" w:color="auto" w:sz="4" w:space="0"/>
              <w:right w:val="single" w:color="auto" w:sz="4" w:space="0"/>
            </w:tcBorders>
            <w:vAlign w:val="center"/>
          </w:tcPr>
          <w:p w14:paraId="7ACB3E8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760" w:type="dxa"/>
            <w:tcBorders>
              <w:top w:val="single" w:color="auto" w:sz="4" w:space="0"/>
              <w:left w:val="single" w:color="auto" w:sz="4" w:space="0"/>
              <w:bottom w:val="single" w:color="auto" w:sz="4" w:space="0"/>
              <w:right w:val="single" w:color="auto" w:sz="4" w:space="0"/>
            </w:tcBorders>
            <w:vAlign w:val="center"/>
          </w:tcPr>
          <w:p w14:paraId="3A60870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3辆总质量≥18吨</w:t>
            </w:r>
          </w:p>
        </w:tc>
        <w:tc>
          <w:tcPr>
            <w:tcW w:w="2302" w:type="dxa"/>
            <w:tcBorders>
              <w:top w:val="single" w:color="auto" w:sz="4" w:space="0"/>
              <w:left w:val="single" w:color="auto" w:sz="4" w:space="0"/>
              <w:bottom w:val="single" w:color="auto" w:sz="4" w:space="0"/>
              <w:right w:val="single" w:color="auto" w:sz="4" w:space="0"/>
            </w:tcBorders>
            <w:vAlign w:val="center"/>
          </w:tcPr>
          <w:p w14:paraId="502A4C47">
            <w:pPr>
              <w:spacing w:line="400" w:lineRule="exact"/>
              <w:jc w:val="center"/>
              <w:rPr>
                <w:rFonts w:hint="eastAsia" w:ascii="仿宋" w:hAnsi="仿宋" w:eastAsia="仿宋" w:cs="仿宋"/>
                <w:color w:val="auto"/>
                <w:sz w:val="24"/>
                <w:szCs w:val="24"/>
                <w:highlight w:val="none"/>
              </w:rPr>
            </w:pPr>
          </w:p>
        </w:tc>
      </w:tr>
      <w:tr w14:paraId="7438DF67">
        <w:tblPrEx>
          <w:tblCellMar>
            <w:top w:w="0" w:type="dxa"/>
            <w:left w:w="108" w:type="dxa"/>
            <w:bottom w:w="0" w:type="dxa"/>
            <w:right w:w="108" w:type="dxa"/>
          </w:tblCellMar>
        </w:tblPrEx>
        <w:trPr>
          <w:trHeight w:val="90" w:hRule="atLeast"/>
        </w:trPr>
        <w:tc>
          <w:tcPr>
            <w:tcW w:w="582" w:type="dxa"/>
            <w:tcBorders>
              <w:top w:val="single" w:color="auto" w:sz="4" w:space="0"/>
              <w:left w:val="single" w:color="auto" w:sz="4" w:space="0"/>
              <w:bottom w:val="single" w:color="auto" w:sz="4" w:space="0"/>
              <w:right w:val="single" w:color="auto" w:sz="4" w:space="0"/>
            </w:tcBorders>
            <w:vAlign w:val="center"/>
          </w:tcPr>
          <w:p w14:paraId="5B79AA7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655" w:type="dxa"/>
            <w:tcBorders>
              <w:top w:val="single" w:color="auto" w:sz="4" w:space="0"/>
              <w:left w:val="single" w:color="auto" w:sz="4" w:space="0"/>
              <w:bottom w:val="single" w:color="auto" w:sz="4" w:space="0"/>
              <w:right w:val="single" w:color="auto" w:sz="4" w:space="0"/>
            </w:tcBorders>
            <w:vAlign w:val="center"/>
          </w:tcPr>
          <w:p w14:paraId="6E9ADA0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高压小型油污冲洗车/路面养护车</w:t>
            </w:r>
          </w:p>
        </w:tc>
        <w:tc>
          <w:tcPr>
            <w:tcW w:w="930" w:type="dxa"/>
            <w:tcBorders>
              <w:top w:val="single" w:color="auto" w:sz="4" w:space="0"/>
              <w:left w:val="single" w:color="auto" w:sz="4" w:space="0"/>
              <w:bottom w:val="single" w:color="auto" w:sz="4" w:space="0"/>
              <w:right w:val="single" w:color="auto" w:sz="4" w:space="0"/>
            </w:tcBorders>
            <w:vAlign w:val="center"/>
          </w:tcPr>
          <w:p w14:paraId="3463CF7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760" w:type="dxa"/>
            <w:tcBorders>
              <w:top w:val="single" w:color="auto" w:sz="4" w:space="0"/>
              <w:left w:val="single" w:color="auto" w:sz="4" w:space="0"/>
              <w:bottom w:val="single" w:color="auto" w:sz="4" w:space="0"/>
              <w:right w:val="single" w:color="auto" w:sz="4" w:space="0"/>
            </w:tcBorders>
            <w:vAlign w:val="center"/>
          </w:tcPr>
          <w:p w14:paraId="1F4BF25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2302" w:type="dxa"/>
            <w:tcBorders>
              <w:top w:val="single" w:color="auto" w:sz="4" w:space="0"/>
              <w:left w:val="single" w:color="auto" w:sz="4" w:space="0"/>
              <w:bottom w:val="single" w:color="auto" w:sz="4" w:space="0"/>
              <w:right w:val="single" w:color="auto" w:sz="4" w:space="0"/>
            </w:tcBorders>
            <w:vAlign w:val="center"/>
          </w:tcPr>
          <w:p w14:paraId="40A0441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高压小型油污冲洗车2辆，道路养护车1辆。</w:t>
            </w:r>
          </w:p>
        </w:tc>
      </w:tr>
      <w:tr w14:paraId="0E4A0AB3">
        <w:tblPrEx>
          <w:tblCellMar>
            <w:top w:w="0" w:type="dxa"/>
            <w:left w:w="108" w:type="dxa"/>
            <w:bottom w:w="0" w:type="dxa"/>
            <w:right w:w="108" w:type="dxa"/>
          </w:tblCellMar>
        </w:tblPrEx>
        <w:trPr>
          <w:trHeight w:val="285" w:hRule="atLeast"/>
        </w:trPr>
        <w:tc>
          <w:tcPr>
            <w:tcW w:w="582" w:type="dxa"/>
            <w:tcBorders>
              <w:top w:val="single" w:color="auto" w:sz="4" w:space="0"/>
              <w:left w:val="single" w:color="auto" w:sz="4" w:space="0"/>
              <w:bottom w:val="single" w:color="auto" w:sz="4" w:space="0"/>
              <w:right w:val="single" w:color="auto" w:sz="4" w:space="0"/>
            </w:tcBorders>
            <w:vAlign w:val="center"/>
          </w:tcPr>
          <w:p w14:paraId="434C45C7">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2655" w:type="dxa"/>
            <w:tcBorders>
              <w:top w:val="single" w:color="auto" w:sz="4" w:space="0"/>
              <w:left w:val="single" w:color="auto" w:sz="4" w:space="0"/>
              <w:bottom w:val="single" w:color="auto" w:sz="4" w:space="0"/>
              <w:right w:val="single" w:color="auto" w:sz="4" w:space="0"/>
            </w:tcBorders>
            <w:vAlign w:val="center"/>
          </w:tcPr>
          <w:p w14:paraId="0482B75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小工程车（皮卡）</w:t>
            </w:r>
          </w:p>
        </w:tc>
        <w:tc>
          <w:tcPr>
            <w:tcW w:w="930" w:type="dxa"/>
            <w:tcBorders>
              <w:top w:val="single" w:color="auto" w:sz="4" w:space="0"/>
              <w:left w:val="single" w:color="auto" w:sz="4" w:space="0"/>
              <w:bottom w:val="single" w:color="auto" w:sz="4" w:space="0"/>
              <w:right w:val="single" w:color="auto" w:sz="4" w:space="0"/>
            </w:tcBorders>
            <w:vAlign w:val="center"/>
          </w:tcPr>
          <w:p w14:paraId="49E9814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760" w:type="dxa"/>
            <w:tcBorders>
              <w:top w:val="single" w:color="auto" w:sz="4" w:space="0"/>
              <w:left w:val="single" w:color="auto" w:sz="4" w:space="0"/>
              <w:bottom w:val="single" w:color="auto" w:sz="4" w:space="0"/>
              <w:right w:val="single" w:color="auto" w:sz="4" w:space="0"/>
            </w:tcBorders>
            <w:vAlign w:val="center"/>
          </w:tcPr>
          <w:p w14:paraId="3FFF427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轻型普通货车1辆（总质量必须≥2000kg）</w:t>
            </w:r>
          </w:p>
        </w:tc>
        <w:tc>
          <w:tcPr>
            <w:tcW w:w="2302" w:type="dxa"/>
            <w:tcBorders>
              <w:top w:val="single" w:color="auto" w:sz="4" w:space="0"/>
              <w:left w:val="single" w:color="auto" w:sz="4" w:space="0"/>
              <w:bottom w:val="single" w:color="auto" w:sz="4" w:space="0"/>
              <w:right w:val="single" w:color="auto" w:sz="4" w:space="0"/>
            </w:tcBorders>
            <w:vAlign w:val="center"/>
          </w:tcPr>
          <w:p w14:paraId="577A495F">
            <w:pPr>
              <w:spacing w:line="400" w:lineRule="exact"/>
              <w:jc w:val="center"/>
              <w:rPr>
                <w:rFonts w:hint="eastAsia" w:ascii="仿宋" w:hAnsi="仿宋" w:eastAsia="仿宋" w:cs="仿宋"/>
                <w:color w:val="auto"/>
                <w:sz w:val="24"/>
                <w:szCs w:val="24"/>
                <w:highlight w:val="none"/>
              </w:rPr>
            </w:pPr>
          </w:p>
        </w:tc>
      </w:tr>
      <w:tr w14:paraId="17BE6469">
        <w:tblPrEx>
          <w:tblCellMar>
            <w:top w:w="0" w:type="dxa"/>
            <w:left w:w="108" w:type="dxa"/>
            <w:bottom w:w="0" w:type="dxa"/>
            <w:right w:w="108" w:type="dxa"/>
          </w:tblCellMar>
        </w:tblPrEx>
        <w:trPr>
          <w:trHeight w:val="495" w:hRule="atLeast"/>
        </w:trPr>
        <w:tc>
          <w:tcPr>
            <w:tcW w:w="582" w:type="dxa"/>
            <w:tcBorders>
              <w:top w:val="single" w:color="auto" w:sz="4" w:space="0"/>
              <w:left w:val="single" w:color="auto" w:sz="4" w:space="0"/>
              <w:bottom w:val="single" w:color="auto" w:sz="4" w:space="0"/>
              <w:right w:val="single" w:color="auto" w:sz="4" w:space="0"/>
            </w:tcBorders>
            <w:vAlign w:val="center"/>
          </w:tcPr>
          <w:p w14:paraId="532D3E3B">
            <w:pPr>
              <w:spacing w:line="40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2655" w:type="dxa"/>
            <w:tcBorders>
              <w:top w:val="single" w:color="auto" w:sz="4" w:space="0"/>
              <w:left w:val="single" w:color="auto" w:sz="4" w:space="0"/>
              <w:bottom w:val="single" w:color="auto" w:sz="4" w:space="0"/>
              <w:right w:val="single" w:color="auto" w:sz="4" w:space="0"/>
            </w:tcBorders>
            <w:vAlign w:val="center"/>
          </w:tcPr>
          <w:p w14:paraId="054CEDA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护栏清洗车</w:t>
            </w:r>
          </w:p>
        </w:tc>
        <w:tc>
          <w:tcPr>
            <w:tcW w:w="930" w:type="dxa"/>
            <w:tcBorders>
              <w:top w:val="single" w:color="auto" w:sz="4" w:space="0"/>
              <w:left w:val="single" w:color="auto" w:sz="4" w:space="0"/>
              <w:bottom w:val="single" w:color="auto" w:sz="4" w:space="0"/>
              <w:right w:val="single" w:color="auto" w:sz="4" w:space="0"/>
            </w:tcBorders>
            <w:vAlign w:val="center"/>
          </w:tcPr>
          <w:p w14:paraId="0F49CBD2">
            <w:pPr>
              <w:spacing w:line="40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2760" w:type="dxa"/>
            <w:tcBorders>
              <w:top w:val="single" w:color="auto" w:sz="4" w:space="0"/>
              <w:left w:val="single" w:color="auto" w:sz="4" w:space="0"/>
              <w:bottom w:val="single" w:color="auto" w:sz="4" w:space="0"/>
              <w:right w:val="single" w:color="auto" w:sz="4" w:space="0"/>
            </w:tcBorders>
            <w:vAlign w:val="center"/>
          </w:tcPr>
          <w:p w14:paraId="779284ED">
            <w:pPr>
              <w:spacing w:line="400" w:lineRule="exact"/>
              <w:jc w:val="center"/>
              <w:rPr>
                <w:rFonts w:hint="eastAsia" w:ascii="仿宋" w:hAnsi="仿宋" w:eastAsia="仿宋" w:cs="仿宋"/>
                <w:color w:val="auto"/>
                <w:sz w:val="24"/>
                <w:szCs w:val="24"/>
                <w:highlight w:val="none"/>
              </w:rPr>
            </w:pPr>
          </w:p>
        </w:tc>
        <w:tc>
          <w:tcPr>
            <w:tcW w:w="2302" w:type="dxa"/>
            <w:tcBorders>
              <w:top w:val="single" w:color="auto" w:sz="4" w:space="0"/>
              <w:left w:val="single" w:color="auto" w:sz="4" w:space="0"/>
              <w:bottom w:val="single" w:color="auto" w:sz="4" w:space="0"/>
              <w:right w:val="single" w:color="auto" w:sz="4" w:space="0"/>
            </w:tcBorders>
            <w:vAlign w:val="center"/>
          </w:tcPr>
          <w:p w14:paraId="2F847974">
            <w:pPr>
              <w:spacing w:line="400" w:lineRule="exact"/>
              <w:jc w:val="center"/>
              <w:rPr>
                <w:rFonts w:hint="eastAsia" w:ascii="仿宋" w:hAnsi="仿宋" w:eastAsia="仿宋" w:cs="仿宋"/>
                <w:color w:val="auto"/>
                <w:sz w:val="24"/>
                <w:szCs w:val="24"/>
                <w:highlight w:val="none"/>
              </w:rPr>
            </w:pPr>
          </w:p>
        </w:tc>
      </w:tr>
      <w:tr w14:paraId="41CBEBFE">
        <w:tblPrEx>
          <w:tblCellMar>
            <w:top w:w="0" w:type="dxa"/>
            <w:left w:w="108" w:type="dxa"/>
            <w:bottom w:w="0" w:type="dxa"/>
            <w:right w:w="108" w:type="dxa"/>
          </w:tblCellMar>
        </w:tblPrEx>
        <w:trPr>
          <w:trHeight w:val="90" w:hRule="atLeast"/>
        </w:trPr>
        <w:tc>
          <w:tcPr>
            <w:tcW w:w="582" w:type="dxa"/>
            <w:tcBorders>
              <w:top w:val="single" w:color="auto" w:sz="4" w:space="0"/>
              <w:left w:val="single" w:color="auto" w:sz="4" w:space="0"/>
              <w:bottom w:val="single" w:color="auto" w:sz="4" w:space="0"/>
              <w:right w:val="single" w:color="auto" w:sz="4" w:space="0"/>
            </w:tcBorders>
            <w:vAlign w:val="center"/>
          </w:tcPr>
          <w:p w14:paraId="137B8E84">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2655" w:type="dxa"/>
            <w:tcBorders>
              <w:top w:val="single" w:color="auto" w:sz="4" w:space="0"/>
              <w:left w:val="single" w:color="auto" w:sz="4" w:space="0"/>
              <w:bottom w:val="single" w:color="auto" w:sz="4" w:space="0"/>
              <w:right w:val="single" w:color="auto" w:sz="4" w:space="0"/>
            </w:tcBorders>
            <w:vAlign w:val="center"/>
          </w:tcPr>
          <w:p w14:paraId="4450C62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扫雪设备（推雪板跟除雪滚筒）</w:t>
            </w:r>
          </w:p>
        </w:tc>
        <w:tc>
          <w:tcPr>
            <w:tcW w:w="930" w:type="dxa"/>
            <w:tcBorders>
              <w:top w:val="single" w:color="auto" w:sz="4" w:space="0"/>
              <w:left w:val="single" w:color="auto" w:sz="4" w:space="0"/>
              <w:bottom w:val="single" w:color="auto" w:sz="4" w:space="0"/>
              <w:right w:val="single" w:color="auto" w:sz="4" w:space="0"/>
            </w:tcBorders>
            <w:vAlign w:val="center"/>
          </w:tcPr>
          <w:p w14:paraId="573A198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各1套</w:t>
            </w:r>
          </w:p>
        </w:tc>
        <w:tc>
          <w:tcPr>
            <w:tcW w:w="2760" w:type="dxa"/>
            <w:tcBorders>
              <w:top w:val="single" w:color="auto" w:sz="4" w:space="0"/>
              <w:left w:val="single" w:color="auto" w:sz="4" w:space="0"/>
              <w:bottom w:val="single" w:color="auto" w:sz="4" w:space="0"/>
              <w:right w:val="single" w:color="auto" w:sz="4" w:space="0"/>
            </w:tcBorders>
            <w:vAlign w:val="center"/>
          </w:tcPr>
          <w:p w14:paraId="507B982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2302" w:type="dxa"/>
            <w:tcBorders>
              <w:top w:val="single" w:color="auto" w:sz="4" w:space="0"/>
              <w:left w:val="single" w:color="auto" w:sz="4" w:space="0"/>
              <w:bottom w:val="single" w:color="auto" w:sz="4" w:space="0"/>
              <w:right w:val="single" w:color="auto" w:sz="4" w:space="0"/>
            </w:tcBorders>
            <w:vAlign w:val="center"/>
          </w:tcPr>
          <w:p w14:paraId="6C8E86BF">
            <w:pPr>
              <w:spacing w:line="400" w:lineRule="exact"/>
              <w:jc w:val="center"/>
              <w:rPr>
                <w:rFonts w:hint="eastAsia" w:ascii="仿宋" w:hAnsi="仿宋" w:eastAsia="仿宋" w:cs="仿宋"/>
                <w:color w:val="auto"/>
                <w:sz w:val="24"/>
                <w:szCs w:val="24"/>
                <w:highlight w:val="none"/>
              </w:rPr>
            </w:pPr>
          </w:p>
        </w:tc>
      </w:tr>
      <w:tr w14:paraId="401E1B9F">
        <w:tblPrEx>
          <w:tblCellMar>
            <w:top w:w="0" w:type="dxa"/>
            <w:left w:w="108" w:type="dxa"/>
            <w:bottom w:w="0" w:type="dxa"/>
            <w:right w:w="108" w:type="dxa"/>
          </w:tblCellMar>
        </w:tblPrEx>
        <w:trPr>
          <w:trHeight w:val="90" w:hRule="atLeast"/>
        </w:trPr>
        <w:tc>
          <w:tcPr>
            <w:tcW w:w="582" w:type="dxa"/>
            <w:tcBorders>
              <w:top w:val="single" w:color="auto" w:sz="4" w:space="0"/>
              <w:left w:val="single" w:color="auto" w:sz="4" w:space="0"/>
              <w:bottom w:val="single" w:color="auto" w:sz="4" w:space="0"/>
              <w:right w:val="single" w:color="auto" w:sz="4" w:space="0"/>
            </w:tcBorders>
            <w:vAlign w:val="center"/>
          </w:tcPr>
          <w:p w14:paraId="7F94FFCD">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2655" w:type="dxa"/>
            <w:tcBorders>
              <w:top w:val="single" w:color="auto" w:sz="4" w:space="0"/>
              <w:left w:val="single" w:color="auto" w:sz="4" w:space="0"/>
              <w:bottom w:val="single" w:color="auto" w:sz="4" w:space="0"/>
              <w:right w:val="single" w:color="auto" w:sz="4" w:space="0"/>
            </w:tcBorders>
            <w:vAlign w:val="center"/>
          </w:tcPr>
          <w:p w14:paraId="5D356A6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快保车/人力车</w:t>
            </w:r>
          </w:p>
        </w:tc>
        <w:tc>
          <w:tcPr>
            <w:tcW w:w="930" w:type="dxa"/>
            <w:tcBorders>
              <w:top w:val="single" w:color="auto" w:sz="4" w:space="0"/>
              <w:left w:val="single" w:color="auto" w:sz="4" w:space="0"/>
              <w:bottom w:val="single" w:color="auto" w:sz="4" w:space="0"/>
              <w:right w:val="single" w:color="auto" w:sz="4" w:space="0"/>
            </w:tcBorders>
            <w:vAlign w:val="center"/>
          </w:tcPr>
          <w:p w14:paraId="7408E68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78</w:t>
            </w:r>
          </w:p>
        </w:tc>
        <w:tc>
          <w:tcPr>
            <w:tcW w:w="2760" w:type="dxa"/>
            <w:tcBorders>
              <w:top w:val="single" w:color="auto" w:sz="4" w:space="0"/>
              <w:left w:val="single" w:color="auto" w:sz="4" w:space="0"/>
              <w:bottom w:val="single" w:color="auto" w:sz="4" w:space="0"/>
              <w:right w:val="single" w:color="auto" w:sz="4" w:space="0"/>
            </w:tcBorders>
            <w:vAlign w:val="center"/>
          </w:tcPr>
          <w:p w14:paraId="17C07C85">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按现场实际情况配置</w:t>
            </w:r>
          </w:p>
        </w:tc>
        <w:tc>
          <w:tcPr>
            <w:tcW w:w="2302" w:type="dxa"/>
            <w:tcBorders>
              <w:top w:val="single" w:color="auto" w:sz="4" w:space="0"/>
              <w:left w:val="single" w:color="auto" w:sz="4" w:space="0"/>
              <w:bottom w:val="single" w:color="auto" w:sz="4" w:space="0"/>
              <w:right w:val="single" w:color="auto" w:sz="4" w:space="0"/>
            </w:tcBorders>
            <w:vAlign w:val="center"/>
          </w:tcPr>
          <w:p w14:paraId="3F429B7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7台快保车，人力三轮车71台</w:t>
            </w:r>
          </w:p>
        </w:tc>
      </w:tr>
      <w:tr w14:paraId="5785FD10">
        <w:tblPrEx>
          <w:tblCellMar>
            <w:top w:w="0" w:type="dxa"/>
            <w:left w:w="108" w:type="dxa"/>
            <w:bottom w:w="0" w:type="dxa"/>
            <w:right w:w="108" w:type="dxa"/>
          </w:tblCellMar>
        </w:tblPrEx>
        <w:trPr>
          <w:trHeight w:val="565" w:hRule="atLeast"/>
        </w:trPr>
        <w:tc>
          <w:tcPr>
            <w:tcW w:w="9229" w:type="dxa"/>
            <w:gridSpan w:val="5"/>
            <w:tcBorders>
              <w:top w:val="single" w:color="auto" w:sz="4" w:space="0"/>
              <w:left w:val="single" w:color="auto" w:sz="4" w:space="0"/>
              <w:bottom w:val="single" w:color="auto" w:sz="4" w:space="0"/>
              <w:right w:val="single" w:color="auto" w:sz="4" w:space="0"/>
            </w:tcBorders>
            <w:vAlign w:val="center"/>
          </w:tcPr>
          <w:p w14:paraId="667223BC">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注：序号1-2车辆设备中必须有新能源洗扫车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w:t>
            </w:r>
            <w:r>
              <w:rPr>
                <w:rFonts w:hint="eastAsia" w:ascii="仿宋" w:hAnsi="仿宋" w:eastAsia="仿宋" w:cs="仿宋"/>
                <w:color w:val="auto"/>
                <w:sz w:val="24"/>
                <w:szCs w:val="24"/>
                <w:highlight w:val="none"/>
              </w:rPr>
              <w:t>扫路车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1辆、新能源洒水车1辆。其余车辆必须符合国六标准。</w:t>
            </w:r>
          </w:p>
        </w:tc>
      </w:tr>
    </w:tbl>
    <w:p w14:paraId="185FC0B5">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本项目机动车辆排放须达到国六标准及以上（新能源车辆除外）。投标人须根据项目实际需要，并按照国家对环境保护等相关规定，自行增配优化相关机械车辆。增配机械、车辆所有费用须包含在投标价格中。</w:t>
      </w:r>
    </w:p>
    <w:p w14:paraId="296E9757">
      <w:pPr>
        <w:spacing w:line="400" w:lineRule="exact"/>
        <w:ind w:firstLine="42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highlight w:val="none"/>
        </w:rPr>
        <w:t>▲</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eastAsia="zh-TW"/>
        </w:rPr>
        <w:t>、</w:t>
      </w:r>
      <w:r>
        <w:rPr>
          <w:rFonts w:hint="eastAsia" w:ascii="仿宋" w:hAnsi="仿宋" w:eastAsia="仿宋" w:cs="仿宋"/>
          <w:color w:val="auto"/>
          <w:sz w:val="24"/>
          <w:szCs w:val="24"/>
          <w:highlight w:val="none"/>
          <w:lang w:val="en-US" w:eastAsia="zh-CN"/>
        </w:rPr>
        <w:t>投标人须承诺：</w:t>
      </w:r>
    </w:p>
    <w:p w14:paraId="1CB8B062">
      <w:pPr>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本项目拟投入的</w:t>
      </w:r>
      <w:r>
        <w:rPr>
          <w:rFonts w:hint="eastAsia" w:ascii="仿宋" w:hAnsi="仿宋" w:eastAsia="仿宋" w:cs="仿宋"/>
          <w:color w:val="auto"/>
          <w:sz w:val="24"/>
          <w:szCs w:val="24"/>
          <w:highlight w:val="none"/>
        </w:rPr>
        <w:t>人员</w:t>
      </w:r>
      <w:r>
        <w:rPr>
          <w:rFonts w:hint="eastAsia" w:ascii="仿宋" w:hAnsi="仿宋" w:eastAsia="仿宋" w:cs="仿宋"/>
          <w:color w:val="auto"/>
          <w:sz w:val="24"/>
          <w:szCs w:val="24"/>
          <w:highlight w:val="none"/>
          <w:lang w:val="en-US" w:eastAsia="zh-CN"/>
        </w:rPr>
        <w:t>及车辆、设备配置在满足采购需求的基础上，</w:t>
      </w:r>
      <w:r>
        <w:rPr>
          <w:rFonts w:hint="eastAsia" w:ascii="仿宋" w:hAnsi="仿宋" w:eastAsia="仿宋" w:cs="仿宋"/>
          <w:color w:val="auto"/>
          <w:sz w:val="24"/>
          <w:szCs w:val="24"/>
          <w:highlight w:val="none"/>
        </w:rPr>
        <w:t>数量最终以投标单位的投标文件中承诺数量为准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若中标，在开工前5天内配备到位，以采购人现场确认为准。并按采购人要求提供相关资料备案。（投标时须提供承诺函，否则作无效标处理）。</w:t>
      </w:r>
    </w:p>
    <w:p w14:paraId="400C0220">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3、中标人实际投入本项目使用车辆若涉及更换的，须经采购人书面同意，实际使用车辆必须不低于投标时响应车辆的条件与配置（同时满足车辆产权、购买时间、总质量等相应要求）。</w:t>
      </w:r>
    </w:p>
    <w:p w14:paraId="064F84A7">
      <w:pPr>
        <w:spacing w:line="400" w:lineRule="exact"/>
        <w:rPr>
          <w:rFonts w:hint="eastAsia" w:ascii="仿宋" w:hAnsi="仿宋" w:eastAsia="仿宋" w:cs="仿宋"/>
          <w:color w:val="auto"/>
          <w:sz w:val="24"/>
          <w:szCs w:val="24"/>
          <w:highlight w:val="none"/>
        </w:rPr>
      </w:pPr>
    </w:p>
    <w:p w14:paraId="1A500857">
      <w:pPr>
        <w:spacing w:line="40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标项二：赵湾、104国道、生物医药产业园</w:t>
      </w:r>
    </w:p>
    <w:p w14:paraId="7D74BE5F">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服务内容及服务量</w:t>
      </w:r>
    </w:p>
    <w:p w14:paraId="2A7CFD2B">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本标项所指的赵湾、104国道、生物医药产业园详见附件道路清单一览表，清单仅供参考，如有遗漏，不在额外增加费用，各投标单位自行考虑在报价中，具体以采购人实际移交为准。</w:t>
      </w:r>
    </w:p>
    <w:p w14:paraId="2BACBB82">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道路保洁面积基数：约</w:t>
      </w:r>
      <w:r>
        <w:rPr>
          <w:rFonts w:hint="eastAsia" w:ascii="仿宋" w:hAnsi="仿宋" w:eastAsia="仿宋" w:cs="仿宋"/>
          <w:color w:val="auto"/>
          <w:sz w:val="24"/>
          <w:szCs w:val="24"/>
          <w:highlight w:val="none"/>
          <w:lang w:val="en-US" w:eastAsia="zh-CN"/>
        </w:rPr>
        <w:t>58.9</w:t>
      </w:r>
      <w:r>
        <w:rPr>
          <w:rFonts w:hint="eastAsia" w:ascii="仿宋" w:hAnsi="仿宋" w:eastAsia="仿宋" w:cs="仿宋"/>
          <w:color w:val="auto"/>
          <w:sz w:val="24"/>
          <w:szCs w:val="24"/>
          <w:highlight w:val="none"/>
        </w:rPr>
        <w:t>万平方米。</w:t>
      </w:r>
    </w:p>
    <w:tbl>
      <w:tblPr>
        <w:tblStyle w:val="23"/>
        <w:tblW w:w="9252" w:type="dxa"/>
        <w:tblInd w:w="93" w:type="dxa"/>
        <w:tblLayout w:type="autofit"/>
        <w:tblCellMar>
          <w:top w:w="0" w:type="dxa"/>
          <w:left w:w="108" w:type="dxa"/>
          <w:bottom w:w="0" w:type="dxa"/>
          <w:right w:w="108" w:type="dxa"/>
        </w:tblCellMar>
      </w:tblPr>
      <w:tblGrid>
        <w:gridCol w:w="2503"/>
        <w:gridCol w:w="6749"/>
      </w:tblGrid>
      <w:tr w14:paraId="4C885163">
        <w:tblPrEx>
          <w:tblCellMar>
            <w:top w:w="0" w:type="dxa"/>
            <w:left w:w="108" w:type="dxa"/>
            <w:bottom w:w="0" w:type="dxa"/>
            <w:right w:w="108" w:type="dxa"/>
          </w:tblCellMar>
        </w:tblPrEx>
        <w:trPr>
          <w:trHeight w:val="412" w:hRule="atLeast"/>
        </w:trPr>
        <w:tc>
          <w:tcPr>
            <w:tcW w:w="2503"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14:paraId="4DA3DD0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6749"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14:paraId="01F5606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道路名称</w:t>
            </w:r>
          </w:p>
        </w:tc>
      </w:tr>
      <w:tr w14:paraId="670D5225">
        <w:tblPrEx>
          <w:tblCellMar>
            <w:top w:w="0" w:type="dxa"/>
            <w:left w:w="108" w:type="dxa"/>
            <w:bottom w:w="0" w:type="dxa"/>
            <w:right w:w="108" w:type="dxa"/>
          </w:tblCellMar>
        </w:tblPrEx>
        <w:trPr>
          <w:trHeight w:val="412" w:hRule="atLeast"/>
        </w:trPr>
        <w:tc>
          <w:tcPr>
            <w:tcW w:w="2503"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5BBC5165">
            <w:pPr>
              <w:spacing w:line="400" w:lineRule="exact"/>
              <w:rPr>
                <w:rFonts w:hint="eastAsia" w:ascii="仿宋" w:hAnsi="仿宋" w:eastAsia="仿宋" w:cs="仿宋"/>
                <w:color w:val="auto"/>
                <w:sz w:val="24"/>
                <w:szCs w:val="24"/>
                <w:highlight w:val="none"/>
              </w:rPr>
            </w:pPr>
          </w:p>
        </w:tc>
        <w:tc>
          <w:tcPr>
            <w:tcW w:w="674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0E7AC8B5">
            <w:pPr>
              <w:spacing w:line="400" w:lineRule="exact"/>
              <w:rPr>
                <w:rFonts w:hint="eastAsia" w:ascii="仿宋" w:hAnsi="仿宋" w:eastAsia="仿宋" w:cs="仿宋"/>
                <w:color w:val="auto"/>
                <w:sz w:val="24"/>
                <w:szCs w:val="24"/>
                <w:highlight w:val="none"/>
              </w:rPr>
            </w:pPr>
          </w:p>
        </w:tc>
      </w:tr>
      <w:tr w14:paraId="238E3D3D">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296B83C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47131B6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三天门路（重点道路）</w:t>
            </w:r>
          </w:p>
        </w:tc>
      </w:tr>
      <w:tr w14:paraId="44ADD742">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18BEF66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6342FFC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环山路（重点道路）</w:t>
            </w:r>
          </w:p>
        </w:tc>
      </w:tr>
      <w:tr w14:paraId="6AA89148">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4E39317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047EB38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王母山路（重点道路）</w:t>
            </w:r>
          </w:p>
        </w:tc>
      </w:tr>
      <w:tr w14:paraId="5C70DC51">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303B2BF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49DC817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苍山路</w:t>
            </w:r>
          </w:p>
        </w:tc>
      </w:tr>
      <w:tr w14:paraId="52F6D2F7">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191B89C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337815A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中天路</w:t>
            </w:r>
          </w:p>
        </w:tc>
      </w:tr>
      <w:tr w14:paraId="423BA2F5">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72955E4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5D110D2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瑶池路（重点道路）</w:t>
            </w:r>
          </w:p>
        </w:tc>
      </w:tr>
      <w:tr w14:paraId="0806F789">
        <w:tblPrEx>
          <w:tblCellMar>
            <w:top w:w="0" w:type="dxa"/>
            <w:left w:w="108" w:type="dxa"/>
            <w:bottom w:w="0" w:type="dxa"/>
            <w:right w:w="108" w:type="dxa"/>
          </w:tblCellMar>
        </w:tblPrEx>
        <w:trPr>
          <w:trHeight w:val="368"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0ECABAA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41C14E4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104国道(杭长桥至杭宁湖州北出口）(重点道路）</w:t>
            </w:r>
          </w:p>
        </w:tc>
      </w:tr>
      <w:tr w14:paraId="4A4377BE">
        <w:tblPrEx>
          <w:tblCellMar>
            <w:top w:w="0" w:type="dxa"/>
            <w:left w:w="108" w:type="dxa"/>
            <w:bottom w:w="0" w:type="dxa"/>
            <w:right w:w="108" w:type="dxa"/>
          </w:tblCellMar>
        </w:tblPrEx>
        <w:trPr>
          <w:trHeight w:val="368"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1AC7E4F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059E9DE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上天门路</w:t>
            </w:r>
          </w:p>
        </w:tc>
      </w:tr>
      <w:tr w14:paraId="6CA7E1AB">
        <w:tblPrEx>
          <w:tblCellMar>
            <w:top w:w="0" w:type="dxa"/>
            <w:left w:w="108" w:type="dxa"/>
            <w:bottom w:w="0" w:type="dxa"/>
            <w:right w:w="108" w:type="dxa"/>
          </w:tblCellMar>
        </w:tblPrEx>
        <w:trPr>
          <w:trHeight w:val="26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6D98A155">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5D25CFC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104国道高架桥（重点道路）</w:t>
            </w:r>
          </w:p>
        </w:tc>
      </w:tr>
      <w:tr w14:paraId="65F08B4C">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16320A2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20A4A20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桥下便道</w:t>
            </w:r>
          </w:p>
        </w:tc>
      </w:tr>
      <w:tr w14:paraId="6B5A66BB">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421A128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4636A3F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同心路（重点道路）</w:t>
            </w:r>
          </w:p>
        </w:tc>
      </w:tr>
      <w:tr w14:paraId="2198A9FD">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0A9D864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6C98D55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赵湾一路（重点道路）</w:t>
            </w:r>
          </w:p>
        </w:tc>
      </w:tr>
      <w:tr w14:paraId="145C2CF5">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742A350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7BB4B39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赵湾二路</w:t>
            </w:r>
          </w:p>
        </w:tc>
      </w:tr>
      <w:tr w14:paraId="0EF0C089">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7A4E8CC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7DDDE59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赵湾三路（重点道路）</w:t>
            </w:r>
          </w:p>
        </w:tc>
      </w:tr>
      <w:tr w14:paraId="110F2378">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55A25D63">
            <w:pPr>
              <w:spacing w:line="40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19DB7E4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赵湾</w:t>
            </w:r>
            <w:r>
              <w:rPr>
                <w:rFonts w:hint="eastAsia" w:ascii="仿宋" w:hAnsi="仿宋" w:eastAsia="仿宋" w:cs="仿宋"/>
                <w:color w:val="auto"/>
                <w:sz w:val="24"/>
                <w:szCs w:val="24"/>
                <w:highlight w:val="none"/>
                <w:lang w:val="en-US" w:eastAsia="zh-CN"/>
              </w:rPr>
              <w:t>四路</w:t>
            </w:r>
          </w:p>
        </w:tc>
      </w:tr>
      <w:tr w14:paraId="66461D06">
        <w:tblPrEx>
          <w:tblCellMar>
            <w:top w:w="0" w:type="dxa"/>
            <w:left w:w="108" w:type="dxa"/>
            <w:bottom w:w="0" w:type="dxa"/>
            <w:right w:w="108" w:type="dxa"/>
          </w:tblCellMar>
        </w:tblPrEx>
        <w:trPr>
          <w:trHeight w:val="24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0CD313D4">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6317BFA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龙王山路（九九桥以东）（重点道路）</w:t>
            </w:r>
          </w:p>
        </w:tc>
      </w:tr>
      <w:tr w14:paraId="27590548">
        <w:tblPrEx>
          <w:tblCellMar>
            <w:top w:w="0" w:type="dxa"/>
            <w:left w:w="108" w:type="dxa"/>
            <w:bottom w:w="0" w:type="dxa"/>
            <w:right w:w="108" w:type="dxa"/>
          </w:tblCellMar>
        </w:tblPrEx>
        <w:trPr>
          <w:trHeight w:val="319"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1003245E">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21A1345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王母山路（仓山南坡地块地块出入口至外环线）</w:t>
            </w:r>
          </w:p>
        </w:tc>
      </w:tr>
      <w:tr w14:paraId="504B7BE1">
        <w:tblPrEx>
          <w:tblCellMar>
            <w:top w:w="0" w:type="dxa"/>
            <w:left w:w="108" w:type="dxa"/>
            <w:bottom w:w="0" w:type="dxa"/>
            <w:right w:w="108" w:type="dxa"/>
          </w:tblCellMar>
        </w:tblPrEx>
        <w:trPr>
          <w:trHeight w:val="267"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3C95C095">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8</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1B7AB3F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王母山二路（王母山路-杭长桥北路）</w:t>
            </w:r>
          </w:p>
        </w:tc>
      </w:tr>
      <w:tr w14:paraId="1DDFF51B">
        <w:tblPrEx>
          <w:tblCellMar>
            <w:top w:w="0" w:type="dxa"/>
            <w:left w:w="108" w:type="dxa"/>
            <w:bottom w:w="0" w:type="dxa"/>
            <w:right w:w="108" w:type="dxa"/>
          </w:tblCellMar>
        </w:tblPrEx>
        <w:trPr>
          <w:trHeight w:val="252" w:hRule="atLeast"/>
        </w:trPr>
        <w:tc>
          <w:tcPr>
            <w:tcW w:w="2503" w:type="dxa"/>
            <w:tcBorders>
              <w:top w:val="single" w:color="auto" w:sz="4" w:space="0"/>
              <w:left w:val="single" w:color="auto" w:sz="4" w:space="0"/>
              <w:bottom w:val="single" w:color="auto" w:sz="4" w:space="0"/>
              <w:right w:val="single" w:color="auto" w:sz="4" w:space="0"/>
            </w:tcBorders>
            <w:shd w:val="clear" w:color="auto" w:fill="FFFFFF"/>
            <w:vAlign w:val="center"/>
          </w:tcPr>
          <w:p w14:paraId="5934DA73">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9</w:t>
            </w:r>
          </w:p>
        </w:tc>
        <w:tc>
          <w:tcPr>
            <w:tcW w:w="6749" w:type="dxa"/>
            <w:tcBorders>
              <w:top w:val="single" w:color="auto" w:sz="4" w:space="0"/>
              <w:left w:val="single" w:color="auto" w:sz="4" w:space="0"/>
              <w:bottom w:val="single" w:color="auto" w:sz="4" w:space="0"/>
              <w:right w:val="single" w:color="auto" w:sz="4" w:space="0"/>
            </w:tcBorders>
            <w:shd w:val="clear" w:color="auto" w:fill="FFFFFF"/>
            <w:vAlign w:val="center"/>
          </w:tcPr>
          <w:p w14:paraId="74C028D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赵湾五路（群贤府周边道路）</w:t>
            </w:r>
          </w:p>
        </w:tc>
      </w:tr>
      <w:tr w14:paraId="03BDFC23">
        <w:tblPrEx>
          <w:tblCellMar>
            <w:top w:w="0" w:type="dxa"/>
            <w:left w:w="108" w:type="dxa"/>
            <w:bottom w:w="0" w:type="dxa"/>
            <w:right w:w="108" w:type="dxa"/>
          </w:tblCellMar>
        </w:tblPrEx>
        <w:trPr>
          <w:trHeight w:val="252" w:hRule="atLeast"/>
        </w:trPr>
        <w:tc>
          <w:tcPr>
            <w:tcW w:w="9252"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14:paraId="2A14DD88">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备注：重点道路实施16小时制道路保洁，其他道路实施12小时制道路保洁</w:t>
            </w:r>
          </w:p>
        </w:tc>
      </w:tr>
    </w:tbl>
    <w:p w14:paraId="15398BE1">
      <w:pPr>
        <w:spacing w:line="400" w:lineRule="exact"/>
        <w:rPr>
          <w:rFonts w:hint="eastAsia" w:ascii="仿宋" w:hAnsi="仿宋" w:eastAsia="仿宋" w:cs="仿宋"/>
          <w:color w:val="auto"/>
          <w:sz w:val="24"/>
          <w:szCs w:val="24"/>
          <w:highlight w:val="none"/>
        </w:rPr>
      </w:pPr>
    </w:p>
    <w:p w14:paraId="1878AFCC">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人员配置</w:t>
      </w:r>
    </w:p>
    <w:p w14:paraId="76A6684A">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以下配置清单要求仅为本项目初始要求，采购人可根据本项目服务内容及服务量的调整要求中标人进行调配，中标人须按采购人要求结合人员调班、辅助岗位等情况进行合理调配后向采购人提交配置清单。采购人以核准的配置清单为主要依据对中标人进行考核。 </w:t>
      </w:r>
    </w:p>
    <w:tbl>
      <w:tblPr>
        <w:tblStyle w:val="23"/>
        <w:tblW w:w="9239" w:type="dxa"/>
        <w:tblInd w:w="93" w:type="dxa"/>
        <w:tblLayout w:type="fixed"/>
        <w:tblCellMar>
          <w:top w:w="0" w:type="dxa"/>
          <w:left w:w="108" w:type="dxa"/>
          <w:bottom w:w="0" w:type="dxa"/>
          <w:right w:w="108" w:type="dxa"/>
        </w:tblCellMar>
      </w:tblPr>
      <w:tblGrid>
        <w:gridCol w:w="736"/>
        <w:gridCol w:w="1671"/>
        <w:gridCol w:w="6832"/>
      </w:tblGrid>
      <w:tr w14:paraId="4B5D276E">
        <w:tblPrEx>
          <w:tblCellMar>
            <w:top w:w="0" w:type="dxa"/>
            <w:left w:w="108" w:type="dxa"/>
            <w:bottom w:w="0" w:type="dxa"/>
            <w:right w:w="108" w:type="dxa"/>
          </w:tblCellMar>
        </w:tblPrEx>
        <w:trPr>
          <w:trHeight w:val="405" w:hRule="atLeast"/>
        </w:trPr>
        <w:tc>
          <w:tcPr>
            <w:tcW w:w="736" w:type="dxa"/>
            <w:tcBorders>
              <w:top w:val="single" w:color="auto" w:sz="4" w:space="0"/>
              <w:left w:val="single" w:color="auto" w:sz="4" w:space="0"/>
              <w:bottom w:val="single" w:color="auto" w:sz="4" w:space="0"/>
              <w:right w:val="single" w:color="auto" w:sz="4" w:space="0"/>
            </w:tcBorders>
            <w:vAlign w:val="center"/>
          </w:tcPr>
          <w:p w14:paraId="34C7F5E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671" w:type="dxa"/>
            <w:tcBorders>
              <w:top w:val="single" w:color="auto" w:sz="4" w:space="0"/>
              <w:left w:val="nil"/>
              <w:bottom w:val="single" w:color="auto" w:sz="4" w:space="0"/>
              <w:right w:val="single" w:color="auto" w:sz="4" w:space="0"/>
            </w:tcBorders>
            <w:vAlign w:val="center"/>
          </w:tcPr>
          <w:p w14:paraId="5C190F0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工种</w:t>
            </w:r>
          </w:p>
        </w:tc>
        <w:tc>
          <w:tcPr>
            <w:tcW w:w="6832" w:type="dxa"/>
            <w:tcBorders>
              <w:top w:val="single" w:color="auto" w:sz="4" w:space="0"/>
              <w:left w:val="nil"/>
              <w:bottom w:val="single" w:color="auto" w:sz="4" w:space="0"/>
              <w:right w:val="single" w:color="auto" w:sz="4" w:space="0"/>
            </w:tcBorders>
            <w:vAlign w:val="center"/>
          </w:tcPr>
          <w:p w14:paraId="6CE86B05">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要求</w:t>
            </w:r>
          </w:p>
        </w:tc>
      </w:tr>
      <w:tr w14:paraId="1C0E121F">
        <w:tblPrEx>
          <w:tblCellMar>
            <w:top w:w="0" w:type="dxa"/>
            <w:left w:w="108" w:type="dxa"/>
            <w:bottom w:w="0" w:type="dxa"/>
            <w:right w:w="108" w:type="dxa"/>
          </w:tblCellMar>
        </w:tblPrEx>
        <w:trPr>
          <w:trHeight w:val="756" w:hRule="atLeast"/>
        </w:trPr>
        <w:tc>
          <w:tcPr>
            <w:tcW w:w="736" w:type="dxa"/>
            <w:tcBorders>
              <w:top w:val="nil"/>
              <w:left w:val="single" w:color="auto" w:sz="4" w:space="0"/>
              <w:bottom w:val="single" w:color="auto" w:sz="4" w:space="0"/>
              <w:right w:val="single" w:color="auto" w:sz="4" w:space="0"/>
            </w:tcBorders>
            <w:vAlign w:val="center"/>
          </w:tcPr>
          <w:p w14:paraId="2122223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671" w:type="dxa"/>
            <w:tcBorders>
              <w:top w:val="nil"/>
              <w:left w:val="nil"/>
              <w:bottom w:val="single" w:color="auto" w:sz="4" w:space="0"/>
              <w:right w:val="single" w:color="auto" w:sz="4" w:space="0"/>
            </w:tcBorders>
            <w:vAlign w:val="center"/>
          </w:tcPr>
          <w:p w14:paraId="45E86AF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一线保洁人员</w:t>
            </w:r>
          </w:p>
        </w:tc>
        <w:tc>
          <w:tcPr>
            <w:tcW w:w="6832" w:type="dxa"/>
            <w:tcBorders>
              <w:top w:val="nil"/>
              <w:left w:val="nil"/>
              <w:bottom w:val="single" w:color="auto" w:sz="4" w:space="0"/>
              <w:right w:val="single" w:color="auto" w:sz="4" w:space="0"/>
            </w:tcBorders>
            <w:vAlign w:val="center"/>
          </w:tcPr>
          <w:p w14:paraId="6DCAA6EB">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至少5</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人(含</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名保洁清扫工、6名巡检工、冲洗工2人)</w:t>
            </w:r>
          </w:p>
        </w:tc>
      </w:tr>
      <w:tr w14:paraId="6890D5EE">
        <w:tblPrEx>
          <w:tblCellMar>
            <w:top w:w="0" w:type="dxa"/>
            <w:left w:w="108" w:type="dxa"/>
            <w:bottom w:w="0" w:type="dxa"/>
            <w:right w:w="108" w:type="dxa"/>
          </w:tblCellMar>
        </w:tblPrEx>
        <w:trPr>
          <w:trHeight w:val="801" w:hRule="atLeast"/>
        </w:trPr>
        <w:tc>
          <w:tcPr>
            <w:tcW w:w="736" w:type="dxa"/>
            <w:tcBorders>
              <w:top w:val="single" w:color="auto" w:sz="4" w:space="0"/>
              <w:left w:val="single" w:color="auto" w:sz="4" w:space="0"/>
              <w:bottom w:val="single" w:color="auto" w:sz="4" w:space="0"/>
              <w:right w:val="single" w:color="auto" w:sz="4" w:space="0"/>
            </w:tcBorders>
            <w:vAlign w:val="center"/>
          </w:tcPr>
          <w:p w14:paraId="06D9230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671" w:type="dxa"/>
            <w:tcBorders>
              <w:top w:val="single" w:color="auto" w:sz="4" w:space="0"/>
              <w:left w:val="single" w:color="auto" w:sz="4" w:space="0"/>
              <w:bottom w:val="single" w:color="auto" w:sz="4" w:space="0"/>
              <w:right w:val="single" w:color="auto" w:sz="4" w:space="0"/>
            </w:tcBorders>
            <w:vAlign w:val="center"/>
          </w:tcPr>
          <w:p w14:paraId="4CD4961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驾驶员</w:t>
            </w:r>
          </w:p>
        </w:tc>
        <w:tc>
          <w:tcPr>
            <w:tcW w:w="6832" w:type="dxa"/>
            <w:tcBorders>
              <w:top w:val="single" w:color="auto" w:sz="4" w:space="0"/>
              <w:left w:val="single" w:color="auto" w:sz="4" w:space="0"/>
              <w:bottom w:val="single" w:color="auto" w:sz="4" w:space="0"/>
              <w:right w:val="single" w:color="auto" w:sz="4" w:space="0"/>
            </w:tcBorders>
            <w:vAlign w:val="center"/>
          </w:tcPr>
          <w:p w14:paraId="07DC3164">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每辆车配备1名驾驶员，至少7人（其中1名机动人员）</w:t>
            </w:r>
          </w:p>
        </w:tc>
      </w:tr>
      <w:tr w14:paraId="3431A8DA">
        <w:tblPrEx>
          <w:tblCellMar>
            <w:top w:w="0" w:type="dxa"/>
            <w:left w:w="108" w:type="dxa"/>
            <w:bottom w:w="0" w:type="dxa"/>
            <w:right w:w="108" w:type="dxa"/>
          </w:tblCellMar>
        </w:tblPrEx>
        <w:trPr>
          <w:trHeight w:val="610" w:hRule="atLeast"/>
        </w:trPr>
        <w:tc>
          <w:tcPr>
            <w:tcW w:w="736" w:type="dxa"/>
            <w:tcBorders>
              <w:top w:val="single" w:color="auto" w:sz="4" w:space="0"/>
              <w:left w:val="single" w:color="auto" w:sz="4" w:space="0"/>
              <w:bottom w:val="single" w:color="auto" w:sz="4" w:space="0"/>
              <w:right w:val="single" w:color="auto" w:sz="4" w:space="0"/>
            </w:tcBorders>
            <w:vAlign w:val="center"/>
          </w:tcPr>
          <w:p w14:paraId="1FB28CC5">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671" w:type="dxa"/>
            <w:tcBorders>
              <w:top w:val="single" w:color="auto" w:sz="4" w:space="0"/>
              <w:left w:val="nil"/>
              <w:bottom w:val="single" w:color="auto" w:sz="4" w:space="0"/>
              <w:right w:val="single" w:color="auto" w:sz="4" w:space="0"/>
            </w:tcBorders>
            <w:vAlign w:val="center"/>
          </w:tcPr>
          <w:p w14:paraId="205A421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管理人员</w:t>
            </w:r>
          </w:p>
        </w:tc>
        <w:tc>
          <w:tcPr>
            <w:tcW w:w="6832" w:type="dxa"/>
            <w:tcBorders>
              <w:top w:val="single" w:color="auto" w:sz="4" w:space="0"/>
              <w:left w:val="nil"/>
              <w:bottom w:val="single" w:color="auto" w:sz="4" w:space="0"/>
              <w:right w:val="single" w:color="auto" w:sz="4" w:space="0"/>
            </w:tcBorders>
            <w:vAlign w:val="center"/>
          </w:tcPr>
          <w:p w14:paraId="387B8091">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3人（专职项目负责人2人、后勤1人）</w:t>
            </w:r>
          </w:p>
        </w:tc>
      </w:tr>
    </w:tbl>
    <w:p w14:paraId="39DAA3D6">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车辆、设备配置</w:t>
      </w:r>
    </w:p>
    <w:tbl>
      <w:tblPr>
        <w:tblStyle w:val="23"/>
        <w:tblW w:w="9229" w:type="dxa"/>
        <w:tblInd w:w="93" w:type="dxa"/>
        <w:tblLayout w:type="fixed"/>
        <w:tblCellMar>
          <w:top w:w="0" w:type="dxa"/>
          <w:left w:w="108" w:type="dxa"/>
          <w:bottom w:w="0" w:type="dxa"/>
          <w:right w:w="108" w:type="dxa"/>
        </w:tblCellMar>
      </w:tblPr>
      <w:tblGrid>
        <w:gridCol w:w="732"/>
        <w:gridCol w:w="2565"/>
        <w:gridCol w:w="990"/>
        <w:gridCol w:w="2565"/>
        <w:gridCol w:w="2377"/>
      </w:tblGrid>
      <w:tr w14:paraId="347C1AE6">
        <w:tblPrEx>
          <w:tblCellMar>
            <w:top w:w="0" w:type="dxa"/>
            <w:left w:w="108" w:type="dxa"/>
            <w:bottom w:w="0" w:type="dxa"/>
            <w:right w:w="108" w:type="dxa"/>
          </w:tblCellMar>
        </w:tblPrEx>
        <w:trPr>
          <w:trHeight w:val="738" w:hRule="atLeast"/>
        </w:trPr>
        <w:tc>
          <w:tcPr>
            <w:tcW w:w="732" w:type="dxa"/>
            <w:tcBorders>
              <w:top w:val="single" w:color="auto" w:sz="4" w:space="0"/>
              <w:left w:val="single" w:color="auto" w:sz="4" w:space="0"/>
              <w:bottom w:val="single" w:color="auto" w:sz="4" w:space="0"/>
              <w:right w:val="single" w:color="auto" w:sz="4" w:space="0"/>
            </w:tcBorders>
            <w:vAlign w:val="center"/>
          </w:tcPr>
          <w:p w14:paraId="36A9A1B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565" w:type="dxa"/>
            <w:tcBorders>
              <w:top w:val="single" w:color="auto" w:sz="4" w:space="0"/>
              <w:left w:val="nil"/>
              <w:bottom w:val="single" w:color="auto" w:sz="4" w:space="0"/>
              <w:right w:val="single" w:color="auto" w:sz="4" w:space="0"/>
            </w:tcBorders>
            <w:vAlign w:val="center"/>
          </w:tcPr>
          <w:p w14:paraId="77AC03A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车辆类型</w:t>
            </w:r>
          </w:p>
        </w:tc>
        <w:tc>
          <w:tcPr>
            <w:tcW w:w="990" w:type="dxa"/>
            <w:tcBorders>
              <w:top w:val="single" w:color="auto" w:sz="4" w:space="0"/>
              <w:left w:val="nil"/>
              <w:bottom w:val="single" w:color="auto" w:sz="4" w:space="0"/>
              <w:right w:val="single" w:color="auto" w:sz="4" w:space="0"/>
            </w:tcBorders>
            <w:vAlign w:val="center"/>
          </w:tcPr>
          <w:p w14:paraId="78A76E6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2565" w:type="dxa"/>
            <w:tcBorders>
              <w:top w:val="single" w:color="auto" w:sz="4" w:space="0"/>
              <w:left w:val="nil"/>
              <w:bottom w:val="single" w:color="auto" w:sz="4" w:space="0"/>
              <w:right w:val="single" w:color="auto" w:sz="4" w:space="0"/>
            </w:tcBorders>
            <w:vAlign w:val="center"/>
          </w:tcPr>
          <w:p w14:paraId="0743DE2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规格要求</w:t>
            </w:r>
          </w:p>
        </w:tc>
        <w:tc>
          <w:tcPr>
            <w:tcW w:w="2377" w:type="dxa"/>
            <w:tcBorders>
              <w:top w:val="single" w:color="auto" w:sz="4" w:space="0"/>
              <w:left w:val="nil"/>
              <w:bottom w:val="single" w:color="auto" w:sz="4" w:space="0"/>
              <w:right w:val="single" w:color="auto" w:sz="4" w:space="0"/>
            </w:tcBorders>
            <w:vAlign w:val="center"/>
          </w:tcPr>
          <w:p w14:paraId="1F8414D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368801FE">
        <w:tblPrEx>
          <w:tblCellMar>
            <w:top w:w="0" w:type="dxa"/>
            <w:left w:w="108" w:type="dxa"/>
            <w:bottom w:w="0" w:type="dxa"/>
            <w:right w:w="108" w:type="dxa"/>
          </w:tblCellMar>
        </w:tblPrEx>
        <w:trPr>
          <w:trHeight w:val="965" w:hRule="atLeast"/>
        </w:trPr>
        <w:tc>
          <w:tcPr>
            <w:tcW w:w="732" w:type="dxa"/>
            <w:tcBorders>
              <w:top w:val="single" w:color="auto" w:sz="4" w:space="0"/>
              <w:left w:val="single" w:color="auto" w:sz="4" w:space="0"/>
              <w:bottom w:val="single" w:color="auto" w:sz="4" w:space="0"/>
              <w:right w:val="single" w:color="auto" w:sz="4" w:space="0"/>
            </w:tcBorders>
            <w:vAlign w:val="center"/>
          </w:tcPr>
          <w:p w14:paraId="09F405D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565" w:type="dxa"/>
            <w:tcBorders>
              <w:top w:val="single" w:color="auto" w:sz="4" w:space="0"/>
              <w:left w:val="single" w:color="auto" w:sz="4" w:space="0"/>
              <w:bottom w:val="single" w:color="auto" w:sz="4" w:space="0"/>
              <w:right w:val="single" w:color="auto" w:sz="4" w:space="0"/>
            </w:tcBorders>
            <w:vAlign w:val="center"/>
          </w:tcPr>
          <w:p w14:paraId="08D861E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洗扫车/扫路车等</w:t>
            </w:r>
          </w:p>
        </w:tc>
        <w:tc>
          <w:tcPr>
            <w:tcW w:w="990" w:type="dxa"/>
            <w:tcBorders>
              <w:top w:val="single" w:color="auto" w:sz="4" w:space="0"/>
              <w:left w:val="single" w:color="auto" w:sz="4" w:space="0"/>
              <w:bottom w:val="single" w:color="auto" w:sz="4" w:space="0"/>
              <w:right w:val="single" w:color="auto" w:sz="4" w:space="0"/>
            </w:tcBorders>
            <w:vAlign w:val="center"/>
          </w:tcPr>
          <w:p w14:paraId="480CE73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565" w:type="dxa"/>
            <w:tcBorders>
              <w:top w:val="single" w:color="auto" w:sz="4" w:space="0"/>
              <w:left w:val="single" w:color="auto" w:sz="4" w:space="0"/>
              <w:bottom w:val="single" w:color="auto" w:sz="4" w:space="0"/>
              <w:right w:val="single" w:color="auto" w:sz="4" w:space="0"/>
            </w:tcBorders>
            <w:vAlign w:val="center"/>
          </w:tcPr>
          <w:p w14:paraId="1298121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1辆总质量≥8吨，1辆总质量≥5吨</w:t>
            </w:r>
          </w:p>
        </w:tc>
        <w:tc>
          <w:tcPr>
            <w:tcW w:w="2377" w:type="dxa"/>
            <w:tcBorders>
              <w:top w:val="single" w:color="auto" w:sz="4" w:space="0"/>
              <w:left w:val="single" w:color="auto" w:sz="4" w:space="0"/>
              <w:bottom w:val="single" w:color="auto" w:sz="4" w:space="0"/>
              <w:right w:val="single" w:color="auto" w:sz="4" w:space="0"/>
            </w:tcBorders>
            <w:vAlign w:val="center"/>
          </w:tcPr>
          <w:p w14:paraId="06F10737">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带抑尘功能</w:t>
            </w:r>
          </w:p>
        </w:tc>
      </w:tr>
      <w:tr w14:paraId="64D8C3A6">
        <w:tblPrEx>
          <w:tblCellMar>
            <w:top w:w="0" w:type="dxa"/>
            <w:left w:w="108" w:type="dxa"/>
            <w:bottom w:w="0" w:type="dxa"/>
            <w:right w:w="108" w:type="dxa"/>
          </w:tblCellMar>
        </w:tblPrEx>
        <w:trPr>
          <w:trHeight w:val="90" w:hRule="atLeast"/>
        </w:trPr>
        <w:tc>
          <w:tcPr>
            <w:tcW w:w="732" w:type="dxa"/>
            <w:tcBorders>
              <w:top w:val="single" w:color="auto" w:sz="4" w:space="0"/>
              <w:left w:val="single" w:color="auto" w:sz="4" w:space="0"/>
              <w:bottom w:val="single" w:color="auto" w:sz="4" w:space="0"/>
              <w:right w:val="single" w:color="auto" w:sz="4" w:space="0"/>
            </w:tcBorders>
            <w:vAlign w:val="center"/>
          </w:tcPr>
          <w:p w14:paraId="48F9048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565" w:type="dxa"/>
            <w:tcBorders>
              <w:top w:val="single" w:color="auto" w:sz="4" w:space="0"/>
              <w:left w:val="single" w:color="auto" w:sz="4" w:space="0"/>
              <w:bottom w:val="single" w:color="auto" w:sz="4" w:space="0"/>
              <w:right w:val="single" w:color="auto" w:sz="4" w:space="0"/>
            </w:tcBorders>
            <w:vAlign w:val="center"/>
          </w:tcPr>
          <w:p w14:paraId="448C4305">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洒水车/高压冲洗车/清洗车等</w:t>
            </w:r>
          </w:p>
        </w:tc>
        <w:tc>
          <w:tcPr>
            <w:tcW w:w="990" w:type="dxa"/>
            <w:tcBorders>
              <w:top w:val="single" w:color="auto" w:sz="4" w:space="0"/>
              <w:left w:val="single" w:color="auto" w:sz="4" w:space="0"/>
              <w:bottom w:val="single" w:color="auto" w:sz="4" w:space="0"/>
              <w:right w:val="single" w:color="auto" w:sz="4" w:space="0"/>
            </w:tcBorders>
            <w:vAlign w:val="center"/>
          </w:tcPr>
          <w:p w14:paraId="0BF1EAF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565" w:type="dxa"/>
            <w:tcBorders>
              <w:top w:val="single" w:color="auto" w:sz="4" w:space="0"/>
              <w:left w:val="single" w:color="auto" w:sz="4" w:space="0"/>
              <w:bottom w:val="single" w:color="auto" w:sz="4" w:space="0"/>
              <w:right w:val="single" w:color="auto" w:sz="4" w:space="0"/>
            </w:tcBorders>
            <w:vAlign w:val="center"/>
          </w:tcPr>
          <w:p w14:paraId="585BBD7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1辆总质量≥25吨, 2辆总质量≥18吨</w:t>
            </w:r>
          </w:p>
        </w:tc>
        <w:tc>
          <w:tcPr>
            <w:tcW w:w="2377" w:type="dxa"/>
            <w:tcBorders>
              <w:top w:val="single" w:color="auto" w:sz="4" w:space="0"/>
              <w:left w:val="single" w:color="auto" w:sz="4" w:space="0"/>
              <w:bottom w:val="single" w:color="auto" w:sz="4" w:space="0"/>
              <w:right w:val="single" w:color="auto" w:sz="4" w:space="0"/>
            </w:tcBorders>
            <w:vAlign w:val="center"/>
          </w:tcPr>
          <w:p w14:paraId="3A3F873C">
            <w:pPr>
              <w:spacing w:line="400" w:lineRule="exact"/>
              <w:rPr>
                <w:rFonts w:hint="eastAsia" w:ascii="仿宋" w:hAnsi="仿宋" w:eastAsia="仿宋" w:cs="仿宋"/>
                <w:color w:val="auto"/>
                <w:sz w:val="24"/>
                <w:szCs w:val="24"/>
                <w:highlight w:val="none"/>
              </w:rPr>
            </w:pPr>
          </w:p>
        </w:tc>
      </w:tr>
      <w:tr w14:paraId="333E79A2">
        <w:tblPrEx>
          <w:tblCellMar>
            <w:top w:w="0" w:type="dxa"/>
            <w:left w:w="108" w:type="dxa"/>
            <w:bottom w:w="0" w:type="dxa"/>
            <w:right w:w="108" w:type="dxa"/>
          </w:tblCellMar>
        </w:tblPrEx>
        <w:trPr>
          <w:trHeight w:val="285" w:hRule="atLeast"/>
        </w:trPr>
        <w:tc>
          <w:tcPr>
            <w:tcW w:w="732" w:type="dxa"/>
            <w:tcBorders>
              <w:top w:val="single" w:color="auto" w:sz="4" w:space="0"/>
              <w:left w:val="single" w:color="auto" w:sz="4" w:space="0"/>
              <w:bottom w:val="single" w:color="auto" w:sz="4" w:space="0"/>
              <w:right w:val="single" w:color="auto" w:sz="4" w:space="0"/>
            </w:tcBorders>
            <w:vAlign w:val="center"/>
          </w:tcPr>
          <w:p w14:paraId="70B7F67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565" w:type="dxa"/>
            <w:tcBorders>
              <w:top w:val="single" w:color="auto" w:sz="4" w:space="0"/>
              <w:left w:val="single" w:color="auto" w:sz="4" w:space="0"/>
              <w:bottom w:val="single" w:color="auto" w:sz="4" w:space="0"/>
              <w:right w:val="single" w:color="auto" w:sz="4" w:space="0"/>
            </w:tcBorders>
            <w:vAlign w:val="center"/>
          </w:tcPr>
          <w:p w14:paraId="0516327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高压小型油污冲洗车/路面养护车</w:t>
            </w:r>
          </w:p>
        </w:tc>
        <w:tc>
          <w:tcPr>
            <w:tcW w:w="990" w:type="dxa"/>
            <w:tcBorders>
              <w:top w:val="single" w:color="auto" w:sz="4" w:space="0"/>
              <w:left w:val="single" w:color="auto" w:sz="4" w:space="0"/>
              <w:bottom w:val="single" w:color="auto" w:sz="4" w:space="0"/>
              <w:right w:val="single" w:color="auto" w:sz="4" w:space="0"/>
            </w:tcBorders>
            <w:vAlign w:val="center"/>
          </w:tcPr>
          <w:p w14:paraId="4CA61ED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565" w:type="dxa"/>
            <w:tcBorders>
              <w:top w:val="single" w:color="auto" w:sz="4" w:space="0"/>
              <w:left w:val="single" w:color="auto" w:sz="4" w:space="0"/>
              <w:bottom w:val="single" w:color="auto" w:sz="4" w:space="0"/>
              <w:right w:val="single" w:color="auto" w:sz="4" w:space="0"/>
            </w:tcBorders>
            <w:vAlign w:val="center"/>
          </w:tcPr>
          <w:p w14:paraId="6D35276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2377" w:type="dxa"/>
            <w:tcBorders>
              <w:top w:val="single" w:color="auto" w:sz="4" w:space="0"/>
              <w:left w:val="single" w:color="auto" w:sz="4" w:space="0"/>
              <w:bottom w:val="single" w:color="auto" w:sz="4" w:space="0"/>
              <w:right w:val="single" w:color="auto" w:sz="4" w:space="0"/>
            </w:tcBorders>
            <w:vAlign w:val="center"/>
          </w:tcPr>
          <w:p w14:paraId="35271135">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高压小型油污冲洗车2辆，道路养护车1辆。</w:t>
            </w:r>
          </w:p>
        </w:tc>
      </w:tr>
      <w:tr w14:paraId="4F74FD26">
        <w:tblPrEx>
          <w:tblCellMar>
            <w:top w:w="0" w:type="dxa"/>
            <w:left w:w="108" w:type="dxa"/>
            <w:bottom w:w="0" w:type="dxa"/>
            <w:right w:w="108" w:type="dxa"/>
          </w:tblCellMar>
        </w:tblPrEx>
        <w:trPr>
          <w:trHeight w:val="285" w:hRule="atLeast"/>
        </w:trPr>
        <w:tc>
          <w:tcPr>
            <w:tcW w:w="732" w:type="dxa"/>
            <w:tcBorders>
              <w:top w:val="single" w:color="auto" w:sz="4" w:space="0"/>
              <w:left w:val="single" w:color="auto" w:sz="4" w:space="0"/>
              <w:bottom w:val="single" w:color="auto" w:sz="4" w:space="0"/>
              <w:right w:val="single" w:color="auto" w:sz="4" w:space="0"/>
            </w:tcBorders>
            <w:vAlign w:val="center"/>
          </w:tcPr>
          <w:p w14:paraId="59298BD3">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2565" w:type="dxa"/>
            <w:tcBorders>
              <w:top w:val="single" w:color="auto" w:sz="4" w:space="0"/>
              <w:left w:val="single" w:color="auto" w:sz="4" w:space="0"/>
              <w:bottom w:val="single" w:color="auto" w:sz="4" w:space="0"/>
              <w:right w:val="single" w:color="auto" w:sz="4" w:space="0"/>
            </w:tcBorders>
            <w:vAlign w:val="center"/>
          </w:tcPr>
          <w:p w14:paraId="148FC95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小工程车（皮卡）</w:t>
            </w:r>
          </w:p>
        </w:tc>
        <w:tc>
          <w:tcPr>
            <w:tcW w:w="990" w:type="dxa"/>
            <w:tcBorders>
              <w:top w:val="single" w:color="auto" w:sz="4" w:space="0"/>
              <w:left w:val="single" w:color="auto" w:sz="4" w:space="0"/>
              <w:bottom w:val="single" w:color="auto" w:sz="4" w:space="0"/>
              <w:right w:val="single" w:color="auto" w:sz="4" w:space="0"/>
            </w:tcBorders>
            <w:vAlign w:val="center"/>
          </w:tcPr>
          <w:p w14:paraId="5E08E88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565" w:type="dxa"/>
            <w:tcBorders>
              <w:top w:val="single" w:color="auto" w:sz="4" w:space="0"/>
              <w:left w:val="single" w:color="auto" w:sz="4" w:space="0"/>
              <w:bottom w:val="single" w:color="auto" w:sz="4" w:space="0"/>
              <w:right w:val="single" w:color="auto" w:sz="4" w:space="0"/>
            </w:tcBorders>
            <w:vAlign w:val="center"/>
          </w:tcPr>
          <w:p w14:paraId="00C0396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轻型普通货车1辆（总质量必须≥2000kg）</w:t>
            </w:r>
          </w:p>
        </w:tc>
        <w:tc>
          <w:tcPr>
            <w:tcW w:w="2377" w:type="dxa"/>
            <w:tcBorders>
              <w:top w:val="single" w:color="auto" w:sz="4" w:space="0"/>
              <w:left w:val="single" w:color="auto" w:sz="4" w:space="0"/>
              <w:bottom w:val="single" w:color="auto" w:sz="4" w:space="0"/>
              <w:right w:val="single" w:color="auto" w:sz="4" w:space="0"/>
            </w:tcBorders>
            <w:vAlign w:val="center"/>
          </w:tcPr>
          <w:p w14:paraId="47956FC8">
            <w:pPr>
              <w:spacing w:line="400" w:lineRule="exact"/>
              <w:rPr>
                <w:rFonts w:hint="eastAsia" w:ascii="仿宋" w:hAnsi="仿宋" w:eastAsia="仿宋" w:cs="仿宋"/>
                <w:color w:val="auto"/>
                <w:sz w:val="24"/>
                <w:szCs w:val="24"/>
                <w:highlight w:val="none"/>
              </w:rPr>
            </w:pPr>
          </w:p>
        </w:tc>
      </w:tr>
      <w:tr w14:paraId="4C722633">
        <w:tblPrEx>
          <w:tblCellMar>
            <w:top w:w="0" w:type="dxa"/>
            <w:left w:w="108" w:type="dxa"/>
            <w:bottom w:w="0" w:type="dxa"/>
            <w:right w:w="108" w:type="dxa"/>
          </w:tblCellMar>
        </w:tblPrEx>
        <w:trPr>
          <w:trHeight w:val="285" w:hRule="atLeast"/>
        </w:trPr>
        <w:tc>
          <w:tcPr>
            <w:tcW w:w="732" w:type="dxa"/>
            <w:tcBorders>
              <w:top w:val="single" w:color="auto" w:sz="4" w:space="0"/>
              <w:left w:val="single" w:color="auto" w:sz="4" w:space="0"/>
              <w:bottom w:val="single" w:color="auto" w:sz="4" w:space="0"/>
              <w:right w:val="single" w:color="auto" w:sz="4" w:space="0"/>
            </w:tcBorders>
            <w:vAlign w:val="center"/>
          </w:tcPr>
          <w:p w14:paraId="6A6D5874">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2565" w:type="dxa"/>
            <w:tcBorders>
              <w:top w:val="single" w:color="auto" w:sz="4" w:space="0"/>
              <w:left w:val="single" w:color="auto" w:sz="4" w:space="0"/>
              <w:bottom w:val="single" w:color="auto" w:sz="4" w:space="0"/>
              <w:right w:val="single" w:color="auto" w:sz="4" w:space="0"/>
            </w:tcBorders>
            <w:vAlign w:val="center"/>
          </w:tcPr>
          <w:p w14:paraId="7A94AC4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护栏清洗车</w:t>
            </w:r>
          </w:p>
        </w:tc>
        <w:tc>
          <w:tcPr>
            <w:tcW w:w="990" w:type="dxa"/>
            <w:tcBorders>
              <w:top w:val="single" w:color="auto" w:sz="4" w:space="0"/>
              <w:left w:val="single" w:color="auto" w:sz="4" w:space="0"/>
              <w:bottom w:val="single" w:color="auto" w:sz="4" w:space="0"/>
              <w:right w:val="single" w:color="auto" w:sz="4" w:space="0"/>
            </w:tcBorders>
            <w:vAlign w:val="center"/>
          </w:tcPr>
          <w:p w14:paraId="222C1B5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565" w:type="dxa"/>
            <w:tcBorders>
              <w:top w:val="single" w:color="auto" w:sz="4" w:space="0"/>
              <w:left w:val="single" w:color="auto" w:sz="4" w:space="0"/>
              <w:bottom w:val="single" w:color="auto" w:sz="4" w:space="0"/>
              <w:right w:val="single" w:color="auto" w:sz="4" w:space="0"/>
            </w:tcBorders>
            <w:vAlign w:val="center"/>
          </w:tcPr>
          <w:p w14:paraId="29A786BC">
            <w:pPr>
              <w:spacing w:line="400" w:lineRule="exact"/>
              <w:jc w:val="center"/>
              <w:rPr>
                <w:rFonts w:hint="eastAsia" w:ascii="仿宋" w:hAnsi="仿宋" w:eastAsia="仿宋" w:cs="仿宋"/>
                <w:color w:val="auto"/>
                <w:sz w:val="24"/>
                <w:szCs w:val="24"/>
                <w:highlight w:val="none"/>
              </w:rPr>
            </w:pPr>
          </w:p>
        </w:tc>
        <w:tc>
          <w:tcPr>
            <w:tcW w:w="2377" w:type="dxa"/>
            <w:tcBorders>
              <w:top w:val="single" w:color="auto" w:sz="4" w:space="0"/>
              <w:left w:val="single" w:color="auto" w:sz="4" w:space="0"/>
              <w:bottom w:val="single" w:color="auto" w:sz="4" w:space="0"/>
              <w:right w:val="single" w:color="auto" w:sz="4" w:space="0"/>
            </w:tcBorders>
            <w:vAlign w:val="center"/>
          </w:tcPr>
          <w:p w14:paraId="43B9C92F">
            <w:pPr>
              <w:spacing w:line="400" w:lineRule="exact"/>
              <w:rPr>
                <w:rFonts w:hint="eastAsia" w:ascii="仿宋" w:hAnsi="仿宋" w:eastAsia="仿宋" w:cs="仿宋"/>
                <w:color w:val="auto"/>
                <w:sz w:val="24"/>
                <w:szCs w:val="24"/>
                <w:highlight w:val="none"/>
              </w:rPr>
            </w:pPr>
          </w:p>
        </w:tc>
      </w:tr>
      <w:tr w14:paraId="10E86ACB">
        <w:tblPrEx>
          <w:tblCellMar>
            <w:top w:w="0" w:type="dxa"/>
            <w:left w:w="108" w:type="dxa"/>
            <w:bottom w:w="0" w:type="dxa"/>
            <w:right w:w="108" w:type="dxa"/>
          </w:tblCellMar>
        </w:tblPrEx>
        <w:trPr>
          <w:trHeight w:val="285" w:hRule="atLeast"/>
        </w:trPr>
        <w:tc>
          <w:tcPr>
            <w:tcW w:w="732" w:type="dxa"/>
            <w:tcBorders>
              <w:top w:val="single" w:color="auto" w:sz="4" w:space="0"/>
              <w:left w:val="single" w:color="auto" w:sz="4" w:space="0"/>
              <w:bottom w:val="single" w:color="auto" w:sz="4" w:space="0"/>
              <w:right w:val="single" w:color="auto" w:sz="4" w:space="0"/>
            </w:tcBorders>
            <w:vAlign w:val="center"/>
          </w:tcPr>
          <w:p w14:paraId="24E90D3B">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2565" w:type="dxa"/>
            <w:tcBorders>
              <w:top w:val="single" w:color="auto" w:sz="4" w:space="0"/>
              <w:left w:val="single" w:color="auto" w:sz="4" w:space="0"/>
              <w:bottom w:val="single" w:color="auto" w:sz="4" w:space="0"/>
              <w:right w:val="single" w:color="auto" w:sz="4" w:space="0"/>
            </w:tcBorders>
            <w:vAlign w:val="center"/>
          </w:tcPr>
          <w:p w14:paraId="3EA8DB2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扫雪设备（推雪板跟除雪滚筒）</w:t>
            </w:r>
          </w:p>
        </w:tc>
        <w:tc>
          <w:tcPr>
            <w:tcW w:w="990" w:type="dxa"/>
            <w:tcBorders>
              <w:top w:val="single" w:color="auto" w:sz="4" w:space="0"/>
              <w:left w:val="single" w:color="auto" w:sz="4" w:space="0"/>
              <w:bottom w:val="single" w:color="auto" w:sz="4" w:space="0"/>
              <w:right w:val="single" w:color="auto" w:sz="4" w:space="0"/>
            </w:tcBorders>
            <w:vAlign w:val="center"/>
          </w:tcPr>
          <w:p w14:paraId="25360A7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各1套</w:t>
            </w:r>
          </w:p>
        </w:tc>
        <w:tc>
          <w:tcPr>
            <w:tcW w:w="2565" w:type="dxa"/>
            <w:tcBorders>
              <w:top w:val="single" w:color="auto" w:sz="4" w:space="0"/>
              <w:left w:val="single" w:color="auto" w:sz="4" w:space="0"/>
              <w:bottom w:val="single" w:color="auto" w:sz="4" w:space="0"/>
              <w:right w:val="single" w:color="auto" w:sz="4" w:space="0"/>
            </w:tcBorders>
            <w:vAlign w:val="center"/>
          </w:tcPr>
          <w:p w14:paraId="78A5466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2377" w:type="dxa"/>
            <w:tcBorders>
              <w:top w:val="single" w:color="auto" w:sz="4" w:space="0"/>
              <w:left w:val="single" w:color="auto" w:sz="4" w:space="0"/>
              <w:bottom w:val="single" w:color="auto" w:sz="4" w:space="0"/>
              <w:right w:val="single" w:color="auto" w:sz="4" w:space="0"/>
            </w:tcBorders>
            <w:vAlign w:val="center"/>
          </w:tcPr>
          <w:p w14:paraId="23995F93">
            <w:pPr>
              <w:spacing w:line="400" w:lineRule="exact"/>
              <w:rPr>
                <w:rFonts w:hint="eastAsia" w:ascii="仿宋" w:hAnsi="仿宋" w:eastAsia="仿宋" w:cs="仿宋"/>
                <w:color w:val="auto"/>
                <w:sz w:val="24"/>
                <w:szCs w:val="24"/>
                <w:highlight w:val="none"/>
              </w:rPr>
            </w:pPr>
          </w:p>
        </w:tc>
      </w:tr>
      <w:tr w14:paraId="2949E069">
        <w:tblPrEx>
          <w:tblCellMar>
            <w:top w:w="0" w:type="dxa"/>
            <w:left w:w="108" w:type="dxa"/>
            <w:bottom w:w="0" w:type="dxa"/>
            <w:right w:w="108" w:type="dxa"/>
          </w:tblCellMar>
        </w:tblPrEx>
        <w:trPr>
          <w:trHeight w:val="285" w:hRule="atLeast"/>
        </w:trPr>
        <w:tc>
          <w:tcPr>
            <w:tcW w:w="732" w:type="dxa"/>
            <w:tcBorders>
              <w:top w:val="single" w:color="auto" w:sz="4" w:space="0"/>
              <w:left w:val="single" w:color="auto" w:sz="4" w:space="0"/>
              <w:bottom w:val="single" w:color="auto" w:sz="4" w:space="0"/>
              <w:right w:val="single" w:color="auto" w:sz="4" w:space="0"/>
            </w:tcBorders>
            <w:vAlign w:val="center"/>
          </w:tcPr>
          <w:p w14:paraId="7335E86B">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2565" w:type="dxa"/>
            <w:tcBorders>
              <w:top w:val="single" w:color="auto" w:sz="4" w:space="0"/>
              <w:left w:val="single" w:color="auto" w:sz="4" w:space="0"/>
              <w:bottom w:val="single" w:color="auto" w:sz="4" w:space="0"/>
              <w:right w:val="single" w:color="auto" w:sz="4" w:space="0"/>
            </w:tcBorders>
            <w:vAlign w:val="center"/>
          </w:tcPr>
          <w:p w14:paraId="1EBEF7A5">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快保车/人力车</w:t>
            </w:r>
          </w:p>
        </w:tc>
        <w:tc>
          <w:tcPr>
            <w:tcW w:w="990" w:type="dxa"/>
            <w:tcBorders>
              <w:top w:val="single" w:color="auto" w:sz="4" w:space="0"/>
              <w:left w:val="single" w:color="auto" w:sz="4" w:space="0"/>
              <w:bottom w:val="single" w:color="auto" w:sz="4" w:space="0"/>
              <w:right w:val="single" w:color="auto" w:sz="4" w:space="0"/>
            </w:tcBorders>
            <w:vAlign w:val="center"/>
          </w:tcPr>
          <w:p w14:paraId="04B3E00B">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6</w:t>
            </w:r>
          </w:p>
        </w:tc>
        <w:tc>
          <w:tcPr>
            <w:tcW w:w="2565" w:type="dxa"/>
            <w:tcBorders>
              <w:top w:val="single" w:color="auto" w:sz="4" w:space="0"/>
              <w:left w:val="single" w:color="auto" w:sz="4" w:space="0"/>
              <w:bottom w:val="single" w:color="auto" w:sz="4" w:space="0"/>
              <w:right w:val="single" w:color="auto" w:sz="4" w:space="0"/>
            </w:tcBorders>
            <w:vAlign w:val="center"/>
          </w:tcPr>
          <w:p w14:paraId="23DB6A7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按现场实际情况配置</w:t>
            </w:r>
          </w:p>
        </w:tc>
        <w:tc>
          <w:tcPr>
            <w:tcW w:w="2377" w:type="dxa"/>
            <w:tcBorders>
              <w:top w:val="single" w:color="auto" w:sz="4" w:space="0"/>
              <w:left w:val="single" w:color="auto" w:sz="4" w:space="0"/>
              <w:bottom w:val="single" w:color="auto" w:sz="4" w:space="0"/>
              <w:right w:val="single" w:color="auto" w:sz="4" w:space="0"/>
            </w:tcBorders>
            <w:vAlign w:val="center"/>
          </w:tcPr>
          <w:p w14:paraId="2B6F6B42">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6台快保车，人力三轮车</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台</w:t>
            </w:r>
          </w:p>
        </w:tc>
      </w:tr>
      <w:tr w14:paraId="6B693E48">
        <w:tblPrEx>
          <w:tblCellMar>
            <w:top w:w="0" w:type="dxa"/>
            <w:left w:w="108" w:type="dxa"/>
            <w:bottom w:w="0" w:type="dxa"/>
            <w:right w:w="108" w:type="dxa"/>
          </w:tblCellMar>
        </w:tblPrEx>
        <w:trPr>
          <w:trHeight w:val="285" w:hRule="atLeast"/>
        </w:trPr>
        <w:tc>
          <w:tcPr>
            <w:tcW w:w="9229" w:type="dxa"/>
            <w:gridSpan w:val="5"/>
            <w:tcBorders>
              <w:top w:val="single" w:color="auto" w:sz="4" w:space="0"/>
              <w:left w:val="single" w:color="auto" w:sz="4" w:space="0"/>
              <w:bottom w:val="single" w:color="auto" w:sz="4" w:space="0"/>
              <w:right w:val="single" w:color="auto" w:sz="4" w:space="0"/>
            </w:tcBorders>
            <w:vAlign w:val="center"/>
          </w:tcPr>
          <w:p w14:paraId="54B485B5">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注：序号1-2车辆中必须有新能源洗扫车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w:t>
            </w:r>
            <w:r>
              <w:rPr>
                <w:rFonts w:hint="eastAsia" w:ascii="仿宋" w:hAnsi="仿宋" w:eastAsia="仿宋" w:cs="仿宋"/>
                <w:color w:val="auto"/>
                <w:sz w:val="24"/>
                <w:szCs w:val="24"/>
                <w:highlight w:val="none"/>
              </w:rPr>
              <w:t>扫路车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1辆、新能源洒水车1辆。其余车辆必须符合国六标准。</w:t>
            </w:r>
          </w:p>
        </w:tc>
      </w:tr>
    </w:tbl>
    <w:p w14:paraId="27B56E55">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本项目车辆配置为最低要求，机动车辆排放须达到国六标准及以上（新能源车辆除外）。投标人须根据项目实际需要，并按照国家对环境保护等相关规定，自行增配优化相关机械车辆。增配机械、车辆所有费用须包含在投标价格中。</w:t>
      </w:r>
    </w:p>
    <w:p w14:paraId="3F319FB7">
      <w:pPr>
        <w:spacing w:line="400" w:lineRule="exact"/>
        <w:ind w:firstLine="42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highlight w:val="none"/>
        </w:rPr>
        <w:t>▲</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eastAsia="zh-TW"/>
        </w:rPr>
        <w:t>、</w:t>
      </w:r>
      <w:r>
        <w:rPr>
          <w:rFonts w:hint="eastAsia" w:ascii="仿宋" w:hAnsi="仿宋" w:eastAsia="仿宋" w:cs="仿宋"/>
          <w:color w:val="auto"/>
          <w:sz w:val="24"/>
          <w:szCs w:val="24"/>
          <w:highlight w:val="none"/>
          <w:lang w:val="en-US" w:eastAsia="zh-CN"/>
        </w:rPr>
        <w:t>投标人须承诺：</w:t>
      </w:r>
    </w:p>
    <w:p w14:paraId="1D68E37E">
      <w:pPr>
        <w:spacing w:line="400" w:lineRule="exact"/>
        <w:ind w:firstLine="480" w:firstLineChars="200"/>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en-US" w:eastAsia="zh-CN"/>
        </w:rPr>
        <w:t>本项目拟投入的</w:t>
      </w:r>
      <w:r>
        <w:rPr>
          <w:rFonts w:hint="eastAsia" w:ascii="仿宋" w:hAnsi="仿宋" w:eastAsia="仿宋" w:cs="仿宋"/>
          <w:color w:val="auto"/>
          <w:sz w:val="24"/>
          <w:szCs w:val="24"/>
          <w:highlight w:val="none"/>
        </w:rPr>
        <w:t>人员</w:t>
      </w:r>
      <w:r>
        <w:rPr>
          <w:rFonts w:hint="eastAsia" w:ascii="仿宋" w:hAnsi="仿宋" w:eastAsia="仿宋" w:cs="仿宋"/>
          <w:color w:val="auto"/>
          <w:sz w:val="24"/>
          <w:szCs w:val="24"/>
          <w:highlight w:val="none"/>
          <w:lang w:val="en-US" w:eastAsia="zh-CN"/>
        </w:rPr>
        <w:t>及车辆、设备配置在满足采购需求的基础上，</w:t>
      </w:r>
      <w:r>
        <w:rPr>
          <w:rFonts w:hint="eastAsia" w:ascii="仿宋" w:hAnsi="仿宋" w:eastAsia="仿宋" w:cs="仿宋"/>
          <w:color w:val="auto"/>
          <w:sz w:val="24"/>
          <w:szCs w:val="24"/>
          <w:highlight w:val="none"/>
        </w:rPr>
        <w:t>数量最终以投标单位的投标文件中承诺数量为准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若中标，在开工前5天内配备到位，以采购人现场确认为准。并按采购人要求提供相关资料备案。（投标时须提供承诺函，否则作无效标处理）。</w:t>
      </w:r>
    </w:p>
    <w:p w14:paraId="2F090251">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项目的人员及机械设备数量最终以投标单位的投标文件中承诺数量为准。中标后投标人实际投入本项目使用车辆若涉及更换的，须经采购人书面同意，实际使用车辆必须不低于投标时响应车辆的条件与配置（同时满足车辆产权、购买时间、总质量等相应要求）。</w:t>
      </w:r>
    </w:p>
    <w:p w14:paraId="29039FCA">
      <w:pPr>
        <w:spacing w:line="400" w:lineRule="exact"/>
        <w:rPr>
          <w:rFonts w:hint="eastAsia" w:ascii="仿宋" w:hAnsi="仿宋" w:eastAsia="仿宋" w:cs="仿宋"/>
          <w:color w:val="auto"/>
          <w:sz w:val="24"/>
          <w:szCs w:val="24"/>
          <w:highlight w:val="none"/>
        </w:rPr>
      </w:pPr>
    </w:p>
    <w:p w14:paraId="0A676CA9">
      <w:pPr>
        <w:spacing w:line="40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标项三：杨家埠片区</w:t>
      </w:r>
    </w:p>
    <w:p w14:paraId="5D8F7EB7">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服务内容及服务量</w:t>
      </w:r>
    </w:p>
    <w:p w14:paraId="57589079">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本标项所指的杨家埠片区详见附件道路清单一览表，清单仅供参考，如有遗漏，不在额外增加费用，各投标单位自行考虑在报价中，具体以采购人实际移交为准。</w:t>
      </w:r>
    </w:p>
    <w:p w14:paraId="0F9D698B">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道路保洁面积基数：约84.82万平方米。</w:t>
      </w:r>
    </w:p>
    <w:tbl>
      <w:tblPr>
        <w:tblStyle w:val="23"/>
        <w:tblW w:w="9159"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8"/>
        <w:gridCol w:w="6771"/>
      </w:tblGrid>
      <w:tr w14:paraId="64060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2388" w:type="dxa"/>
            <w:vMerge w:val="restart"/>
            <w:shd w:val="clear" w:color="auto" w:fill="FFFFFF"/>
            <w:vAlign w:val="center"/>
          </w:tcPr>
          <w:p w14:paraId="6B75347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6771" w:type="dxa"/>
            <w:vMerge w:val="restart"/>
            <w:shd w:val="clear" w:color="auto" w:fill="FFFFFF"/>
            <w:vAlign w:val="center"/>
          </w:tcPr>
          <w:p w14:paraId="176BE91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道路名称</w:t>
            </w:r>
          </w:p>
        </w:tc>
      </w:tr>
      <w:tr w14:paraId="4DFAB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2388" w:type="dxa"/>
            <w:vMerge w:val="continue"/>
            <w:shd w:val="clear" w:color="auto" w:fill="FFFFFF"/>
            <w:vAlign w:val="center"/>
          </w:tcPr>
          <w:p w14:paraId="4AE70A0C">
            <w:pPr>
              <w:spacing w:line="400" w:lineRule="exact"/>
              <w:jc w:val="center"/>
              <w:rPr>
                <w:rFonts w:hint="eastAsia" w:ascii="仿宋" w:hAnsi="仿宋" w:eastAsia="仿宋" w:cs="仿宋"/>
                <w:color w:val="auto"/>
                <w:sz w:val="24"/>
                <w:szCs w:val="24"/>
                <w:highlight w:val="none"/>
              </w:rPr>
            </w:pPr>
          </w:p>
        </w:tc>
        <w:tc>
          <w:tcPr>
            <w:tcW w:w="6771" w:type="dxa"/>
            <w:vMerge w:val="continue"/>
            <w:shd w:val="clear" w:color="auto" w:fill="FFFFFF"/>
            <w:vAlign w:val="center"/>
          </w:tcPr>
          <w:p w14:paraId="35609993">
            <w:pPr>
              <w:spacing w:line="400" w:lineRule="exact"/>
              <w:jc w:val="center"/>
              <w:rPr>
                <w:rFonts w:hint="eastAsia" w:ascii="仿宋" w:hAnsi="仿宋" w:eastAsia="仿宋" w:cs="仿宋"/>
                <w:color w:val="auto"/>
                <w:sz w:val="24"/>
                <w:szCs w:val="24"/>
                <w:highlight w:val="none"/>
              </w:rPr>
            </w:pPr>
          </w:p>
        </w:tc>
      </w:tr>
      <w:tr w14:paraId="5CDA9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29CF841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771" w:type="dxa"/>
            <w:shd w:val="clear" w:color="auto" w:fill="FFFFFF"/>
            <w:vAlign w:val="center"/>
          </w:tcPr>
          <w:p w14:paraId="42973FF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杨家埠直街（重点道路）</w:t>
            </w:r>
          </w:p>
        </w:tc>
      </w:tr>
      <w:tr w14:paraId="21C8F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18906DA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771" w:type="dxa"/>
            <w:shd w:val="clear" w:color="auto" w:fill="FFFFFF"/>
            <w:vAlign w:val="center"/>
          </w:tcPr>
          <w:p w14:paraId="163F531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三天门路（重点道路）</w:t>
            </w:r>
          </w:p>
        </w:tc>
      </w:tr>
      <w:tr w14:paraId="24C5D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626900A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6771" w:type="dxa"/>
            <w:shd w:val="clear" w:color="auto" w:fill="FFFFFF"/>
            <w:vAlign w:val="center"/>
          </w:tcPr>
          <w:p w14:paraId="2D224F0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黄芝山路</w:t>
            </w:r>
          </w:p>
        </w:tc>
      </w:tr>
      <w:tr w14:paraId="191EB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7BBA929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6771" w:type="dxa"/>
            <w:shd w:val="clear" w:color="auto" w:fill="FFFFFF"/>
            <w:vAlign w:val="center"/>
          </w:tcPr>
          <w:p w14:paraId="2EB37DA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敢山东路（山右路）（重点道路）</w:t>
            </w:r>
          </w:p>
        </w:tc>
      </w:tr>
      <w:tr w14:paraId="084F4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23A1F79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6771" w:type="dxa"/>
            <w:shd w:val="clear" w:color="auto" w:fill="FFFFFF"/>
            <w:vAlign w:val="center"/>
          </w:tcPr>
          <w:p w14:paraId="553BE53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旄儿港路（重点道路）</w:t>
            </w:r>
          </w:p>
        </w:tc>
      </w:tr>
      <w:tr w14:paraId="7217A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10B6604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6771" w:type="dxa"/>
            <w:shd w:val="clear" w:color="auto" w:fill="FFFFFF"/>
            <w:vAlign w:val="center"/>
          </w:tcPr>
          <w:p w14:paraId="24C0CC2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霅水桥路（重点道路）</w:t>
            </w:r>
          </w:p>
        </w:tc>
      </w:tr>
      <w:tr w14:paraId="7A844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63F78D6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6771" w:type="dxa"/>
            <w:shd w:val="clear" w:color="auto" w:fill="FFFFFF"/>
            <w:vAlign w:val="center"/>
          </w:tcPr>
          <w:p w14:paraId="6CF6775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化工路（下庄路）</w:t>
            </w:r>
          </w:p>
        </w:tc>
      </w:tr>
      <w:tr w14:paraId="16445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154A5B4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6771" w:type="dxa"/>
            <w:shd w:val="clear" w:color="auto" w:fill="FFFFFF"/>
            <w:vAlign w:val="center"/>
          </w:tcPr>
          <w:p w14:paraId="3844AC2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方家山路</w:t>
            </w:r>
          </w:p>
        </w:tc>
      </w:tr>
      <w:tr w14:paraId="68E71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795FF48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6771" w:type="dxa"/>
            <w:shd w:val="clear" w:color="auto" w:fill="FFFFFF"/>
            <w:vAlign w:val="center"/>
          </w:tcPr>
          <w:p w14:paraId="050DAB8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果木园路</w:t>
            </w:r>
          </w:p>
        </w:tc>
      </w:tr>
      <w:tr w14:paraId="60CAB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23C714D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6771" w:type="dxa"/>
            <w:shd w:val="clear" w:color="auto" w:fill="FFFFFF"/>
            <w:vAlign w:val="center"/>
          </w:tcPr>
          <w:p w14:paraId="5E8F7C2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钮家庄路</w:t>
            </w:r>
          </w:p>
        </w:tc>
      </w:tr>
      <w:tr w14:paraId="2B159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0FE863A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6771" w:type="dxa"/>
            <w:shd w:val="clear" w:color="auto" w:fill="FFFFFF"/>
            <w:vAlign w:val="center"/>
          </w:tcPr>
          <w:p w14:paraId="6D0F7C85">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安地路</w:t>
            </w:r>
          </w:p>
        </w:tc>
      </w:tr>
      <w:tr w14:paraId="1C1C8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2388" w:type="dxa"/>
            <w:shd w:val="clear" w:color="auto" w:fill="FFFFFF"/>
            <w:vAlign w:val="center"/>
          </w:tcPr>
          <w:p w14:paraId="07C03C0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6771" w:type="dxa"/>
            <w:shd w:val="clear" w:color="auto" w:fill="FFFFFF"/>
            <w:vAlign w:val="center"/>
          </w:tcPr>
          <w:p w14:paraId="54E2C7E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敢山北路（石林路）</w:t>
            </w:r>
          </w:p>
        </w:tc>
      </w:tr>
      <w:tr w14:paraId="5BB38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4271DC6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6771" w:type="dxa"/>
            <w:shd w:val="clear" w:color="auto" w:fill="FFFFFF"/>
            <w:vAlign w:val="center"/>
          </w:tcPr>
          <w:p w14:paraId="608B1C8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白龙山路</w:t>
            </w:r>
          </w:p>
        </w:tc>
      </w:tr>
      <w:tr w14:paraId="11D57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288DC1A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6771" w:type="dxa"/>
            <w:shd w:val="clear" w:color="auto" w:fill="FFFFFF"/>
            <w:vAlign w:val="center"/>
          </w:tcPr>
          <w:p w14:paraId="2F68285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敢山南路（重点道路）</w:t>
            </w:r>
          </w:p>
        </w:tc>
      </w:tr>
      <w:tr w14:paraId="4E674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3BEB8E2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6771" w:type="dxa"/>
            <w:shd w:val="clear" w:color="auto" w:fill="FFFFFF"/>
            <w:vAlign w:val="center"/>
          </w:tcPr>
          <w:p w14:paraId="57FCB9A5">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展桥路</w:t>
            </w:r>
          </w:p>
        </w:tc>
      </w:tr>
      <w:tr w14:paraId="3ABED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796C4DA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c>
          <w:tcPr>
            <w:tcW w:w="6771" w:type="dxa"/>
            <w:shd w:val="clear" w:color="auto" w:fill="FFFFFF"/>
            <w:vAlign w:val="center"/>
          </w:tcPr>
          <w:p w14:paraId="60A863C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洞子门路（重点道路）</w:t>
            </w:r>
          </w:p>
        </w:tc>
      </w:tr>
      <w:tr w14:paraId="28AFD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513EB2F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w:t>
            </w:r>
          </w:p>
        </w:tc>
        <w:tc>
          <w:tcPr>
            <w:tcW w:w="6771" w:type="dxa"/>
            <w:shd w:val="clear" w:color="auto" w:fill="FFFFFF"/>
            <w:vAlign w:val="center"/>
          </w:tcPr>
          <w:p w14:paraId="609E0D2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临港大道（重点道路）</w:t>
            </w:r>
          </w:p>
        </w:tc>
      </w:tr>
      <w:tr w14:paraId="1B01B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417172E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w:t>
            </w:r>
          </w:p>
        </w:tc>
        <w:tc>
          <w:tcPr>
            <w:tcW w:w="6771" w:type="dxa"/>
            <w:shd w:val="clear" w:color="auto" w:fill="FFFFFF"/>
            <w:vAlign w:val="center"/>
          </w:tcPr>
          <w:p w14:paraId="3F095E8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临港东路</w:t>
            </w:r>
          </w:p>
        </w:tc>
      </w:tr>
      <w:tr w14:paraId="2C027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2F0A500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w:t>
            </w:r>
          </w:p>
        </w:tc>
        <w:tc>
          <w:tcPr>
            <w:tcW w:w="6771" w:type="dxa"/>
            <w:shd w:val="clear" w:color="auto" w:fill="FFFFFF"/>
            <w:vAlign w:val="center"/>
          </w:tcPr>
          <w:p w14:paraId="25FECE6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穿山一路</w:t>
            </w:r>
          </w:p>
        </w:tc>
      </w:tr>
      <w:tr w14:paraId="35258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88" w:type="dxa"/>
            <w:shd w:val="clear" w:color="auto" w:fill="FFFFFF"/>
            <w:vAlign w:val="center"/>
          </w:tcPr>
          <w:p w14:paraId="0FF86FC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p>
        </w:tc>
        <w:tc>
          <w:tcPr>
            <w:tcW w:w="6771" w:type="dxa"/>
            <w:shd w:val="clear" w:color="auto" w:fill="FFFFFF"/>
            <w:vAlign w:val="center"/>
          </w:tcPr>
          <w:p w14:paraId="6BDCE80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穿山二路</w:t>
            </w:r>
          </w:p>
        </w:tc>
      </w:tr>
      <w:tr w14:paraId="6EF07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388" w:type="dxa"/>
            <w:shd w:val="clear" w:color="auto" w:fill="FFFFFF"/>
            <w:vAlign w:val="center"/>
          </w:tcPr>
          <w:p w14:paraId="07A3BFE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p>
        </w:tc>
        <w:tc>
          <w:tcPr>
            <w:tcW w:w="6771" w:type="dxa"/>
            <w:shd w:val="clear" w:color="auto" w:fill="FFFFFF"/>
            <w:vAlign w:val="center"/>
          </w:tcPr>
          <w:p w14:paraId="59B3AF0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永兴路</w:t>
            </w:r>
          </w:p>
        </w:tc>
      </w:tr>
      <w:tr w14:paraId="572CD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388" w:type="dxa"/>
            <w:shd w:val="clear" w:color="auto" w:fill="FFFFFF"/>
            <w:vAlign w:val="center"/>
          </w:tcPr>
          <w:p w14:paraId="78AF2F7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p>
        </w:tc>
        <w:tc>
          <w:tcPr>
            <w:tcW w:w="6771" w:type="dxa"/>
            <w:shd w:val="clear" w:color="auto" w:fill="FFFFFF"/>
            <w:vAlign w:val="center"/>
          </w:tcPr>
          <w:p w14:paraId="6CF6A936">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龙跃路（三环西路—九九桥段</w:t>
            </w:r>
            <w:r>
              <w:rPr>
                <w:rFonts w:hint="eastAsia" w:ascii="仿宋" w:hAnsi="仿宋" w:eastAsia="仿宋" w:cs="仿宋"/>
                <w:color w:val="auto"/>
                <w:sz w:val="24"/>
                <w:szCs w:val="24"/>
                <w:highlight w:val="none"/>
                <w:lang w:eastAsia="zh-CN"/>
              </w:rPr>
              <w:t>）</w:t>
            </w:r>
          </w:p>
        </w:tc>
      </w:tr>
      <w:tr w14:paraId="2EBDA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388" w:type="dxa"/>
            <w:shd w:val="clear" w:color="auto" w:fill="FFFFFF"/>
            <w:vAlign w:val="center"/>
          </w:tcPr>
          <w:p w14:paraId="13075DF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w:t>
            </w:r>
          </w:p>
        </w:tc>
        <w:tc>
          <w:tcPr>
            <w:tcW w:w="6771" w:type="dxa"/>
            <w:shd w:val="clear" w:color="auto" w:fill="FFFFFF"/>
            <w:vAlign w:val="center"/>
          </w:tcPr>
          <w:p w14:paraId="7A97307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龙景路（龙跃路—龙王山路段）</w:t>
            </w:r>
          </w:p>
        </w:tc>
      </w:tr>
      <w:tr w14:paraId="4A30F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388" w:type="dxa"/>
            <w:shd w:val="clear" w:color="auto" w:fill="FFFFFF"/>
            <w:vAlign w:val="center"/>
          </w:tcPr>
          <w:p w14:paraId="0D15785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w:t>
            </w:r>
          </w:p>
        </w:tc>
        <w:tc>
          <w:tcPr>
            <w:tcW w:w="6771" w:type="dxa"/>
            <w:shd w:val="clear" w:color="auto" w:fill="FFFFFF"/>
            <w:vAlign w:val="center"/>
          </w:tcPr>
          <w:p w14:paraId="2995CA9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弁南大道北延及戚家山路东段</w:t>
            </w:r>
          </w:p>
        </w:tc>
      </w:tr>
      <w:tr w14:paraId="1D822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388" w:type="dxa"/>
            <w:shd w:val="clear" w:color="auto" w:fill="FFFFFF"/>
            <w:vAlign w:val="center"/>
          </w:tcPr>
          <w:p w14:paraId="1A4AFDC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w:t>
            </w:r>
          </w:p>
        </w:tc>
        <w:tc>
          <w:tcPr>
            <w:tcW w:w="6771" w:type="dxa"/>
            <w:shd w:val="clear" w:color="auto" w:fill="FFFFFF"/>
            <w:vAlign w:val="center"/>
          </w:tcPr>
          <w:p w14:paraId="4E92894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港华应急气源站沟通辅道</w:t>
            </w:r>
          </w:p>
        </w:tc>
      </w:tr>
      <w:tr w14:paraId="7BCEC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388" w:type="dxa"/>
            <w:shd w:val="clear" w:color="auto" w:fill="FFFFFF"/>
            <w:vAlign w:val="center"/>
          </w:tcPr>
          <w:p w14:paraId="0C9FCF7F">
            <w:pPr>
              <w:spacing w:line="40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26</w:t>
            </w:r>
          </w:p>
        </w:tc>
        <w:tc>
          <w:tcPr>
            <w:tcW w:w="6771" w:type="dxa"/>
            <w:shd w:val="clear" w:color="auto" w:fill="FFFFFF"/>
            <w:vAlign w:val="center"/>
          </w:tcPr>
          <w:p w14:paraId="3225B007">
            <w:pPr>
              <w:spacing w:line="40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龙王山路（久久桥以西）</w:t>
            </w:r>
          </w:p>
        </w:tc>
      </w:tr>
      <w:tr w14:paraId="40DE3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9159" w:type="dxa"/>
            <w:gridSpan w:val="2"/>
            <w:shd w:val="clear" w:color="auto" w:fill="FFFFFF"/>
            <w:vAlign w:val="center"/>
          </w:tcPr>
          <w:p w14:paraId="42FE0FD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备注：重点道路实施16小时制道路保洁，其他道路实施12小时制道路保洁</w:t>
            </w:r>
          </w:p>
        </w:tc>
      </w:tr>
    </w:tbl>
    <w:p w14:paraId="340A0141">
      <w:pPr>
        <w:spacing w:line="400" w:lineRule="exact"/>
        <w:rPr>
          <w:rFonts w:hint="eastAsia" w:ascii="仿宋" w:hAnsi="仿宋" w:eastAsia="仿宋" w:cs="仿宋"/>
          <w:color w:val="auto"/>
          <w:sz w:val="24"/>
          <w:szCs w:val="24"/>
          <w:highlight w:val="none"/>
        </w:rPr>
      </w:pPr>
    </w:p>
    <w:p w14:paraId="23363931">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人员配置</w:t>
      </w:r>
    </w:p>
    <w:p w14:paraId="5A5AC2D2">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以下配置清单要求仅为本项目初始要求，采购人可根据本项目服务内容及服务量的调整要求中标人进行调配，中标人须按采购人要求结合人员调班、辅助岗位等情况进行合理调配后向采购人提交配置清单。采购人以核准的配置清单为主要依据对中标人进行考核。 </w:t>
      </w:r>
    </w:p>
    <w:tbl>
      <w:tblPr>
        <w:tblStyle w:val="23"/>
        <w:tblW w:w="9239" w:type="dxa"/>
        <w:tblInd w:w="93" w:type="dxa"/>
        <w:tblLayout w:type="fixed"/>
        <w:tblCellMar>
          <w:top w:w="0" w:type="dxa"/>
          <w:left w:w="108" w:type="dxa"/>
          <w:bottom w:w="0" w:type="dxa"/>
          <w:right w:w="108" w:type="dxa"/>
        </w:tblCellMar>
      </w:tblPr>
      <w:tblGrid>
        <w:gridCol w:w="736"/>
        <w:gridCol w:w="1671"/>
        <w:gridCol w:w="6832"/>
      </w:tblGrid>
      <w:tr w14:paraId="61C1EB2B">
        <w:tblPrEx>
          <w:tblCellMar>
            <w:top w:w="0" w:type="dxa"/>
            <w:left w:w="108" w:type="dxa"/>
            <w:bottom w:w="0" w:type="dxa"/>
            <w:right w:w="108" w:type="dxa"/>
          </w:tblCellMar>
        </w:tblPrEx>
        <w:trPr>
          <w:trHeight w:val="405" w:hRule="atLeast"/>
        </w:trPr>
        <w:tc>
          <w:tcPr>
            <w:tcW w:w="736" w:type="dxa"/>
            <w:tcBorders>
              <w:top w:val="single" w:color="auto" w:sz="4" w:space="0"/>
              <w:left w:val="single" w:color="auto" w:sz="4" w:space="0"/>
              <w:bottom w:val="single" w:color="auto" w:sz="4" w:space="0"/>
              <w:right w:val="single" w:color="auto" w:sz="4" w:space="0"/>
            </w:tcBorders>
            <w:vAlign w:val="center"/>
          </w:tcPr>
          <w:p w14:paraId="7BCAA3A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671" w:type="dxa"/>
            <w:tcBorders>
              <w:top w:val="single" w:color="auto" w:sz="4" w:space="0"/>
              <w:left w:val="nil"/>
              <w:bottom w:val="single" w:color="auto" w:sz="4" w:space="0"/>
              <w:right w:val="single" w:color="auto" w:sz="4" w:space="0"/>
            </w:tcBorders>
            <w:vAlign w:val="center"/>
          </w:tcPr>
          <w:p w14:paraId="27FA077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工种</w:t>
            </w:r>
          </w:p>
        </w:tc>
        <w:tc>
          <w:tcPr>
            <w:tcW w:w="6832" w:type="dxa"/>
            <w:tcBorders>
              <w:top w:val="single" w:color="auto" w:sz="4" w:space="0"/>
              <w:left w:val="nil"/>
              <w:bottom w:val="single" w:color="auto" w:sz="4" w:space="0"/>
              <w:right w:val="single" w:color="auto" w:sz="4" w:space="0"/>
            </w:tcBorders>
            <w:vAlign w:val="center"/>
          </w:tcPr>
          <w:p w14:paraId="1EBDA7D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要求</w:t>
            </w:r>
          </w:p>
        </w:tc>
      </w:tr>
      <w:tr w14:paraId="6828A9CA">
        <w:tblPrEx>
          <w:tblCellMar>
            <w:top w:w="0" w:type="dxa"/>
            <w:left w:w="108" w:type="dxa"/>
            <w:bottom w:w="0" w:type="dxa"/>
            <w:right w:w="108" w:type="dxa"/>
          </w:tblCellMar>
        </w:tblPrEx>
        <w:trPr>
          <w:trHeight w:val="651" w:hRule="atLeast"/>
        </w:trPr>
        <w:tc>
          <w:tcPr>
            <w:tcW w:w="736" w:type="dxa"/>
            <w:tcBorders>
              <w:top w:val="nil"/>
              <w:left w:val="single" w:color="auto" w:sz="4" w:space="0"/>
              <w:bottom w:val="single" w:color="auto" w:sz="4" w:space="0"/>
              <w:right w:val="single" w:color="auto" w:sz="4" w:space="0"/>
            </w:tcBorders>
            <w:vAlign w:val="center"/>
          </w:tcPr>
          <w:p w14:paraId="67A0A610">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671" w:type="dxa"/>
            <w:tcBorders>
              <w:top w:val="nil"/>
              <w:left w:val="nil"/>
              <w:bottom w:val="single" w:color="auto" w:sz="4" w:space="0"/>
              <w:right w:val="single" w:color="auto" w:sz="4" w:space="0"/>
            </w:tcBorders>
            <w:vAlign w:val="center"/>
          </w:tcPr>
          <w:p w14:paraId="5E1D1A3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一线保洁人员</w:t>
            </w:r>
          </w:p>
        </w:tc>
        <w:tc>
          <w:tcPr>
            <w:tcW w:w="6832" w:type="dxa"/>
            <w:tcBorders>
              <w:top w:val="nil"/>
              <w:left w:val="nil"/>
              <w:bottom w:val="single" w:color="auto" w:sz="4" w:space="0"/>
              <w:right w:val="single" w:color="auto" w:sz="4" w:space="0"/>
            </w:tcBorders>
            <w:vAlign w:val="center"/>
          </w:tcPr>
          <w:p w14:paraId="416DD713">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至少69人(含61名保洁清扫工、5名巡检工、3名冲洗工)</w:t>
            </w:r>
          </w:p>
        </w:tc>
      </w:tr>
      <w:tr w14:paraId="624C9BE0">
        <w:tblPrEx>
          <w:tblCellMar>
            <w:top w:w="0" w:type="dxa"/>
            <w:left w:w="108" w:type="dxa"/>
            <w:bottom w:w="0" w:type="dxa"/>
            <w:right w:w="108" w:type="dxa"/>
          </w:tblCellMar>
        </w:tblPrEx>
        <w:trPr>
          <w:trHeight w:val="801" w:hRule="atLeast"/>
        </w:trPr>
        <w:tc>
          <w:tcPr>
            <w:tcW w:w="736" w:type="dxa"/>
            <w:tcBorders>
              <w:top w:val="single" w:color="auto" w:sz="4" w:space="0"/>
              <w:left w:val="single" w:color="auto" w:sz="4" w:space="0"/>
              <w:bottom w:val="single" w:color="auto" w:sz="4" w:space="0"/>
              <w:right w:val="single" w:color="auto" w:sz="4" w:space="0"/>
            </w:tcBorders>
            <w:vAlign w:val="center"/>
          </w:tcPr>
          <w:p w14:paraId="7D84412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671" w:type="dxa"/>
            <w:tcBorders>
              <w:top w:val="single" w:color="auto" w:sz="4" w:space="0"/>
              <w:left w:val="single" w:color="auto" w:sz="4" w:space="0"/>
              <w:bottom w:val="single" w:color="auto" w:sz="4" w:space="0"/>
              <w:right w:val="single" w:color="auto" w:sz="4" w:space="0"/>
            </w:tcBorders>
            <w:vAlign w:val="center"/>
          </w:tcPr>
          <w:p w14:paraId="3809E7ED">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驾驶员</w:t>
            </w:r>
          </w:p>
        </w:tc>
        <w:tc>
          <w:tcPr>
            <w:tcW w:w="6832" w:type="dxa"/>
            <w:tcBorders>
              <w:top w:val="single" w:color="auto" w:sz="4" w:space="0"/>
              <w:left w:val="single" w:color="auto" w:sz="4" w:space="0"/>
              <w:bottom w:val="single" w:color="auto" w:sz="4" w:space="0"/>
              <w:right w:val="single" w:color="auto" w:sz="4" w:space="0"/>
            </w:tcBorders>
            <w:vAlign w:val="center"/>
          </w:tcPr>
          <w:p w14:paraId="3690A7F1">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每辆车配备1名驾驶员，至少8人（其中1名机动人员）</w:t>
            </w:r>
          </w:p>
        </w:tc>
      </w:tr>
      <w:tr w14:paraId="3D894BCB">
        <w:tblPrEx>
          <w:tblCellMar>
            <w:top w:w="0" w:type="dxa"/>
            <w:left w:w="108" w:type="dxa"/>
            <w:bottom w:w="0" w:type="dxa"/>
            <w:right w:w="108" w:type="dxa"/>
          </w:tblCellMar>
        </w:tblPrEx>
        <w:trPr>
          <w:trHeight w:val="415" w:hRule="atLeast"/>
        </w:trPr>
        <w:tc>
          <w:tcPr>
            <w:tcW w:w="736" w:type="dxa"/>
            <w:tcBorders>
              <w:top w:val="single" w:color="auto" w:sz="4" w:space="0"/>
              <w:left w:val="single" w:color="auto" w:sz="4" w:space="0"/>
              <w:bottom w:val="single" w:color="auto" w:sz="4" w:space="0"/>
              <w:right w:val="single" w:color="auto" w:sz="4" w:space="0"/>
            </w:tcBorders>
            <w:vAlign w:val="center"/>
          </w:tcPr>
          <w:p w14:paraId="1B5705F7">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671" w:type="dxa"/>
            <w:tcBorders>
              <w:top w:val="single" w:color="auto" w:sz="4" w:space="0"/>
              <w:left w:val="nil"/>
              <w:bottom w:val="single" w:color="auto" w:sz="4" w:space="0"/>
              <w:right w:val="single" w:color="auto" w:sz="4" w:space="0"/>
            </w:tcBorders>
            <w:vAlign w:val="center"/>
          </w:tcPr>
          <w:p w14:paraId="14CDEB46">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管理人员</w:t>
            </w:r>
          </w:p>
        </w:tc>
        <w:tc>
          <w:tcPr>
            <w:tcW w:w="6832" w:type="dxa"/>
            <w:tcBorders>
              <w:top w:val="single" w:color="auto" w:sz="4" w:space="0"/>
              <w:left w:val="nil"/>
              <w:bottom w:val="single" w:color="auto" w:sz="4" w:space="0"/>
              <w:right w:val="single" w:color="auto" w:sz="4" w:space="0"/>
            </w:tcBorders>
            <w:vAlign w:val="center"/>
          </w:tcPr>
          <w:p w14:paraId="63CC96D5">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3人（专职项目负责人2人、后勤1人）</w:t>
            </w:r>
          </w:p>
        </w:tc>
      </w:tr>
    </w:tbl>
    <w:p w14:paraId="40D48041">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车辆、设备配置</w:t>
      </w:r>
    </w:p>
    <w:tbl>
      <w:tblPr>
        <w:tblStyle w:val="23"/>
        <w:tblW w:w="9229" w:type="dxa"/>
        <w:tblInd w:w="93" w:type="dxa"/>
        <w:tblLayout w:type="fixed"/>
        <w:tblCellMar>
          <w:top w:w="0" w:type="dxa"/>
          <w:left w:w="108" w:type="dxa"/>
          <w:bottom w:w="0" w:type="dxa"/>
          <w:right w:w="108" w:type="dxa"/>
        </w:tblCellMar>
      </w:tblPr>
      <w:tblGrid>
        <w:gridCol w:w="582"/>
        <w:gridCol w:w="2595"/>
        <w:gridCol w:w="1110"/>
        <w:gridCol w:w="2940"/>
        <w:gridCol w:w="2002"/>
      </w:tblGrid>
      <w:tr w14:paraId="6454C01D">
        <w:tblPrEx>
          <w:tblCellMar>
            <w:top w:w="0" w:type="dxa"/>
            <w:left w:w="108" w:type="dxa"/>
            <w:bottom w:w="0" w:type="dxa"/>
            <w:right w:w="108" w:type="dxa"/>
          </w:tblCellMar>
        </w:tblPrEx>
        <w:trPr>
          <w:trHeight w:val="1018" w:hRule="atLeast"/>
        </w:trPr>
        <w:tc>
          <w:tcPr>
            <w:tcW w:w="582" w:type="dxa"/>
            <w:tcBorders>
              <w:top w:val="single" w:color="auto" w:sz="4" w:space="0"/>
              <w:left w:val="single" w:color="auto" w:sz="4" w:space="0"/>
              <w:bottom w:val="single" w:color="auto" w:sz="4" w:space="0"/>
              <w:right w:val="single" w:color="auto" w:sz="4" w:space="0"/>
            </w:tcBorders>
            <w:vAlign w:val="center"/>
          </w:tcPr>
          <w:p w14:paraId="2D145721">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595" w:type="dxa"/>
            <w:tcBorders>
              <w:top w:val="single" w:color="auto" w:sz="4" w:space="0"/>
              <w:left w:val="nil"/>
              <w:bottom w:val="single" w:color="auto" w:sz="4" w:space="0"/>
              <w:right w:val="single" w:color="auto" w:sz="4" w:space="0"/>
            </w:tcBorders>
            <w:vAlign w:val="center"/>
          </w:tcPr>
          <w:p w14:paraId="1FCF8EE9">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车辆类型</w:t>
            </w:r>
          </w:p>
        </w:tc>
        <w:tc>
          <w:tcPr>
            <w:tcW w:w="1110" w:type="dxa"/>
            <w:tcBorders>
              <w:top w:val="single" w:color="auto" w:sz="4" w:space="0"/>
              <w:left w:val="nil"/>
              <w:bottom w:val="single" w:color="auto" w:sz="4" w:space="0"/>
              <w:right w:val="single" w:color="auto" w:sz="4" w:space="0"/>
            </w:tcBorders>
            <w:vAlign w:val="center"/>
          </w:tcPr>
          <w:p w14:paraId="7D25535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2940" w:type="dxa"/>
            <w:tcBorders>
              <w:top w:val="single" w:color="auto" w:sz="4" w:space="0"/>
              <w:left w:val="nil"/>
              <w:bottom w:val="single" w:color="auto" w:sz="4" w:space="0"/>
              <w:right w:val="single" w:color="auto" w:sz="4" w:space="0"/>
            </w:tcBorders>
            <w:vAlign w:val="center"/>
          </w:tcPr>
          <w:p w14:paraId="611FD90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规格要求</w:t>
            </w:r>
          </w:p>
        </w:tc>
        <w:tc>
          <w:tcPr>
            <w:tcW w:w="2002" w:type="dxa"/>
            <w:tcBorders>
              <w:top w:val="single" w:color="auto" w:sz="4" w:space="0"/>
              <w:left w:val="nil"/>
              <w:bottom w:val="single" w:color="auto" w:sz="4" w:space="0"/>
              <w:right w:val="single" w:color="auto" w:sz="4" w:space="0"/>
            </w:tcBorders>
            <w:vAlign w:val="center"/>
          </w:tcPr>
          <w:p w14:paraId="575B93D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6DB86049">
        <w:tblPrEx>
          <w:tblCellMar>
            <w:top w:w="0" w:type="dxa"/>
            <w:left w:w="108" w:type="dxa"/>
            <w:bottom w:w="0" w:type="dxa"/>
            <w:right w:w="108" w:type="dxa"/>
          </w:tblCellMar>
        </w:tblPrEx>
        <w:trPr>
          <w:trHeight w:val="965" w:hRule="atLeast"/>
        </w:trPr>
        <w:tc>
          <w:tcPr>
            <w:tcW w:w="582" w:type="dxa"/>
            <w:tcBorders>
              <w:top w:val="single" w:color="auto" w:sz="4" w:space="0"/>
              <w:left w:val="single" w:color="auto" w:sz="4" w:space="0"/>
              <w:bottom w:val="single" w:color="auto" w:sz="4" w:space="0"/>
              <w:right w:val="single" w:color="auto" w:sz="4" w:space="0"/>
            </w:tcBorders>
            <w:vAlign w:val="center"/>
          </w:tcPr>
          <w:p w14:paraId="7A00AA3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595" w:type="dxa"/>
            <w:tcBorders>
              <w:top w:val="single" w:color="auto" w:sz="4" w:space="0"/>
              <w:left w:val="single" w:color="auto" w:sz="4" w:space="0"/>
              <w:bottom w:val="single" w:color="auto" w:sz="4" w:space="0"/>
              <w:right w:val="single" w:color="auto" w:sz="4" w:space="0"/>
            </w:tcBorders>
            <w:vAlign w:val="center"/>
          </w:tcPr>
          <w:p w14:paraId="44C3D98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洗扫车/扫路车等</w:t>
            </w:r>
          </w:p>
        </w:tc>
        <w:tc>
          <w:tcPr>
            <w:tcW w:w="1110" w:type="dxa"/>
            <w:tcBorders>
              <w:top w:val="single" w:color="auto" w:sz="4" w:space="0"/>
              <w:left w:val="single" w:color="auto" w:sz="4" w:space="0"/>
              <w:bottom w:val="single" w:color="auto" w:sz="4" w:space="0"/>
              <w:right w:val="single" w:color="auto" w:sz="4" w:space="0"/>
            </w:tcBorders>
            <w:vAlign w:val="center"/>
          </w:tcPr>
          <w:p w14:paraId="53F52C7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940" w:type="dxa"/>
            <w:tcBorders>
              <w:top w:val="single" w:color="auto" w:sz="4" w:space="0"/>
              <w:left w:val="single" w:color="auto" w:sz="4" w:space="0"/>
              <w:bottom w:val="single" w:color="auto" w:sz="4" w:space="0"/>
              <w:right w:val="single" w:color="auto" w:sz="4" w:space="0"/>
            </w:tcBorders>
            <w:vAlign w:val="center"/>
          </w:tcPr>
          <w:p w14:paraId="77AC453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1辆总质量≥18吨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2辆总质量≥10吨</w:t>
            </w:r>
          </w:p>
        </w:tc>
        <w:tc>
          <w:tcPr>
            <w:tcW w:w="2002" w:type="dxa"/>
            <w:tcBorders>
              <w:top w:val="single" w:color="auto" w:sz="4" w:space="0"/>
              <w:left w:val="single" w:color="auto" w:sz="4" w:space="0"/>
              <w:bottom w:val="single" w:color="auto" w:sz="4" w:space="0"/>
              <w:right w:val="single" w:color="auto" w:sz="4" w:space="0"/>
            </w:tcBorders>
            <w:vAlign w:val="center"/>
          </w:tcPr>
          <w:p w14:paraId="44417653">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带抑尘功能</w:t>
            </w:r>
          </w:p>
        </w:tc>
      </w:tr>
      <w:tr w14:paraId="6F9C889C">
        <w:tblPrEx>
          <w:tblCellMar>
            <w:top w:w="0" w:type="dxa"/>
            <w:left w:w="108" w:type="dxa"/>
            <w:bottom w:w="0" w:type="dxa"/>
            <w:right w:w="108" w:type="dxa"/>
          </w:tblCellMar>
        </w:tblPrEx>
        <w:trPr>
          <w:trHeight w:val="90" w:hRule="atLeast"/>
        </w:trPr>
        <w:tc>
          <w:tcPr>
            <w:tcW w:w="582" w:type="dxa"/>
            <w:tcBorders>
              <w:top w:val="single" w:color="auto" w:sz="4" w:space="0"/>
              <w:left w:val="single" w:color="auto" w:sz="4" w:space="0"/>
              <w:bottom w:val="single" w:color="auto" w:sz="4" w:space="0"/>
              <w:right w:val="single" w:color="auto" w:sz="4" w:space="0"/>
            </w:tcBorders>
            <w:vAlign w:val="center"/>
          </w:tcPr>
          <w:p w14:paraId="7DE938C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595" w:type="dxa"/>
            <w:tcBorders>
              <w:top w:val="single" w:color="auto" w:sz="4" w:space="0"/>
              <w:left w:val="single" w:color="auto" w:sz="4" w:space="0"/>
              <w:bottom w:val="single" w:color="auto" w:sz="4" w:space="0"/>
              <w:right w:val="single" w:color="auto" w:sz="4" w:space="0"/>
            </w:tcBorders>
            <w:vAlign w:val="center"/>
          </w:tcPr>
          <w:p w14:paraId="554A6CB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洒水车/高压冲洗车/清洗车等</w:t>
            </w:r>
          </w:p>
        </w:tc>
        <w:tc>
          <w:tcPr>
            <w:tcW w:w="1110" w:type="dxa"/>
            <w:tcBorders>
              <w:top w:val="single" w:color="auto" w:sz="4" w:space="0"/>
              <w:left w:val="single" w:color="auto" w:sz="4" w:space="0"/>
              <w:bottom w:val="single" w:color="auto" w:sz="4" w:space="0"/>
              <w:right w:val="single" w:color="auto" w:sz="4" w:space="0"/>
            </w:tcBorders>
            <w:vAlign w:val="center"/>
          </w:tcPr>
          <w:p w14:paraId="7A0369A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940" w:type="dxa"/>
            <w:tcBorders>
              <w:top w:val="single" w:color="auto" w:sz="4" w:space="0"/>
              <w:left w:val="single" w:color="auto" w:sz="4" w:space="0"/>
              <w:bottom w:val="single" w:color="auto" w:sz="4" w:space="0"/>
              <w:right w:val="single" w:color="auto" w:sz="4" w:space="0"/>
            </w:tcBorders>
            <w:vAlign w:val="center"/>
          </w:tcPr>
          <w:p w14:paraId="6119CA7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1辆总质量≥25吨, 2辆总质量≥18吨</w:t>
            </w:r>
          </w:p>
        </w:tc>
        <w:tc>
          <w:tcPr>
            <w:tcW w:w="2002" w:type="dxa"/>
            <w:tcBorders>
              <w:top w:val="single" w:color="auto" w:sz="4" w:space="0"/>
              <w:left w:val="single" w:color="auto" w:sz="4" w:space="0"/>
              <w:bottom w:val="single" w:color="auto" w:sz="4" w:space="0"/>
              <w:right w:val="single" w:color="auto" w:sz="4" w:space="0"/>
            </w:tcBorders>
            <w:vAlign w:val="center"/>
          </w:tcPr>
          <w:p w14:paraId="6E91CE08">
            <w:pPr>
              <w:spacing w:line="400" w:lineRule="exact"/>
              <w:rPr>
                <w:rFonts w:hint="eastAsia" w:ascii="仿宋" w:hAnsi="仿宋" w:eastAsia="仿宋" w:cs="仿宋"/>
                <w:color w:val="auto"/>
                <w:sz w:val="24"/>
                <w:szCs w:val="24"/>
                <w:highlight w:val="none"/>
              </w:rPr>
            </w:pPr>
          </w:p>
        </w:tc>
      </w:tr>
      <w:tr w14:paraId="044A4B8B">
        <w:tblPrEx>
          <w:tblCellMar>
            <w:top w:w="0" w:type="dxa"/>
            <w:left w:w="108" w:type="dxa"/>
            <w:bottom w:w="0" w:type="dxa"/>
            <w:right w:w="108" w:type="dxa"/>
          </w:tblCellMar>
        </w:tblPrEx>
        <w:trPr>
          <w:trHeight w:val="90" w:hRule="atLeast"/>
        </w:trPr>
        <w:tc>
          <w:tcPr>
            <w:tcW w:w="582" w:type="dxa"/>
            <w:tcBorders>
              <w:top w:val="single" w:color="auto" w:sz="4" w:space="0"/>
              <w:left w:val="single" w:color="auto" w:sz="4" w:space="0"/>
              <w:bottom w:val="single" w:color="auto" w:sz="4" w:space="0"/>
              <w:right w:val="single" w:color="auto" w:sz="4" w:space="0"/>
            </w:tcBorders>
            <w:vAlign w:val="center"/>
          </w:tcPr>
          <w:p w14:paraId="6995A11A">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595" w:type="dxa"/>
            <w:tcBorders>
              <w:top w:val="single" w:color="auto" w:sz="4" w:space="0"/>
              <w:left w:val="single" w:color="auto" w:sz="4" w:space="0"/>
              <w:bottom w:val="single" w:color="auto" w:sz="4" w:space="0"/>
              <w:right w:val="single" w:color="auto" w:sz="4" w:space="0"/>
            </w:tcBorders>
            <w:vAlign w:val="center"/>
          </w:tcPr>
          <w:p w14:paraId="0BBB3D5E">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高压小型油污冲洗车/路面养护车</w:t>
            </w:r>
          </w:p>
        </w:tc>
        <w:tc>
          <w:tcPr>
            <w:tcW w:w="1110" w:type="dxa"/>
            <w:tcBorders>
              <w:top w:val="single" w:color="auto" w:sz="4" w:space="0"/>
              <w:left w:val="single" w:color="auto" w:sz="4" w:space="0"/>
              <w:bottom w:val="single" w:color="auto" w:sz="4" w:space="0"/>
              <w:right w:val="single" w:color="auto" w:sz="4" w:space="0"/>
            </w:tcBorders>
            <w:vAlign w:val="center"/>
          </w:tcPr>
          <w:p w14:paraId="0928D64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2940" w:type="dxa"/>
            <w:tcBorders>
              <w:top w:val="single" w:color="auto" w:sz="4" w:space="0"/>
              <w:left w:val="single" w:color="auto" w:sz="4" w:space="0"/>
              <w:bottom w:val="single" w:color="auto" w:sz="4" w:space="0"/>
              <w:right w:val="single" w:color="auto" w:sz="4" w:space="0"/>
            </w:tcBorders>
            <w:vAlign w:val="center"/>
          </w:tcPr>
          <w:p w14:paraId="12CF4FD7">
            <w:pPr>
              <w:spacing w:line="400" w:lineRule="exact"/>
              <w:jc w:val="center"/>
              <w:rPr>
                <w:rFonts w:hint="eastAsia" w:ascii="仿宋" w:hAnsi="仿宋" w:eastAsia="仿宋" w:cs="仿宋"/>
                <w:color w:val="auto"/>
                <w:sz w:val="24"/>
                <w:szCs w:val="24"/>
                <w:highlight w:val="none"/>
              </w:rPr>
            </w:pPr>
          </w:p>
        </w:tc>
        <w:tc>
          <w:tcPr>
            <w:tcW w:w="2002" w:type="dxa"/>
            <w:tcBorders>
              <w:top w:val="single" w:color="auto" w:sz="4" w:space="0"/>
              <w:left w:val="single" w:color="auto" w:sz="4" w:space="0"/>
              <w:bottom w:val="single" w:color="auto" w:sz="4" w:space="0"/>
              <w:right w:val="single" w:color="auto" w:sz="4" w:space="0"/>
            </w:tcBorders>
            <w:vAlign w:val="center"/>
          </w:tcPr>
          <w:p w14:paraId="13CFDA95">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高压小型油污冲洗车3辆，道路养护车1辆。</w:t>
            </w:r>
          </w:p>
        </w:tc>
      </w:tr>
      <w:tr w14:paraId="5555A54E">
        <w:tblPrEx>
          <w:tblCellMar>
            <w:top w:w="0" w:type="dxa"/>
            <w:left w:w="108" w:type="dxa"/>
            <w:bottom w:w="0" w:type="dxa"/>
            <w:right w:w="108" w:type="dxa"/>
          </w:tblCellMar>
        </w:tblPrEx>
        <w:trPr>
          <w:trHeight w:val="285" w:hRule="atLeast"/>
        </w:trPr>
        <w:tc>
          <w:tcPr>
            <w:tcW w:w="582" w:type="dxa"/>
            <w:tcBorders>
              <w:top w:val="single" w:color="auto" w:sz="4" w:space="0"/>
              <w:left w:val="single" w:color="auto" w:sz="4" w:space="0"/>
              <w:bottom w:val="single" w:color="auto" w:sz="4" w:space="0"/>
              <w:right w:val="single" w:color="auto" w:sz="4" w:space="0"/>
            </w:tcBorders>
            <w:vAlign w:val="center"/>
          </w:tcPr>
          <w:p w14:paraId="41504283">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2595" w:type="dxa"/>
            <w:tcBorders>
              <w:top w:val="single" w:color="auto" w:sz="4" w:space="0"/>
              <w:left w:val="single" w:color="auto" w:sz="4" w:space="0"/>
              <w:bottom w:val="single" w:color="auto" w:sz="4" w:space="0"/>
              <w:right w:val="single" w:color="auto" w:sz="4" w:space="0"/>
            </w:tcBorders>
            <w:vAlign w:val="center"/>
          </w:tcPr>
          <w:p w14:paraId="4838A98C">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小工程车（皮卡）</w:t>
            </w:r>
          </w:p>
        </w:tc>
        <w:tc>
          <w:tcPr>
            <w:tcW w:w="1110" w:type="dxa"/>
            <w:tcBorders>
              <w:top w:val="single" w:color="auto" w:sz="4" w:space="0"/>
              <w:left w:val="single" w:color="auto" w:sz="4" w:space="0"/>
              <w:bottom w:val="single" w:color="auto" w:sz="4" w:space="0"/>
              <w:right w:val="single" w:color="auto" w:sz="4" w:space="0"/>
            </w:tcBorders>
            <w:vAlign w:val="center"/>
          </w:tcPr>
          <w:p w14:paraId="1BE27C2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940" w:type="dxa"/>
            <w:tcBorders>
              <w:top w:val="single" w:color="auto" w:sz="4" w:space="0"/>
              <w:left w:val="single" w:color="auto" w:sz="4" w:space="0"/>
              <w:bottom w:val="single" w:color="auto" w:sz="4" w:space="0"/>
              <w:right w:val="single" w:color="auto" w:sz="4" w:space="0"/>
            </w:tcBorders>
            <w:vAlign w:val="center"/>
          </w:tcPr>
          <w:p w14:paraId="470B071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轻型普通货车1辆（总质量必须≥2000kg））</w:t>
            </w:r>
          </w:p>
        </w:tc>
        <w:tc>
          <w:tcPr>
            <w:tcW w:w="2002" w:type="dxa"/>
            <w:tcBorders>
              <w:top w:val="single" w:color="auto" w:sz="4" w:space="0"/>
              <w:left w:val="single" w:color="auto" w:sz="4" w:space="0"/>
              <w:bottom w:val="single" w:color="auto" w:sz="4" w:space="0"/>
              <w:right w:val="single" w:color="auto" w:sz="4" w:space="0"/>
            </w:tcBorders>
            <w:vAlign w:val="center"/>
          </w:tcPr>
          <w:p w14:paraId="378A2DD7">
            <w:pPr>
              <w:spacing w:line="400" w:lineRule="exact"/>
              <w:rPr>
                <w:rFonts w:hint="eastAsia" w:ascii="仿宋" w:hAnsi="仿宋" w:eastAsia="仿宋" w:cs="仿宋"/>
                <w:color w:val="auto"/>
                <w:sz w:val="24"/>
                <w:szCs w:val="24"/>
                <w:highlight w:val="none"/>
              </w:rPr>
            </w:pPr>
          </w:p>
        </w:tc>
      </w:tr>
      <w:tr w14:paraId="6C5B0951">
        <w:tblPrEx>
          <w:tblCellMar>
            <w:top w:w="0" w:type="dxa"/>
            <w:left w:w="108" w:type="dxa"/>
            <w:bottom w:w="0" w:type="dxa"/>
            <w:right w:w="108" w:type="dxa"/>
          </w:tblCellMar>
        </w:tblPrEx>
        <w:trPr>
          <w:trHeight w:val="285" w:hRule="atLeast"/>
        </w:trPr>
        <w:tc>
          <w:tcPr>
            <w:tcW w:w="582" w:type="dxa"/>
            <w:tcBorders>
              <w:top w:val="single" w:color="auto" w:sz="4" w:space="0"/>
              <w:left w:val="single" w:color="auto" w:sz="4" w:space="0"/>
              <w:bottom w:val="single" w:color="auto" w:sz="4" w:space="0"/>
              <w:right w:val="single" w:color="auto" w:sz="4" w:space="0"/>
            </w:tcBorders>
            <w:vAlign w:val="center"/>
          </w:tcPr>
          <w:p w14:paraId="40949823">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2595" w:type="dxa"/>
            <w:tcBorders>
              <w:top w:val="single" w:color="auto" w:sz="4" w:space="0"/>
              <w:left w:val="single" w:color="auto" w:sz="4" w:space="0"/>
              <w:bottom w:val="single" w:color="auto" w:sz="4" w:space="0"/>
              <w:right w:val="single" w:color="auto" w:sz="4" w:space="0"/>
            </w:tcBorders>
            <w:vAlign w:val="center"/>
          </w:tcPr>
          <w:p w14:paraId="58D816D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护栏清洗车</w:t>
            </w:r>
          </w:p>
        </w:tc>
        <w:tc>
          <w:tcPr>
            <w:tcW w:w="1110" w:type="dxa"/>
            <w:tcBorders>
              <w:top w:val="single" w:color="auto" w:sz="4" w:space="0"/>
              <w:left w:val="single" w:color="auto" w:sz="4" w:space="0"/>
              <w:bottom w:val="single" w:color="auto" w:sz="4" w:space="0"/>
              <w:right w:val="single" w:color="auto" w:sz="4" w:space="0"/>
            </w:tcBorders>
            <w:vAlign w:val="center"/>
          </w:tcPr>
          <w:p w14:paraId="22A9C75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940" w:type="dxa"/>
            <w:tcBorders>
              <w:top w:val="single" w:color="auto" w:sz="4" w:space="0"/>
              <w:left w:val="single" w:color="auto" w:sz="4" w:space="0"/>
              <w:bottom w:val="single" w:color="auto" w:sz="4" w:space="0"/>
              <w:right w:val="single" w:color="auto" w:sz="4" w:space="0"/>
            </w:tcBorders>
            <w:vAlign w:val="center"/>
          </w:tcPr>
          <w:p w14:paraId="7FA46E7C">
            <w:pPr>
              <w:spacing w:line="400" w:lineRule="exact"/>
              <w:jc w:val="center"/>
              <w:rPr>
                <w:rFonts w:hint="eastAsia" w:ascii="仿宋" w:hAnsi="仿宋" w:eastAsia="仿宋" w:cs="仿宋"/>
                <w:color w:val="auto"/>
                <w:sz w:val="24"/>
                <w:szCs w:val="24"/>
                <w:highlight w:val="none"/>
              </w:rPr>
            </w:pPr>
          </w:p>
        </w:tc>
        <w:tc>
          <w:tcPr>
            <w:tcW w:w="2002" w:type="dxa"/>
            <w:tcBorders>
              <w:top w:val="single" w:color="auto" w:sz="4" w:space="0"/>
              <w:left w:val="single" w:color="auto" w:sz="4" w:space="0"/>
              <w:bottom w:val="single" w:color="auto" w:sz="4" w:space="0"/>
              <w:right w:val="single" w:color="auto" w:sz="4" w:space="0"/>
            </w:tcBorders>
            <w:vAlign w:val="center"/>
          </w:tcPr>
          <w:p w14:paraId="2F83E9EA">
            <w:pPr>
              <w:spacing w:line="400" w:lineRule="exact"/>
              <w:rPr>
                <w:rFonts w:hint="eastAsia" w:ascii="仿宋" w:hAnsi="仿宋" w:eastAsia="仿宋" w:cs="仿宋"/>
                <w:color w:val="auto"/>
                <w:sz w:val="24"/>
                <w:szCs w:val="24"/>
                <w:highlight w:val="none"/>
              </w:rPr>
            </w:pPr>
          </w:p>
        </w:tc>
      </w:tr>
      <w:tr w14:paraId="75D15CDA">
        <w:tblPrEx>
          <w:tblCellMar>
            <w:top w:w="0" w:type="dxa"/>
            <w:left w:w="108" w:type="dxa"/>
            <w:bottom w:w="0" w:type="dxa"/>
            <w:right w:w="108" w:type="dxa"/>
          </w:tblCellMar>
        </w:tblPrEx>
        <w:trPr>
          <w:trHeight w:val="285" w:hRule="atLeast"/>
        </w:trPr>
        <w:tc>
          <w:tcPr>
            <w:tcW w:w="582" w:type="dxa"/>
            <w:tcBorders>
              <w:top w:val="single" w:color="auto" w:sz="4" w:space="0"/>
              <w:left w:val="single" w:color="auto" w:sz="4" w:space="0"/>
              <w:bottom w:val="single" w:color="auto" w:sz="4" w:space="0"/>
              <w:right w:val="single" w:color="auto" w:sz="4" w:space="0"/>
            </w:tcBorders>
            <w:vAlign w:val="center"/>
          </w:tcPr>
          <w:p w14:paraId="7A58A325">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2595" w:type="dxa"/>
            <w:tcBorders>
              <w:top w:val="single" w:color="auto" w:sz="4" w:space="0"/>
              <w:left w:val="single" w:color="auto" w:sz="4" w:space="0"/>
              <w:bottom w:val="single" w:color="auto" w:sz="4" w:space="0"/>
              <w:right w:val="single" w:color="auto" w:sz="4" w:space="0"/>
            </w:tcBorders>
            <w:vAlign w:val="center"/>
          </w:tcPr>
          <w:p w14:paraId="696BB92F">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扫雪设备（推雪板跟除雪滚筒）</w:t>
            </w:r>
          </w:p>
        </w:tc>
        <w:tc>
          <w:tcPr>
            <w:tcW w:w="1110" w:type="dxa"/>
            <w:tcBorders>
              <w:top w:val="single" w:color="auto" w:sz="4" w:space="0"/>
              <w:left w:val="single" w:color="auto" w:sz="4" w:space="0"/>
              <w:bottom w:val="single" w:color="auto" w:sz="4" w:space="0"/>
              <w:right w:val="single" w:color="auto" w:sz="4" w:space="0"/>
            </w:tcBorders>
            <w:vAlign w:val="center"/>
          </w:tcPr>
          <w:p w14:paraId="53F36A44">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各1套</w:t>
            </w:r>
          </w:p>
        </w:tc>
        <w:tc>
          <w:tcPr>
            <w:tcW w:w="2940" w:type="dxa"/>
            <w:tcBorders>
              <w:top w:val="single" w:color="auto" w:sz="4" w:space="0"/>
              <w:left w:val="single" w:color="auto" w:sz="4" w:space="0"/>
              <w:bottom w:val="single" w:color="auto" w:sz="4" w:space="0"/>
              <w:right w:val="single" w:color="auto" w:sz="4" w:space="0"/>
            </w:tcBorders>
            <w:vAlign w:val="center"/>
          </w:tcPr>
          <w:p w14:paraId="51692B12">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2002" w:type="dxa"/>
            <w:tcBorders>
              <w:top w:val="single" w:color="auto" w:sz="4" w:space="0"/>
              <w:left w:val="single" w:color="auto" w:sz="4" w:space="0"/>
              <w:bottom w:val="single" w:color="auto" w:sz="4" w:space="0"/>
              <w:right w:val="single" w:color="auto" w:sz="4" w:space="0"/>
            </w:tcBorders>
            <w:vAlign w:val="center"/>
          </w:tcPr>
          <w:p w14:paraId="49DEE670">
            <w:pPr>
              <w:spacing w:line="400" w:lineRule="exact"/>
              <w:rPr>
                <w:rFonts w:hint="eastAsia" w:ascii="仿宋" w:hAnsi="仿宋" w:eastAsia="仿宋" w:cs="仿宋"/>
                <w:color w:val="auto"/>
                <w:sz w:val="24"/>
                <w:szCs w:val="24"/>
                <w:highlight w:val="none"/>
              </w:rPr>
            </w:pPr>
          </w:p>
        </w:tc>
      </w:tr>
      <w:tr w14:paraId="67B5AB35">
        <w:tblPrEx>
          <w:tblCellMar>
            <w:top w:w="0" w:type="dxa"/>
            <w:left w:w="108" w:type="dxa"/>
            <w:bottom w:w="0" w:type="dxa"/>
            <w:right w:w="108" w:type="dxa"/>
          </w:tblCellMar>
        </w:tblPrEx>
        <w:trPr>
          <w:trHeight w:val="285" w:hRule="atLeast"/>
        </w:trPr>
        <w:tc>
          <w:tcPr>
            <w:tcW w:w="582" w:type="dxa"/>
            <w:tcBorders>
              <w:top w:val="single" w:color="auto" w:sz="4" w:space="0"/>
              <w:left w:val="single" w:color="auto" w:sz="4" w:space="0"/>
              <w:bottom w:val="single" w:color="auto" w:sz="4" w:space="0"/>
              <w:right w:val="single" w:color="auto" w:sz="4" w:space="0"/>
            </w:tcBorders>
            <w:vAlign w:val="center"/>
          </w:tcPr>
          <w:p w14:paraId="58217160">
            <w:pPr>
              <w:spacing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2595" w:type="dxa"/>
            <w:tcBorders>
              <w:top w:val="single" w:color="auto" w:sz="4" w:space="0"/>
              <w:left w:val="single" w:color="auto" w:sz="4" w:space="0"/>
              <w:bottom w:val="single" w:color="auto" w:sz="4" w:space="0"/>
              <w:right w:val="single" w:color="auto" w:sz="4" w:space="0"/>
            </w:tcBorders>
            <w:vAlign w:val="center"/>
          </w:tcPr>
          <w:p w14:paraId="1AD0729B">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快保车/人力车</w:t>
            </w:r>
          </w:p>
        </w:tc>
        <w:tc>
          <w:tcPr>
            <w:tcW w:w="1110" w:type="dxa"/>
            <w:tcBorders>
              <w:top w:val="single" w:color="auto" w:sz="4" w:space="0"/>
              <w:left w:val="single" w:color="auto" w:sz="4" w:space="0"/>
              <w:bottom w:val="single" w:color="auto" w:sz="4" w:space="0"/>
              <w:right w:val="single" w:color="auto" w:sz="4" w:space="0"/>
            </w:tcBorders>
            <w:vAlign w:val="center"/>
          </w:tcPr>
          <w:p w14:paraId="19B5E758">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66</w:t>
            </w:r>
          </w:p>
        </w:tc>
        <w:tc>
          <w:tcPr>
            <w:tcW w:w="2940" w:type="dxa"/>
            <w:tcBorders>
              <w:top w:val="single" w:color="auto" w:sz="4" w:space="0"/>
              <w:left w:val="single" w:color="auto" w:sz="4" w:space="0"/>
              <w:bottom w:val="single" w:color="auto" w:sz="4" w:space="0"/>
              <w:right w:val="single" w:color="auto" w:sz="4" w:space="0"/>
            </w:tcBorders>
            <w:vAlign w:val="center"/>
          </w:tcPr>
          <w:p w14:paraId="47652A73">
            <w:pPr>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按现场实际情况配置</w:t>
            </w:r>
          </w:p>
        </w:tc>
        <w:tc>
          <w:tcPr>
            <w:tcW w:w="2002" w:type="dxa"/>
            <w:tcBorders>
              <w:top w:val="single" w:color="auto" w:sz="4" w:space="0"/>
              <w:left w:val="single" w:color="auto" w:sz="4" w:space="0"/>
              <w:bottom w:val="single" w:color="auto" w:sz="4" w:space="0"/>
              <w:right w:val="single" w:color="auto" w:sz="4" w:space="0"/>
            </w:tcBorders>
            <w:vAlign w:val="center"/>
          </w:tcPr>
          <w:p w14:paraId="2C0B4730">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快保车5辆，人力车61辆</w:t>
            </w:r>
          </w:p>
        </w:tc>
      </w:tr>
      <w:tr w14:paraId="742C241A">
        <w:tblPrEx>
          <w:tblCellMar>
            <w:top w:w="0" w:type="dxa"/>
            <w:left w:w="108" w:type="dxa"/>
            <w:bottom w:w="0" w:type="dxa"/>
            <w:right w:w="108" w:type="dxa"/>
          </w:tblCellMar>
        </w:tblPrEx>
        <w:trPr>
          <w:trHeight w:val="285" w:hRule="atLeast"/>
        </w:trPr>
        <w:tc>
          <w:tcPr>
            <w:tcW w:w="9229" w:type="dxa"/>
            <w:gridSpan w:val="5"/>
            <w:tcBorders>
              <w:top w:val="single" w:color="auto" w:sz="4" w:space="0"/>
              <w:left w:val="single" w:color="auto" w:sz="4" w:space="0"/>
              <w:bottom w:val="single" w:color="auto" w:sz="4" w:space="0"/>
              <w:right w:val="single" w:color="auto" w:sz="4" w:space="0"/>
            </w:tcBorders>
            <w:vAlign w:val="center"/>
          </w:tcPr>
          <w:p w14:paraId="42E83110">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注：序号1-2车辆设备中必须有新能源洗扫车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或</w:t>
            </w:r>
            <w:r>
              <w:rPr>
                <w:rFonts w:hint="eastAsia" w:ascii="仿宋" w:hAnsi="仿宋" w:eastAsia="仿宋" w:cs="仿宋"/>
                <w:color w:val="auto"/>
                <w:sz w:val="24"/>
                <w:szCs w:val="24"/>
                <w:highlight w:val="none"/>
              </w:rPr>
              <w:t>扫路车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1辆、新能源洒水车1辆。其余车辆必须符合国六标准。</w:t>
            </w:r>
          </w:p>
        </w:tc>
      </w:tr>
    </w:tbl>
    <w:p w14:paraId="2A6EC837">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本项目车辆配置为最低要求，机动车辆排放须达到国六标准及以上（新能源车辆除外）。投标人须根据项目实际需要，并按照国家对环境保护等相关规定，自行增配优化相关机械车辆。增配机械、车辆所有费用须包含在投标价格中。</w:t>
      </w:r>
    </w:p>
    <w:bookmarkEnd w:id="0"/>
    <w:p w14:paraId="67E2800D">
      <w:pPr>
        <w:spacing w:line="400" w:lineRule="exact"/>
        <w:ind w:firstLine="42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highlight w:val="none"/>
        </w:rPr>
        <w:t>▲</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eastAsia="zh-TW"/>
        </w:rPr>
        <w:t>、</w:t>
      </w:r>
      <w:r>
        <w:rPr>
          <w:rFonts w:hint="eastAsia" w:ascii="仿宋" w:hAnsi="仿宋" w:eastAsia="仿宋" w:cs="仿宋"/>
          <w:color w:val="auto"/>
          <w:sz w:val="24"/>
          <w:szCs w:val="24"/>
          <w:highlight w:val="none"/>
          <w:lang w:val="en-US" w:eastAsia="zh-CN"/>
        </w:rPr>
        <w:t>投标人须承诺：</w:t>
      </w:r>
    </w:p>
    <w:p w14:paraId="534C6F6A">
      <w:pPr>
        <w:spacing w:line="400" w:lineRule="exact"/>
        <w:ind w:firstLine="480" w:firstLineChars="200"/>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en-US" w:eastAsia="zh-CN"/>
        </w:rPr>
        <w:t>本项目拟投入的</w:t>
      </w:r>
      <w:r>
        <w:rPr>
          <w:rFonts w:hint="eastAsia" w:ascii="仿宋" w:hAnsi="仿宋" w:eastAsia="仿宋" w:cs="仿宋"/>
          <w:color w:val="auto"/>
          <w:sz w:val="24"/>
          <w:szCs w:val="24"/>
          <w:highlight w:val="none"/>
        </w:rPr>
        <w:t>人员</w:t>
      </w:r>
      <w:r>
        <w:rPr>
          <w:rFonts w:hint="eastAsia" w:ascii="仿宋" w:hAnsi="仿宋" w:eastAsia="仿宋" w:cs="仿宋"/>
          <w:color w:val="auto"/>
          <w:sz w:val="24"/>
          <w:szCs w:val="24"/>
          <w:highlight w:val="none"/>
          <w:lang w:val="en-US" w:eastAsia="zh-CN"/>
        </w:rPr>
        <w:t>及车辆、设备配置在满足采购需求的基础上，</w:t>
      </w:r>
      <w:r>
        <w:rPr>
          <w:rFonts w:hint="eastAsia" w:ascii="仿宋" w:hAnsi="仿宋" w:eastAsia="仿宋" w:cs="仿宋"/>
          <w:color w:val="auto"/>
          <w:sz w:val="24"/>
          <w:szCs w:val="24"/>
          <w:highlight w:val="none"/>
        </w:rPr>
        <w:t>数量最终以投标单位的投标文件中承诺数量为准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若中标，在开工前5天内配备到位，以采购人现场确认为准。并按采购人要求提供相关资料备案。（投标时须提供承诺函，否则作无效标处理）。</w:t>
      </w:r>
    </w:p>
    <w:p w14:paraId="7ECDB4F4">
      <w:pPr>
        <w:spacing w:line="400" w:lineRule="exact"/>
        <w:ind w:firstLine="480" w:firstLineChars="200"/>
        <w:rPr>
          <w:rFonts w:ascii="微软雅黑" w:hAnsi="微软雅黑" w:eastAsia="微软雅黑" w:cs="微软雅黑"/>
          <w:color w:val="auto"/>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本项目的人员及机械设备数量最终以投标单位的投标文件中承诺数量为准。中标后投标人实际投入本项目使用车辆若涉及更换的，须经采购人书面同意，实际使用车辆必须不低于投标时响应车辆的条件与配置（同时满足车辆产权、购买时间、总质量等相应要求）。</w:t>
      </w:r>
    </w:p>
    <w:p w14:paraId="5F18DD3B">
      <w:pPr>
        <w:numPr>
          <w:ilvl w:val="0"/>
          <w:numId w:val="0"/>
        </w:numPr>
        <w:spacing w:line="400" w:lineRule="exact"/>
        <w:jc w:val="lef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三、</w:t>
      </w:r>
      <w:r>
        <w:rPr>
          <w:rFonts w:hint="eastAsia" w:ascii="仿宋" w:hAnsi="仿宋" w:eastAsia="仿宋" w:cs="仿宋"/>
          <w:b/>
          <w:bCs/>
          <w:color w:val="auto"/>
          <w:sz w:val="24"/>
          <w:szCs w:val="24"/>
          <w:highlight w:val="none"/>
        </w:rPr>
        <w:t>工作任务及要求</w:t>
      </w:r>
    </w:p>
    <w:p w14:paraId="6E360902">
      <w:pPr>
        <w:numPr>
          <w:ilvl w:val="0"/>
          <w:numId w:val="4"/>
        </w:numPr>
        <w:spacing w:line="400" w:lineRule="exact"/>
        <w:jc w:val="lef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主要工作任务</w:t>
      </w:r>
    </w:p>
    <w:p w14:paraId="77447C41">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主次干道、人行道、排水沟、河边、桥面、桥下、桥边，人行道、小道路、匝道、辅道等道路的清扫、冲洗、绿化保洁、垃圾收集清运以及工程车渣土抛洒滴漏清理、摊位垃圾、各类偷倒垃圾、商店门口垃圾的清理等作业；果壳箱（业主提供）更换及5-10月份消杀作业；自然灾害（如：台风、梅雨汛期的防内涝，冬季雪天防路面、桥面打滑等）的应急处置和各类事件（110转交、数字城管、阳光热线、市民投诉等事件）积极有效的处理。</w:t>
      </w:r>
    </w:p>
    <w:p w14:paraId="2B7346DE">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湖州南太湖新区公用事业管理中心要求保洁服务的任何活动；各类检查评比活动及上级部门安排的任何突击任务。</w:t>
      </w:r>
    </w:p>
    <w:p w14:paraId="0CC1A31F">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重点道路实施16小时制【指清扫工作时间+巡检工作时间】道路保洁，一般道路实施12小时制【指清扫工作时间+巡检工作时间】道路保洁。工作时间（16小时制道路清扫工作时间：上午5:00--10:00，下午14：00--17:00；巡检工作时间：上午10:00--14:00，下午17:00--21:00）(12小时制道路清扫工作时间：上午5:00--10:00，下午14：00--17:00；巡检工作时间：上午10:00--14:00)道路保洁清扫工、巡检工按照上述作为依据，每条道路人员配备率以甲方最终拟定为准。</w:t>
      </w:r>
    </w:p>
    <w:p w14:paraId="42F80E75">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具体内容见清单，清单仅供参考，如有遗漏，不在额外增加费用，各投标单位自行考虑在报价中。</w:t>
      </w:r>
    </w:p>
    <w:p w14:paraId="2BDD6DDC">
      <w:pPr>
        <w:numPr>
          <w:ilvl w:val="0"/>
          <w:numId w:val="4"/>
        </w:numPr>
        <w:spacing w:line="400" w:lineRule="exact"/>
        <w:jc w:val="lef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注意事项</w:t>
      </w:r>
    </w:p>
    <w:p w14:paraId="4F6EFCB0">
      <w:pPr>
        <w:numPr>
          <w:ilvl w:val="0"/>
          <w:numId w:val="0"/>
        </w:numPr>
        <w:spacing w:line="384" w:lineRule="exact"/>
        <w:ind w:left="40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扫帚、畚箕、环卫服装、环卫三轮车、雨衣、雨鞋等物品均包含在报价中，由中标单位按时发放。</w:t>
      </w:r>
    </w:p>
    <w:p w14:paraId="34A6C316">
      <w:pPr>
        <w:numPr>
          <w:ilvl w:val="0"/>
          <w:numId w:val="0"/>
        </w:numPr>
        <w:spacing w:line="384" w:lineRule="exact"/>
        <w:ind w:left="0" w:leftChars="0" w:firstLine="40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环卫三轮车、环卫服装、雨衣的式样、颜色等由湖州南太湖新区公用事业管理中心指定，详见图片。</w:t>
      </w:r>
    </w:p>
    <w:p w14:paraId="13D03836">
      <w:pPr>
        <w:numPr>
          <w:ilvl w:val="0"/>
          <w:numId w:val="0"/>
        </w:numPr>
        <w:spacing w:line="384" w:lineRule="exact"/>
        <w:ind w:left="0" w:leftChars="0" w:firstLine="40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中标单位招工作人员，年龄必须是18周岁以上，62周岁以下</w:t>
      </w:r>
      <w:r>
        <w:rPr>
          <w:rFonts w:hint="eastAsia" w:ascii="仿宋" w:hAnsi="仿宋" w:eastAsia="仿宋" w:cs="仿宋"/>
          <w:color w:val="auto"/>
          <w:sz w:val="24"/>
          <w:szCs w:val="24"/>
          <w:highlight w:val="none"/>
          <w:shd w:val="clear" w:color="auto" w:fill="FFFFFF"/>
        </w:rPr>
        <w:t>能正常作业人员。</w:t>
      </w:r>
    </w:p>
    <w:p w14:paraId="16CEF3FA">
      <w:pPr>
        <w:numPr>
          <w:ilvl w:val="0"/>
          <w:numId w:val="0"/>
        </w:numPr>
        <w:spacing w:line="384" w:lineRule="exact"/>
        <w:ind w:left="0" w:leftChars="0" w:firstLine="400" w:firstLineChars="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4.</w:t>
      </w:r>
      <w:r>
        <w:rPr>
          <w:rFonts w:hint="eastAsia" w:ascii="仿宋" w:hAnsi="仿宋" w:eastAsia="仿宋" w:cs="仿宋"/>
          <w:b w:val="0"/>
          <w:bCs/>
          <w:color w:val="auto"/>
          <w:sz w:val="24"/>
          <w:szCs w:val="24"/>
          <w:highlight w:val="none"/>
        </w:rPr>
        <w:t>以上环卫工作人员的意外保险、社会保险等保险费用由中标单位承担。中标单位必须为作业人员购买意外人身保险、社会保险等,提供相关证书，并报业主备案。</w:t>
      </w:r>
    </w:p>
    <w:p w14:paraId="13B4FD22">
      <w:pPr>
        <w:numPr>
          <w:ilvl w:val="0"/>
          <w:numId w:val="0"/>
        </w:numPr>
        <w:spacing w:line="384" w:lineRule="exact"/>
        <w:ind w:left="0" w:leftChars="0" w:firstLine="40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合同到期后，如中标方不再继续签约承包，保洁人员去留安排由双方协调，以湖州南太湖新区公用事业管理中心实际需要为准，不得随意撤调保洁人员。</w:t>
      </w:r>
    </w:p>
    <w:p w14:paraId="49CB4070">
      <w:pPr>
        <w:numPr>
          <w:ilvl w:val="0"/>
          <w:numId w:val="0"/>
        </w:numPr>
        <w:spacing w:line="384" w:lineRule="exact"/>
        <w:ind w:left="0" w:leftChars="0" w:firstLine="40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投标人按规定提供服务外，其它服务可另行说明。</w:t>
      </w:r>
    </w:p>
    <w:p w14:paraId="5C6F120A">
      <w:pPr>
        <w:numPr>
          <w:ilvl w:val="0"/>
          <w:numId w:val="0"/>
        </w:numPr>
        <w:spacing w:line="384" w:lineRule="exact"/>
        <w:ind w:left="0" w:leftChars="0" w:firstLine="400" w:firstLineChars="0"/>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val="en-US" w:eastAsia="zh-CN"/>
        </w:rPr>
        <w:t>7.</w:t>
      </w:r>
      <w:r>
        <w:rPr>
          <w:rFonts w:hint="eastAsia" w:ascii="仿宋" w:hAnsi="仿宋" w:eastAsia="仿宋" w:cs="仿宋"/>
          <w:bCs/>
          <w:color w:val="auto"/>
          <w:sz w:val="24"/>
          <w:szCs w:val="24"/>
          <w:highlight w:val="none"/>
        </w:rPr>
        <w:t>管理人员及保洁人员在</w:t>
      </w:r>
      <w:r>
        <w:rPr>
          <w:rFonts w:hint="eastAsia" w:ascii="仿宋" w:hAnsi="仿宋" w:eastAsia="仿宋" w:cs="仿宋"/>
          <w:bCs/>
          <w:color w:val="auto"/>
          <w:sz w:val="24"/>
          <w:szCs w:val="24"/>
          <w:highlight w:val="none"/>
          <w:shd w:val="clear" w:color="auto" w:fill="FFFFFF"/>
        </w:rPr>
        <w:t>作业时应严格遵守劳动纪律，遵守安全操作规程，确保安全。发生各种意外事故均由中标单位自己依照法律法规妥善处理，</w:t>
      </w:r>
      <w:r>
        <w:rPr>
          <w:rFonts w:hint="eastAsia" w:ascii="仿宋" w:hAnsi="仿宋" w:eastAsia="仿宋" w:cs="仿宋"/>
          <w:bCs/>
          <w:color w:val="auto"/>
          <w:sz w:val="24"/>
          <w:szCs w:val="24"/>
          <w:highlight w:val="none"/>
        </w:rPr>
        <w:t>湖州南太湖新区公用事业管理中心不承担任何法律责任。</w:t>
      </w:r>
    </w:p>
    <w:p w14:paraId="73429B41">
      <w:pPr>
        <w:numPr>
          <w:ilvl w:val="0"/>
          <w:numId w:val="4"/>
        </w:numPr>
        <w:spacing w:line="400" w:lineRule="exact"/>
        <w:jc w:val="lef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要求</w:t>
      </w:r>
    </w:p>
    <w:p w14:paraId="2279A34C">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中标人在入场进行服务时必须确保人员、设备等按要求同时进场。</w:t>
      </w:r>
    </w:p>
    <w:p w14:paraId="030F2E23">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上述任务需严格按照湖州南太湖新区公用事业管理中心制定的《质量标准考核细则》执行，</w:t>
      </w:r>
      <w:r>
        <w:rPr>
          <w:rFonts w:hint="eastAsia" w:ascii="仿宋" w:hAnsi="仿宋" w:eastAsia="仿宋" w:cs="仿宋"/>
          <w:color w:val="auto"/>
          <w:sz w:val="24"/>
          <w:szCs w:val="24"/>
          <w:highlight w:val="none"/>
        </w:rPr>
        <w:t>确保在各类创建、评比活动中不失分。如采购人为提高环卫作业质量对考核办法进行补充更改，由此引起的与原考核办法、标准等内容不一致的条文以最后发文日期规定为准。</w:t>
      </w:r>
    </w:p>
    <w:p w14:paraId="6D9E44C0">
      <w:pPr>
        <w:numPr>
          <w:ilvl w:val="0"/>
          <w:numId w:val="4"/>
        </w:numPr>
        <w:spacing w:line="400" w:lineRule="exact"/>
        <w:jc w:val="lef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过渡期交接要求：</w:t>
      </w:r>
    </w:p>
    <w:p w14:paraId="3080C4B1">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中标人中标后，须在15日内安排人员、设备、办公及停车场地到位，同时在合同履约前做好人员上岗前培训工作，确保所有人员、设备在履约前2天准备就绪。</w:t>
      </w:r>
    </w:p>
    <w:p w14:paraId="0E5AA82F">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rPr>
        <w:t>管理人员要求在中标后2个工作日内到位并到采购人备案，中标后7日内完成岗位培训（含各项专项培训），培训合格后方可上岗作业。</w:t>
      </w:r>
    </w:p>
    <w:p w14:paraId="032613AF">
      <w:pPr>
        <w:numPr>
          <w:ilvl w:val="0"/>
          <w:numId w:val="0"/>
        </w:numPr>
        <w:spacing w:line="400" w:lineRule="exact"/>
        <w:jc w:val="lef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rPr>
        <w:t>检查考核管理办法：</w:t>
      </w:r>
    </w:p>
    <w:p w14:paraId="597E99B8">
      <w:pPr>
        <w:kinsoku w:val="0"/>
        <w:overflowPunct w:val="0"/>
        <w:spacing w:before="29" w:after="120" w:line="400" w:lineRule="exact"/>
        <w:ind w:left="400" w:right="1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采购人将严格按照湖州南太湖新区公用事业管理中心制定的《质量标准考核细则》（详见附件）</w:t>
      </w:r>
    </w:p>
    <w:p w14:paraId="275E6C03">
      <w:pPr>
        <w:numPr>
          <w:ilvl w:val="0"/>
          <w:numId w:val="0"/>
        </w:numPr>
        <w:spacing w:line="400" w:lineRule="exact"/>
        <w:jc w:val="lef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有关规定</w:t>
      </w:r>
    </w:p>
    <w:p w14:paraId="615E7FB9">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一</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中标单位必须规范管理、文明作业，自觉接受招标单位及上级部门领导的检查和社会监督，对发现的问题要及时整改。</w:t>
      </w:r>
    </w:p>
    <w:p w14:paraId="7D953EE9">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二</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员工作业时应严格遵守劳动纪律，遵守安全操作规程，确保安全。发生各种意外事故均由中标单位自己依照法律法规妥善处理。如果证明服务是有缺陷的，包括潜在的缺陷或使用不符合要求的服务工具及人员等，招标单位有权向中标单位提出在保证安全的前提下即时更正或索赔。</w:t>
      </w:r>
    </w:p>
    <w:p w14:paraId="037B0095">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三</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如果中标单位在收到索赔通知后，在协议中所附服务承诺约定的时间内没有采取措施，招标单位可采取必要的补救措施，但风险和费用将由中标单位承担。</w:t>
      </w:r>
    </w:p>
    <w:p w14:paraId="0F0357A8">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四</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中标单位必须做好台帐记录，包括建立出勤管理台帐、作业质量自查日记。</w:t>
      </w:r>
    </w:p>
    <w:p w14:paraId="24FBAEE9">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五</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中标单位必须按月将服务统计报表报送招标单位。</w:t>
      </w:r>
    </w:p>
    <w:p w14:paraId="2DBD427D">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六</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招标单位的检查频率，每月1次明考、暗考的检查考核。</w:t>
      </w:r>
    </w:p>
    <w:p w14:paraId="0910B36A">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七</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合同期内保洁人员的各种劳动事故、交通事故、生产安全事故等一切责任均由中标单位自行负责。</w:t>
      </w:r>
    </w:p>
    <w:p w14:paraId="0D6EDA25">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八</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中标</w:t>
      </w:r>
      <w:r>
        <w:rPr>
          <w:rFonts w:hint="eastAsia" w:ascii="仿宋" w:hAnsi="仿宋" w:eastAsia="仿宋" w:cs="仿宋"/>
          <w:b w:val="0"/>
          <w:bCs w:val="0"/>
          <w:color w:val="auto"/>
          <w:sz w:val="24"/>
          <w:szCs w:val="24"/>
          <w:highlight w:val="none"/>
          <w:lang w:val="en-US" w:eastAsia="zh-CN"/>
        </w:rPr>
        <w:t>单位</w:t>
      </w:r>
      <w:r>
        <w:rPr>
          <w:rFonts w:hint="eastAsia" w:ascii="仿宋" w:hAnsi="仿宋" w:eastAsia="仿宋" w:cs="仿宋"/>
          <w:b w:val="0"/>
          <w:bCs w:val="0"/>
          <w:color w:val="auto"/>
          <w:sz w:val="24"/>
          <w:szCs w:val="24"/>
          <w:highlight w:val="none"/>
        </w:rPr>
        <w:t>对保洁人员的工资发放标准不得低于湖州市住房和城乡建设局湖建发【2021】58号文件《湖州市住房和城乡建设局等4部门关于进一步改善环卫工人工作生活条件促进共现富裕在若干意见》相关规定。</w:t>
      </w:r>
    </w:p>
    <w:p w14:paraId="5A59F42D">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九</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中标单位提供的本项目主要清扫保洁设备（洒水车（或清洗车）、扫路车(或洗扫车)、垃圾清运车）必须根据道路保洁时间制要求专门为本项目服务。</w:t>
      </w:r>
    </w:p>
    <w:p w14:paraId="310A05E0">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十</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中标后，中标单位必须无条件根据招标单位的要求，将本项目主要清扫保洁设备（洒水车（或清洗车）、清扫车）统一安装GPS车辆定位系统，以便予招标单位对中标单位的监督。同时每辆车的安装及服务费用由中标单位支付，请投标单位综合考虑在投标报价中。</w:t>
      </w:r>
    </w:p>
    <w:p w14:paraId="4A73188D">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十一</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其它详见承包协议。</w:t>
      </w:r>
    </w:p>
    <w:p w14:paraId="3C55187D">
      <w:pPr>
        <w:numPr>
          <w:ilvl w:val="0"/>
          <w:numId w:val="0"/>
        </w:numPr>
        <w:spacing w:line="400" w:lineRule="exact"/>
        <w:jc w:val="lef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六、</w:t>
      </w:r>
      <w:r>
        <w:rPr>
          <w:rFonts w:hint="eastAsia" w:ascii="仿宋" w:hAnsi="仿宋" w:eastAsia="仿宋" w:cs="仿宋"/>
          <w:color w:val="auto"/>
          <w:kern w:val="0"/>
          <w:sz w:val="24"/>
          <w:szCs w:val="24"/>
          <w:highlight w:val="none"/>
          <w:u w:val="none"/>
        </w:rPr>
        <w:t>▲</w:t>
      </w:r>
      <w:r>
        <w:rPr>
          <w:rFonts w:hint="eastAsia" w:ascii="仿宋" w:hAnsi="仿宋" w:eastAsia="仿宋" w:cs="仿宋"/>
          <w:b/>
          <w:bCs/>
          <w:color w:val="auto"/>
          <w:sz w:val="24"/>
          <w:szCs w:val="24"/>
          <w:highlight w:val="none"/>
        </w:rPr>
        <w:t>商务条款</w:t>
      </w:r>
    </w:p>
    <w:p w14:paraId="3B8FC96A">
      <w:pPr>
        <w:numPr>
          <w:ilvl w:val="0"/>
          <w:numId w:val="0"/>
        </w:numPr>
        <w:spacing w:line="400" w:lineRule="exact"/>
        <w:ind w:left="560" w:leftChars="0"/>
        <w:jc w:val="left"/>
        <w:outlineLvl w:val="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一</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项目服务期：</w:t>
      </w:r>
      <w:r>
        <w:rPr>
          <w:rFonts w:hint="eastAsia" w:ascii="仿宋" w:hAnsi="仿宋" w:eastAsia="仿宋" w:cs="仿宋"/>
          <w:color w:val="auto"/>
          <w:sz w:val="24"/>
          <w:szCs w:val="24"/>
          <w:highlight w:val="none"/>
        </w:rPr>
        <w:t>项目服务期限为</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年，服务期限从合同签订生效之日起开始计算。相关要求及考核未达到采购人要求，采购人将有权终止与中标人本项目合同并没收中标人履约保证金。</w:t>
      </w:r>
    </w:p>
    <w:p w14:paraId="20ED8B9A">
      <w:pPr>
        <w:numPr>
          <w:ilvl w:val="0"/>
          <w:numId w:val="0"/>
        </w:numPr>
        <w:spacing w:line="400" w:lineRule="exact"/>
        <w:ind w:left="560" w:leftChars="0"/>
        <w:jc w:val="left"/>
        <w:outlineLvl w:val="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(二）</w:t>
      </w:r>
      <w:r>
        <w:rPr>
          <w:rFonts w:hint="eastAsia" w:ascii="仿宋" w:hAnsi="仿宋" w:eastAsia="仿宋" w:cs="仿宋"/>
          <w:b/>
          <w:bCs/>
          <w:color w:val="auto"/>
          <w:sz w:val="24"/>
          <w:szCs w:val="24"/>
          <w:highlight w:val="none"/>
        </w:rPr>
        <w:t>承包方式：</w:t>
      </w:r>
      <w:r>
        <w:rPr>
          <w:rFonts w:hint="eastAsia" w:ascii="仿宋" w:hAnsi="仿宋" w:eastAsia="仿宋" w:cs="仿宋"/>
          <w:color w:val="auto"/>
          <w:sz w:val="24"/>
          <w:szCs w:val="24"/>
          <w:highlight w:val="none"/>
        </w:rPr>
        <w:t>本次招标项目服务费用按实结算，中标人</w:t>
      </w:r>
      <w:r>
        <w:rPr>
          <w:rFonts w:hint="eastAsia" w:ascii="仿宋" w:hAnsi="仿宋" w:eastAsia="仿宋" w:cs="仿宋"/>
          <w:color w:val="auto"/>
          <w:spacing w:val="-2"/>
          <w:sz w:val="24"/>
          <w:szCs w:val="24"/>
          <w:highlight w:val="none"/>
        </w:rPr>
        <w:t>不得将本项目转包；一经发现，采购人有权责令其停止作业并取消承包资格，作违约处理，并承担由此引起的法律责任及一切</w:t>
      </w:r>
      <w:r>
        <w:rPr>
          <w:rFonts w:hint="eastAsia" w:ascii="仿宋" w:hAnsi="仿宋" w:eastAsia="仿宋" w:cs="仿宋"/>
          <w:color w:val="auto"/>
          <w:sz w:val="24"/>
          <w:szCs w:val="24"/>
          <w:highlight w:val="none"/>
        </w:rPr>
        <w:t>经济损失。</w:t>
      </w:r>
    </w:p>
    <w:p w14:paraId="6C666E8B">
      <w:pPr>
        <w:numPr>
          <w:ilvl w:val="0"/>
          <w:numId w:val="0"/>
        </w:numPr>
        <w:kinsoku w:val="0"/>
        <w:overflowPunct w:val="0"/>
        <w:spacing w:before="34" w:after="120" w:line="400" w:lineRule="exact"/>
        <w:ind w:left="140" w:leftChars="0" w:right="134" w:rightChars="0" w:firstLine="420" w:firstLineChars="0"/>
        <w:rPr>
          <w:rFonts w:hint="eastAsia" w:ascii="仿宋" w:hAnsi="仿宋" w:eastAsia="仿宋" w:cs="仿宋"/>
          <w:color w:val="auto"/>
          <w:sz w:val="24"/>
          <w:szCs w:val="24"/>
          <w:highlight w:val="none"/>
        </w:rPr>
      </w:pPr>
      <w:r>
        <w:rPr>
          <w:rFonts w:hint="eastAsia" w:ascii="仿宋" w:hAnsi="仿宋" w:eastAsia="仿宋" w:cs="仿宋"/>
          <w:b/>
          <w:bCs/>
          <w:color w:val="auto"/>
          <w:spacing w:val="-2"/>
          <w:sz w:val="24"/>
          <w:szCs w:val="24"/>
          <w:highlight w:val="none"/>
          <w:lang w:eastAsia="zh-CN"/>
        </w:rPr>
        <w:t>（</w:t>
      </w:r>
      <w:r>
        <w:rPr>
          <w:rFonts w:hint="eastAsia" w:ascii="仿宋" w:hAnsi="仿宋" w:eastAsia="仿宋" w:cs="仿宋"/>
          <w:b/>
          <w:bCs/>
          <w:color w:val="auto"/>
          <w:spacing w:val="-2"/>
          <w:sz w:val="24"/>
          <w:szCs w:val="24"/>
          <w:highlight w:val="none"/>
          <w:lang w:val="en-US" w:eastAsia="zh-CN"/>
        </w:rPr>
        <w:t>三</w:t>
      </w:r>
      <w:r>
        <w:rPr>
          <w:rFonts w:hint="eastAsia" w:ascii="仿宋" w:hAnsi="仿宋" w:eastAsia="仿宋" w:cs="仿宋"/>
          <w:b/>
          <w:bCs/>
          <w:color w:val="auto"/>
          <w:spacing w:val="-2"/>
          <w:sz w:val="24"/>
          <w:szCs w:val="24"/>
          <w:highlight w:val="none"/>
          <w:lang w:eastAsia="zh-CN"/>
        </w:rPr>
        <w:t>）</w:t>
      </w:r>
      <w:r>
        <w:rPr>
          <w:rFonts w:hint="eastAsia" w:ascii="仿宋" w:hAnsi="仿宋" w:eastAsia="仿宋" w:cs="仿宋"/>
          <w:b/>
          <w:bCs/>
          <w:color w:val="auto"/>
          <w:spacing w:val="-2"/>
          <w:sz w:val="24"/>
          <w:szCs w:val="24"/>
          <w:highlight w:val="none"/>
        </w:rPr>
        <w:t>履约保证金：</w:t>
      </w:r>
      <w:r>
        <w:rPr>
          <w:rFonts w:hint="eastAsia" w:ascii="仿宋" w:hAnsi="仿宋" w:eastAsia="仿宋" w:cs="仿宋"/>
          <w:color w:val="auto"/>
          <w:spacing w:val="-2"/>
          <w:sz w:val="24"/>
          <w:szCs w:val="24"/>
          <w:highlight w:val="none"/>
        </w:rPr>
        <w:t>中标人在签订作业合同时向采购人提交合同总额</w:t>
      </w:r>
      <w:r>
        <w:rPr>
          <w:rFonts w:hint="eastAsia" w:ascii="仿宋" w:hAnsi="仿宋" w:eastAsia="仿宋" w:cs="仿宋"/>
          <w:color w:val="auto"/>
          <w:spacing w:val="-2"/>
          <w:sz w:val="24"/>
          <w:szCs w:val="24"/>
          <w:highlight w:val="none"/>
          <w:lang w:val="en-US" w:eastAsia="zh-CN"/>
        </w:rPr>
        <w:t>1</w:t>
      </w:r>
      <w:r>
        <w:rPr>
          <w:rFonts w:hint="eastAsia" w:ascii="仿宋" w:hAnsi="仿宋" w:eastAsia="仿宋" w:cs="仿宋"/>
          <w:color w:val="auto"/>
          <w:spacing w:val="-2"/>
          <w:sz w:val="24"/>
          <w:szCs w:val="24"/>
          <w:highlight w:val="none"/>
        </w:rPr>
        <w:t>%的履约保证金；在服务期满后30天内退还。如承包期内，在承包期内如因中标人原因造成采购人财产损失的，采</w:t>
      </w:r>
      <w:r>
        <w:rPr>
          <w:rFonts w:hint="eastAsia" w:ascii="仿宋" w:hAnsi="仿宋" w:eastAsia="仿宋" w:cs="仿宋"/>
          <w:color w:val="auto"/>
          <w:sz w:val="24"/>
          <w:szCs w:val="24"/>
          <w:highlight w:val="none"/>
        </w:rPr>
        <w:t>购人有权在履约保证金中扣除。</w:t>
      </w:r>
    </w:p>
    <w:p w14:paraId="6A4AFC02">
      <w:pPr>
        <w:numPr>
          <w:ilvl w:val="0"/>
          <w:numId w:val="0"/>
        </w:numPr>
        <w:kinsoku w:val="0"/>
        <w:overflowPunct w:val="0"/>
        <w:spacing w:before="34" w:after="120" w:line="400" w:lineRule="exact"/>
        <w:ind w:left="140" w:leftChars="0" w:right="134" w:rightChars="0" w:firstLine="420" w:firstLineChars="0"/>
        <w:rPr>
          <w:rFonts w:hint="eastAsia" w:ascii="仿宋" w:hAnsi="仿宋" w:eastAsia="仿宋" w:cs="仿宋"/>
          <w:b/>
          <w:bCs/>
          <w:color w:val="auto"/>
          <w:spacing w:val="-2"/>
          <w:sz w:val="24"/>
          <w:szCs w:val="24"/>
          <w:highlight w:val="none"/>
          <w:lang w:eastAsia="zh-CN"/>
        </w:rPr>
      </w:pPr>
      <w:r>
        <w:rPr>
          <w:rFonts w:hint="eastAsia" w:ascii="仿宋" w:hAnsi="仿宋" w:eastAsia="仿宋" w:cs="仿宋"/>
          <w:b/>
          <w:bCs/>
          <w:color w:val="auto"/>
          <w:spacing w:val="-2"/>
          <w:sz w:val="24"/>
          <w:szCs w:val="24"/>
          <w:highlight w:val="none"/>
          <w:lang w:eastAsia="zh-CN"/>
        </w:rPr>
        <w:t>（</w:t>
      </w:r>
      <w:r>
        <w:rPr>
          <w:rFonts w:hint="eastAsia" w:ascii="仿宋" w:hAnsi="仿宋" w:eastAsia="仿宋" w:cs="仿宋"/>
          <w:b/>
          <w:bCs/>
          <w:color w:val="auto"/>
          <w:spacing w:val="-2"/>
          <w:sz w:val="24"/>
          <w:szCs w:val="24"/>
          <w:highlight w:val="none"/>
          <w:lang w:val="en-US" w:eastAsia="zh-CN"/>
        </w:rPr>
        <w:t>四</w:t>
      </w:r>
      <w:r>
        <w:rPr>
          <w:rFonts w:hint="eastAsia" w:ascii="仿宋" w:hAnsi="仿宋" w:eastAsia="仿宋" w:cs="仿宋"/>
          <w:b/>
          <w:bCs/>
          <w:color w:val="auto"/>
          <w:spacing w:val="-2"/>
          <w:sz w:val="24"/>
          <w:szCs w:val="24"/>
          <w:highlight w:val="none"/>
          <w:lang w:eastAsia="zh-CN"/>
        </w:rPr>
        <w:t>）付款方式：</w:t>
      </w:r>
    </w:p>
    <w:p w14:paraId="3953D869">
      <w:pPr>
        <w:numPr>
          <w:ilvl w:val="0"/>
          <w:numId w:val="0"/>
        </w:numPr>
        <w:kinsoku w:val="0"/>
        <w:overflowPunct w:val="0"/>
        <w:spacing w:before="34" w:after="120" w:line="400" w:lineRule="exact"/>
        <w:ind w:right="134" w:righ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合同生效以及具备实施条件后7个工作日内支付首年合同价款的</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0%作为预付款；</w:t>
      </w:r>
    </w:p>
    <w:p w14:paraId="01733875">
      <w:pPr>
        <w:numPr>
          <w:ilvl w:val="0"/>
          <w:numId w:val="0"/>
        </w:numPr>
        <w:kinsoku w:val="0"/>
        <w:overflowPunct w:val="0"/>
        <w:spacing w:before="34" w:after="120" w:line="400" w:lineRule="exact"/>
        <w:ind w:right="134" w:righ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根据管理考核办法扣除考核金后按季度拨付服务费，当季承包金于次季第一个月15日（遇节假顺延）支付（预付款在第一次付款时扣回）。</w:t>
      </w:r>
    </w:p>
    <w:p w14:paraId="23BAADAF">
      <w:pPr>
        <w:numPr>
          <w:ilvl w:val="0"/>
          <w:numId w:val="0"/>
        </w:numPr>
        <w:kinsoku w:val="0"/>
        <w:overflowPunct w:val="0"/>
        <w:spacing w:before="34" w:after="120" w:line="400" w:lineRule="exact"/>
        <w:ind w:left="0" w:leftChars="0" w:right="134" w:righ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采购人在向供应商支付预付款之前，有权要求供应商向采购人提供与预付款金额相对应的担保措施，担保措施可以是银行、保险公司等金融机构出具的预付教保函或其他担保措施。在签订合同时，供应商明确表示无需预付款或者主动要求降低预付款比例的，采购单位可不适用前述规定。</w:t>
      </w:r>
    </w:p>
    <w:p w14:paraId="3B40501F">
      <w:pPr>
        <w:pStyle w:val="11"/>
        <w:widowControl w:val="0"/>
        <w:numPr>
          <w:ilvl w:val="0"/>
          <w:numId w:val="0"/>
        </w:numPr>
        <w:spacing w:line="360" w:lineRule="auto"/>
        <w:jc w:val="both"/>
        <w:rPr>
          <w:rFonts w:hint="eastAsia"/>
          <w:color w:val="auto"/>
          <w:highlight w:val="none"/>
        </w:rPr>
      </w:pPr>
    </w:p>
    <w:p w14:paraId="69C0D833">
      <w:pPr>
        <w:pStyle w:val="11"/>
        <w:widowControl w:val="0"/>
        <w:numPr>
          <w:ilvl w:val="0"/>
          <w:numId w:val="0"/>
        </w:numPr>
        <w:spacing w:line="360" w:lineRule="auto"/>
        <w:jc w:val="both"/>
        <w:rPr>
          <w:rFonts w:hint="eastAsia"/>
          <w:color w:val="auto"/>
          <w:highlight w:val="none"/>
        </w:rPr>
      </w:pPr>
    </w:p>
    <w:p w14:paraId="39C6B5F3">
      <w:pPr>
        <w:spacing w:line="40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本招标文件中带 “</w:t>
      </w:r>
      <w:r>
        <w:rPr>
          <w:rFonts w:hint="eastAsia" w:ascii="仿宋" w:hAnsi="仿宋" w:eastAsia="仿宋" w:cs="仿宋"/>
          <w:color w:val="auto"/>
          <w:kern w:val="0"/>
          <w:sz w:val="24"/>
          <w:szCs w:val="24"/>
          <w:highlight w:val="none"/>
          <w:u w:val="single"/>
        </w:rPr>
        <w:t>▲</w:t>
      </w:r>
      <w:r>
        <w:rPr>
          <w:rFonts w:hint="eastAsia" w:ascii="仿宋" w:hAnsi="仿宋" w:eastAsia="仿宋" w:cs="仿宋"/>
          <w:color w:val="auto"/>
          <w:sz w:val="24"/>
          <w:szCs w:val="24"/>
          <w:highlight w:val="none"/>
          <w:u w:val="single"/>
        </w:rPr>
        <w:t>”的有关技术和商务条款为实质性条款，投标人必须在投标文件中作出实质性响应，否则投标无效。</w:t>
      </w:r>
    </w:p>
    <w:p w14:paraId="7D7C4B29">
      <w:pPr>
        <w:pStyle w:val="3"/>
        <w:spacing w:line="400" w:lineRule="exact"/>
        <w:ind w:firstLine="240"/>
        <w:rPr>
          <w:rFonts w:hint="eastAsia" w:ascii="仿宋" w:hAnsi="仿宋" w:eastAsia="仿宋" w:cs="仿宋"/>
          <w:color w:val="auto"/>
          <w:sz w:val="24"/>
          <w:szCs w:val="24"/>
          <w:highlight w:val="none"/>
        </w:rPr>
      </w:pPr>
    </w:p>
    <w:p w14:paraId="12A40F7F">
      <w:pPr>
        <w:spacing w:line="460" w:lineRule="exact"/>
        <w:jc w:val="center"/>
        <w:rPr>
          <w:rFonts w:hint="eastAsia" w:ascii="仿宋" w:hAnsi="仿宋" w:eastAsia="仿宋" w:cs="仿宋"/>
          <w:b/>
          <w:bCs/>
          <w:color w:val="auto"/>
          <w:sz w:val="24"/>
          <w:szCs w:val="24"/>
          <w:highlight w:val="none"/>
        </w:rPr>
      </w:pPr>
    </w:p>
    <w:p w14:paraId="4298D4C2">
      <w:pPr>
        <w:spacing w:line="460" w:lineRule="exact"/>
        <w:jc w:val="center"/>
        <w:rPr>
          <w:rFonts w:hint="eastAsia" w:ascii="仿宋" w:hAnsi="仿宋" w:eastAsia="仿宋" w:cs="仿宋"/>
          <w:b/>
          <w:bCs/>
          <w:color w:val="auto"/>
          <w:sz w:val="24"/>
          <w:szCs w:val="24"/>
          <w:highlight w:val="none"/>
        </w:rPr>
      </w:pPr>
    </w:p>
    <w:p w14:paraId="57D3F1A1">
      <w:pPr>
        <w:spacing w:line="460" w:lineRule="exact"/>
        <w:jc w:val="center"/>
        <w:rPr>
          <w:rFonts w:hint="eastAsia" w:ascii="仿宋" w:hAnsi="仿宋" w:eastAsia="仿宋" w:cs="仿宋"/>
          <w:b/>
          <w:bCs/>
          <w:color w:val="auto"/>
          <w:sz w:val="24"/>
          <w:szCs w:val="24"/>
          <w:highlight w:val="none"/>
        </w:rPr>
      </w:pPr>
    </w:p>
    <w:p w14:paraId="0E23C89C">
      <w:pPr>
        <w:spacing w:line="460" w:lineRule="exact"/>
        <w:jc w:val="center"/>
        <w:rPr>
          <w:rFonts w:hint="eastAsia" w:ascii="仿宋" w:hAnsi="仿宋" w:eastAsia="仿宋" w:cs="仿宋"/>
          <w:b/>
          <w:bCs/>
          <w:color w:val="auto"/>
          <w:sz w:val="24"/>
          <w:szCs w:val="24"/>
          <w:highlight w:val="none"/>
        </w:rPr>
      </w:pPr>
    </w:p>
    <w:p w14:paraId="6B5082D6">
      <w:pPr>
        <w:spacing w:line="460" w:lineRule="exact"/>
        <w:jc w:val="center"/>
        <w:rPr>
          <w:rFonts w:hint="eastAsia" w:ascii="仿宋" w:hAnsi="仿宋" w:eastAsia="仿宋" w:cs="仿宋"/>
          <w:b/>
          <w:bCs/>
          <w:color w:val="auto"/>
          <w:sz w:val="24"/>
          <w:szCs w:val="24"/>
          <w:highlight w:val="none"/>
        </w:rPr>
      </w:pPr>
    </w:p>
    <w:p w14:paraId="5C6AE7B1">
      <w:pPr>
        <w:spacing w:line="460" w:lineRule="exact"/>
        <w:jc w:val="center"/>
        <w:rPr>
          <w:rFonts w:hint="eastAsia" w:ascii="仿宋" w:hAnsi="仿宋" w:eastAsia="仿宋" w:cs="仿宋"/>
          <w:b/>
          <w:bCs/>
          <w:color w:val="auto"/>
          <w:sz w:val="24"/>
          <w:szCs w:val="24"/>
          <w:highlight w:val="none"/>
        </w:rPr>
      </w:pPr>
    </w:p>
    <w:p w14:paraId="7D0865DA">
      <w:pPr>
        <w:spacing w:line="460" w:lineRule="exact"/>
        <w:jc w:val="center"/>
        <w:rPr>
          <w:rFonts w:hint="eastAsia" w:ascii="仿宋" w:hAnsi="仿宋" w:eastAsia="仿宋" w:cs="仿宋"/>
          <w:b/>
          <w:bCs/>
          <w:color w:val="auto"/>
          <w:sz w:val="24"/>
          <w:szCs w:val="24"/>
          <w:highlight w:val="none"/>
        </w:rPr>
      </w:pPr>
    </w:p>
    <w:p w14:paraId="625F0556">
      <w:pPr>
        <w:spacing w:line="460" w:lineRule="exact"/>
        <w:jc w:val="center"/>
        <w:rPr>
          <w:rFonts w:hint="eastAsia" w:ascii="仿宋" w:hAnsi="仿宋" w:eastAsia="仿宋" w:cs="仿宋"/>
          <w:b/>
          <w:bCs/>
          <w:color w:val="auto"/>
          <w:sz w:val="24"/>
          <w:szCs w:val="24"/>
          <w:highlight w:val="none"/>
        </w:rPr>
      </w:pPr>
    </w:p>
    <w:p w14:paraId="25EC6CFE">
      <w:pPr>
        <w:spacing w:line="460" w:lineRule="exact"/>
        <w:jc w:val="center"/>
        <w:rPr>
          <w:rFonts w:hint="eastAsia" w:ascii="仿宋" w:hAnsi="仿宋" w:eastAsia="仿宋" w:cs="仿宋"/>
          <w:b/>
          <w:bCs/>
          <w:color w:val="auto"/>
          <w:sz w:val="24"/>
          <w:szCs w:val="24"/>
          <w:highlight w:val="none"/>
        </w:rPr>
      </w:pPr>
    </w:p>
    <w:p w14:paraId="7E5D68DB">
      <w:pPr>
        <w:spacing w:line="460" w:lineRule="exact"/>
        <w:jc w:val="center"/>
        <w:rPr>
          <w:rFonts w:hint="eastAsia" w:ascii="仿宋" w:hAnsi="仿宋" w:eastAsia="仿宋" w:cs="仿宋"/>
          <w:b/>
          <w:bCs/>
          <w:color w:val="auto"/>
          <w:sz w:val="24"/>
          <w:szCs w:val="24"/>
          <w:highlight w:val="none"/>
        </w:rPr>
      </w:pPr>
    </w:p>
    <w:p w14:paraId="431C2962">
      <w:pPr>
        <w:spacing w:line="460" w:lineRule="exact"/>
        <w:jc w:val="center"/>
        <w:rPr>
          <w:rFonts w:hint="eastAsia" w:ascii="仿宋" w:hAnsi="仿宋" w:eastAsia="仿宋" w:cs="仿宋"/>
          <w:b/>
          <w:bCs/>
          <w:color w:val="auto"/>
          <w:sz w:val="24"/>
          <w:szCs w:val="24"/>
          <w:highlight w:val="none"/>
        </w:rPr>
      </w:pPr>
    </w:p>
    <w:p w14:paraId="3A89CF55">
      <w:pPr>
        <w:spacing w:line="460" w:lineRule="exact"/>
        <w:jc w:val="center"/>
        <w:rPr>
          <w:rFonts w:hint="eastAsia" w:ascii="仿宋" w:hAnsi="仿宋" w:eastAsia="仿宋" w:cs="仿宋"/>
          <w:b/>
          <w:bCs/>
          <w:color w:val="auto"/>
          <w:sz w:val="24"/>
          <w:szCs w:val="24"/>
          <w:highlight w:val="none"/>
        </w:rPr>
      </w:pPr>
    </w:p>
    <w:p w14:paraId="27EC7B46">
      <w:pPr>
        <w:pStyle w:val="2"/>
        <w:rPr>
          <w:rFonts w:hint="eastAsia" w:ascii="仿宋" w:hAnsi="仿宋" w:eastAsia="仿宋" w:cs="仿宋"/>
          <w:b/>
          <w:bCs/>
          <w:color w:val="auto"/>
          <w:sz w:val="24"/>
          <w:szCs w:val="24"/>
          <w:highlight w:val="none"/>
        </w:rPr>
      </w:pPr>
    </w:p>
    <w:p w14:paraId="5275063E">
      <w:pPr>
        <w:pStyle w:val="3"/>
        <w:ind w:left="0" w:leftChars="0" w:firstLine="0" w:firstLineChars="0"/>
        <w:rPr>
          <w:rFonts w:hint="eastAsia"/>
          <w:color w:val="auto"/>
          <w:highlight w:val="none"/>
        </w:rPr>
      </w:pPr>
    </w:p>
    <w:p w14:paraId="16CDB897">
      <w:pPr>
        <w:rPr>
          <w:rFonts w:hint="eastAsia"/>
          <w:color w:val="auto"/>
          <w:highlight w:val="none"/>
        </w:rPr>
      </w:pPr>
    </w:p>
    <w:p w14:paraId="2404300D">
      <w:pPr>
        <w:spacing w:line="460" w:lineRule="exact"/>
        <w:jc w:val="center"/>
        <w:rPr>
          <w:rFonts w:hint="eastAsia" w:ascii="仿宋" w:hAnsi="仿宋" w:eastAsia="仿宋" w:cs="仿宋"/>
          <w:b/>
          <w:bCs/>
          <w:color w:val="auto"/>
          <w:sz w:val="24"/>
          <w:szCs w:val="24"/>
          <w:highlight w:val="none"/>
        </w:rPr>
      </w:pPr>
    </w:p>
    <w:p w14:paraId="78011DB4">
      <w:pPr>
        <w:spacing w:line="46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附件：质量标准考核细则</w:t>
      </w:r>
    </w:p>
    <w:p w14:paraId="16270EF9">
      <w:pPr>
        <w:spacing w:line="384"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1、保洁工作要求</w:t>
      </w:r>
    </w:p>
    <w:p w14:paraId="4F8F284C">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(一)管理作业标准</w:t>
      </w:r>
    </w:p>
    <w:p w14:paraId="42D2B82B">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层层落实管理责任制，按行业要求建好台账【包括：人员花名册、员工入职合同、车辆及人员保单、人员及车辆管理规章制度、卫生标准管理制度、安全工作制度、日常工作管理责任制度、作息时间制度、突发及应急事件（迎检、自然灾害、110、市民投诉、数字城管、阳光热线等）处置预案等台账资料】，做好集体财产登记造册。</w:t>
      </w:r>
    </w:p>
    <w:p w14:paraId="150942A6">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2、按照行业标准化管理指标要求落实道路保洁时间。</w:t>
      </w:r>
    </w:p>
    <w:p w14:paraId="14FD4EA2">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3、道路（主次干道、辅道、小道、人行道、断头路）实行全路段清扫，绿化带内实行全区域保洁。</w:t>
      </w:r>
    </w:p>
    <w:p w14:paraId="1FD5F87F">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（二）道路清扫保洁要求</w:t>
      </w:r>
    </w:p>
    <w:p w14:paraId="7AD03590">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1、道路实行12-16小时制保洁巡检。</w:t>
      </w:r>
    </w:p>
    <w:p w14:paraId="3652C2B5">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按建设部一级道路卫生要求，保持主干道、慢车道、非机动车道、人行道、桥面干净、整洁、清爽，绿化隔离带、隔离护栏下、侧石边不积泥，护栏干净，路面基本见本色。路面边沟、下水口无垃圾、不堵塞，树穴、花台周围保持整洁，路面废弃物具体控制指标应符合以下规定：</w:t>
      </w:r>
    </w:p>
    <w:tbl>
      <w:tblPr>
        <w:tblStyle w:val="23"/>
        <w:tblW w:w="9195" w:type="dxa"/>
        <w:tblInd w:w="93" w:type="dxa"/>
        <w:tblLayout w:type="fixed"/>
        <w:tblCellMar>
          <w:top w:w="0" w:type="dxa"/>
          <w:left w:w="108" w:type="dxa"/>
          <w:bottom w:w="0" w:type="dxa"/>
          <w:right w:w="108" w:type="dxa"/>
        </w:tblCellMar>
      </w:tblPr>
      <w:tblGrid>
        <w:gridCol w:w="1455"/>
        <w:gridCol w:w="1440"/>
        <w:gridCol w:w="1440"/>
        <w:gridCol w:w="1620"/>
        <w:gridCol w:w="1440"/>
        <w:gridCol w:w="1800"/>
      </w:tblGrid>
      <w:tr w14:paraId="683043A0">
        <w:tblPrEx>
          <w:tblCellMar>
            <w:top w:w="0" w:type="dxa"/>
            <w:left w:w="108" w:type="dxa"/>
            <w:bottom w:w="0" w:type="dxa"/>
            <w:right w:w="108" w:type="dxa"/>
          </w:tblCellMar>
        </w:tblPrEx>
        <w:trPr>
          <w:trHeight w:val="1074" w:hRule="atLeast"/>
        </w:trPr>
        <w:tc>
          <w:tcPr>
            <w:tcW w:w="1455" w:type="dxa"/>
            <w:tcBorders>
              <w:top w:val="single" w:color="auto" w:sz="4" w:space="0"/>
              <w:left w:val="single" w:color="auto" w:sz="4" w:space="0"/>
              <w:bottom w:val="single" w:color="auto" w:sz="4" w:space="0"/>
              <w:right w:val="single" w:color="auto" w:sz="4" w:space="0"/>
            </w:tcBorders>
            <w:vAlign w:val="center"/>
          </w:tcPr>
          <w:p w14:paraId="7C544AFE">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果皮   (片/1000㎡)</w:t>
            </w:r>
          </w:p>
        </w:tc>
        <w:tc>
          <w:tcPr>
            <w:tcW w:w="1440" w:type="dxa"/>
            <w:tcBorders>
              <w:top w:val="single" w:color="auto" w:sz="4" w:space="0"/>
              <w:left w:val="nil"/>
              <w:bottom w:val="single" w:color="auto" w:sz="4" w:space="0"/>
              <w:right w:val="single" w:color="auto" w:sz="4" w:space="0"/>
            </w:tcBorders>
            <w:vAlign w:val="center"/>
          </w:tcPr>
          <w:p w14:paraId="19CB373E">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纸屑\塑膜</w:t>
            </w:r>
          </w:p>
          <w:p w14:paraId="05306228">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(片/1000㎡)</w:t>
            </w:r>
          </w:p>
        </w:tc>
        <w:tc>
          <w:tcPr>
            <w:tcW w:w="1440" w:type="dxa"/>
            <w:tcBorders>
              <w:top w:val="single" w:color="auto" w:sz="4" w:space="0"/>
              <w:left w:val="nil"/>
              <w:bottom w:val="single" w:color="auto" w:sz="4" w:space="0"/>
              <w:right w:val="single" w:color="auto" w:sz="4" w:space="0"/>
            </w:tcBorders>
            <w:vAlign w:val="center"/>
          </w:tcPr>
          <w:p w14:paraId="6EDC3481">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烟蒂</w:t>
            </w:r>
          </w:p>
          <w:p w14:paraId="5C5AFD55">
            <w:pPr>
              <w:widowControl/>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(个/1000㎡)</w:t>
            </w:r>
          </w:p>
        </w:tc>
        <w:tc>
          <w:tcPr>
            <w:tcW w:w="1620" w:type="dxa"/>
            <w:tcBorders>
              <w:top w:val="single" w:color="auto" w:sz="4" w:space="0"/>
              <w:left w:val="nil"/>
              <w:bottom w:val="single" w:color="auto" w:sz="4" w:space="0"/>
              <w:right w:val="single" w:color="auto" w:sz="4" w:space="0"/>
            </w:tcBorders>
            <w:vAlign w:val="center"/>
          </w:tcPr>
          <w:p w14:paraId="6C721DFF">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痰迹</w:t>
            </w:r>
          </w:p>
          <w:p w14:paraId="39BDD296">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(处/1000㎡)</w:t>
            </w:r>
          </w:p>
        </w:tc>
        <w:tc>
          <w:tcPr>
            <w:tcW w:w="1440" w:type="dxa"/>
            <w:tcBorders>
              <w:top w:val="single" w:color="auto" w:sz="4" w:space="0"/>
              <w:left w:val="nil"/>
              <w:bottom w:val="single" w:color="auto" w:sz="4" w:space="0"/>
              <w:right w:val="single" w:color="auto" w:sz="4" w:space="0"/>
            </w:tcBorders>
            <w:vAlign w:val="center"/>
          </w:tcPr>
          <w:p w14:paraId="1EFE2B26">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污水</w:t>
            </w:r>
          </w:p>
          <w:p w14:paraId="4E624B0D">
            <w:pPr>
              <w:widowControl/>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(㎡/1000㎡)</w:t>
            </w:r>
          </w:p>
        </w:tc>
        <w:tc>
          <w:tcPr>
            <w:tcW w:w="1800" w:type="dxa"/>
            <w:tcBorders>
              <w:top w:val="single" w:color="auto" w:sz="4" w:space="0"/>
              <w:left w:val="nil"/>
              <w:bottom w:val="single" w:color="auto" w:sz="4" w:space="0"/>
              <w:right w:val="single" w:color="auto" w:sz="4" w:space="0"/>
            </w:tcBorders>
            <w:vAlign w:val="center"/>
          </w:tcPr>
          <w:p w14:paraId="6400C18A">
            <w:pPr>
              <w:widowControl/>
              <w:spacing w:line="384" w:lineRule="exact"/>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w:t>
            </w:r>
          </w:p>
          <w:p w14:paraId="49D611C3">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(处/1000㎡)</w:t>
            </w:r>
          </w:p>
        </w:tc>
      </w:tr>
      <w:tr w14:paraId="24E631DD">
        <w:tblPrEx>
          <w:tblCellMar>
            <w:top w:w="0" w:type="dxa"/>
            <w:left w:w="108" w:type="dxa"/>
            <w:bottom w:w="0" w:type="dxa"/>
            <w:right w:w="108" w:type="dxa"/>
          </w:tblCellMar>
        </w:tblPrEx>
        <w:trPr>
          <w:trHeight w:val="672" w:hRule="atLeast"/>
        </w:trPr>
        <w:tc>
          <w:tcPr>
            <w:tcW w:w="1455" w:type="dxa"/>
            <w:tcBorders>
              <w:top w:val="nil"/>
              <w:left w:val="single" w:color="auto" w:sz="4" w:space="0"/>
              <w:bottom w:val="single" w:color="auto" w:sz="4" w:space="0"/>
              <w:right w:val="single" w:color="auto" w:sz="4" w:space="0"/>
            </w:tcBorders>
            <w:vAlign w:val="center"/>
          </w:tcPr>
          <w:p w14:paraId="3CB67338">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1440" w:type="dxa"/>
            <w:tcBorders>
              <w:top w:val="nil"/>
              <w:left w:val="nil"/>
              <w:bottom w:val="single" w:color="auto" w:sz="4" w:space="0"/>
              <w:right w:val="single" w:color="auto" w:sz="4" w:space="0"/>
            </w:tcBorders>
            <w:vAlign w:val="center"/>
          </w:tcPr>
          <w:p w14:paraId="59DB3712">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1440" w:type="dxa"/>
            <w:tcBorders>
              <w:top w:val="nil"/>
              <w:left w:val="nil"/>
              <w:bottom w:val="single" w:color="auto" w:sz="4" w:space="0"/>
              <w:right w:val="single" w:color="auto" w:sz="4" w:space="0"/>
            </w:tcBorders>
            <w:vAlign w:val="center"/>
          </w:tcPr>
          <w:p w14:paraId="19CD3DF6">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1620" w:type="dxa"/>
            <w:tcBorders>
              <w:top w:val="nil"/>
              <w:left w:val="nil"/>
              <w:bottom w:val="single" w:color="auto" w:sz="4" w:space="0"/>
              <w:right w:val="single" w:color="auto" w:sz="4" w:space="0"/>
            </w:tcBorders>
            <w:vAlign w:val="center"/>
          </w:tcPr>
          <w:p w14:paraId="6ECF42F1">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1440" w:type="dxa"/>
            <w:tcBorders>
              <w:top w:val="nil"/>
              <w:left w:val="nil"/>
              <w:bottom w:val="single" w:color="auto" w:sz="4" w:space="0"/>
              <w:right w:val="single" w:color="auto" w:sz="4" w:space="0"/>
            </w:tcBorders>
            <w:vAlign w:val="center"/>
          </w:tcPr>
          <w:p w14:paraId="421EDEC0">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≤0.5</w:t>
            </w:r>
          </w:p>
        </w:tc>
        <w:tc>
          <w:tcPr>
            <w:tcW w:w="1800" w:type="dxa"/>
            <w:tcBorders>
              <w:top w:val="nil"/>
              <w:left w:val="nil"/>
              <w:bottom w:val="single" w:color="auto" w:sz="4" w:space="0"/>
              <w:right w:val="single" w:color="auto" w:sz="4" w:space="0"/>
            </w:tcBorders>
            <w:vAlign w:val="center"/>
          </w:tcPr>
          <w:p w14:paraId="3448D112">
            <w:pPr>
              <w:widowControl/>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r>
    </w:tbl>
    <w:p w14:paraId="6A6B8891">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但在同一单位长度内，不得超过各单项废弃物总数的50%。</w:t>
      </w:r>
    </w:p>
    <w:p w14:paraId="5D669BAE">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路面无杂草、无垃圾、无杂物、无积泥（沙石）、晴天无积水、雨水井沟眼通畅干净、绿化带、树圈内清洁无杂物、无枯树枝和垃圾、人行道板、店铺、厂区门前、围墙根部、围墙内侧边口及各类井盖缝隙无垃圾、杂物和其它影响市容市貌的物体。</w:t>
      </w:r>
    </w:p>
    <w:p w14:paraId="29262773">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4、沿路设定的垃圾桶、果壳箱内的垃圾应及时清除，无满溢和散落现象。</w:t>
      </w:r>
    </w:p>
    <w:p w14:paraId="410CB388">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5、按规定将垃圾倾倒至指定地点，不发生偷倒、乱倒现象。</w:t>
      </w:r>
    </w:p>
    <w:p w14:paraId="724FFDF3">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6、道路绿地（含车道绿化隔离带、人行道绿地）保洁应与道路保洁同步，做到绿化带内、围墙根部、围墙内侧边口、桥下无杂物、无垃圾。</w:t>
      </w:r>
    </w:p>
    <w:p w14:paraId="2FE39E43">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7、袋装垃圾不落地收集按规范作业，不漏收，不与服务对象等发生口角、打架等情况。</w:t>
      </w:r>
    </w:p>
    <w:p w14:paraId="70A3439A">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8、按照时限要求完成每日一普扫（早上8：00之前完成普扫），后实行循环保洁，责任交界处各扫进2米。</w:t>
      </w:r>
    </w:p>
    <w:p w14:paraId="1D2020AD">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9、普扫作业要求全面清扫、到角到边，严格控制废弃物，提高道路洁净度。全面清理可视范围内的垃圾、清洗果壳箱、垃圾桶。</w:t>
      </w:r>
    </w:p>
    <w:p w14:paraId="40D88E63">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10、道路单位自建绿化带、背街小巷沿路绿化带内无生活垃圾、建筑垃圾。</w:t>
      </w:r>
    </w:p>
    <w:p w14:paraId="324F815C">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收集清运果壳箱、垃圾桶垃圾每天不少于2次，同时须达到（上午8：30，下午15:30）必清空一次。沿街果壳箱无歪斜、无破损、无积存垃圾，外表无污垢，要求果壳箱、塑料垃圾桶清理彻底、垃圾无满溢、周围无垃圾、地面墙面干净、无“四害”孳生。</w:t>
      </w:r>
    </w:p>
    <w:p w14:paraId="6AAD0306">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12、垃圾应倒在规定的地点，不得焚烧垃圾、树叶。落叶旺季做到及时清扫，并按照指定地点堆放和转运。</w:t>
      </w:r>
    </w:p>
    <w:p w14:paraId="1E9DEC27">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13、沿路可视范围内无其它作业主体的地方保持无生活垃圾。</w:t>
      </w:r>
    </w:p>
    <w:p w14:paraId="2DE09587">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14、及时处理区域内的摊位垃圾、偷倒的生活垃圾、工业垃圾、废旧家用品垃圾及装修垃圾，并做好分类处理。</w:t>
      </w:r>
    </w:p>
    <w:p w14:paraId="508CCFDB">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15、及时清除区域内少量的建筑垃圾、大量建筑垃圾滞留时间不超过3小时（中标单位对突发性偷倒需要协调时，经事先上招标单位报后可适当延时）。</w:t>
      </w:r>
    </w:p>
    <w:p w14:paraId="048D72DB">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16、及时清理（服务区域范围内）边井内下水口的泥沙、树叶等各类垃圾，始终保持边井内下水口通畅。</w:t>
      </w:r>
    </w:p>
    <w:p w14:paraId="58D519DF">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（三）作业人员要求</w:t>
      </w:r>
    </w:p>
    <w:p w14:paraId="27328904">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1、作业人员必须按要求足额到岗，日常管理人员及保洁作业人员人数不少于投标单位投标文件承诺人数。</w:t>
      </w:r>
    </w:p>
    <w:p w14:paraId="41EDE022">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2、作业人员上班必须穿安全反光背心，并佩带工作证，车辆载运、停放遵守交通规则，做好安全防范工作。</w:t>
      </w:r>
    </w:p>
    <w:p w14:paraId="714439EF">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3、环卫作业工人要根据本路段的人、车流情况，正确把握作业方式方法，主动避开行人和车流高峰，以免发生意外。</w:t>
      </w:r>
    </w:p>
    <w:p w14:paraId="565AC295">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4、按规定时间上下班，在作业时间内，作业人员穿着文明，不集聚闲聊，不消极怠工，注重自身形象。作业期间不做与作业无关的事。</w:t>
      </w:r>
    </w:p>
    <w:p w14:paraId="33DDE71B">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5、作业人员、管理人员必须服从</w:t>
      </w:r>
      <w:r>
        <w:rPr>
          <w:rFonts w:hint="eastAsia" w:ascii="仿宋" w:hAnsi="仿宋" w:eastAsia="仿宋" w:cs="仿宋"/>
          <w:bCs/>
          <w:color w:val="auto"/>
          <w:sz w:val="24"/>
          <w:szCs w:val="24"/>
          <w:highlight w:val="none"/>
        </w:rPr>
        <w:t>湖州南太湖新区公用事业管理中心</w:t>
      </w:r>
      <w:r>
        <w:rPr>
          <w:rFonts w:hint="eastAsia" w:ascii="仿宋" w:hAnsi="仿宋" w:eastAsia="仿宋" w:cs="仿宋"/>
          <w:color w:val="auto"/>
          <w:sz w:val="24"/>
          <w:szCs w:val="24"/>
          <w:highlight w:val="none"/>
        </w:rPr>
        <w:t>检查、考核人员的正常检查监督。</w:t>
      </w:r>
    </w:p>
    <w:p w14:paraId="5598CFC0">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6、上下班交接实行现场交接，确保保洁作业不断档。</w:t>
      </w:r>
    </w:p>
    <w:p w14:paraId="6E4ACCD2">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7、保洁人员上下班时间严格按照由湖州南太湖新区公用事业管理中心制订的工作时间表落实。</w:t>
      </w:r>
    </w:p>
    <w:p w14:paraId="2024CCC6">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8、保洁人员保洁作业时，道路、人行道不得漏扫、反扫，垃圾应归堆及彻底清理，并由专车运至垃圾中转站，清扫垃圾时不得扫入倒入窨井、河道、桥下和绿化带内。</w:t>
      </w:r>
    </w:p>
    <w:p w14:paraId="6C72D1CB">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9、作业期间保洁人员不得有立岗、脱岗、坐岗、聊岗等现象。</w:t>
      </w:r>
    </w:p>
    <w:p w14:paraId="1D732CD2">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10、落实保洁清扫工白班不少于8小时工作制。</w:t>
      </w:r>
    </w:p>
    <w:p w14:paraId="6B5CF5C5">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11、作业人员发现道路上窨井盖、雨水或污水井盖破损的应第一时间向上级反映至湖州南太湖新区公用事业管理中心。</w:t>
      </w:r>
    </w:p>
    <w:p w14:paraId="54941AE0">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（四）环卫设施要求</w:t>
      </w:r>
    </w:p>
    <w:p w14:paraId="09C29D17">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1、做好环卫设施保洁和养护工作，确保环卫设施的整洁、完好。果壳箱、垃圾桶全面彻底清洗1天不少于1次，要求清箱清底。有个体污染随时清洗。</w:t>
      </w:r>
    </w:p>
    <w:p w14:paraId="572AED41">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2、做好环卫设施的除“四害”工作，“四害”密度不超标。</w:t>
      </w:r>
    </w:p>
    <w:p w14:paraId="7D4416CF">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3、环卫设施发生遗失、损毁及自然损耗等现象应在一个工作日内报告管理部门。</w:t>
      </w:r>
    </w:p>
    <w:p w14:paraId="614F641D">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（五）机械设备作业要求</w:t>
      </w:r>
    </w:p>
    <w:tbl>
      <w:tblPr>
        <w:tblStyle w:val="23"/>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7"/>
        <w:gridCol w:w="7393"/>
      </w:tblGrid>
      <w:tr w14:paraId="48FA2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1847" w:type="dxa"/>
            <w:vAlign w:val="center"/>
          </w:tcPr>
          <w:p w14:paraId="36CDE194">
            <w:pPr>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要求车辆</w:t>
            </w:r>
          </w:p>
        </w:tc>
        <w:tc>
          <w:tcPr>
            <w:tcW w:w="7393" w:type="dxa"/>
          </w:tcPr>
          <w:p w14:paraId="575FFD49">
            <w:pPr>
              <w:snapToGrid w:val="0"/>
              <w:spacing w:line="42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按各个标段中标单位投标文件承诺为准</w:t>
            </w:r>
          </w:p>
        </w:tc>
      </w:tr>
      <w:tr w14:paraId="7E063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1847" w:type="dxa"/>
            <w:vAlign w:val="center"/>
          </w:tcPr>
          <w:p w14:paraId="0B230CE5">
            <w:pPr>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保洁频率要求</w:t>
            </w:r>
          </w:p>
        </w:tc>
        <w:tc>
          <w:tcPr>
            <w:tcW w:w="7393" w:type="dxa"/>
          </w:tcPr>
          <w:p w14:paraId="002338FA">
            <w:pPr>
              <w:numPr>
                <w:ilvl w:val="0"/>
                <w:numId w:val="5"/>
              </w:numPr>
              <w:spacing w:line="384" w:lineRule="exact"/>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道路机扫每日至少2遍。第一次机扫在8：00之前完成，第二次机扫在15：00之前完成。（注：机械清扫1遍是指每条路每条边都要扫到位，由于客观条件机械不能进场的除外）</w:t>
            </w:r>
          </w:p>
          <w:p w14:paraId="37DA3179">
            <w:pPr>
              <w:numPr>
                <w:ilvl w:val="0"/>
                <w:numId w:val="5"/>
              </w:numPr>
              <w:spacing w:line="384" w:lineRule="exact"/>
              <w:rPr>
                <w:rFonts w:hint="eastAsia" w:ascii="仿宋" w:hAnsi="仿宋" w:eastAsia="仿宋" w:cs="仿宋"/>
                <w:bCs/>
                <w:color w:val="auto"/>
                <w:kern w:val="0"/>
                <w:sz w:val="24"/>
                <w:szCs w:val="24"/>
                <w:highlight w:val="none"/>
              </w:rPr>
            </w:pPr>
            <w:r>
              <w:rPr>
                <w:rFonts w:hint="eastAsia" w:ascii="仿宋" w:hAnsi="仿宋" w:eastAsia="仿宋" w:cs="仿宋"/>
                <w:color w:val="auto"/>
                <w:kern w:val="0"/>
                <w:sz w:val="24"/>
                <w:szCs w:val="24"/>
                <w:highlight w:val="none"/>
              </w:rPr>
              <w:t>重点道路</w:t>
            </w:r>
            <w:r>
              <w:rPr>
                <w:rFonts w:hint="eastAsia" w:ascii="仿宋" w:hAnsi="仿宋" w:eastAsia="仿宋" w:cs="仿宋"/>
                <w:bCs/>
                <w:color w:val="auto"/>
                <w:kern w:val="0"/>
                <w:sz w:val="24"/>
                <w:szCs w:val="24"/>
                <w:highlight w:val="none"/>
              </w:rPr>
              <w:t>冲洗每日至少6遍，实行20小时不间断循环洒水保洁保湿；其余道路每日冲洗至少4遍。</w:t>
            </w:r>
          </w:p>
          <w:p w14:paraId="650073FC">
            <w:pPr>
              <w:spacing w:line="384" w:lineRule="exact"/>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t>3、所有道路人行道、慢车道每周（夜间）冲洗不少于2遍。</w:t>
            </w:r>
          </w:p>
        </w:tc>
      </w:tr>
      <w:tr w14:paraId="712BE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1847" w:type="dxa"/>
            <w:vAlign w:val="center"/>
          </w:tcPr>
          <w:p w14:paraId="2C3F22B1">
            <w:pPr>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作业时间要求</w:t>
            </w:r>
          </w:p>
        </w:tc>
        <w:tc>
          <w:tcPr>
            <w:tcW w:w="7393" w:type="dxa"/>
          </w:tcPr>
          <w:p w14:paraId="4F344AFA">
            <w:pPr>
              <w:numPr>
                <w:ilvl w:val="0"/>
                <w:numId w:val="0"/>
              </w:numPr>
              <w:spacing w:line="384" w:lineRule="exact"/>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bidi="ar-SA"/>
              </w:rPr>
              <w:t>1、</w:t>
            </w:r>
            <w:r>
              <w:rPr>
                <w:rFonts w:hint="eastAsia" w:ascii="仿宋" w:hAnsi="仿宋" w:eastAsia="仿宋" w:cs="仿宋"/>
                <w:bCs/>
                <w:color w:val="auto"/>
                <w:kern w:val="0"/>
                <w:sz w:val="24"/>
                <w:szCs w:val="24"/>
                <w:highlight w:val="none"/>
              </w:rPr>
              <w:t>道路机扫第1遍机扫上午8：00前完成，第2遍下午15:00前完成。</w:t>
            </w:r>
          </w:p>
          <w:p w14:paraId="56731297">
            <w:pPr>
              <w:numPr>
                <w:ilvl w:val="0"/>
                <w:numId w:val="0"/>
              </w:numPr>
              <w:spacing w:line="384" w:lineRule="exact"/>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bidi="ar-SA"/>
              </w:rPr>
              <w:t>2、</w:t>
            </w:r>
            <w:r>
              <w:rPr>
                <w:rFonts w:hint="eastAsia" w:ascii="仿宋" w:hAnsi="仿宋" w:eastAsia="仿宋" w:cs="仿宋"/>
                <w:bCs/>
                <w:color w:val="auto"/>
                <w:kern w:val="0"/>
                <w:sz w:val="24"/>
                <w:szCs w:val="24"/>
                <w:highlight w:val="none"/>
              </w:rPr>
              <w:t>所有道路完成每周2次机扫，特殊道路根据路况实施机扫【保洁道路、小路、辅道等路段应派人工及时有效的清扫，同时应每周择时不少于2次机扫作业】。</w:t>
            </w:r>
          </w:p>
          <w:p w14:paraId="11D5B0DC">
            <w:pPr>
              <w:spacing w:line="384" w:lineRule="exact"/>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3、清洗车应落实道路冲洗频率，所有道路路面人工清洗作业每周不少于2遍。</w:t>
            </w:r>
          </w:p>
          <w:p w14:paraId="33794BB8">
            <w:pPr>
              <w:spacing w:line="384" w:lineRule="exact"/>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t>4、洒水车在招标文件规定区域内满足机械作业条件的道路，确保每天洒水上午、下午各一遍。</w:t>
            </w:r>
          </w:p>
        </w:tc>
      </w:tr>
      <w:tr w14:paraId="646EF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847" w:type="dxa"/>
            <w:vAlign w:val="center"/>
          </w:tcPr>
          <w:p w14:paraId="7C0F715F">
            <w:pPr>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车辆时速要求</w:t>
            </w:r>
          </w:p>
        </w:tc>
        <w:tc>
          <w:tcPr>
            <w:tcW w:w="7393" w:type="dxa"/>
          </w:tcPr>
          <w:p w14:paraId="490C17D2">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1、扫路车(或洗扫车)车速≤12KM╱小时；</w:t>
            </w:r>
          </w:p>
          <w:p w14:paraId="7CE30AB9">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2、洒水车（或清洗车）车速≤25KM╱小时。</w:t>
            </w:r>
          </w:p>
        </w:tc>
      </w:tr>
      <w:tr w14:paraId="2DE0D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847" w:type="dxa"/>
            <w:vAlign w:val="center"/>
          </w:tcPr>
          <w:p w14:paraId="2CB6E6C6">
            <w:pPr>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作业质量要求</w:t>
            </w:r>
          </w:p>
        </w:tc>
        <w:tc>
          <w:tcPr>
            <w:tcW w:w="7393" w:type="dxa"/>
          </w:tcPr>
          <w:p w14:paraId="55A306FA">
            <w:pPr>
              <w:numPr>
                <w:ilvl w:val="0"/>
                <w:numId w:val="0"/>
              </w:numPr>
              <w:spacing w:line="384" w:lineRule="exact"/>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kern w:val="2"/>
                <w:sz w:val="24"/>
                <w:szCs w:val="24"/>
                <w:highlight w:val="none"/>
                <w:lang w:val="en-US" w:eastAsia="zh-CN" w:bidi="ar-SA"/>
              </w:rPr>
              <w:t>1、</w:t>
            </w:r>
            <w:r>
              <w:rPr>
                <w:rFonts w:hint="eastAsia" w:ascii="仿宋" w:hAnsi="仿宋" w:eastAsia="仿宋" w:cs="仿宋"/>
                <w:b w:val="0"/>
                <w:bCs/>
                <w:color w:val="auto"/>
                <w:sz w:val="24"/>
                <w:szCs w:val="24"/>
                <w:highlight w:val="none"/>
              </w:rPr>
              <w:t>严格遵守交通法规，按规定落实作业时间，作业频率</w:t>
            </w:r>
            <w:r>
              <w:rPr>
                <w:rFonts w:hint="eastAsia" w:ascii="仿宋" w:hAnsi="仿宋" w:eastAsia="仿宋" w:cs="仿宋"/>
                <w:b w:val="0"/>
                <w:bCs/>
                <w:color w:val="auto"/>
                <w:sz w:val="24"/>
                <w:szCs w:val="24"/>
                <w:highlight w:val="none"/>
                <w:lang w:eastAsia="zh-CN"/>
              </w:rPr>
              <w:t>。</w:t>
            </w:r>
          </w:p>
          <w:p w14:paraId="245124C7">
            <w:pPr>
              <w:numPr>
                <w:ilvl w:val="0"/>
                <w:numId w:val="0"/>
              </w:numPr>
              <w:spacing w:line="384" w:lineRule="exact"/>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kern w:val="2"/>
                <w:sz w:val="24"/>
                <w:szCs w:val="24"/>
                <w:highlight w:val="none"/>
                <w:lang w:val="en-US" w:eastAsia="zh-CN" w:bidi="ar-SA"/>
              </w:rPr>
              <w:t>2、</w:t>
            </w:r>
            <w:r>
              <w:rPr>
                <w:rFonts w:hint="eastAsia" w:ascii="仿宋" w:hAnsi="仿宋" w:eastAsia="仿宋" w:cs="仿宋"/>
                <w:b w:val="0"/>
                <w:bCs/>
                <w:color w:val="auto"/>
                <w:sz w:val="24"/>
                <w:szCs w:val="24"/>
                <w:highlight w:val="none"/>
              </w:rPr>
              <w:t>机扫车作业时需做到普扫到位，无扬尘、无漏扫、无洒漏、无走过场现象（包括机扫扫把部分作业或不作业等），做到文明作业，无投诉</w:t>
            </w:r>
            <w:r>
              <w:rPr>
                <w:rFonts w:hint="eastAsia" w:ascii="仿宋" w:hAnsi="仿宋" w:eastAsia="仿宋" w:cs="仿宋"/>
                <w:b w:val="0"/>
                <w:bCs/>
                <w:color w:val="auto"/>
                <w:sz w:val="24"/>
                <w:szCs w:val="24"/>
                <w:highlight w:val="none"/>
                <w:lang w:eastAsia="zh-CN"/>
              </w:rPr>
              <w:t>。</w:t>
            </w:r>
          </w:p>
          <w:p w14:paraId="2D10AD63">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3、洒水车（或清洗车）作业时需做到冲洗到位，洒水均衡、无遗漏、无走过场现象，做到文明作业，无投诉。</w:t>
            </w:r>
          </w:p>
        </w:tc>
      </w:tr>
      <w:tr w14:paraId="72313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847" w:type="dxa"/>
            <w:vAlign w:val="center"/>
          </w:tcPr>
          <w:p w14:paraId="4D291503">
            <w:pPr>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其他要求</w:t>
            </w:r>
          </w:p>
          <w:p w14:paraId="3FDE1890">
            <w:pPr>
              <w:spacing w:line="384" w:lineRule="exact"/>
              <w:jc w:val="center"/>
              <w:rPr>
                <w:rFonts w:hint="eastAsia" w:ascii="仿宋" w:hAnsi="仿宋" w:eastAsia="仿宋" w:cs="仿宋"/>
                <w:color w:val="auto"/>
                <w:sz w:val="24"/>
                <w:szCs w:val="24"/>
                <w:highlight w:val="none"/>
              </w:rPr>
            </w:pPr>
          </w:p>
        </w:tc>
        <w:tc>
          <w:tcPr>
            <w:tcW w:w="7393" w:type="dxa"/>
          </w:tcPr>
          <w:p w14:paraId="45DAE4EB">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1、如遇检查、工程车抛洒滴漏等特殊情况，及时增加机扫、冲洗频率，且随时服从招标单位调派。</w:t>
            </w:r>
          </w:p>
          <w:p w14:paraId="521D688D">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2、机械设备故障时必须有备用设备及时补充，且及时维修。</w:t>
            </w:r>
          </w:p>
          <w:p w14:paraId="693E52E6">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3、车辆工作期间必须保持外观整洁干净。 </w:t>
            </w:r>
          </w:p>
          <w:p w14:paraId="5D59C8A8">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4、车辆按要求装置GPS。</w:t>
            </w:r>
          </w:p>
          <w:p w14:paraId="313B8189">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5、机械作业时间可随季节性调整，具体工作时间由招标单位拟定。</w:t>
            </w:r>
          </w:p>
        </w:tc>
      </w:tr>
    </w:tbl>
    <w:p w14:paraId="51E44625">
      <w:pPr>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（六）其他要求</w:t>
      </w:r>
    </w:p>
    <w:p w14:paraId="5039CEAF">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1、按要求制订详细的工作管理制度、内部考核制度和具体操作实施方案并予以实施；实施方案在协议签订之日起5个工作日内上报</w:t>
      </w:r>
      <w:r>
        <w:rPr>
          <w:rFonts w:hint="eastAsia" w:ascii="仿宋" w:hAnsi="仿宋" w:eastAsia="仿宋" w:cs="仿宋"/>
          <w:bCs/>
          <w:color w:val="auto"/>
          <w:sz w:val="24"/>
          <w:szCs w:val="24"/>
          <w:highlight w:val="none"/>
        </w:rPr>
        <w:t>湖州南太湖新区公用事业管理中心</w:t>
      </w:r>
      <w:r>
        <w:rPr>
          <w:rFonts w:hint="eastAsia" w:ascii="仿宋" w:hAnsi="仿宋" w:eastAsia="仿宋" w:cs="仿宋"/>
          <w:color w:val="auto"/>
          <w:sz w:val="24"/>
          <w:szCs w:val="24"/>
          <w:highlight w:val="none"/>
        </w:rPr>
        <w:t>，作业过程中需变动的必须及时书面上报并征得湖州南太湖新区公用事业管理中心同意后方可变动。</w:t>
      </w:r>
    </w:p>
    <w:p w14:paraId="45C6A7A0">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2、按社会服务承诺制要求在规定时间内完成服务任务，积极妥善处理群众投诉、阳光热线、数字城管、110事件等工作。</w:t>
      </w:r>
    </w:p>
    <w:p w14:paraId="0D010737">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3、服从各项突击性任务和指令，中标单位作业负责人保持24小时通讯畅通。如遇重大活动和重要检查，听从湖州南太湖新区公用事业管理中心统一安排和调度。</w:t>
      </w:r>
    </w:p>
    <w:p w14:paraId="20052DED">
      <w:pPr>
        <w:spacing w:line="384"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凡出现影响环卫作业等情况，应及时向湖州南太湖新区公用事业管理中心报告，并及时通过各种渠道进行协调，无法协调或其他原因得不到落实的，必须在湖州南太湖新区公用事业管理中心要求的期限内自行消除影响。</w:t>
      </w:r>
    </w:p>
    <w:p w14:paraId="1D211363">
      <w:pPr>
        <w:spacing w:line="384" w:lineRule="exact"/>
        <w:rPr>
          <w:rFonts w:hint="eastAsia" w:ascii="仿宋" w:hAnsi="仿宋" w:eastAsia="仿宋" w:cs="仿宋"/>
          <w:b w:val="0"/>
          <w:bCs w:val="0"/>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b w:val="0"/>
          <w:bCs w:val="0"/>
          <w:color w:val="auto"/>
          <w:sz w:val="24"/>
          <w:szCs w:val="24"/>
          <w:highlight w:val="none"/>
        </w:rPr>
        <w:t>5、中标单位必须按照时限要求（当月所发生的职工工资及待遇应在次月的15日前），如实全额发放本项目的管理员、保洁员、驾驶员等职工工资，不得延时拖欠。</w:t>
      </w:r>
    </w:p>
    <w:p w14:paraId="069DFF46">
      <w:pPr>
        <w:spacing w:line="384"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6、按要求安排管理人员（不得少于1人），值班电话24小时保持通讯畅通，管理人员按要求进行现场踏看处理。</w:t>
      </w:r>
    </w:p>
    <w:p w14:paraId="42DAFF40">
      <w:pPr>
        <w:spacing w:line="384"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7、按公用事业管理中心要求在规定时间内完成不合格项目整改工作，避免因整改不力扩大不良影响。</w:t>
      </w:r>
    </w:p>
    <w:p w14:paraId="19D1AEA6">
      <w:pPr>
        <w:spacing w:line="384"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8、无有责投诉（包括市民电话、信访、阳光热线、数字城管、110转接电话等），有责投诉后处置及时。无新闻媒体曝光，区、市级及以上检查无过失。</w:t>
      </w:r>
    </w:p>
    <w:p w14:paraId="2145D0B6">
      <w:pPr>
        <w:spacing w:line="384" w:lineRule="exact"/>
        <w:ind w:firstLine="480" w:firstLineChars="200"/>
        <w:rPr>
          <w:rFonts w:hint="eastAsia" w:ascii="仿宋" w:hAnsi="仿宋" w:eastAsia="仿宋" w:cs="仿宋"/>
          <w:b w:val="0"/>
          <w:bCs w:val="0"/>
          <w:color w:val="auto"/>
          <w:sz w:val="24"/>
          <w:szCs w:val="24"/>
          <w:highlight w:val="none"/>
          <w:u w:val="none"/>
        </w:rPr>
      </w:pPr>
      <w:r>
        <w:rPr>
          <w:rFonts w:hint="eastAsia" w:ascii="仿宋" w:hAnsi="仿宋" w:eastAsia="仿宋" w:cs="仿宋"/>
          <w:b w:val="0"/>
          <w:bCs w:val="0"/>
          <w:color w:val="auto"/>
          <w:sz w:val="24"/>
          <w:szCs w:val="24"/>
          <w:highlight w:val="none"/>
        </w:rPr>
        <w:t>9、</w:t>
      </w:r>
      <w:r>
        <w:rPr>
          <w:rFonts w:hint="eastAsia" w:ascii="仿宋" w:hAnsi="仿宋" w:eastAsia="仿宋" w:cs="仿宋"/>
          <w:b w:val="0"/>
          <w:bCs w:val="0"/>
          <w:color w:val="auto"/>
          <w:sz w:val="24"/>
          <w:szCs w:val="24"/>
          <w:highlight w:val="none"/>
          <w:u w:val="none"/>
        </w:rPr>
        <w:t>按湖州南太湖新区公用事业管理中心要求制定夜间应急方案、预备应急班组，解决服务时间以外发生的保洁突发事件。同时必须保证一旦接到湖州南太湖新区公用事业管理中心夜间应急事件通知后15分钟内赶赴现场处理突发的保洁事件</w:t>
      </w:r>
      <w:r>
        <w:rPr>
          <w:rFonts w:hint="eastAsia" w:ascii="仿宋" w:hAnsi="仿宋" w:eastAsia="仿宋" w:cs="仿宋"/>
          <w:b w:val="0"/>
          <w:bCs w:val="0"/>
          <w:color w:val="auto"/>
          <w:sz w:val="24"/>
          <w:szCs w:val="24"/>
          <w:highlight w:val="none"/>
          <w:u w:val="none"/>
          <w:lang w:eastAsia="zh-CN"/>
        </w:rPr>
        <w:t>。</w:t>
      </w:r>
    </w:p>
    <w:p w14:paraId="0C4F0352">
      <w:pPr>
        <w:spacing w:line="384" w:lineRule="exact"/>
        <w:rPr>
          <w:rFonts w:hint="eastAsia" w:ascii="仿宋" w:hAnsi="仿宋" w:eastAsia="仿宋" w:cs="仿宋"/>
          <w:color w:val="auto"/>
          <w:sz w:val="24"/>
          <w:szCs w:val="24"/>
          <w:highlight w:val="none"/>
          <w:u w:val="none"/>
        </w:rPr>
      </w:pPr>
    </w:p>
    <w:p w14:paraId="0BF0BD37">
      <w:pPr>
        <w:pStyle w:val="3"/>
        <w:rPr>
          <w:rFonts w:hint="eastAsia" w:ascii="仿宋" w:hAnsi="仿宋" w:eastAsia="仿宋" w:cs="仿宋"/>
          <w:color w:val="auto"/>
          <w:sz w:val="24"/>
          <w:szCs w:val="24"/>
          <w:highlight w:val="none"/>
        </w:rPr>
      </w:pPr>
    </w:p>
    <w:p w14:paraId="03717457">
      <w:pPr>
        <w:pStyle w:val="18"/>
        <w:rPr>
          <w:rFonts w:hint="eastAsia" w:ascii="仿宋" w:hAnsi="仿宋" w:eastAsia="仿宋" w:cs="仿宋"/>
          <w:color w:val="auto"/>
          <w:sz w:val="24"/>
          <w:szCs w:val="24"/>
          <w:highlight w:val="none"/>
        </w:rPr>
      </w:pPr>
    </w:p>
    <w:p w14:paraId="33CB3994">
      <w:pPr>
        <w:rPr>
          <w:rFonts w:hint="eastAsia" w:ascii="仿宋" w:hAnsi="仿宋" w:eastAsia="仿宋" w:cs="仿宋"/>
          <w:color w:val="auto"/>
          <w:sz w:val="24"/>
          <w:szCs w:val="24"/>
          <w:highlight w:val="none"/>
        </w:rPr>
      </w:pPr>
    </w:p>
    <w:p w14:paraId="08AB035F">
      <w:pPr>
        <w:pStyle w:val="3"/>
        <w:rPr>
          <w:rFonts w:hint="eastAsia" w:ascii="仿宋" w:hAnsi="仿宋" w:eastAsia="仿宋" w:cs="仿宋"/>
          <w:color w:val="auto"/>
          <w:sz w:val="24"/>
          <w:szCs w:val="24"/>
          <w:highlight w:val="none"/>
        </w:rPr>
      </w:pPr>
    </w:p>
    <w:p w14:paraId="192C33A9">
      <w:pPr>
        <w:pStyle w:val="18"/>
        <w:rPr>
          <w:rFonts w:hint="eastAsia" w:ascii="仿宋" w:hAnsi="仿宋" w:eastAsia="仿宋" w:cs="仿宋"/>
          <w:color w:val="auto"/>
          <w:sz w:val="24"/>
          <w:szCs w:val="24"/>
          <w:highlight w:val="none"/>
        </w:rPr>
      </w:pPr>
    </w:p>
    <w:p w14:paraId="76DBD406">
      <w:pPr>
        <w:rPr>
          <w:rFonts w:hint="eastAsia" w:ascii="仿宋" w:hAnsi="仿宋" w:eastAsia="仿宋" w:cs="仿宋"/>
          <w:color w:val="auto"/>
          <w:sz w:val="24"/>
          <w:szCs w:val="24"/>
          <w:highlight w:val="none"/>
        </w:rPr>
      </w:pPr>
    </w:p>
    <w:p w14:paraId="5DAE8278">
      <w:pPr>
        <w:pStyle w:val="11"/>
        <w:rPr>
          <w:rFonts w:hint="eastAsia" w:ascii="仿宋" w:hAnsi="仿宋" w:eastAsia="仿宋" w:cs="仿宋"/>
          <w:color w:val="auto"/>
          <w:sz w:val="24"/>
          <w:szCs w:val="24"/>
          <w:highlight w:val="none"/>
        </w:rPr>
      </w:pPr>
    </w:p>
    <w:p w14:paraId="0EF49751">
      <w:pPr>
        <w:pStyle w:val="11"/>
        <w:rPr>
          <w:rFonts w:hint="eastAsia" w:ascii="仿宋" w:hAnsi="仿宋" w:eastAsia="仿宋" w:cs="仿宋"/>
          <w:color w:val="auto"/>
          <w:sz w:val="24"/>
          <w:szCs w:val="24"/>
          <w:highlight w:val="none"/>
        </w:rPr>
      </w:pPr>
    </w:p>
    <w:p w14:paraId="7AC420FD">
      <w:pPr>
        <w:pStyle w:val="11"/>
        <w:rPr>
          <w:rFonts w:hint="eastAsia" w:ascii="仿宋" w:hAnsi="仿宋" w:eastAsia="仿宋" w:cs="仿宋"/>
          <w:color w:val="auto"/>
          <w:sz w:val="24"/>
          <w:szCs w:val="24"/>
          <w:highlight w:val="none"/>
        </w:rPr>
      </w:pPr>
    </w:p>
    <w:p w14:paraId="20E53A1D">
      <w:pPr>
        <w:pStyle w:val="11"/>
        <w:rPr>
          <w:rFonts w:hint="eastAsia" w:ascii="仿宋" w:hAnsi="仿宋" w:eastAsia="仿宋" w:cs="仿宋"/>
          <w:color w:val="auto"/>
          <w:sz w:val="24"/>
          <w:szCs w:val="24"/>
          <w:highlight w:val="none"/>
        </w:rPr>
      </w:pPr>
    </w:p>
    <w:p w14:paraId="29BB681D">
      <w:pPr>
        <w:pStyle w:val="11"/>
        <w:rPr>
          <w:rFonts w:hint="eastAsia" w:ascii="仿宋" w:hAnsi="仿宋" w:eastAsia="仿宋" w:cs="仿宋"/>
          <w:color w:val="auto"/>
          <w:sz w:val="24"/>
          <w:szCs w:val="24"/>
          <w:highlight w:val="none"/>
        </w:rPr>
      </w:pPr>
    </w:p>
    <w:p w14:paraId="14277983">
      <w:pPr>
        <w:pStyle w:val="11"/>
        <w:rPr>
          <w:rFonts w:hint="eastAsia" w:ascii="仿宋" w:hAnsi="仿宋" w:eastAsia="仿宋" w:cs="仿宋"/>
          <w:color w:val="auto"/>
          <w:sz w:val="24"/>
          <w:szCs w:val="24"/>
          <w:highlight w:val="none"/>
        </w:rPr>
      </w:pPr>
    </w:p>
    <w:p w14:paraId="4F9F2BCB">
      <w:pPr>
        <w:pStyle w:val="11"/>
        <w:rPr>
          <w:rFonts w:hint="eastAsia" w:ascii="仿宋" w:hAnsi="仿宋" w:eastAsia="仿宋" w:cs="仿宋"/>
          <w:color w:val="auto"/>
          <w:sz w:val="24"/>
          <w:szCs w:val="24"/>
          <w:highlight w:val="none"/>
        </w:rPr>
      </w:pPr>
    </w:p>
    <w:p w14:paraId="6BFAE757">
      <w:pPr>
        <w:pStyle w:val="11"/>
        <w:rPr>
          <w:rFonts w:hint="eastAsia" w:ascii="仿宋" w:hAnsi="仿宋" w:eastAsia="仿宋" w:cs="仿宋"/>
          <w:color w:val="auto"/>
          <w:sz w:val="24"/>
          <w:szCs w:val="24"/>
          <w:highlight w:val="none"/>
        </w:rPr>
      </w:pPr>
    </w:p>
    <w:p w14:paraId="61941158">
      <w:pPr>
        <w:pStyle w:val="11"/>
        <w:rPr>
          <w:rFonts w:hint="eastAsia" w:ascii="仿宋" w:hAnsi="仿宋" w:eastAsia="仿宋" w:cs="仿宋"/>
          <w:color w:val="auto"/>
          <w:sz w:val="24"/>
          <w:szCs w:val="24"/>
          <w:highlight w:val="none"/>
        </w:rPr>
      </w:pPr>
    </w:p>
    <w:p w14:paraId="06330DC8">
      <w:pPr>
        <w:pStyle w:val="3"/>
        <w:rPr>
          <w:rFonts w:hint="eastAsia" w:ascii="仿宋" w:hAnsi="仿宋" w:eastAsia="仿宋" w:cs="仿宋"/>
          <w:color w:val="auto"/>
          <w:sz w:val="24"/>
          <w:szCs w:val="24"/>
          <w:highlight w:val="none"/>
        </w:rPr>
      </w:pPr>
    </w:p>
    <w:p w14:paraId="2AA960AC">
      <w:pPr>
        <w:rPr>
          <w:rFonts w:hint="eastAsia"/>
          <w:color w:val="auto"/>
          <w:highlight w:val="none"/>
        </w:rPr>
      </w:pPr>
    </w:p>
    <w:p w14:paraId="70413D51">
      <w:pPr>
        <w:pStyle w:val="18"/>
        <w:rPr>
          <w:rFonts w:hint="eastAsia"/>
          <w:color w:val="auto"/>
          <w:highlight w:val="none"/>
        </w:rPr>
      </w:pPr>
    </w:p>
    <w:p w14:paraId="15F35A68">
      <w:pPr>
        <w:spacing w:line="48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考核办法</w:t>
      </w:r>
    </w:p>
    <w:p w14:paraId="063D178A">
      <w:pPr>
        <w:spacing w:line="480" w:lineRule="exact"/>
        <w:ind w:right="-183" w:rightChars="-87" w:firstLine="518" w:firstLineChars="21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方必须按照环境卫生行业管理规范作业，在合同实施期间，招标单位有权对中标单位按环境卫生管理规范作业进行监督检查。中标单位必须按照环境卫生行业管理规范作业。考核方式分为日常巡查、月度检查、领导检查三种形式：</w:t>
      </w:r>
    </w:p>
    <w:p w14:paraId="0299BDF8">
      <w:pPr>
        <w:spacing w:line="480" w:lineRule="exact"/>
        <w:ind w:right="-183" w:rightChars="-87" w:firstLine="518" w:firstLineChars="216"/>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(一)日常巡查（由环卫科组织检查）。日常巡查考核中发现的问题，按“</w:t>
      </w:r>
      <w:r>
        <w:rPr>
          <w:rFonts w:hint="eastAsia" w:ascii="仿宋" w:hAnsi="仿宋" w:eastAsia="仿宋" w:cs="仿宋"/>
          <w:bCs/>
          <w:color w:val="auto"/>
          <w:sz w:val="24"/>
          <w:szCs w:val="24"/>
          <w:highlight w:val="none"/>
        </w:rPr>
        <w:t>湖州南太湖新区公用事业管理中心</w:t>
      </w:r>
      <w:r>
        <w:rPr>
          <w:rFonts w:hint="eastAsia" w:ascii="仿宋" w:hAnsi="仿宋" w:eastAsia="仿宋" w:cs="仿宋"/>
          <w:color w:val="auto"/>
          <w:sz w:val="24"/>
          <w:szCs w:val="24"/>
          <w:highlight w:val="none"/>
        </w:rPr>
        <w:t>外包道路管理考核评分标准”处罚，日常巡查考核（日常巡查考核单）每月设10分为基础线，当月日常巡查累计扣罚每超出基础线1分按500元处</w:t>
      </w:r>
      <w:r>
        <w:rPr>
          <w:rFonts w:hint="eastAsia" w:ascii="仿宋" w:hAnsi="仿宋" w:eastAsia="仿宋" w:cs="仿宋"/>
          <w:bCs/>
          <w:color w:val="auto"/>
          <w:sz w:val="24"/>
          <w:szCs w:val="24"/>
          <w:highlight w:val="none"/>
        </w:rPr>
        <w:t>罚。</w:t>
      </w:r>
    </w:p>
    <w:p w14:paraId="64B222C8">
      <w:pPr>
        <w:spacing w:line="480" w:lineRule="exact"/>
        <w:ind w:right="-183" w:rightChars="-87" w:firstLine="518" w:firstLineChars="216"/>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二)月度检查（湖州南太湖新区公用事业管理中心组织检查）。湖州南太湖新区公用事业管理中心对中标单位每月明考1次，占总分比的30%；湖州南太湖新区公用事业管理中心组织相关部门对中标单位每月暗考1次，占总分比的70%；依照合同内道路保洁考核细则实施考核，按每月考核两项合计得分。满分不处罚，1分按800元处罚。</w:t>
      </w:r>
    </w:p>
    <w:p w14:paraId="21A6B969">
      <w:pPr>
        <w:spacing w:line="480" w:lineRule="exact"/>
        <w:ind w:right="-183" w:rightChars="-8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（三）领导检查。被主管部门领导发现问题点名批评的每次扣2000-5000元，被区级领导发现问题点名批评的每次5000-8000元；被区级以上领导发现问题点名批评的每次扣8000-10000元。</w:t>
      </w:r>
    </w:p>
    <w:p w14:paraId="242BF6CD">
      <w:pPr>
        <w:spacing w:line="480" w:lineRule="exact"/>
        <w:ind w:right="-183" w:rightChars="-87" w:firstLine="518" w:firstLineChars="21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月度考核等级分类。综合日常巡查和月度检查（领导检查）结果来确定月度考核评比等级，等级分为四类即优秀、良好、达标、不达标；当月日常巡查累计扣分≤10分且月度检查（领导检查）合计得分≥90分为月度考评优秀；当月日常巡查累计扣分≤20分且月度检查（领导检查）合计得分≥80分为月度考评良好；当月日常巡查累计扣分≤30分且月度检查（领导检查）合计得分≥70分为月度考评达标；当月日常巡查累计扣分＞30分或月度检查（领导检查）合计得分＜70分或发生安全生产事故（造成人员重大伤亡或重大经济损失）或民工工资拖欠造成上访的为考核不达标。连续2个月考核不达标的，采购人有权终止合同。</w:t>
      </w:r>
    </w:p>
    <w:p w14:paraId="5B67DB31">
      <w:pPr>
        <w:pStyle w:val="3"/>
        <w:rPr>
          <w:rFonts w:hint="eastAsia" w:ascii="仿宋" w:hAnsi="仿宋" w:eastAsia="仿宋" w:cs="仿宋"/>
          <w:color w:val="auto"/>
          <w:sz w:val="24"/>
          <w:szCs w:val="24"/>
          <w:highlight w:val="none"/>
        </w:rPr>
      </w:pPr>
    </w:p>
    <w:p w14:paraId="4E9FF28E">
      <w:pPr>
        <w:pStyle w:val="18"/>
        <w:rPr>
          <w:rFonts w:hint="eastAsia" w:ascii="仿宋" w:hAnsi="仿宋" w:eastAsia="仿宋" w:cs="仿宋"/>
          <w:color w:val="auto"/>
          <w:sz w:val="24"/>
          <w:szCs w:val="24"/>
          <w:highlight w:val="none"/>
        </w:rPr>
      </w:pPr>
    </w:p>
    <w:p w14:paraId="2DE367AE">
      <w:pPr>
        <w:rPr>
          <w:rFonts w:hint="eastAsia" w:ascii="仿宋" w:hAnsi="仿宋" w:eastAsia="仿宋" w:cs="仿宋"/>
          <w:color w:val="auto"/>
          <w:sz w:val="24"/>
          <w:szCs w:val="24"/>
          <w:highlight w:val="none"/>
        </w:rPr>
      </w:pPr>
    </w:p>
    <w:p w14:paraId="228092BB">
      <w:pPr>
        <w:pStyle w:val="3"/>
        <w:rPr>
          <w:rFonts w:hint="eastAsia" w:ascii="仿宋" w:hAnsi="仿宋" w:eastAsia="仿宋" w:cs="仿宋"/>
          <w:color w:val="auto"/>
          <w:sz w:val="24"/>
          <w:szCs w:val="24"/>
          <w:highlight w:val="none"/>
        </w:rPr>
      </w:pPr>
    </w:p>
    <w:p w14:paraId="04962286">
      <w:pPr>
        <w:pStyle w:val="18"/>
        <w:rPr>
          <w:rFonts w:hint="eastAsia" w:ascii="仿宋" w:hAnsi="仿宋" w:eastAsia="仿宋" w:cs="仿宋"/>
          <w:color w:val="auto"/>
          <w:sz w:val="24"/>
          <w:szCs w:val="24"/>
          <w:highlight w:val="none"/>
        </w:rPr>
      </w:pPr>
    </w:p>
    <w:p w14:paraId="0B16D2D8">
      <w:pPr>
        <w:rPr>
          <w:rFonts w:hint="eastAsia" w:ascii="仿宋" w:hAnsi="仿宋" w:eastAsia="仿宋" w:cs="仿宋"/>
          <w:color w:val="auto"/>
          <w:sz w:val="24"/>
          <w:szCs w:val="24"/>
          <w:highlight w:val="none"/>
        </w:rPr>
      </w:pPr>
    </w:p>
    <w:p w14:paraId="4688F15C">
      <w:pPr>
        <w:pStyle w:val="3"/>
        <w:rPr>
          <w:rFonts w:hint="eastAsia" w:ascii="仿宋" w:hAnsi="仿宋" w:eastAsia="仿宋" w:cs="仿宋"/>
          <w:color w:val="auto"/>
          <w:sz w:val="24"/>
          <w:szCs w:val="24"/>
          <w:highlight w:val="none"/>
        </w:rPr>
      </w:pPr>
    </w:p>
    <w:p w14:paraId="6E8F9348">
      <w:pPr>
        <w:pStyle w:val="18"/>
        <w:rPr>
          <w:rFonts w:hint="eastAsia" w:ascii="仿宋" w:hAnsi="仿宋" w:eastAsia="仿宋" w:cs="仿宋"/>
          <w:color w:val="auto"/>
          <w:sz w:val="24"/>
          <w:szCs w:val="24"/>
          <w:highlight w:val="none"/>
        </w:rPr>
      </w:pPr>
    </w:p>
    <w:p w14:paraId="0E26BC8A">
      <w:pPr>
        <w:rPr>
          <w:rFonts w:hint="eastAsia" w:ascii="仿宋" w:hAnsi="仿宋" w:eastAsia="仿宋" w:cs="仿宋"/>
          <w:color w:val="auto"/>
          <w:sz w:val="24"/>
          <w:szCs w:val="24"/>
          <w:highlight w:val="none"/>
        </w:rPr>
      </w:pPr>
    </w:p>
    <w:p w14:paraId="00D2DCC9">
      <w:pPr>
        <w:pStyle w:val="3"/>
        <w:rPr>
          <w:rFonts w:hint="eastAsia" w:ascii="仿宋" w:hAnsi="仿宋" w:eastAsia="仿宋" w:cs="仿宋"/>
          <w:color w:val="auto"/>
          <w:sz w:val="24"/>
          <w:szCs w:val="24"/>
          <w:highlight w:val="none"/>
        </w:rPr>
      </w:pPr>
    </w:p>
    <w:p w14:paraId="6417B349">
      <w:pPr>
        <w:pStyle w:val="18"/>
        <w:rPr>
          <w:rFonts w:hint="eastAsia" w:ascii="仿宋" w:hAnsi="仿宋" w:eastAsia="仿宋" w:cs="仿宋"/>
          <w:color w:val="auto"/>
          <w:sz w:val="24"/>
          <w:szCs w:val="24"/>
          <w:highlight w:val="none"/>
        </w:rPr>
      </w:pPr>
    </w:p>
    <w:p w14:paraId="4E5DC214">
      <w:pPr>
        <w:rPr>
          <w:rFonts w:hint="eastAsia" w:ascii="仿宋" w:hAnsi="仿宋" w:eastAsia="仿宋" w:cs="仿宋"/>
          <w:color w:val="auto"/>
          <w:sz w:val="24"/>
          <w:szCs w:val="24"/>
          <w:highlight w:val="none"/>
        </w:rPr>
      </w:pPr>
    </w:p>
    <w:p w14:paraId="063B1E9A">
      <w:pPr>
        <w:pStyle w:val="3"/>
        <w:rPr>
          <w:rFonts w:hint="eastAsia"/>
          <w:color w:val="auto"/>
          <w:highlight w:val="none"/>
        </w:rPr>
      </w:pPr>
    </w:p>
    <w:p w14:paraId="07199806">
      <w:pPr>
        <w:spacing w:line="400" w:lineRule="exact"/>
        <w:ind w:right="7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（五）湖州南太湖新区公用事业管理中心外包道路管理考核评分标准</w:t>
      </w:r>
    </w:p>
    <w:tbl>
      <w:tblPr>
        <w:tblStyle w:val="23"/>
        <w:tblW w:w="9835" w:type="dxa"/>
        <w:tblInd w:w="-2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3"/>
        <w:gridCol w:w="720"/>
        <w:gridCol w:w="720"/>
        <w:gridCol w:w="3417"/>
        <w:gridCol w:w="4485"/>
      </w:tblGrid>
      <w:tr w14:paraId="4DED4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493" w:type="dxa"/>
            <w:tcBorders>
              <w:top w:val="single" w:color="auto" w:sz="4" w:space="0"/>
              <w:left w:val="single" w:color="auto" w:sz="4" w:space="0"/>
              <w:bottom w:val="single" w:color="auto" w:sz="4" w:space="0"/>
              <w:right w:val="single" w:color="auto" w:sz="4" w:space="0"/>
            </w:tcBorders>
          </w:tcPr>
          <w:p w14:paraId="67812E27">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w:t>
            </w:r>
          </w:p>
          <w:p w14:paraId="4665FB70">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号</w:t>
            </w:r>
          </w:p>
        </w:tc>
        <w:tc>
          <w:tcPr>
            <w:tcW w:w="720" w:type="dxa"/>
            <w:tcBorders>
              <w:top w:val="single" w:color="auto" w:sz="4" w:space="0"/>
              <w:left w:val="single" w:color="auto" w:sz="4" w:space="0"/>
              <w:bottom w:val="single" w:color="auto" w:sz="4" w:space="0"/>
              <w:right w:val="single" w:color="auto" w:sz="4" w:space="0"/>
            </w:tcBorders>
          </w:tcPr>
          <w:p w14:paraId="3745F8C3">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检查项目</w:t>
            </w:r>
          </w:p>
        </w:tc>
        <w:tc>
          <w:tcPr>
            <w:tcW w:w="720" w:type="dxa"/>
            <w:tcBorders>
              <w:top w:val="single" w:color="auto" w:sz="4" w:space="0"/>
              <w:left w:val="single" w:color="auto" w:sz="4" w:space="0"/>
              <w:bottom w:val="single" w:color="auto" w:sz="4" w:space="0"/>
              <w:right w:val="single" w:color="auto" w:sz="4" w:space="0"/>
            </w:tcBorders>
          </w:tcPr>
          <w:p w14:paraId="2E933A1F">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检查</w:t>
            </w:r>
          </w:p>
          <w:p w14:paraId="5C8DC0DE">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方式</w:t>
            </w:r>
          </w:p>
        </w:tc>
        <w:tc>
          <w:tcPr>
            <w:tcW w:w="3417" w:type="dxa"/>
            <w:tcBorders>
              <w:top w:val="single" w:color="auto" w:sz="4" w:space="0"/>
              <w:left w:val="single" w:color="auto" w:sz="4" w:space="0"/>
              <w:bottom w:val="single" w:color="auto" w:sz="4" w:space="0"/>
              <w:right w:val="single" w:color="auto" w:sz="4" w:space="0"/>
            </w:tcBorders>
            <w:vAlign w:val="center"/>
          </w:tcPr>
          <w:p w14:paraId="18C5523B">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管理作业标准</w:t>
            </w:r>
          </w:p>
        </w:tc>
        <w:tc>
          <w:tcPr>
            <w:tcW w:w="4485" w:type="dxa"/>
            <w:tcBorders>
              <w:top w:val="single" w:color="auto" w:sz="4" w:space="0"/>
              <w:left w:val="single" w:color="auto" w:sz="4" w:space="0"/>
              <w:bottom w:val="single" w:color="auto" w:sz="4" w:space="0"/>
              <w:right w:val="single" w:color="auto" w:sz="4" w:space="0"/>
            </w:tcBorders>
            <w:vAlign w:val="center"/>
          </w:tcPr>
          <w:p w14:paraId="42F15E54">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评分标准</w:t>
            </w:r>
          </w:p>
        </w:tc>
      </w:tr>
      <w:tr w14:paraId="0F145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trPr>
        <w:tc>
          <w:tcPr>
            <w:tcW w:w="493" w:type="dxa"/>
            <w:vMerge w:val="restart"/>
            <w:tcBorders>
              <w:top w:val="single" w:color="auto" w:sz="4" w:space="0"/>
              <w:left w:val="single" w:color="auto" w:sz="4" w:space="0"/>
              <w:right w:val="single" w:color="auto" w:sz="4" w:space="0"/>
            </w:tcBorders>
            <w:vAlign w:val="center"/>
          </w:tcPr>
          <w:p w14:paraId="18E48DA1">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tc>
        <w:tc>
          <w:tcPr>
            <w:tcW w:w="720" w:type="dxa"/>
            <w:vMerge w:val="restart"/>
            <w:tcBorders>
              <w:top w:val="single" w:color="auto" w:sz="4" w:space="0"/>
              <w:left w:val="single" w:color="auto" w:sz="4" w:space="0"/>
              <w:right w:val="single" w:color="auto" w:sz="4" w:space="0"/>
            </w:tcBorders>
            <w:vAlign w:val="center"/>
          </w:tcPr>
          <w:p w14:paraId="021DCBC5">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台帐资料</w:t>
            </w:r>
          </w:p>
        </w:tc>
        <w:tc>
          <w:tcPr>
            <w:tcW w:w="720" w:type="dxa"/>
            <w:vMerge w:val="restart"/>
            <w:tcBorders>
              <w:top w:val="single" w:color="auto" w:sz="4" w:space="0"/>
              <w:left w:val="single" w:color="auto" w:sz="4" w:space="0"/>
              <w:right w:val="single" w:color="auto" w:sz="4" w:space="0"/>
            </w:tcBorders>
            <w:vAlign w:val="center"/>
          </w:tcPr>
          <w:p w14:paraId="386894FB">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现场检查</w:t>
            </w:r>
          </w:p>
        </w:tc>
        <w:tc>
          <w:tcPr>
            <w:tcW w:w="3417" w:type="dxa"/>
            <w:tcBorders>
              <w:top w:val="single" w:color="auto" w:sz="4" w:space="0"/>
              <w:left w:val="single" w:color="auto" w:sz="4" w:space="0"/>
              <w:bottom w:val="single" w:color="auto" w:sz="4" w:space="0"/>
              <w:right w:val="single" w:color="auto" w:sz="4" w:space="0"/>
            </w:tcBorders>
            <w:vAlign w:val="center"/>
          </w:tcPr>
          <w:p w14:paraId="219C8F0B">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1、层层落实管理责任制</w:t>
            </w:r>
          </w:p>
        </w:tc>
        <w:tc>
          <w:tcPr>
            <w:tcW w:w="4485" w:type="dxa"/>
            <w:tcBorders>
              <w:top w:val="single" w:color="auto" w:sz="4" w:space="0"/>
              <w:left w:val="single" w:color="auto" w:sz="4" w:space="0"/>
              <w:bottom w:val="single" w:color="auto" w:sz="4" w:space="0"/>
              <w:right w:val="single" w:color="auto" w:sz="4" w:space="0"/>
            </w:tcBorders>
            <w:vAlign w:val="center"/>
          </w:tcPr>
          <w:p w14:paraId="2D552646">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1、未落实责任制的扣3分</w:t>
            </w:r>
          </w:p>
        </w:tc>
      </w:tr>
      <w:tr w14:paraId="14161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 w:hRule="atLeast"/>
        </w:trPr>
        <w:tc>
          <w:tcPr>
            <w:tcW w:w="493" w:type="dxa"/>
            <w:vMerge w:val="continue"/>
            <w:tcBorders>
              <w:left w:val="single" w:color="auto" w:sz="4" w:space="0"/>
              <w:right w:val="single" w:color="auto" w:sz="4" w:space="0"/>
            </w:tcBorders>
          </w:tcPr>
          <w:p w14:paraId="2D57068D">
            <w:pPr>
              <w:autoSpaceDE w:val="0"/>
              <w:autoSpaceDN w:val="0"/>
              <w:spacing w:line="480" w:lineRule="exact"/>
              <w:textAlignment w:val="baseline"/>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tcPr>
          <w:p w14:paraId="361C2F46">
            <w:pPr>
              <w:autoSpaceDE w:val="0"/>
              <w:autoSpaceDN w:val="0"/>
              <w:spacing w:line="480" w:lineRule="exact"/>
              <w:textAlignment w:val="baseline"/>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tcPr>
          <w:p w14:paraId="6C1D25DB">
            <w:pPr>
              <w:autoSpaceDE w:val="0"/>
              <w:autoSpaceDN w:val="0"/>
              <w:spacing w:line="480" w:lineRule="exact"/>
              <w:textAlignment w:val="baseline"/>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vAlign w:val="center"/>
          </w:tcPr>
          <w:p w14:paraId="04B70F7D">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按行业要求建好台帐【包括：人员花名册、员工入职合同、车辆及人员保单、人员及车辆管理规章制度、人员商业保险台帐、上岗培训、安全教育、卫生标准管理制度、安全工作制度、日常工作管理责任制度、作息时间制度、突发及应急事件（迎检、自然灾害、110、市民投诉、数字城管、阳光热线等）处置预案等台账资料】，财产登记造册</w:t>
            </w:r>
          </w:p>
        </w:tc>
        <w:tc>
          <w:tcPr>
            <w:tcW w:w="4485" w:type="dxa"/>
            <w:tcBorders>
              <w:top w:val="single" w:color="auto" w:sz="4" w:space="0"/>
              <w:left w:val="single" w:color="auto" w:sz="4" w:space="0"/>
              <w:bottom w:val="single" w:color="auto" w:sz="4" w:space="0"/>
              <w:right w:val="single" w:color="auto" w:sz="4" w:space="0"/>
            </w:tcBorders>
            <w:vAlign w:val="center"/>
          </w:tcPr>
          <w:p w14:paraId="6C4452A7">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2、台帐每缺一项扣1.5分，未登记造册扣2分</w:t>
            </w:r>
          </w:p>
        </w:tc>
      </w:tr>
      <w:tr w14:paraId="78132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5" w:hRule="atLeast"/>
        </w:trPr>
        <w:tc>
          <w:tcPr>
            <w:tcW w:w="493" w:type="dxa"/>
            <w:vMerge w:val="continue"/>
            <w:tcBorders>
              <w:left w:val="single" w:color="auto" w:sz="4" w:space="0"/>
              <w:bottom w:val="single" w:color="auto" w:sz="4" w:space="0"/>
              <w:right w:val="single" w:color="auto" w:sz="4" w:space="0"/>
            </w:tcBorders>
          </w:tcPr>
          <w:p w14:paraId="6021073A">
            <w:pPr>
              <w:autoSpaceDE w:val="0"/>
              <w:autoSpaceDN w:val="0"/>
              <w:spacing w:line="480" w:lineRule="exact"/>
              <w:textAlignment w:val="baseline"/>
              <w:rPr>
                <w:rFonts w:hint="eastAsia" w:ascii="仿宋" w:hAnsi="仿宋" w:eastAsia="仿宋" w:cs="仿宋"/>
                <w:color w:val="auto"/>
                <w:sz w:val="24"/>
                <w:szCs w:val="24"/>
                <w:highlight w:val="none"/>
              </w:rPr>
            </w:pPr>
          </w:p>
        </w:tc>
        <w:tc>
          <w:tcPr>
            <w:tcW w:w="720" w:type="dxa"/>
            <w:vMerge w:val="continue"/>
            <w:tcBorders>
              <w:left w:val="single" w:color="auto" w:sz="4" w:space="0"/>
              <w:bottom w:val="single" w:color="auto" w:sz="4" w:space="0"/>
              <w:right w:val="single" w:color="auto" w:sz="4" w:space="0"/>
            </w:tcBorders>
          </w:tcPr>
          <w:p w14:paraId="762D7B2D">
            <w:pPr>
              <w:autoSpaceDE w:val="0"/>
              <w:autoSpaceDN w:val="0"/>
              <w:spacing w:line="480" w:lineRule="exact"/>
              <w:textAlignment w:val="baseline"/>
              <w:rPr>
                <w:rFonts w:hint="eastAsia" w:ascii="仿宋" w:hAnsi="仿宋" w:eastAsia="仿宋" w:cs="仿宋"/>
                <w:color w:val="auto"/>
                <w:sz w:val="24"/>
                <w:szCs w:val="24"/>
                <w:highlight w:val="none"/>
              </w:rPr>
            </w:pPr>
          </w:p>
        </w:tc>
        <w:tc>
          <w:tcPr>
            <w:tcW w:w="720" w:type="dxa"/>
            <w:vMerge w:val="continue"/>
            <w:tcBorders>
              <w:left w:val="single" w:color="auto" w:sz="4" w:space="0"/>
              <w:bottom w:val="single" w:color="auto" w:sz="4" w:space="0"/>
              <w:right w:val="single" w:color="auto" w:sz="4" w:space="0"/>
            </w:tcBorders>
          </w:tcPr>
          <w:p w14:paraId="1DD6AA3A">
            <w:pPr>
              <w:autoSpaceDE w:val="0"/>
              <w:autoSpaceDN w:val="0"/>
              <w:spacing w:line="480" w:lineRule="exact"/>
              <w:textAlignment w:val="baseline"/>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vAlign w:val="center"/>
          </w:tcPr>
          <w:p w14:paraId="069591F6">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3、按时限要求内（当月所发生的工资等待遇应在次月的15日前）如实发放本项目的管理员、保洁员、驾驶员等职工工资，不得延时拖欠。</w:t>
            </w:r>
          </w:p>
        </w:tc>
        <w:tc>
          <w:tcPr>
            <w:tcW w:w="4485" w:type="dxa"/>
            <w:tcBorders>
              <w:top w:val="single" w:color="auto" w:sz="4" w:space="0"/>
              <w:left w:val="single" w:color="auto" w:sz="4" w:space="0"/>
              <w:bottom w:val="single" w:color="auto" w:sz="4" w:space="0"/>
              <w:right w:val="single" w:color="auto" w:sz="4" w:space="0"/>
            </w:tcBorders>
            <w:vAlign w:val="center"/>
          </w:tcPr>
          <w:p w14:paraId="1DAF65C3">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未在时限要求内（当月员工所发生的工资等待遇应在次月的15日前）如实发放本项目的所属员工或拖欠工资，每发现拖欠1人次扣0.1分，且在查处后3日内补发所属员工工资；如仍未补发的，业主单位有权从承包款或履约保证金中给予扣除应发给员工的工资。</w:t>
            </w:r>
          </w:p>
        </w:tc>
      </w:tr>
      <w:tr w14:paraId="2B67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trPr>
        <w:tc>
          <w:tcPr>
            <w:tcW w:w="493" w:type="dxa"/>
            <w:vMerge w:val="restart"/>
            <w:tcBorders>
              <w:top w:val="single" w:color="auto" w:sz="4" w:space="0"/>
              <w:left w:val="single" w:color="auto" w:sz="4" w:space="0"/>
              <w:bottom w:val="single" w:color="auto" w:sz="4" w:space="0"/>
              <w:right w:val="single" w:color="auto" w:sz="4" w:space="0"/>
            </w:tcBorders>
            <w:vAlign w:val="center"/>
          </w:tcPr>
          <w:p w14:paraId="2C134A4E">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p>
        </w:tc>
        <w:tc>
          <w:tcPr>
            <w:tcW w:w="720" w:type="dxa"/>
            <w:vMerge w:val="restart"/>
            <w:tcBorders>
              <w:top w:val="single" w:color="auto" w:sz="4" w:space="0"/>
              <w:left w:val="single" w:color="auto" w:sz="4" w:space="0"/>
              <w:bottom w:val="single" w:color="auto" w:sz="4" w:space="0"/>
              <w:right w:val="single" w:color="auto" w:sz="4" w:space="0"/>
            </w:tcBorders>
            <w:vAlign w:val="center"/>
          </w:tcPr>
          <w:p w14:paraId="748BD2FA">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管理指标落实情况</w:t>
            </w:r>
          </w:p>
        </w:tc>
        <w:tc>
          <w:tcPr>
            <w:tcW w:w="720" w:type="dxa"/>
            <w:vMerge w:val="restart"/>
            <w:tcBorders>
              <w:top w:val="single" w:color="auto" w:sz="4" w:space="0"/>
              <w:left w:val="single" w:color="auto" w:sz="4" w:space="0"/>
              <w:bottom w:val="single" w:color="auto" w:sz="4" w:space="0"/>
              <w:right w:val="single" w:color="auto" w:sz="4" w:space="0"/>
            </w:tcBorders>
            <w:vAlign w:val="center"/>
          </w:tcPr>
          <w:p w14:paraId="71F9ECF3">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w:t>
            </w:r>
          </w:p>
          <w:p w14:paraId="3166B78E">
            <w:pPr>
              <w:autoSpaceDE w:val="0"/>
              <w:autoSpaceDN w:val="0"/>
              <w:spacing w:line="48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检查</w:t>
            </w:r>
          </w:p>
          <w:p w14:paraId="6375D9F8">
            <w:pPr>
              <w:autoSpaceDE w:val="0"/>
              <w:autoSpaceDN w:val="0"/>
              <w:spacing w:line="480" w:lineRule="exact"/>
              <w:jc w:val="center"/>
              <w:textAlignment w:val="baseline"/>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right w:val="single" w:color="auto" w:sz="4" w:space="0"/>
            </w:tcBorders>
          </w:tcPr>
          <w:p w14:paraId="1D22C67F">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4、按照行业标准化管理指标要求落实道路保洁时间。</w:t>
            </w:r>
          </w:p>
        </w:tc>
        <w:tc>
          <w:tcPr>
            <w:tcW w:w="4485" w:type="dxa"/>
            <w:tcBorders>
              <w:top w:val="single" w:color="auto" w:sz="4" w:space="0"/>
              <w:left w:val="single" w:color="auto" w:sz="4" w:space="0"/>
              <w:right w:val="single" w:color="auto" w:sz="4" w:space="0"/>
            </w:tcBorders>
          </w:tcPr>
          <w:p w14:paraId="6E26BCD5">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4、道路保洁时间未落实规定时间要求的，每条道路每次扣2分。</w:t>
            </w:r>
          </w:p>
        </w:tc>
      </w:tr>
      <w:tr w14:paraId="22A37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0" w:hRule="atLeast"/>
        </w:trPr>
        <w:tc>
          <w:tcPr>
            <w:tcW w:w="493" w:type="dxa"/>
            <w:vMerge w:val="continue"/>
            <w:tcBorders>
              <w:top w:val="single" w:color="auto" w:sz="4" w:space="0"/>
              <w:left w:val="single" w:color="auto" w:sz="4" w:space="0"/>
              <w:bottom w:val="single" w:color="auto" w:sz="4" w:space="0"/>
              <w:right w:val="single" w:color="auto" w:sz="4" w:space="0"/>
            </w:tcBorders>
            <w:vAlign w:val="center"/>
          </w:tcPr>
          <w:p w14:paraId="3F7E5C18">
            <w:pPr>
              <w:widowControl/>
              <w:spacing w:line="480" w:lineRule="exact"/>
              <w:jc w:val="left"/>
              <w:rPr>
                <w:rFonts w:hint="eastAsia" w:ascii="仿宋" w:hAnsi="仿宋" w:eastAsia="仿宋" w:cs="仿宋"/>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4A9C7377">
            <w:pPr>
              <w:widowControl/>
              <w:spacing w:line="480" w:lineRule="exact"/>
              <w:jc w:val="left"/>
              <w:rPr>
                <w:rFonts w:hint="eastAsia" w:ascii="仿宋" w:hAnsi="仿宋" w:eastAsia="仿宋" w:cs="仿宋"/>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0DDC6286">
            <w:pPr>
              <w:widowControl/>
              <w:spacing w:line="480"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right w:val="single" w:color="auto" w:sz="4" w:space="0"/>
            </w:tcBorders>
          </w:tcPr>
          <w:p w14:paraId="6CB439B1">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5、按照行业管理落实专职管理员跟踪作业，发现问题及时解决。项目负责人联系电话必须保持24小时接听状态。</w:t>
            </w:r>
          </w:p>
        </w:tc>
        <w:tc>
          <w:tcPr>
            <w:tcW w:w="4485" w:type="dxa"/>
            <w:tcBorders>
              <w:top w:val="single" w:color="auto" w:sz="4" w:space="0"/>
              <w:left w:val="single" w:color="auto" w:sz="4" w:space="0"/>
              <w:right w:val="single" w:color="auto" w:sz="4" w:space="0"/>
            </w:tcBorders>
          </w:tcPr>
          <w:p w14:paraId="67171BB9">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5.1、在管理中管理员不到位，每次扣1分。15分钟未到通知现场处理问题，每次扣1分。</w:t>
            </w:r>
          </w:p>
          <w:p w14:paraId="3B80C127">
            <w:pPr>
              <w:autoSpaceDE w:val="0"/>
              <w:autoSpaceDN w:val="0"/>
              <w:spacing w:line="48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5.2、项目负责人联系电话关机或不接听每次扣2分。</w:t>
            </w:r>
          </w:p>
        </w:tc>
      </w:tr>
      <w:tr w14:paraId="2C89B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93" w:type="dxa"/>
            <w:vMerge w:val="restart"/>
            <w:tcBorders>
              <w:top w:val="single" w:color="auto" w:sz="4" w:space="0"/>
              <w:left w:val="single" w:color="auto" w:sz="4" w:space="0"/>
              <w:bottom w:val="single" w:color="auto" w:sz="4" w:space="0"/>
              <w:right w:val="single" w:color="auto" w:sz="4" w:space="0"/>
            </w:tcBorders>
            <w:vAlign w:val="center"/>
          </w:tcPr>
          <w:p w14:paraId="1C909043">
            <w:pPr>
              <w:autoSpaceDE w:val="0"/>
              <w:autoSpaceDN w:val="0"/>
              <w:spacing w:line="384"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w:t>
            </w:r>
          </w:p>
        </w:tc>
        <w:tc>
          <w:tcPr>
            <w:tcW w:w="720" w:type="dxa"/>
            <w:vMerge w:val="restart"/>
            <w:tcBorders>
              <w:top w:val="single" w:color="auto" w:sz="4" w:space="0"/>
              <w:left w:val="single" w:color="auto" w:sz="4" w:space="0"/>
              <w:bottom w:val="single" w:color="auto" w:sz="4" w:space="0"/>
              <w:right w:val="single" w:color="auto" w:sz="4" w:space="0"/>
            </w:tcBorders>
            <w:vAlign w:val="center"/>
          </w:tcPr>
          <w:p w14:paraId="7F976400">
            <w:pPr>
              <w:autoSpaceDE w:val="0"/>
              <w:autoSpaceDN w:val="0"/>
              <w:spacing w:line="384"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道路保洁质量情况</w:t>
            </w:r>
          </w:p>
        </w:tc>
        <w:tc>
          <w:tcPr>
            <w:tcW w:w="720" w:type="dxa"/>
            <w:vMerge w:val="restart"/>
            <w:tcBorders>
              <w:top w:val="single" w:color="auto" w:sz="4" w:space="0"/>
              <w:left w:val="single" w:color="auto" w:sz="4" w:space="0"/>
              <w:bottom w:val="single" w:color="auto" w:sz="4" w:space="0"/>
              <w:right w:val="single" w:color="auto" w:sz="4" w:space="0"/>
            </w:tcBorders>
            <w:vAlign w:val="center"/>
          </w:tcPr>
          <w:p w14:paraId="43DEF38B">
            <w:pPr>
              <w:autoSpaceDE w:val="0"/>
              <w:autoSpaceDN w:val="0"/>
              <w:spacing w:line="384"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现场检查</w:t>
            </w:r>
          </w:p>
          <w:p w14:paraId="36091916">
            <w:pPr>
              <w:autoSpaceDE w:val="0"/>
              <w:autoSpaceDN w:val="0"/>
              <w:spacing w:line="384" w:lineRule="exact"/>
              <w:jc w:val="center"/>
              <w:textAlignment w:val="baseline"/>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1CF418B2">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6、路面作业应做到五无五净，无果皮纸屑、无土石杂草、无积水积泥、无烟蒂、无堆积物；重点道路路面、人行道，积泥、沙、灰等残留垃圾1㎡≤</w:t>
            </w:r>
            <w:r>
              <w:rPr>
                <w:rFonts w:hint="eastAsia" w:ascii="仿宋" w:hAnsi="仿宋" w:eastAsia="仿宋" w:cs="仿宋"/>
                <w:bCs/>
                <w:color w:val="auto"/>
                <w:sz w:val="24"/>
                <w:szCs w:val="24"/>
                <w:highlight w:val="none"/>
              </w:rPr>
              <w:t>20克；</w:t>
            </w:r>
            <w:r>
              <w:rPr>
                <w:rFonts w:hint="eastAsia" w:ascii="仿宋" w:hAnsi="仿宋" w:eastAsia="仿宋" w:cs="仿宋"/>
                <w:color w:val="auto"/>
                <w:sz w:val="24"/>
                <w:szCs w:val="24"/>
                <w:highlight w:val="none"/>
              </w:rPr>
              <w:t>道路绿地树池干净、边角侧石干净、窨井盖沟眼畅通干净、道路净、果壳箱等环卫设施干净。及时清理（服务区域范围内）边井内下水口的泥沙、树叶等各类垃圾，始终保持各条道路边井内下水口通畅并做到雨天有足量的人负责边井的疏通，严防积水；雪天及时安排足量人员或机械在每座桥做好防滑处置（如扫雪、撒盐、撒石子等），并做到雪尽及时清理石子，确保桥面不打滑、不积雪。</w:t>
            </w:r>
          </w:p>
        </w:tc>
        <w:tc>
          <w:tcPr>
            <w:tcW w:w="4485" w:type="dxa"/>
            <w:tcBorders>
              <w:top w:val="single" w:color="auto" w:sz="4" w:space="0"/>
              <w:left w:val="single" w:color="auto" w:sz="4" w:space="0"/>
              <w:bottom w:val="single" w:color="auto" w:sz="4" w:space="0"/>
              <w:right w:val="single" w:color="auto" w:sz="4" w:space="0"/>
            </w:tcBorders>
          </w:tcPr>
          <w:p w14:paraId="1FB1E667">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6.1、在道路1000㎡以内路面有色污染体（含果皮、纸屑、塑膜）≥6个的扣1分；烟蒂≥8只的扣1分；污水≥0.5㎡的扣1分。</w:t>
            </w:r>
          </w:p>
          <w:p w14:paraId="136F0A36">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6.2、雨水井、窨井沟眼、窨井内下水口有积泥、残留垃圾（树叶、嵌石等）的每个扣1分;树框、树池内有杂物、垃圾的每处扣1分。</w:t>
            </w:r>
          </w:p>
          <w:p w14:paraId="2700C33D">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6.3、道路积泥（沙石尘、泥灰迹）0.2米＜长度＜1米的每处扣1分;5米＞长度≥1米的每处扣2分;长度≥5米的每处扣3分。</w:t>
            </w:r>
          </w:p>
          <w:p w14:paraId="7554EF16">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6.4重点道路（路面、弯道、人行道），积泥、沙、灰等残留垃圾1㎡＞20克每处扣1分，每条重点道路最多可选3处按平方称重量（注：此项检查为特殊检查，不以其他检查项发生任何冲突，但扣分可累计计入月考或日常检查中）。</w:t>
            </w:r>
          </w:p>
          <w:p w14:paraId="4F3DD5F5">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6.5、道路晴天积水＜3M²的每处扣1分，≥3 M²的每处扣2分;冬季路面积水导致路面结冰的每处扣1分;导致有责交通事故的每次扣3分并承担事故所有责任。 </w:t>
            </w:r>
          </w:p>
          <w:p w14:paraId="27DFADBB">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6.6、人行道板间、人行道各类井盖间的缝隙有垃圾、杂物、杂草的每处扣1分;道路、人行道杂草未及时清除的每处扣1分。</w:t>
            </w:r>
          </w:p>
          <w:p w14:paraId="728C73E4">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6.7、雨天未安排专门人员在路面积水点处进行疏通边井的，每发现1个边井未清理干净的扣2分，雨停未及时（业主单位要求的时限内）清除路面积泥积水的每处扣2分；雪天未安排专门人员在桥面进行防滑、防积雪作业的每座桥扣2分，雪停未及时（业主单位要求的时限内）完成桥面清理的每座桥扣2分。</w:t>
            </w:r>
          </w:p>
        </w:tc>
      </w:tr>
      <w:tr w14:paraId="3EC12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5" w:hRule="atLeast"/>
        </w:trPr>
        <w:tc>
          <w:tcPr>
            <w:tcW w:w="493" w:type="dxa"/>
            <w:vMerge w:val="continue"/>
            <w:tcBorders>
              <w:top w:val="single" w:color="auto" w:sz="4" w:space="0"/>
              <w:left w:val="single" w:color="auto" w:sz="4" w:space="0"/>
              <w:bottom w:val="single" w:color="auto" w:sz="4" w:space="0"/>
              <w:right w:val="single" w:color="auto" w:sz="4" w:space="0"/>
            </w:tcBorders>
            <w:vAlign w:val="center"/>
          </w:tcPr>
          <w:p w14:paraId="22F36286">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1A181299">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3CB20821">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72BD07D1">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道路、人行道、绿化带（包括绿化带边缘向外扩10米内，公园除外）、慢车道、桥下桥边、河边、围墙根部、围墙内侧边口、厂门前、商铺前等区域范围内保洁应与道路保洁同步，做到区域范围内无杂物、无垃圾。</w:t>
            </w:r>
          </w:p>
        </w:tc>
        <w:tc>
          <w:tcPr>
            <w:tcW w:w="4485" w:type="dxa"/>
            <w:tcBorders>
              <w:top w:val="single" w:color="auto" w:sz="4" w:space="0"/>
              <w:left w:val="single" w:color="auto" w:sz="4" w:space="0"/>
              <w:bottom w:val="single" w:color="auto" w:sz="4" w:space="0"/>
              <w:right w:val="single" w:color="auto" w:sz="4" w:space="0"/>
            </w:tcBorders>
          </w:tcPr>
          <w:p w14:paraId="3F538573">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7.1、</w:t>
            </w:r>
            <w:r>
              <w:rPr>
                <w:rFonts w:hint="eastAsia" w:ascii="仿宋" w:hAnsi="仿宋" w:eastAsia="仿宋" w:cs="仿宋"/>
                <w:color w:val="auto"/>
                <w:sz w:val="24"/>
                <w:szCs w:val="24"/>
                <w:highlight w:val="none"/>
              </w:rPr>
              <w:t>道路、人行道、绿化带（包括绿化带边缘向外扩10米内，公园除外）、慢车道、桥下桥边、河边、围墙根部、围墙内侧边口、厂门前、商铺前等区域范围内有成堆（2㎡＞堆积面积＞0.2㎡）生活垃圾、工程废料、装修垃圾、废弃家用品垃圾的每堆扣2分，30分钟内（业主单位通知时开始计算）未派人前往清理的再加扣2分；情况严重，影响恶劣（指上级检查、相关部门曝光或通报、市民投诉、堆积时间超2个工作日、垃圾堆积面积＞2㎡）的每堆扣5分，30分钟内（业主单位通知时开始计算）未派人前往清理的再加扣5分。</w:t>
            </w:r>
          </w:p>
          <w:p w14:paraId="071D5205">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7.2、</w:t>
            </w:r>
            <w:r>
              <w:rPr>
                <w:rFonts w:hint="eastAsia" w:ascii="仿宋" w:hAnsi="仿宋" w:eastAsia="仿宋" w:cs="仿宋"/>
                <w:color w:val="auto"/>
                <w:sz w:val="24"/>
                <w:szCs w:val="24"/>
                <w:highlight w:val="none"/>
              </w:rPr>
              <w:t>零星杂物垃圾（有色污染物6个以下）的滞留时间超过20分钟未处理，每个扣0.2分。</w:t>
            </w:r>
          </w:p>
        </w:tc>
      </w:tr>
      <w:tr w14:paraId="7536F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93" w:type="dxa"/>
            <w:vMerge w:val="continue"/>
            <w:tcBorders>
              <w:top w:val="single" w:color="auto" w:sz="4" w:space="0"/>
              <w:left w:val="single" w:color="auto" w:sz="4" w:space="0"/>
              <w:bottom w:val="single" w:color="auto" w:sz="4" w:space="0"/>
              <w:right w:val="single" w:color="auto" w:sz="4" w:space="0"/>
            </w:tcBorders>
            <w:vAlign w:val="center"/>
          </w:tcPr>
          <w:p w14:paraId="61579E34">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5F98B2A9">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3DBC7B14">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128EC075">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沿街、道路、人行道等垃圾桶、果壳箱无歪斜、无破损，无积存垃圾，沿街垃圾桶无破损，垃圾日产两清（无特殊情况上午8:00、下午15:00前清理），清理及时。果壳箱、垃圾桶、垃圾房内外清洁无污垢、无垃圾满溢现象，无箱（桶、房）外暴露垃圾。</w:t>
            </w:r>
          </w:p>
        </w:tc>
        <w:tc>
          <w:tcPr>
            <w:tcW w:w="4485" w:type="dxa"/>
            <w:tcBorders>
              <w:top w:val="single" w:color="auto" w:sz="4" w:space="0"/>
              <w:left w:val="single" w:color="auto" w:sz="4" w:space="0"/>
              <w:bottom w:val="single" w:color="auto" w:sz="4" w:space="0"/>
              <w:right w:val="single" w:color="auto" w:sz="4" w:space="0"/>
            </w:tcBorders>
          </w:tcPr>
          <w:p w14:paraId="788E11A0">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沿街、道路、人行道等垃圾桶、果壳箱歪斜的每只扣1分；倾斜、破损、缺失未及时上报的每只扣1分；垃圾未日产两清的每只扣1分；果壳箱、垃圾桶不洁有污垢的每只扣1分；垃圾满溢的每只扣2分；周围路面不洁有暴露垃圾、垃圾包、污迹的每处扣2分；垃圾收集后垃圾桶未放回原处的每只扣2分；垃圾桶盖未盖、果壳箱门未关的，每只扣1分。</w:t>
            </w:r>
          </w:p>
        </w:tc>
      </w:tr>
      <w:tr w14:paraId="3D9EF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493" w:type="dxa"/>
            <w:vMerge w:val="continue"/>
            <w:tcBorders>
              <w:top w:val="single" w:color="auto" w:sz="4" w:space="0"/>
              <w:left w:val="single" w:color="auto" w:sz="4" w:space="0"/>
              <w:bottom w:val="single" w:color="auto" w:sz="4" w:space="0"/>
              <w:right w:val="single" w:color="auto" w:sz="4" w:space="0"/>
            </w:tcBorders>
            <w:vAlign w:val="center"/>
          </w:tcPr>
          <w:p w14:paraId="1FDCD4F9">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210E5CE8">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79E1E8A9">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09CAF9AB">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9、道路、桥梁护栏，桥梁台阶、扶手整体必须保持干净整洁。</w:t>
            </w:r>
          </w:p>
        </w:tc>
        <w:tc>
          <w:tcPr>
            <w:tcW w:w="4485" w:type="dxa"/>
            <w:tcBorders>
              <w:top w:val="single" w:color="auto" w:sz="4" w:space="0"/>
              <w:left w:val="single" w:color="auto" w:sz="4" w:space="0"/>
              <w:bottom w:val="single" w:color="auto" w:sz="4" w:space="0"/>
              <w:right w:val="single" w:color="auto" w:sz="4" w:space="0"/>
            </w:tcBorders>
          </w:tcPr>
          <w:p w14:paraId="78F84535">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9、道路护栏、桥梁护栏、扶手脏每处扣1分；桥梁台阶脏每处扣2分。</w:t>
            </w:r>
          </w:p>
        </w:tc>
      </w:tr>
      <w:tr w14:paraId="27178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0" w:hRule="atLeast"/>
        </w:trPr>
        <w:tc>
          <w:tcPr>
            <w:tcW w:w="493" w:type="dxa"/>
            <w:vMerge w:val="continue"/>
            <w:tcBorders>
              <w:left w:val="single" w:color="auto" w:sz="4" w:space="0"/>
              <w:bottom w:val="single" w:color="auto" w:sz="4" w:space="0"/>
              <w:right w:val="single" w:color="auto" w:sz="4" w:space="0"/>
            </w:tcBorders>
            <w:vAlign w:val="center"/>
          </w:tcPr>
          <w:p w14:paraId="694A6466">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bottom w:val="single" w:color="auto" w:sz="4" w:space="0"/>
              <w:right w:val="single" w:color="auto" w:sz="4" w:space="0"/>
            </w:tcBorders>
            <w:vAlign w:val="center"/>
          </w:tcPr>
          <w:p w14:paraId="29A5EF25">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bottom w:val="single" w:color="auto" w:sz="4" w:space="0"/>
              <w:right w:val="single" w:color="auto" w:sz="4" w:space="0"/>
            </w:tcBorders>
            <w:vAlign w:val="center"/>
          </w:tcPr>
          <w:p w14:paraId="0D9B75CD">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057351AD">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10、及时有效的清理工程车运输途中产生的抛洒滴漏，做到随时洒落随时清理，始终使路面保持干净。</w:t>
            </w:r>
          </w:p>
        </w:tc>
        <w:tc>
          <w:tcPr>
            <w:tcW w:w="4485" w:type="dxa"/>
            <w:tcBorders>
              <w:top w:val="single" w:color="auto" w:sz="4" w:space="0"/>
              <w:left w:val="single" w:color="auto" w:sz="4" w:space="0"/>
              <w:bottom w:val="single" w:color="auto" w:sz="4" w:space="0"/>
              <w:right w:val="single" w:color="auto" w:sz="4" w:space="0"/>
            </w:tcBorders>
          </w:tcPr>
          <w:p w14:paraId="5AC517F8">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10、未及时清理抛洒滴漏的每处扣2分。</w:t>
            </w:r>
          </w:p>
        </w:tc>
      </w:tr>
      <w:tr w14:paraId="34F25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6" w:hRule="atLeast"/>
        </w:trPr>
        <w:tc>
          <w:tcPr>
            <w:tcW w:w="493" w:type="dxa"/>
            <w:vMerge w:val="continue"/>
            <w:tcBorders>
              <w:left w:val="single" w:color="auto" w:sz="4" w:space="0"/>
              <w:bottom w:val="single" w:color="auto" w:sz="4" w:space="0"/>
              <w:right w:val="single" w:color="auto" w:sz="4" w:space="0"/>
            </w:tcBorders>
            <w:vAlign w:val="center"/>
          </w:tcPr>
          <w:p w14:paraId="47A3EC49">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bottom w:val="single" w:color="auto" w:sz="4" w:space="0"/>
              <w:right w:val="single" w:color="auto" w:sz="4" w:space="0"/>
            </w:tcBorders>
            <w:vAlign w:val="center"/>
          </w:tcPr>
          <w:p w14:paraId="0C340DE1">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bottom w:val="single" w:color="auto" w:sz="4" w:space="0"/>
              <w:right w:val="single" w:color="auto" w:sz="4" w:space="0"/>
            </w:tcBorders>
            <w:vAlign w:val="center"/>
          </w:tcPr>
          <w:p w14:paraId="52C82991">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298913C9">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11、与片区内的道路、人行道相接的企业门前出入口、商铺门前保持干净清洁。</w:t>
            </w:r>
          </w:p>
        </w:tc>
        <w:tc>
          <w:tcPr>
            <w:tcW w:w="4485" w:type="dxa"/>
            <w:tcBorders>
              <w:top w:val="single" w:color="auto" w:sz="4" w:space="0"/>
              <w:left w:val="single" w:color="auto" w:sz="4" w:space="0"/>
              <w:right w:val="single" w:color="auto" w:sz="4" w:space="0"/>
            </w:tcBorders>
          </w:tcPr>
          <w:p w14:paraId="33036E57">
            <w:pPr>
              <w:autoSpaceDE w:val="0"/>
              <w:autoSpaceDN w:val="0"/>
              <w:spacing w:line="384"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11、参照6、7标准实施扣分。</w:t>
            </w:r>
          </w:p>
        </w:tc>
      </w:tr>
      <w:tr w14:paraId="1C36B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82" w:hRule="atLeast"/>
        </w:trPr>
        <w:tc>
          <w:tcPr>
            <w:tcW w:w="493" w:type="dxa"/>
            <w:vMerge w:val="restart"/>
            <w:tcBorders>
              <w:top w:val="single" w:color="auto" w:sz="4" w:space="0"/>
              <w:left w:val="single" w:color="auto" w:sz="4" w:space="0"/>
              <w:right w:val="single" w:color="auto" w:sz="4" w:space="0"/>
            </w:tcBorders>
            <w:vAlign w:val="center"/>
          </w:tcPr>
          <w:p w14:paraId="5F53B248">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w:t>
            </w:r>
          </w:p>
        </w:tc>
        <w:tc>
          <w:tcPr>
            <w:tcW w:w="720" w:type="dxa"/>
            <w:vMerge w:val="restart"/>
            <w:tcBorders>
              <w:top w:val="single" w:color="auto" w:sz="4" w:space="0"/>
              <w:left w:val="single" w:color="auto" w:sz="4" w:space="0"/>
              <w:right w:val="single" w:color="auto" w:sz="4" w:space="0"/>
            </w:tcBorders>
            <w:vAlign w:val="center"/>
          </w:tcPr>
          <w:p w14:paraId="06F5ABED">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作业规范执行情况</w:t>
            </w:r>
          </w:p>
        </w:tc>
        <w:tc>
          <w:tcPr>
            <w:tcW w:w="720" w:type="dxa"/>
            <w:vMerge w:val="restart"/>
            <w:tcBorders>
              <w:top w:val="single" w:color="auto" w:sz="4" w:space="0"/>
              <w:left w:val="single" w:color="auto" w:sz="4" w:space="0"/>
              <w:right w:val="single" w:color="auto" w:sz="4" w:space="0"/>
            </w:tcBorders>
            <w:vAlign w:val="center"/>
          </w:tcPr>
          <w:p w14:paraId="26E0B400">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现场检查</w:t>
            </w:r>
          </w:p>
        </w:tc>
        <w:tc>
          <w:tcPr>
            <w:tcW w:w="3417" w:type="dxa"/>
            <w:tcBorders>
              <w:top w:val="single" w:color="auto" w:sz="4" w:space="0"/>
              <w:left w:val="single" w:color="auto" w:sz="4" w:space="0"/>
              <w:bottom w:val="single" w:color="auto" w:sz="4" w:space="0"/>
              <w:right w:val="single" w:color="auto" w:sz="4" w:space="0"/>
            </w:tcBorders>
          </w:tcPr>
          <w:p w14:paraId="1384C7EB">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12、严格按规定在每日上午8：00前、下午15:00前完成普扫并清理打堆垃圾和做好巡回保洁工作。作业期间保洁人员不得有立岗、脱岗、坐岗、聊岗、捡废品、干私活等现象。</w:t>
            </w:r>
          </w:p>
        </w:tc>
        <w:tc>
          <w:tcPr>
            <w:tcW w:w="4485" w:type="dxa"/>
            <w:tcBorders>
              <w:top w:val="single" w:color="auto" w:sz="4" w:space="0"/>
              <w:left w:val="single" w:color="auto" w:sz="4" w:space="0"/>
              <w:bottom w:val="single" w:color="auto" w:sz="4" w:space="0"/>
              <w:right w:val="single" w:color="auto" w:sz="4" w:space="0"/>
            </w:tcBorders>
          </w:tcPr>
          <w:p w14:paraId="62773C4E">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12.1、未在规定时间内完成普扫扣2分，(落叶旺季)未及时处理打堆树叶的每条道路扣1分；</w:t>
            </w:r>
          </w:p>
          <w:p w14:paraId="08968173">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12.2、清扫保洁人员立岗、脱岗、坐岗、聊岗、捡废品、干私活的每人次扣1分。</w:t>
            </w:r>
          </w:p>
        </w:tc>
      </w:tr>
      <w:tr w14:paraId="18097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93" w:type="dxa"/>
            <w:vMerge w:val="continue"/>
            <w:tcBorders>
              <w:left w:val="single" w:color="auto" w:sz="4" w:space="0"/>
              <w:right w:val="single" w:color="auto" w:sz="4" w:space="0"/>
            </w:tcBorders>
            <w:vAlign w:val="center"/>
          </w:tcPr>
          <w:p w14:paraId="027400D9">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457C686B">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1FD5E270">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28B76599">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13、工作人员保洁作业时应文明作业，道路、人行道（含厂、商铺前道路）不得漏扫，垃圾应归拢、归堆并清除彻底，垃圾不得扫入窨井、绿化带、河道。</w:t>
            </w:r>
          </w:p>
        </w:tc>
        <w:tc>
          <w:tcPr>
            <w:tcW w:w="4485" w:type="dxa"/>
            <w:tcBorders>
              <w:top w:val="single" w:color="auto" w:sz="4" w:space="0"/>
              <w:left w:val="single" w:color="auto" w:sz="4" w:space="0"/>
              <w:bottom w:val="single" w:color="auto" w:sz="4" w:space="0"/>
              <w:right w:val="single" w:color="auto" w:sz="4" w:space="0"/>
            </w:tcBorders>
          </w:tcPr>
          <w:p w14:paraId="5905ADCB">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13、道路、人行道（含厂、商铺前道路）漏扫每处扣1分，垃圾归拢、归堆未清除的每处扣2分；禁止将垃圾堆放或停留在窨井盖上，垃圾扫入、倒入窨井、河道、绿化带、桥下的，每次扣2分。</w:t>
            </w:r>
          </w:p>
        </w:tc>
      </w:tr>
      <w:tr w14:paraId="21847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67" w:hRule="atLeast"/>
        </w:trPr>
        <w:tc>
          <w:tcPr>
            <w:tcW w:w="493" w:type="dxa"/>
            <w:vMerge w:val="continue"/>
            <w:tcBorders>
              <w:left w:val="single" w:color="auto" w:sz="4" w:space="0"/>
              <w:right w:val="single" w:color="auto" w:sz="4" w:space="0"/>
            </w:tcBorders>
            <w:vAlign w:val="center"/>
          </w:tcPr>
          <w:p w14:paraId="42674076">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1CE57B1E">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565D4698">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right w:val="single" w:color="auto" w:sz="4" w:space="0"/>
            </w:tcBorders>
          </w:tcPr>
          <w:p w14:paraId="395F4580">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14、垃圾应倾倒在规定地点，不得焚烧垃圾、树叶。落叶旺季做到及时清扫，并按指定地点堆放和转运。</w:t>
            </w:r>
          </w:p>
        </w:tc>
        <w:tc>
          <w:tcPr>
            <w:tcW w:w="4485" w:type="dxa"/>
            <w:tcBorders>
              <w:top w:val="single" w:color="auto" w:sz="4" w:space="0"/>
              <w:left w:val="single" w:color="auto" w:sz="4" w:space="0"/>
              <w:right w:val="single" w:color="auto" w:sz="4" w:space="0"/>
            </w:tcBorders>
          </w:tcPr>
          <w:p w14:paraId="442F947A">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14、垃圾未倾倒在规定地点或焚烧垃圾、树叶的每次扣2分。落叶旺季未及时清扫落叶的每条道路扣3分，未按指定地点堆放转运树叶的每次扣1分。</w:t>
            </w:r>
          </w:p>
        </w:tc>
      </w:tr>
      <w:tr w14:paraId="69F39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93" w:type="dxa"/>
            <w:vMerge w:val="continue"/>
            <w:tcBorders>
              <w:left w:val="single" w:color="auto" w:sz="4" w:space="0"/>
              <w:right w:val="single" w:color="auto" w:sz="4" w:space="0"/>
            </w:tcBorders>
            <w:vAlign w:val="center"/>
          </w:tcPr>
          <w:p w14:paraId="1CEBCDAE">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142C77C5">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3572B79F">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294A52A9">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15、垃圾收集点根据季节要求进行消杀，在可视范围内苍蝇应不成堆。</w:t>
            </w:r>
          </w:p>
        </w:tc>
        <w:tc>
          <w:tcPr>
            <w:tcW w:w="4485" w:type="dxa"/>
            <w:tcBorders>
              <w:top w:val="single" w:color="auto" w:sz="4" w:space="0"/>
              <w:left w:val="single" w:color="auto" w:sz="4" w:space="0"/>
              <w:bottom w:val="single" w:color="auto" w:sz="4" w:space="0"/>
              <w:right w:val="single" w:color="auto" w:sz="4" w:space="0"/>
            </w:tcBorders>
          </w:tcPr>
          <w:p w14:paraId="38EB502A">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15、在可视范围内苍蝇成堆每处大于3只以上扣0.2分，没有消杀的扣1分（雨天除外）。</w:t>
            </w:r>
          </w:p>
        </w:tc>
      </w:tr>
      <w:tr w14:paraId="21E4E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6" w:hRule="atLeast"/>
        </w:trPr>
        <w:tc>
          <w:tcPr>
            <w:tcW w:w="493" w:type="dxa"/>
            <w:vMerge w:val="continue"/>
            <w:tcBorders>
              <w:left w:val="single" w:color="auto" w:sz="4" w:space="0"/>
              <w:right w:val="single" w:color="auto" w:sz="4" w:space="0"/>
            </w:tcBorders>
            <w:vAlign w:val="center"/>
          </w:tcPr>
          <w:p w14:paraId="7148A594">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7732E5BF">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375524CC">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3AF28668">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16、环卫专业车辆外观整洁车厢后栏板处设置规范的荧光交通警示标志。</w:t>
            </w:r>
          </w:p>
        </w:tc>
        <w:tc>
          <w:tcPr>
            <w:tcW w:w="4485" w:type="dxa"/>
            <w:tcBorders>
              <w:top w:val="single" w:color="auto" w:sz="4" w:space="0"/>
              <w:left w:val="single" w:color="auto" w:sz="4" w:space="0"/>
              <w:bottom w:val="single" w:color="auto" w:sz="4" w:space="0"/>
              <w:right w:val="single" w:color="auto" w:sz="4" w:space="0"/>
            </w:tcBorders>
          </w:tcPr>
          <w:p w14:paraId="6DD31CD4">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16、环卫专用车辆外观不洁的每车扣0.5分。车厢后栏板处未设置规范的荧光交通警示标志的每车/次扣1分。</w:t>
            </w:r>
          </w:p>
        </w:tc>
      </w:tr>
      <w:tr w14:paraId="43403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93" w:type="dxa"/>
            <w:vMerge w:val="continue"/>
            <w:tcBorders>
              <w:left w:val="single" w:color="auto" w:sz="4" w:space="0"/>
              <w:right w:val="single" w:color="auto" w:sz="4" w:space="0"/>
            </w:tcBorders>
            <w:vAlign w:val="center"/>
          </w:tcPr>
          <w:p w14:paraId="54343FE5">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37BE8F8A">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284A39DC">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415DBA56">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17、工作人员（含驾驶员）在道路清扫保洁工作期间须穿反光安全作业服，并佩证上岗，文明安全作业。</w:t>
            </w:r>
          </w:p>
        </w:tc>
        <w:tc>
          <w:tcPr>
            <w:tcW w:w="4485" w:type="dxa"/>
            <w:tcBorders>
              <w:top w:val="single" w:color="auto" w:sz="4" w:space="0"/>
              <w:left w:val="single" w:color="auto" w:sz="4" w:space="0"/>
              <w:bottom w:val="single" w:color="auto" w:sz="4" w:space="0"/>
              <w:right w:val="single" w:color="auto" w:sz="4" w:space="0"/>
            </w:tcBorders>
          </w:tcPr>
          <w:p w14:paraId="7B907DC0">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17、工作人员（含驾驶员）作业时未穿反光安全作业服的每人次扣0.5分，未佩证上岗的每人次扣0.2分。</w:t>
            </w:r>
          </w:p>
        </w:tc>
      </w:tr>
      <w:tr w14:paraId="05D50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2" w:hRule="atLeast"/>
        </w:trPr>
        <w:tc>
          <w:tcPr>
            <w:tcW w:w="493" w:type="dxa"/>
            <w:vMerge w:val="continue"/>
            <w:tcBorders>
              <w:left w:val="single" w:color="auto" w:sz="4" w:space="0"/>
              <w:right w:val="single" w:color="auto" w:sz="4" w:space="0"/>
            </w:tcBorders>
            <w:vAlign w:val="center"/>
          </w:tcPr>
          <w:p w14:paraId="2E1AE015">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1B55A05C">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2BA7782A">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6AE42B87">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18、日常管理人员及保洁作业人员人数应不少于合同内规定的人数。</w:t>
            </w:r>
          </w:p>
        </w:tc>
        <w:tc>
          <w:tcPr>
            <w:tcW w:w="4485" w:type="dxa"/>
            <w:tcBorders>
              <w:top w:val="single" w:color="auto" w:sz="4" w:space="0"/>
              <w:left w:val="single" w:color="auto" w:sz="4" w:space="0"/>
              <w:bottom w:val="single" w:color="auto" w:sz="4" w:space="0"/>
              <w:right w:val="single" w:color="auto" w:sz="4" w:space="0"/>
            </w:tcBorders>
          </w:tcPr>
          <w:p w14:paraId="0C4ECCC4">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18、日常管理人员及保洁作业人员少于合同内规定的人数，每少1人扣1分/次。</w:t>
            </w:r>
          </w:p>
        </w:tc>
      </w:tr>
      <w:tr w14:paraId="48BC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 w:hRule="atLeast"/>
        </w:trPr>
        <w:tc>
          <w:tcPr>
            <w:tcW w:w="493" w:type="dxa"/>
            <w:vMerge w:val="continue"/>
            <w:tcBorders>
              <w:left w:val="single" w:color="auto" w:sz="4" w:space="0"/>
              <w:right w:val="single" w:color="auto" w:sz="4" w:space="0"/>
            </w:tcBorders>
            <w:vAlign w:val="center"/>
          </w:tcPr>
          <w:p w14:paraId="20E946BC">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3229024F">
            <w:pPr>
              <w:widowControl/>
              <w:spacing w:line="384" w:lineRule="exact"/>
              <w:jc w:val="lef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vAlign w:val="center"/>
          </w:tcPr>
          <w:p w14:paraId="10C1B1C5">
            <w:pPr>
              <w:widowControl/>
              <w:spacing w:line="384" w:lineRule="exact"/>
              <w:jc w:val="lef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47438E1F">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19、洒水车（或清洗车）、扫路车(或洗扫车)必须严格落实机械设备作业要求（参照机械设备作业要求表）。</w:t>
            </w:r>
          </w:p>
        </w:tc>
        <w:tc>
          <w:tcPr>
            <w:tcW w:w="4485" w:type="dxa"/>
            <w:tcBorders>
              <w:top w:val="single" w:color="auto" w:sz="4" w:space="0"/>
              <w:left w:val="single" w:color="auto" w:sz="4" w:space="0"/>
              <w:bottom w:val="single" w:color="auto" w:sz="4" w:space="0"/>
              <w:right w:val="single" w:color="auto" w:sz="4" w:space="0"/>
            </w:tcBorders>
          </w:tcPr>
          <w:p w14:paraId="6813C92F">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19、日常巡查及月度考核时发现机械设备作业期间违反机械设备作业要求任一条的每次扣2分。</w:t>
            </w:r>
          </w:p>
        </w:tc>
      </w:tr>
      <w:tr w14:paraId="208DB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5" w:hRule="atLeast"/>
        </w:trPr>
        <w:tc>
          <w:tcPr>
            <w:tcW w:w="493" w:type="dxa"/>
            <w:vMerge w:val="restart"/>
            <w:tcBorders>
              <w:top w:val="single" w:color="auto" w:sz="4" w:space="0"/>
              <w:left w:val="single" w:color="auto" w:sz="4" w:space="0"/>
              <w:right w:val="single" w:color="auto" w:sz="4" w:space="0"/>
            </w:tcBorders>
            <w:vAlign w:val="center"/>
          </w:tcPr>
          <w:p w14:paraId="47C8EBD9">
            <w:pPr>
              <w:autoSpaceDE w:val="0"/>
              <w:autoSpaceDN w:val="0"/>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w:t>
            </w:r>
          </w:p>
        </w:tc>
        <w:tc>
          <w:tcPr>
            <w:tcW w:w="720" w:type="dxa"/>
            <w:vMerge w:val="restart"/>
            <w:tcBorders>
              <w:top w:val="single" w:color="auto" w:sz="4" w:space="0"/>
              <w:left w:val="single" w:color="auto" w:sz="4" w:space="0"/>
              <w:right w:val="single" w:color="auto" w:sz="4" w:space="0"/>
            </w:tcBorders>
            <w:vAlign w:val="center"/>
          </w:tcPr>
          <w:p w14:paraId="10B9DFCB">
            <w:pPr>
              <w:autoSpaceDE w:val="0"/>
              <w:autoSpaceDN w:val="0"/>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公众监督处理情况</w:t>
            </w:r>
          </w:p>
        </w:tc>
        <w:tc>
          <w:tcPr>
            <w:tcW w:w="720" w:type="dxa"/>
            <w:vMerge w:val="restart"/>
            <w:tcBorders>
              <w:top w:val="single" w:color="auto" w:sz="4" w:space="0"/>
              <w:left w:val="single" w:color="auto" w:sz="4" w:space="0"/>
              <w:right w:val="single" w:color="auto" w:sz="4" w:space="0"/>
            </w:tcBorders>
            <w:vAlign w:val="center"/>
          </w:tcPr>
          <w:p w14:paraId="7B68B429">
            <w:pPr>
              <w:autoSpaceDE w:val="0"/>
              <w:autoSpaceDN w:val="0"/>
              <w:spacing w:line="384"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现场核查</w:t>
            </w:r>
          </w:p>
        </w:tc>
        <w:tc>
          <w:tcPr>
            <w:tcW w:w="3417" w:type="dxa"/>
            <w:tcBorders>
              <w:top w:val="single" w:color="auto" w:sz="4" w:space="0"/>
              <w:left w:val="single" w:color="auto" w:sz="4" w:space="0"/>
              <w:bottom w:val="single" w:color="auto" w:sz="4" w:space="0"/>
              <w:right w:val="single" w:color="auto" w:sz="4" w:space="0"/>
            </w:tcBorders>
          </w:tcPr>
          <w:p w14:paraId="1418E859">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20、无有责投诉（包括市民电话、信访、阳光热线、110转接电话等），有责投诉后处置及时。</w:t>
            </w:r>
          </w:p>
        </w:tc>
        <w:tc>
          <w:tcPr>
            <w:tcW w:w="4485" w:type="dxa"/>
            <w:tcBorders>
              <w:top w:val="single" w:color="auto" w:sz="4" w:space="0"/>
              <w:left w:val="single" w:color="auto" w:sz="4" w:space="0"/>
              <w:bottom w:val="single" w:color="auto" w:sz="4" w:space="0"/>
              <w:right w:val="single" w:color="auto" w:sz="4" w:space="0"/>
            </w:tcBorders>
          </w:tcPr>
          <w:p w14:paraId="2B1D4036">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20、出现一次有责投诉扣2分，不按要求处理的扣5分。</w:t>
            </w:r>
          </w:p>
        </w:tc>
      </w:tr>
      <w:tr w14:paraId="748BC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2" w:hRule="atLeast"/>
        </w:trPr>
        <w:tc>
          <w:tcPr>
            <w:tcW w:w="493" w:type="dxa"/>
            <w:vMerge w:val="continue"/>
            <w:tcBorders>
              <w:left w:val="single" w:color="auto" w:sz="4" w:space="0"/>
              <w:right w:val="single" w:color="auto" w:sz="4" w:space="0"/>
            </w:tcBorders>
          </w:tcPr>
          <w:p w14:paraId="040D48D6">
            <w:pPr>
              <w:autoSpaceDE w:val="0"/>
              <w:autoSpaceDN w:val="0"/>
              <w:spacing w:line="384" w:lineRule="exac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tcPr>
          <w:p w14:paraId="3084F427">
            <w:pPr>
              <w:autoSpaceDE w:val="0"/>
              <w:autoSpaceDN w:val="0"/>
              <w:spacing w:line="384" w:lineRule="exac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tcPr>
          <w:p w14:paraId="1F181402">
            <w:pPr>
              <w:autoSpaceDE w:val="0"/>
              <w:autoSpaceDN w:val="0"/>
              <w:spacing w:line="384" w:lineRule="exac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right w:val="single" w:color="auto" w:sz="4" w:space="0"/>
            </w:tcBorders>
          </w:tcPr>
          <w:p w14:paraId="118C6F2A">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21、无新闻媒体曝光。</w:t>
            </w:r>
          </w:p>
        </w:tc>
        <w:tc>
          <w:tcPr>
            <w:tcW w:w="4485" w:type="dxa"/>
            <w:tcBorders>
              <w:top w:val="single" w:color="auto" w:sz="4" w:space="0"/>
              <w:left w:val="single" w:color="auto" w:sz="4" w:space="0"/>
              <w:bottom w:val="single" w:color="auto" w:sz="4" w:space="0"/>
              <w:right w:val="single" w:color="auto" w:sz="4" w:space="0"/>
            </w:tcBorders>
          </w:tcPr>
          <w:p w14:paraId="44E8EAED">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21、新闻媒体曝光查实有责的每次扣5分，不及时处理的加扣5分。</w:t>
            </w:r>
          </w:p>
        </w:tc>
      </w:tr>
      <w:tr w14:paraId="56E27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8" w:hRule="atLeast"/>
        </w:trPr>
        <w:tc>
          <w:tcPr>
            <w:tcW w:w="493" w:type="dxa"/>
            <w:vMerge w:val="continue"/>
            <w:tcBorders>
              <w:left w:val="single" w:color="auto" w:sz="4" w:space="0"/>
              <w:right w:val="single" w:color="auto" w:sz="4" w:space="0"/>
            </w:tcBorders>
          </w:tcPr>
          <w:p w14:paraId="39F53CE5">
            <w:pPr>
              <w:autoSpaceDE w:val="0"/>
              <w:autoSpaceDN w:val="0"/>
              <w:spacing w:line="384" w:lineRule="exac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tcPr>
          <w:p w14:paraId="33FF33F7">
            <w:pPr>
              <w:autoSpaceDE w:val="0"/>
              <w:autoSpaceDN w:val="0"/>
              <w:spacing w:line="384" w:lineRule="exact"/>
              <w:rPr>
                <w:rFonts w:hint="eastAsia" w:ascii="仿宋" w:hAnsi="仿宋" w:eastAsia="仿宋" w:cs="仿宋"/>
                <w:color w:val="auto"/>
                <w:sz w:val="24"/>
                <w:szCs w:val="24"/>
                <w:highlight w:val="none"/>
              </w:rPr>
            </w:pPr>
          </w:p>
        </w:tc>
        <w:tc>
          <w:tcPr>
            <w:tcW w:w="720" w:type="dxa"/>
            <w:vMerge w:val="continue"/>
            <w:tcBorders>
              <w:left w:val="single" w:color="auto" w:sz="4" w:space="0"/>
              <w:right w:val="single" w:color="auto" w:sz="4" w:space="0"/>
            </w:tcBorders>
          </w:tcPr>
          <w:p w14:paraId="5D6F5187">
            <w:pPr>
              <w:autoSpaceDE w:val="0"/>
              <w:autoSpaceDN w:val="0"/>
              <w:spacing w:line="384" w:lineRule="exact"/>
              <w:rPr>
                <w:rFonts w:hint="eastAsia" w:ascii="仿宋" w:hAnsi="仿宋" w:eastAsia="仿宋" w:cs="仿宋"/>
                <w:color w:val="auto"/>
                <w:sz w:val="24"/>
                <w:szCs w:val="24"/>
                <w:highlight w:val="none"/>
              </w:rPr>
            </w:pPr>
          </w:p>
        </w:tc>
        <w:tc>
          <w:tcPr>
            <w:tcW w:w="3417" w:type="dxa"/>
            <w:tcBorders>
              <w:top w:val="single" w:color="auto" w:sz="4" w:space="0"/>
              <w:left w:val="single" w:color="auto" w:sz="4" w:space="0"/>
              <w:bottom w:val="single" w:color="auto" w:sz="4" w:space="0"/>
              <w:right w:val="single" w:color="auto" w:sz="4" w:space="0"/>
            </w:tcBorders>
          </w:tcPr>
          <w:p w14:paraId="3CB54BE7">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22、区级及以上考核检查不失责任、无曝光且不被区级及以上领导点名批评。</w:t>
            </w:r>
          </w:p>
        </w:tc>
        <w:tc>
          <w:tcPr>
            <w:tcW w:w="4485" w:type="dxa"/>
            <w:tcBorders>
              <w:top w:val="single" w:color="auto" w:sz="4" w:space="0"/>
              <w:left w:val="single" w:color="auto" w:sz="4" w:space="0"/>
              <w:bottom w:val="single" w:color="auto" w:sz="4" w:space="0"/>
              <w:right w:val="single" w:color="auto" w:sz="4" w:space="0"/>
            </w:tcBorders>
          </w:tcPr>
          <w:p w14:paraId="7B978DFA">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22、区级考核失分、曝光每次扣5分；区级以上考核检查失分、曝光每次扣10分。</w:t>
            </w:r>
          </w:p>
        </w:tc>
      </w:tr>
      <w:tr w14:paraId="131A3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8" w:hRule="atLeast"/>
        </w:trPr>
        <w:tc>
          <w:tcPr>
            <w:tcW w:w="493" w:type="dxa"/>
            <w:tcBorders>
              <w:left w:val="single" w:color="auto" w:sz="4" w:space="0"/>
              <w:right w:val="single" w:color="auto" w:sz="4" w:space="0"/>
            </w:tcBorders>
          </w:tcPr>
          <w:p w14:paraId="7C9ED2AD">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w:t>
            </w:r>
          </w:p>
        </w:tc>
        <w:tc>
          <w:tcPr>
            <w:tcW w:w="720" w:type="dxa"/>
            <w:tcBorders>
              <w:left w:val="single" w:color="auto" w:sz="4" w:space="0"/>
              <w:right w:val="single" w:color="auto" w:sz="4" w:space="0"/>
            </w:tcBorders>
          </w:tcPr>
          <w:p w14:paraId="53CA3691">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保障服务</w:t>
            </w:r>
          </w:p>
        </w:tc>
        <w:tc>
          <w:tcPr>
            <w:tcW w:w="720" w:type="dxa"/>
            <w:tcBorders>
              <w:left w:val="single" w:color="auto" w:sz="4" w:space="0"/>
              <w:right w:val="single" w:color="auto" w:sz="4" w:space="0"/>
            </w:tcBorders>
          </w:tcPr>
          <w:p w14:paraId="5AC59D8E">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现场核查</w:t>
            </w:r>
          </w:p>
        </w:tc>
        <w:tc>
          <w:tcPr>
            <w:tcW w:w="3417" w:type="dxa"/>
            <w:tcBorders>
              <w:top w:val="single" w:color="auto" w:sz="4" w:space="0"/>
              <w:left w:val="single" w:color="auto" w:sz="4" w:space="0"/>
              <w:bottom w:val="single" w:color="auto" w:sz="4" w:space="0"/>
              <w:right w:val="single" w:color="auto" w:sz="4" w:space="0"/>
            </w:tcBorders>
          </w:tcPr>
          <w:p w14:paraId="6006B0B8">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23、迎检及重大活动环卫保障服务情况。</w:t>
            </w:r>
          </w:p>
        </w:tc>
        <w:tc>
          <w:tcPr>
            <w:tcW w:w="4485" w:type="dxa"/>
            <w:tcBorders>
              <w:top w:val="single" w:color="auto" w:sz="4" w:space="0"/>
              <w:left w:val="single" w:color="auto" w:sz="4" w:space="0"/>
              <w:bottom w:val="single" w:color="auto" w:sz="4" w:space="0"/>
              <w:right w:val="single" w:color="auto" w:sz="4" w:space="0"/>
            </w:tcBorders>
          </w:tcPr>
          <w:p w14:paraId="0F052562">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23、按高标准、高要求做好保洁服务保障，迎检不重视、保洁标准不高，有领导批评的按情节轻重扣分，直至取消承包资格。</w:t>
            </w:r>
          </w:p>
        </w:tc>
      </w:tr>
      <w:tr w14:paraId="605C7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 w:hRule="atLeast"/>
        </w:trPr>
        <w:tc>
          <w:tcPr>
            <w:tcW w:w="1933" w:type="dxa"/>
            <w:gridSpan w:val="3"/>
            <w:tcBorders>
              <w:left w:val="single" w:color="auto" w:sz="4" w:space="0"/>
              <w:bottom w:val="single" w:color="auto" w:sz="4" w:space="0"/>
              <w:right w:val="single" w:color="auto" w:sz="4" w:space="0"/>
            </w:tcBorders>
          </w:tcPr>
          <w:p w14:paraId="3E06ED53">
            <w:pPr>
              <w:autoSpaceDE w:val="0"/>
              <w:autoSpaceDN w:val="0"/>
              <w:spacing w:line="384" w:lineRule="exac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备注</w:t>
            </w:r>
          </w:p>
        </w:tc>
        <w:tc>
          <w:tcPr>
            <w:tcW w:w="7902" w:type="dxa"/>
            <w:gridSpan w:val="2"/>
            <w:tcBorders>
              <w:top w:val="single" w:color="auto" w:sz="4" w:space="0"/>
              <w:left w:val="single" w:color="auto" w:sz="4" w:space="0"/>
              <w:bottom w:val="single" w:color="auto" w:sz="4" w:space="0"/>
              <w:right w:val="single" w:color="auto" w:sz="4" w:space="0"/>
            </w:tcBorders>
          </w:tcPr>
          <w:p w14:paraId="4783EE69">
            <w:pPr>
              <w:autoSpaceDE w:val="0"/>
              <w:autoSpaceDN w:val="0"/>
              <w:spacing w:line="384"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本考核评分标准最终解释权归属湖州南太湖新区公用事业管理中心。</w:t>
            </w:r>
          </w:p>
        </w:tc>
      </w:tr>
    </w:tbl>
    <w:p w14:paraId="7B9E40E2">
      <w:pPr>
        <w:spacing w:line="360" w:lineRule="auto"/>
        <w:jc w:val="center"/>
        <w:outlineLvl w:val="0"/>
        <w:rPr>
          <w:rFonts w:hint="eastAsia" w:ascii="仿宋" w:hAnsi="仿宋" w:eastAsia="仿宋" w:cs="仿宋"/>
          <w:b/>
          <w:color w:val="auto"/>
          <w:sz w:val="24"/>
          <w:szCs w:val="24"/>
          <w:highlight w:val="none"/>
        </w:rPr>
        <w:sectPr>
          <w:headerReference r:id="rId6" w:type="default"/>
          <w:footerReference r:id="rId7" w:type="default"/>
          <w:pgSz w:w="11906" w:h="16838"/>
          <w:pgMar w:top="1531" w:right="779" w:bottom="1134" w:left="1134" w:header="851" w:footer="427" w:gutter="0"/>
          <w:pgNumType w:fmt="decimal" w:start="1"/>
          <w:cols w:space="720" w:num="1"/>
          <w:docGrid w:linePitch="312" w:charSpace="0"/>
        </w:sectPr>
      </w:pPr>
    </w:p>
    <w:p w14:paraId="3C22466E">
      <w:pPr>
        <w:pStyle w:val="4"/>
        <w:keepNext w:val="0"/>
        <w:pageBreakBefore/>
        <w:numPr>
          <w:ilvl w:val="0"/>
          <w:numId w:val="0"/>
        </w:numPr>
        <w:spacing w:line="360" w:lineRule="auto"/>
        <w:jc w:val="center"/>
        <w:rPr>
          <w:rFonts w:hint="eastAsia" w:ascii="仿宋" w:hAnsi="仿宋" w:eastAsia="仿宋" w:cs="仿宋"/>
          <w:b/>
          <w:bCs/>
          <w:color w:val="auto"/>
          <w:sz w:val="30"/>
          <w:szCs w:val="30"/>
          <w:highlight w:val="none"/>
        </w:rPr>
      </w:pPr>
      <w:r>
        <w:rPr>
          <w:rFonts w:hint="eastAsia" w:ascii="仿宋" w:hAnsi="仿宋" w:eastAsia="仿宋" w:cs="仿宋"/>
          <w:color w:val="auto"/>
          <w:sz w:val="32"/>
          <w:highlight w:val="none"/>
          <w:lang w:eastAsia="zh-CN"/>
        </w:rPr>
        <w:t>第三章</w:t>
      </w:r>
      <w:r>
        <w:rPr>
          <w:rFonts w:hint="eastAsia" w:ascii="仿宋" w:hAnsi="仿宋" w:eastAsia="仿宋" w:cs="仿宋"/>
          <w:color w:val="auto"/>
          <w:sz w:val="32"/>
          <w:highlight w:val="none"/>
          <w:lang w:val="en-US" w:eastAsia="zh-CN"/>
        </w:rPr>
        <w:t xml:space="preserve">  </w:t>
      </w:r>
      <w:r>
        <w:rPr>
          <w:rFonts w:hint="eastAsia" w:ascii="仿宋" w:hAnsi="仿宋" w:eastAsia="仿宋" w:cs="仿宋"/>
          <w:color w:val="auto"/>
          <w:sz w:val="32"/>
          <w:highlight w:val="none"/>
        </w:rPr>
        <w:t>投标人须知</w:t>
      </w:r>
      <w:bookmarkStart w:id="1" w:name="_Toc98731777"/>
      <w:bookmarkStart w:id="2" w:name="_Toc130094928"/>
      <w:bookmarkStart w:id="3" w:name="_Toc98731756"/>
      <w:bookmarkStart w:id="4" w:name="_Toc130094913"/>
    </w:p>
    <w:p w14:paraId="34BB6FA8">
      <w:pPr>
        <w:jc w:val="center"/>
        <w:rPr>
          <w:rFonts w:hint="eastAsia" w:ascii="仿宋" w:hAnsi="仿宋" w:eastAsia="仿宋" w:cs="仿宋"/>
          <w:color w:val="auto"/>
          <w:highlight w:val="none"/>
        </w:rPr>
      </w:pPr>
      <w:r>
        <w:rPr>
          <w:rFonts w:hint="eastAsia" w:ascii="仿宋" w:hAnsi="仿宋" w:eastAsia="仿宋" w:cs="仿宋"/>
          <w:b/>
          <w:bCs/>
          <w:color w:val="auto"/>
          <w:sz w:val="30"/>
          <w:szCs w:val="30"/>
          <w:highlight w:val="none"/>
        </w:rPr>
        <w:t>前附表</w:t>
      </w:r>
    </w:p>
    <w:bookmarkEnd w:id="1"/>
    <w:bookmarkEnd w:id="2"/>
    <w:tbl>
      <w:tblPr>
        <w:tblStyle w:val="23"/>
        <w:tblW w:w="9728" w:type="dxa"/>
        <w:tblInd w:w="-31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4"/>
        <w:gridCol w:w="8984"/>
      </w:tblGrid>
      <w:tr w14:paraId="2CB3F7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744" w:type="dxa"/>
            <w:tcBorders>
              <w:top w:val="single" w:color="auto" w:sz="4" w:space="0"/>
              <w:left w:val="single" w:color="auto" w:sz="4" w:space="0"/>
              <w:bottom w:val="single" w:color="auto" w:sz="4" w:space="0"/>
              <w:right w:val="single" w:color="auto" w:sz="4" w:space="0"/>
            </w:tcBorders>
            <w:vAlign w:val="center"/>
          </w:tcPr>
          <w:p w14:paraId="44F1B859">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984" w:type="dxa"/>
            <w:tcBorders>
              <w:top w:val="single" w:color="auto" w:sz="4" w:space="0"/>
              <w:left w:val="nil"/>
              <w:bottom w:val="single" w:color="auto" w:sz="4" w:space="0"/>
              <w:right w:val="single" w:color="auto" w:sz="4" w:space="0"/>
            </w:tcBorders>
            <w:vAlign w:val="center"/>
          </w:tcPr>
          <w:p w14:paraId="45A4F40E">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内容、要求</w:t>
            </w:r>
          </w:p>
        </w:tc>
      </w:tr>
      <w:tr w14:paraId="072BAC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4" w:hRule="atLeast"/>
        </w:trPr>
        <w:tc>
          <w:tcPr>
            <w:tcW w:w="744" w:type="dxa"/>
            <w:tcBorders>
              <w:top w:val="single" w:color="auto" w:sz="4" w:space="0"/>
              <w:left w:val="single" w:color="auto" w:sz="4" w:space="0"/>
              <w:bottom w:val="single" w:color="auto" w:sz="4" w:space="0"/>
              <w:right w:val="single" w:color="auto" w:sz="4" w:space="0"/>
            </w:tcBorders>
            <w:vAlign w:val="center"/>
          </w:tcPr>
          <w:p w14:paraId="673F6AC2">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984" w:type="dxa"/>
            <w:tcBorders>
              <w:top w:val="single" w:color="auto" w:sz="4" w:space="0"/>
              <w:left w:val="nil"/>
              <w:bottom w:val="single" w:color="auto" w:sz="4" w:space="0"/>
              <w:right w:val="single" w:color="auto" w:sz="4" w:space="0"/>
            </w:tcBorders>
            <w:vAlign w:val="center"/>
          </w:tcPr>
          <w:p w14:paraId="4067BEF0">
            <w:pPr>
              <w:jc w:val="both"/>
              <w:rPr>
                <w:rFonts w:hint="default" w:ascii="仿宋" w:hAnsi="仿宋" w:eastAsia="仿宋" w:cs="仿宋"/>
                <w:color w:val="auto"/>
                <w:spacing w:val="-14"/>
                <w:sz w:val="24"/>
                <w:highlight w:val="none"/>
                <w:lang w:val="en-US" w:eastAsia="zh-CN"/>
              </w:rPr>
            </w:pPr>
            <w:r>
              <w:rPr>
                <w:rFonts w:hint="eastAsia" w:ascii="仿宋" w:hAnsi="仿宋" w:eastAsia="仿宋" w:cs="仿宋"/>
                <w:color w:val="auto"/>
                <w:spacing w:val="-14"/>
                <w:sz w:val="24"/>
                <w:highlight w:val="none"/>
              </w:rPr>
              <w:t>项目名称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湖州南太湖新区西区、104国道、杨家埠等区域环卫作业一体化服务项目（2025-2027年度）</w:t>
            </w:r>
          </w:p>
        </w:tc>
      </w:tr>
      <w:tr w14:paraId="563301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744" w:type="dxa"/>
            <w:tcBorders>
              <w:top w:val="single" w:color="auto" w:sz="4" w:space="0"/>
              <w:left w:val="single" w:color="auto" w:sz="4" w:space="0"/>
              <w:bottom w:val="single" w:color="auto" w:sz="4" w:space="0"/>
              <w:right w:val="single" w:color="auto" w:sz="4" w:space="0"/>
            </w:tcBorders>
            <w:vAlign w:val="center"/>
          </w:tcPr>
          <w:p w14:paraId="4595E6E8">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984" w:type="dxa"/>
            <w:tcBorders>
              <w:top w:val="single" w:color="auto" w:sz="4" w:space="0"/>
              <w:left w:val="nil"/>
              <w:bottom w:val="single" w:color="auto" w:sz="4" w:space="0"/>
              <w:right w:val="single" w:color="auto" w:sz="4" w:space="0"/>
            </w:tcBorders>
            <w:vAlign w:val="center"/>
          </w:tcPr>
          <w:p w14:paraId="1CB2280C">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采购内容及数量：详见第二章</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rPr>
              <w:t>需求</w:t>
            </w:r>
          </w:p>
        </w:tc>
      </w:tr>
      <w:tr w14:paraId="1A9E88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4" w:hRule="atLeast"/>
        </w:trPr>
        <w:tc>
          <w:tcPr>
            <w:tcW w:w="744" w:type="dxa"/>
            <w:tcBorders>
              <w:top w:val="single" w:color="auto" w:sz="4" w:space="0"/>
              <w:left w:val="single" w:color="auto" w:sz="4" w:space="0"/>
              <w:bottom w:val="single" w:color="auto" w:sz="4" w:space="0"/>
              <w:right w:val="single" w:color="auto" w:sz="4" w:space="0"/>
            </w:tcBorders>
            <w:vAlign w:val="center"/>
          </w:tcPr>
          <w:p w14:paraId="4F3A468C">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984" w:type="dxa"/>
            <w:tcBorders>
              <w:top w:val="single" w:color="auto" w:sz="4" w:space="0"/>
              <w:left w:val="nil"/>
              <w:bottom w:val="single" w:color="auto" w:sz="4" w:space="0"/>
              <w:right w:val="single" w:color="auto" w:sz="4" w:space="0"/>
            </w:tcBorders>
            <w:vAlign w:val="center"/>
          </w:tcPr>
          <w:p w14:paraId="5F96E689">
            <w:pPr>
              <w:spacing w:line="273"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投标报价及费用：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本项目投标应以人民币报价；2、不论投标结果如何，投标人均应自行承担所有与投标有关的全部费用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olor w:val="auto"/>
                <w:sz w:val="24"/>
                <w:highlight w:val="none"/>
              </w:rPr>
              <w:t>本项目代理服务费</w:t>
            </w:r>
            <w:r>
              <w:rPr>
                <w:rFonts w:hint="eastAsia" w:ascii="仿宋" w:hAnsi="仿宋" w:eastAsia="仿宋"/>
                <w:color w:val="auto"/>
                <w:sz w:val="24"/>
                <w:highlight w:val="none"/>
                <w:u w:val="single"/>
                <w:lang w:val="en-US" w:eastAsia="zh-CN"/>
              </w:rPr>
              <w:t>85200元</w:t>
            </w:r>
            <w:r>
              <w:rPr>
                <w:rFonts w:hint="eastAsia" w:ascii="仿宋" w:hAnsi="仿宋" w:eastAsia="仿宋"/>
                <w:color w:val="auto"/>
                <w:sz w:val="24"/>
                <w:highlight w:val="none"/>
              </w:rPr>
              <w:t>由中标人支付</w:t>
            </w:r>
            <w:r>
              <w:rPr>
                <w:rFonts w:hint="eastAsia" w:ascii="仿宋" w:hAnsi="仿宋" w:eastAsia="仿宋"/>
                <w:color w:val="auto"/>
                <w:sz w:val="24"/>
                <w:highlight w:val="none"/>
                <w:lang w:eastAsia="zh-CN"/>
              </w:rPr>
              <w:t>（</w:t>
            </w:r>
            <w:r>
              <w:rPr>
                <w:rFonts w:hint="eastAsia" w:ascii="仿宋" w:hAnsi="仿宋" w:eastAsia="仿宋"/>
                <w:color w:val="auto"/>
                <w:sz w:val="24"/>
                <w:highlight w:val="none"/>
                <w:lang w:val="en-US" w:eastAsia="zh-CN"/>
              </w:rPr>
              <w:t>其中标项一：</w:t>
            </w:r>
            <w:r>
              <w:rPr>
                <w:rFonts w:hint="eastAsia" w:ascii="仿宋" w:hAnsi="仿宋" w:eastAsia="仿宋"/>
                <w:color w:val="auto"/>
                <w:sz w:val="24"/>
                <w:highlight w:val="none"/>
                <w:u w:val="single"/>
                <w:lang w:val="en-US" w:eastAsia="zh-CN"/>
              </w:rPr>
              <w:t>29492元</w:t>
            </w:r>
            <w:r>
              <w:rPr>
                <w:rFonts w:hint="eastAsia" w:ascii="仿宋" w:hAnsi="仿宋" w:eastAsia="仿宋"/>
                <w:color w:val="auto"/>
                <w:sz w:val="24"/>
                <w:highlight w:val="none"/>
                <w:u w:val="none"/>
                <w:lang w:val="en-US" w:eastAsia="zh-CN"/>
              </w:rPr>
              <w:t>；</w:t>
            </w:r>
            <w:r>
              <w:rPr>
                <w:rFonts w:hint="eastAsia" w:ascii="仿宋" w:hAnsi="仿宋" w:eastAsia="仿宋"/>
                <w:color w:val="auto"/>
                <w:sz w:val="24"/>
                <w:highlight w:val="none"/>
                <w:lang w:val="en-US" w:eastAsia="zh-CN"/>
              </w:rPr>
              <w:t>标项二：</w:t>
            </w:r>
            <w:r>
              <w:rPr>
                <w:rFonts w:hint="eastAsia" w:ascii="仿宋" w:hAnsi="仿宋" w:eastAsia="仿宋"/>
                <w:color w:val="auto"/>
                <w:sz w:val="24"/>
                <w:highlight w:val="none"/>
                <w:u w:val="single"/>
                <w:lang w:val="en-US" w:eastAsia="zh-CN"/>
              </w:rPr>
              <w:t>26871元，</w:t>
            </w:r>
            <w:r>
              <w:rPr>
                <w:rFonts w:hint="eastAsia" w:ascii="仿宋" w:hAnsi="仿宋" w:eastAsia="仿宋"/>
                <w:color w:val="auto"/>
                <w:sz w:val="24"/>
                <w:highlight w:val="none"/>
                <w:lang w:val="en-US" w:eastAsia="zh-CN"/>
              </w:rPr>
              <w:t>标项三：</w:t>
            </w:r>
            <w:r>
              <w:rPr>
                <w:rFonts w:hint="eastAsia" w:ascii="仿宋" w:hAnsi="仿宋" w:eastAsia="仿宋"/>
                <w:color w:val="auto"/>
                <w:sz w:val="24"/>
                <w:highlight w:val="none"/>
                <w:u w:val="single"/>
                <w:lang w:val="en-US" w:eastAsia="zh-CN"/>
              </w:rPr>
              <w:t>28837元</w:t>
            </w:r>
            <w:r>
              <w:rPr>
                <w:rFonts w:hint="eastAsia" w:ascii="仿宋" w:hAnsi="仿宋" w:eastAsia="仿宋"/>
                <w:color w:val="auto"/>
                <w:sz w:val="24"/>
                <w:highlight w:val="none"/>
                <w:lang w:eastAsia="zh-CN"/>
              </w:rPr>
              <w:t>）</w:t>
            </w:r>
            <w:r>
              <w:rPr>
                <w:rFonts w:hint="eastAsia" w:ascii="仿宋" w:hAnsi="仿宋" w:eastAsia="仿宋"/>
                <w:color w:val="auto"/>
                <w:sz w:val="24"/>
                <w:highlight w:val="none"/>
              </w:rPr>
              <w:t>。在确定中标人后，领取中标通知书前，由中标人全额支付，请各投标人自行考虑计入投标报价中。</w:t>
            </w:r>
          </w:p>
        </w:tc>
      </w:tr>
      <w:tr w14:paraId="2453C4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744" w:type="dxa"/>
            <w:tcBorders>
              <w:top w:val="single" w:color="auto" w:sz="4" w:space="0"/>
              <w:left w:val="single" w:color="auto" w:sz="4" w:space="0"/>
              <w:bottom w:val="single" w:color="auto" w:sz="4" w:space="0"/>
              <w:right w:val="single" w:color="auto" w:sz="4" w:space="0"/>
            </w:tcBorders>
            <w:vAlign w:val="center"/>
          </w:tcPr>
          <w:p w14:paraId="210BC176">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984" w:type="dxa"/>
            <w:tcBorders>
              <w:top w:val="single" w:color="auto" w:sz="4" w:space="0"/>
              <w:left w:val="nil"/>
              <w:bottom w:val="single" w:color="auto" w:sz="4" w:space="0"/>
              <w:right w:val="single" w:color="auto" w:sz="4" w:space="0"/>
            </w:tcBorders>
            <w:vAlign w:val="center"/>
          </w:tcPr>
          <w:p w14:paraId="332A9CE6">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答疑与澄清：投标人如认为招标文件表述不清晰、存在歧视性或者其他违法内容的，可以在知道或者应知其权益受到损害之日起7个工作日内，以书面形式向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采购代理机构提出质疑，根据《中华人民共和国财政部令第94号-政府采购质疑和投诉办法》第十条第二款规定，投标人在法定质疑期内须一次性提出针对同一采购程序环节的质疑，否则采购代理机构有权拒绝第一次质疑以外其他所有质疑。答疑内容是招标文件的组成部分，并将在网上发布补充（答疑、澄清）文件，潜在投标人应自行关注网站公告，</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不再一一通知，投标人因自身贻误行为导致投标失效的，责任自负。</w:t>
            </w:r>
          </w:p>
        </w:tc>
      </w:tr>
      <w:tr w14:paraId="516D77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744" w:type="dxa"/>
            <w:tcBorders>
              <w:top w:val="single" w:color="auto" w:sz="4" w:space="0"/>
              <w:left w:val="single" w:color="auto" w:sz="4" w:space="0"/>
              <w:bottom w:val="single" w:color="auto" w:sz="4" w:space="0"/>
              <w:right w:val="single" w:color="auto" w:sz="4" w:space="0"/>
            </w:tcBorders>
            <w:vAlign w:val="center"/>
          </w:tcPr>
          <w:p w14:paraId="63500C31">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984" w:type="dxa"/>
            <w:tcBorders>
              <w:top w:val="single" w:color="auto" w:sz="4" w:space="0"/>
              <w:left w:val="nil"/>
              <w:bottom w:val="single" w:color="auto" w:sz="4" w:space="0"/>
              <w:right w:val="single" w:color="auto" w:sz="4" w:space="0"/>
            </w:tcBorders>
            <w:vAlign w:val="center"/>
          </w:tcPr>
          <w:p w14:paraId="176D58C9">
            <w:pPr>
              <w:snapToGrid w:val="0"/>
              <w:spacing w:line="500" w:lineRule="exact"/>
              <w:rPr>
                <w:rFonts w:hint="default" w:ascii="仿宋" w:hAnsi="仿宋" w:eastAsia="仿宋" w:cs="仿宋"/>
                <w:b/>
                <w:color w:val="auto"/>
                <w:sz w:val="24"/>
                <w:highlight w:val="none"/>
                <w:lang w:val="en-US" w:eastAsia="zh-CN"/>
              </w:rPr>
            </w:pPr>
            <w:r>
              <w:rPr>
                <w:rFonts w:hint="eastAsia" w:ascii="仿宋" w:hAnsi="仿宋" w:eastAsia="仿宋" w:cs="仿宋"/>
                <w:color w:val="auto"/>
                <w:sz w:val="24"/>
                <w:highlight w:val="none"/>
              </w:rPr>
              <w:t>采购预算</w:t>
            </w:r>
            <w:r>
              <w:rPr>
                <w:rFonts w:hint="eastAsia" w:ascii="仿宋" w:hAnsi="仿宋" w:eastAsia="仿宋" w:cs="仿宋"/>
                <w:color w:val="auto"/>
                <w:sz w:val="24"/>
                <w:highlight w:val="none"/>
                <w:lang w:val="en-US" w:eastAsia="zh-CN"/>
              </w:rPr>
              <w:t>及最高限价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3900万元（</w:t>
            </w:r>
            <w:r>
              <w:rPr>
                <w:rFonts w:hint="eastAsia" w:ascii="仿宋" w:hAnsi="仿宋" w:eastAsia="仿宋" w:cs="仿宋"/>
                <w:b w:val="0"/>
                <w:bCs/>
                <w:color w:val="auto"/>
                <w:sz w:val="24"/>
                <w:highlight w:val="none"/>
                <w:lang w:val="en-US" w:eastAsia="zh-CN"/>
              </w:rPr>
              <w:t>其中标项一：1350万元； 标项二：1230万元；标项三：1320万元</w:t>
            </w:r>
            <w:r>
              <w:rPr>
                <w:rFonts w:hint="eastAsia" w:ascii="仿宋" w:hAnsi="仿宋" w:eastAsia="仿宋" w:cs="仿宋"/>
                <w:color w:val="auto"/>
                <w:sz w:val="24"/>
                <w:highlight w:val="none"/>
                <w:lang w:val="en-US" w:eastAsia="zh-CN"/>
              </w:rPr>
              <w:t>）</w:t>
            </w:r>
          </w:p>
        </w:tc>
      </w:tr>
      <w:tr w14:paraId="577068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44" w:type="dxa"/>
            <w:tcBorders>
              <w:top w:val="single" w:color="auto" w:sz="4" w:space="0"/>
              <w:left w:val="single" w:color="auto" w:sz="4" w:space="0"/>
              <w:bottom w:val="single" w:color="auto" w:sz="4" w:space="0"/>
              <w:right w:val="single" w:color="auto" w:sz="4" w:space="0"/>
            </w:tcBorders>
            <w:vAlign w:val="center"/>
          </w:tcPr>
          <w:p w14:paraId="6966A508">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984" w:type="dxa"/>
            <w:tcBorders>
              <w:top w:val="single" w:color="auto" w:sz="4" w:space="0"/>
              <w:left w:val="nil"/>
              <w:bottom w:val="single" w:color="auto" w:sz="4" w:space="0"/>
              <w:right w:val="single" w:color="auto" w:sz="4" w:space="0"/>
            </w:tcBorders>
            <w:vAlign w:val="center"/>
          </w:tcPr>
          <w:p w14:paraId="49BC2147">
            <w:pPr>
              <w:autoSpaceDE w:val="0"/>
              <w:autoSpaceDN w:val="0"/>
              <w:snapToGrid w:val="0"/>
              <w:spacing w:line="273" w:lineRule="auto"/>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1、投标文件的制作：本项目实行电子招投标。</w:t>
            </w:r>
          </w:p>
          <w:p w14:paraId="24D1680C">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、投标人应按要求提供电子投标文件及数据电子备份投标文件（U盘），具体内容如下：</w:t>
            </w:r>
          </w:p>
          <w:p w14:paraId="4517BFBC">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（1）电子投标文件：按政采云平台项目采购-电子交易操作指南及本招标文件要求制作、加密并递交，超过上传时间的视为放弃投标资格，作</w:t>
            </w:r>
            <w:r>
              <w:rPr>
                <w:rFonts w:hint="eastAsia" w:ascii="仿宋" w:hAnsi="仿宋" w:eastAsia="仿宋" w:cs="仿宋"/>
                <w:color w:val="auto"/>
                <w:sz w:val="24"/>
                <w:highlight w:val="none"/>
                <w:lang w:eastAsia="zh-CN"/>
              </w:rPr>
              <w:t>未递交投标文件处理</w:t>
            </w:r>
            <w:r>
              <w:rPr>
                <w:rFonts w:hint="eastAsia" w:ascii="仿宋" w:hAnsi="仿宋" w:eastAsia="仿宋" w:cs="仿宋"/>
                <w:color w:val="auto"/>
                <w:sz w:val="24"/>
                <w:highlight w:val="none"/>
              </w:rPr>
              <w:t>；</w:t>
            </w:r>
          </w:p>
          <w:p w14:paraId="5012DF30">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数据电子备份投标文件（U盘）：以U盘形式提供的数据电子备份投标文件格式及内容须与政采云平台项目采购-电子交易操作指南中制作、加密并递交的电子投标文件格式及内容一致。数据电子备份投标文件应加密，允许制作成一个U盘，但须密封、包装，不按此规定密封、包装的数据电子备份响应文件（U盘）均按未提供处理。</w:t>
            </w:r>
          </w:p>
        </w:tc>
      </w:tr>
      <w:tr w14:paraId="2B8002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744" w:type="dxa"/>
            <w:tcBorders>
              <w:top w:val="single" w:color="auto" w:sz="4" w:space="0"/>
              <w:left w:val="single" w:color="auto" w:sz="4" w:space="0"/>
              <w:bottom w:val="single" w:color="auto" w:sz="4" w:space="0"/>
              <w:right w:val="single" w:color="auto" w:sz="4" w:space="0"/>
            </w:tcBorders>
            <w:vAlign w:val="center"/>
          </w:tcPr>
          <w:p w14:paraId="2536A388">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984" w:type="dxa"/>
            <w:tcBorders>
              <w:top w:val="single" w:color="auto" w:sz="4" w:space="0"/>
              <w:left w:val="nil"/>
              <w:bottom w:val="single" w:color="auto" w:sz="4" w:space="0"/>
              <w:right w:val="single" w:color="auto" w:sz="4" w:space="0"/>
            </w:tcBorders>
            <w:vAlign w:val="center"/>
          </w:tcPr>
          <w:p w14:paraId="3FA3175B">
            <w:pPr>
              <w:snapToGrid w:val="0"/>
              <w:spacing w:line="273" w:lineRule="auto"/>
              <w:rPr>
                <w:rFonts w:hint="eastAsia" w:ascii="仿宋" w:hAnsi="仿宋" w:eastAsia="仿宋" w:cs="仿宋"/>
                <w:color w:val="auto"/>
                <w:sz w:val="24"/>
                <w:highlight w:val="none"/>
                <w:shd w:val="pct10" w:color="auto" w:fill="FFFFFF"/>
              </w:rPr>
            </w:pPr>
            <w:r>
              <w:rPr>
                <w:rFonts w:hint="eastAsia" w:ascii="仿宋" w:hAnsi="仿宋" w:eastAsia="仿宋" w:cs="仿宋"/>
                <w:color w:val="auto"/>
                <w:sz w:val="24"/>
                <w:highlight w:val="none"/>
              </w:rPr>
              <w:t>投标截止时间：</w:t>
            </w:r>
            <w:r>
              <w:rPr>
                <w:rFonts w:hint="eastAsia" w:ascii="仿宋" w:hAnsi="仿宋" w:eastAsia="仿宋" w:cs="仿宋"/>
                <w:color w:val="auto"/>
                <w:sz w:val="24"/>
                <w:highlight w:val="none"/>
                <w:shd w:val="pct10" w:color="auto" w:fill="FFFFFF"/>
              </w:rPr>
              <w:t>202</w:t>
            </w:r>
            <w:r>
              <w:rPr>
                <w:rFonts w:hint="eastAsia" w:ascii="仿宋" w:hAnsi="仿宋" w:eastAsia="仿宋" w:cs="仿宋"/>
                <w:color w:val="auto"/>
                <w:sz w:val="24"/>
                <w:highlight w:val="none"/>
                <w:shd w:val="pct10" w:color="auto" w:fill="FFFFFF"/>
                <w:lang w:val="en-US" w:eastAsia="zh-CN"/>
              </w:rPr>
              <w:t>5</w:t>
            </w:r>
            <w:r>
              <w:rPr>
                <w:rFonts w:hint="eastAsia" w:ascii="仿宋" w:hAnsi="仿宋" w:eastAsia="仿宋" w:cs="仿宋"/>
                <w:color w:val="auto"/>
                <w:sz w:val="24"/>
                <w:highlight w:val="none"/>
                <w:shd w:val="pct10" w:color="auto" w:fill="FFFFFF"/>
              </w:rPr>
              <w:t>年月日</w:t>
            </w:r>
            <w:r>
              <w:rPr>
                <w:rFonts w:hint="eastAsia" w:ascii="仿宋" w:hAnsi="仿宋" w:eastAsia="仿宋" w:cs="仿宋"/>
                <w:color w:val="auto"/>
                <w:sz w:val="24"/>
                <w:highlight w:val="none"/>
                <w:shd w:val="pct10" w:color="auto" w:fill="FFFFFF"/>
                <w:lang w:val="en-US" w:eastAsia="zh-CN"/>
              </w:rPr>
              <w:t>9</w:t>
            </w:r>
            <w:r>
              <w:rPr>
                <w:rFonts w:hint="eastAsia" w:ascii="仿宋" w:hAnsi="仿宋" w:eastAsia="仿宋" w:cs="仿宋"/>
                <w:color w:val="auto"/>
                <w:sz w:val="24"/>
                <w:highlight w:val="none"/>
                <w:shd w:val="pct10" w:color="auto" w:fill="FFFFFF"/>
                <w:lang w:eastAsia="zh-CN"/>
              </w:rPr>
              <w:t>:</w:t>
            </w:r>
            <w:r>
              <w:rPr>
                <w:rFonts w:hint="eastAsia" w:ascii="仿宋" w:hAnsi="仿宋" w:eastAsia="仿宋" w:cs="仿宋"/>
                <w:color w:val="auto"/>
                <w:sz w:val="24"/>
                <w:highlight w:val="none"/>
                <w:shd w:val="pct10" w:color="auto" w:fill="FFFFFF"/>
                <w:lang w:val="en-US" w:eastAsia="zh-CN"/>
              </w:rPr>
              <w:t>0</w:t>
            </w:r>
            <w:r>
              <w:rPr>
                <w:rFonts w:hint="eastAsia" w:ascii="仿宋" w:hAnsi="仿宋" w:eastAsia="仿宋" w:cs="仿宋"/>
                <w:color w:val="auto"/>
                <w:sz w:val="24"/>
                <w:highlight w:val="none"/>
                <w:shd w:val="pct10" w:color="auto" w:fill="FFFFFF"/>
                <w:lang w:eastAsia="zh-CN"/>
              </w:rPr>
              <w:t>0时</w:t>
            </w:r>
            <w:r>
              <w:rPr>
                <w:rFonts w:hint="eastAsia" w:ascii="仿宋" w:hAnsi="仿宋" w:eastAsia="仿宋" w:cs="仿宋"/>
                <w:color w:val="auto"/>
                <w:sz w:val="24"/>
                <w:highlight w:val="none"/>
                <w:shd w:val="pct10" w:color="auto" w:fill="FFFFFF"/>
              </w:rPr>
              <w:t>；</w:t>
            </w:r>
          </w:p>
          <w:p w14:paraId="37224992">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投标地点：（1）本项目通过“政府采购云平台（www.zcygov.cn）”实行在线投标响应（电子投标）；</w:t>
            </w:r>
          </w:p>
          <w:p w14:paraId="429692FC">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（2）投标人应当在投标截止时间前，将“电子加密投标文件”上传递交至“政府采购云平台”实行在线投标响应。投标截止时间以后上传递交的投标文件将被“政府采购云平台”拒收，作</w:t>
            </w:r>
            <w:r>
              <w:rPr>
                <w:rFonts w:hint="eastAsia" w:ascii="仿宋" w:hAnsi="仿宋" w:eastAsia="仿宋" w:cs="仿宋"/>
                <w:color w:val="auto"/>
                <w:sz w:val="24"/>
                <w:highlight w:val="none"/>
                <w:lang w:eastAsia="zh-CN"/>
              </w:rPr>
              <w:t>未递交投标文件处理。</w:t>
            </w:r>
          </w:p>
        </w:tc>
      </w:tr>
      <w:tr w14:paraId="75D2F9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744" w:type="dxa"/>
            <w:tcBorders>
              <w:top w:val="single" w:color="auto" w:sz="4" w:space="0"/>
              <w:left w:val="single" w:color="auto" w:sz="4" w:space="0"/>
              <w:bottom w:val="single" w:color="auto" w:sz="4" w:space="0"/>
              <w:right w:val="single" w:color="auto" w:sz="4" w:space="0"/>
            </w:tcBorders>
            <w:vAlign w:val="center"/>
          </w:tcPr>
          <w:p w14:paraId="5AF5425C">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984" w:type="dxa"/>
            <w:tcBorders>
              <w:top w:val="single" w:color="auto" w:sz="4" w:space="0"/>
              <w:left w:val="nil"/>
              <w:bottom w:val="single" w:color="auto" w:sz="4" w:space="0"/>
              <w:right w:val="single" w:color="auto" w:sz="4" w:space="0"/>
            </w:tcBorders>
            <w:vAlign w:val="center"/>
          </w:tcPr>
          <w:p w14:paraId="233087BE">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开标时间：</w:t>
            </w:r>
            <w:r>
              <w:rPr>
                <w:rFonts w:hint="eastAsia" w:ascii="仿宋" w:hAnsi="仿宋" w:eastAsia="仿宋" w:cs="仿宋"/>
                <w:color w:val="auto"/>
                <w:sz w:val="24"/>
                <w:highlight w:val="none"/>
                <w:shd w:val="pct10" w:color="auto" w:fill="FFFFFF"/>
              </w:rPr>
              <w:t>202</w:t>
            </w:r>
            <w:r>
              <w:rPr>
                <w:rFonts w:hint="eastAsia" w:ascii="仿宋" w:hAnsi="仿宋" w:eastAsia="仿宋" w:cs="仿宋"/>
                <w:color w:val="auto"/>
                <w:sz w:val="24"/>
                <w:highlight w:val="none"/>
                <w:shd w:val="pct10" w:color="auto" w:fill="FFFFFF"/>
                <w:lang w:val="en-US" w:eastAsia="zh-CN"/>
              </w:rPr>
              <w:t>5</w:t>
            </w:r>
            <w:r>
              <w:rPr>
                <w:rFonts w:hint="eastAsia" w:ascii="仿宋" w:hAnsi="仿宋" w:eastAsia="仿宋" w:cs="仿宋"/>
                <w:color w:val="auto"/>
                <w:sz w:val="24"/>
                <w:highlight w:val="none"/>
                <w:shd w:val="pct10" w:color="auto" w:fill="FFFFFF"/>
              </w:rPr>
              <w:t>年月日</w:t>
            </w:r>
            <w:r>
              <w:rPr>
                <w:rFonts w:hint="eastAsia" w:ascii="仿宋" w:hAnsi="仿宋" w:eastAsia="仿宋" w:cs="仿宋"/>
                <w:color w:val="auto"/>
                <w:sz w:val="24"/>
                <w:highlight w:val="none"/>
                <w:shd w:val="pct10" w:color="auto" w:fill="FFFFFF"/>
                <w:lang w:val="en-US" w:eastAsia="zh-CN"/>
              </w:rPr>
              <w:t>9</w:t>
            </w:r>
            <w:r>
              <w:rPr>
                <w:rFonts w:hint="eastAsia" w:ascii="仿宋" w:hAnsi="仿宋" w:eastAsia="仿宋" w:cs="仿宋"/>
                <w:color w:val="auto"/>
                <w:sz w:val="24"/>
                <w:highlight w:val="none"/>
                <w:shd w:val="pct10" w:color="auto" w:fill="FFFFFF"/>
                <w:lang w:eastAsia="zh-CN"/>
              </w:rPr>
              <w:t>:</w:t>
            </w:r>
            <w:r>
              <w:rPr>
                <w:rFonts w:hint="eastAsia" w:ascii="仿宋" w:hAnsi="仿宋" w:eastAsia="仿宋" w:cs="仿宋"/>
                <w:color w:val="auto"/>
                <w:sz w:val="24"/>
                <w:highlight w:val="none"/>
                <w:shd w:val="pct10" w:color="auto" w:fill="FFFFFF"/>
                <w:lang w:val="en-US" w:eastAsia="zh-CN"/>
              </w:rPr>
              <w:t>0</w:t>
            </w:r>
            <w:r>
              <w:rPr>
                <w:rFonts w:hint="eastAsia" w:ascii="仿宋" w:hAnsi="仿宋" w:eastAsia="仿宋" w:cs="仿宋"/>
                <w:color w:val="auto"/>
                <w:sz w:val="24"/>
                <w:highlight w:val="none"/>
                <w:shd w:val="pct10" w:color="auto" w:fill="FFFFFF"/>
                <w:lang w:eastAsia="zh-CN"/>
              </w:rPr>
              <w:t>0时</w:t>
            </w:r>
            <w:r>
              <w:rPr>
                <w:rFonts w:hint="eastAsia" w:ascii="仿宋" w:hAnsi="仿宋" w:eastAsia="仿宋" w:cs="仿宋"/>
                <w:color w:val="auto"/>
                <w:sz w:val="24"/>
                <w:highlight w:val="none"/>
                <w:shd w:val="pct10" w:color="auto" w:fill="FFFFFF"/>
              </w:rPr>
              <w:t>；</w:t>
            </w:r>
          </w:p>
          <w:p w14:paraId="73C912E4">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地点：</w:t>
            </w:r>
            <w:r>
              <w:rPr>
                <w:rFonts w:hint="eastAsia" w:ascii="仿宋" w:hAnsi="仿宋" w:eastAsia="仿宋"/>
                <w:color w:val="auto"/>
                <w:sz w:val="24"/>
                <w:highlight w:val="none"/>
              </w:rPr>
              <w:t>湖州市公共资源交易中心（湖州市仁皇山片区金盖山路</w:t>
            </w:r>
            <w:r>
              <w:rPr>
                <w:rFonts w:ascii="仿宋" w:hAnsi="仿宋" w:eastAsia="仿宋"/>
                <w:color w:val="auto"/>
                <w:sz w:val="24"/>
                <w:highlight w:val="none"/>
              </w:rPr>
              <w:t>66</w:t>
            </w:r>
            <w:r>
              <w:rPr>
                <w:rFonts w:hint="eastAsia" w:ascii="仿宋" w:hAnsi="仿宋" w:eastAsia="仿宋"/>
                <w:color w:val="auto"/>
                <w:sz w:val="24"/>
                <w:highlight w:val="none"/>
              </w:rPr>
              <w:t>号</w:t>
            </w:r>
            <w:r>
              <w:rPr>
                <w:rFonts w:ascii="仿宋" w:hAnsi="仿宋" w:eastAsia="仿宋"/>
                <w:color w:val="auto"/>
                <w:sz w:val="24"/>
                <w:highlight w:val="none"/>
              </w:rPr>
              <w:t>2</w:t>
            </w:r>
            <w:r>
              <w:rPr>
                <w:rFonts w:hint="eastAsia" w:ascii="仿宋" w:hAnsi="仿宋" w:eastAsia="仿宋"/>
                <w:color w:val="auto"/>
                <w:sz w:val="24"/>
                <w:highlight w:val="none"/>
              </w:rPr>
              <w:t>号楼二楼开标室，届时详见二楼休息区电子显示屏）</w:t>
            </w:r>
          </w:p>
          <w:p w14:paraId="72C5F24C">
            <w:pPr>
              <w:snapToGrid w:val="0"/>
              <w:spacing w:line="273"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人应当在投标截止时间前完成电子投标文件的传输递交，投标截止时间前可以补充、修改或者撤回电子投标文件。补充或者修改电子投标文件的，应当先行撤回原文件，补充、修改后重新传输递交。投标截止时间止未完成传输的，视为放弃投标资格，作</w:t>
            </w:r>
            <w:r>
              <w:rPr>
                <w:rFonts w:hint="eastAsia" w:ascii="仿宋" w:hAnsi="仿宋" w:eastAsia="仿宋" w:cs="仿宋"/>
                <w:color w:val="auto"/>
                <w:sz w:val="24"/>
                <w:highlight w:val="none"/>
                <w:lang w:eastAsia="zh-CN"/>
              </w:rPr>
              <w:t>未递交投标文件处理</w:t>
            </w:r>
            <w:r>
              <w:rPr>
                <w:rFonts w:hint="eastAsia" w:ascii="仿宋" w:hAnsi="仿宋" w:eastAsia="仿宋" w:cs="仿宋"/>
                <w:color w:val="auto"/>
                <w:sz w:val="24"/>
                <w:highlight w:val="none"/>
              </w:rPr>
              <w:t>。</w:t>
            </w:r>
          </w:p>
          <w:p w14:paraId="02342945">
            <w:pPr>
              <w:snapToGrid w:val="0"/>
              <w:spacing w:line="273"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2、数据电子备份投标文件（U 盘）：以 U 盘形式提供的数据电子备份投标文件格式及内容须与政采云平台项目采购-电子交易操作指南中制作、加密并递交的电子投标文件格式及内容一致。递交方式：</w:t>
            </w:r>
          </w:p>
          <w:p w14:paraId="730ACE46">
            <w:pPr>
              <w:snapToGrid w:val="0"/>
              <w:spacing w:line="273"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数据电子备份投标文件（U盘）应通过邮寄快递方式送达（原则上邮寄公司统一采用</w:t>
            </w:r>
            <w:r>
              <w:rPr>
                <w:rFonts w:hint="eastAsia" w:ascii="仿宋" w:hAnsi="仿宋" w:eastAsia="仿宋" w:cs="仿宋"/>
                <w:color w:val="auto"/>
                <w:sz w:val="24"/>
                <w:highlight w:val="none"/>
                <w:lang w:val="en-US" w:eastAsia="zh-CN"/>
              </w:rPr>
              <w:t>顺丰</w:t>
            </w:r>
            <w:r>
              <w:rPr>
                <w:rFonts w:hint="eastAsia" w:ascii="仿宋" w:hAnsi="仿宋" w:eastAsia="仿宋" w:cs="仿宋"/>
                <w:color w:val="auto"/>
                <w:sz w:val="24"/>
                <w:highlight w:val="none"/>
              </w:rPr>
              <w:t>），邮寄地址为：</w:t>
            </w:r>
            <w:r>
              <w:rPr>
                <w:rFonts w:hint="eastAsia" w:ascii="仿宋" w:hAnsi="仿宋" w:eastAsia="仿宋" w:cs="仿宋"/>
                <w:color w:val="auto"/>
                <w:sz w:val="24"/>
                <w:highlight w:val="none"/>
                <w:lang w:eastAsia="zh-CN"/>
              </w:rPr>
              <w:t>浙江新诚信工程咨询有限公司</w:t>
            </w:r>
            <w:r>
              <w:rPr>
                <w:rFonts w:hint="eastAsia" w:ascii="仿宋" w:hAnsi="仿宋" w:eastAsia="仿宋" w:cs="仿宋"/>
                <w:color w:val="auto"/>
                <w:sz w:val="24"/>
                <w:highlight w:val="none"/>
              </w:rPr>
              <w:t>[湖州市太湖路1155号</w:t>
            </w:r>
            <w:r>
              <w:rPr>
                <w:rFonts w:hint="eastAsia" w:ascii="仿宋" w:hAnsi="仿宋" w:eastAsia="仿宋" w:cs="仿宋"/>
                <w:color w:val="auto"/>
                <w:sz w:val="24"/>
                <w:highlight w:val="none"/>
                <w:lang w:val="en-US" w:eastAsia="zh-CN"/>
              </w:rPr>
              <w:t>14楼1402室</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lang w:val="en-US" w:eastAsia="zh-CN"/>
              </w:rPr>
              <w:t>18768247439</w:t>
            </w:r>
            <w:r>
              <w:rPr>
                <w:rFonts w:hint="eastAsia" w:ascii="仿宋" w:hAnsi="仿宋" w:eastAsia="仿宋" w:cs="仿宋"/>
                <w:color w:val="auto"/>
                <w:sz w:val="24"/>
                <w:highlight w:val="none"/>
              </w:rPr>
              <w:t>。邮寄截止时间：投标人应于202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年月日17:00时前准时送达，逾期不予受理。投标人须留足投标文件邮寄时间,确保数据电子备份投标文件（U盘）于规定的时间前送达指定地点，未按时送达的，均按未提供处理。    </w:t>
            </w:r>
          </w:p>
          <w:p w14:paraId="2A541D17">
            <w:pPr>
              <w:snapToGrid w:val="0"/>
              <w:spacing w:line="273"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注：（1）投标人应权衡利弊考虑是否提供数据电子备份投标文件（U盘），</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及采购代理机构不做强制性要求，若因下一条款（第3条）原因须启用数据电子备份投标文件（U盘）时，而投标人未提供的，视为放弃投标资格，作作</w:t>
            </w:r>
            <w:r>
              <w:rPr>
                <w:rFonts w:hint="eastAsia" w:ascii="仿宋" w:hAnsi="仿宋" w:eastAsia="仿宋" w:cs="仿宋"/>
                <w:color w:val="auto"/>
                <w:sz w:val="24"/>
                <w:highlight w:val="none"/>
                <w:lang w:eastAsia="zh-CN"/>
              </w:rPr>
              <w:t>未递交投标文件处理</w:t>
            </w:r>
            <w:r>
              <w:rPr>
                <w:rFonts w:hint="eastAsia" w:ascii="仿宋" w:hAnsi="仿宋" w:eastAsia="仿宋" w:cs="仿宋"/>
                <w:color w:val="auto"/>
                <w:sz w:val="24"/>
                <w:highlight w:val="none"/>
              </w:rPr>
              <w:t>；（2）投标人应对提供的数据电子备份投标文件（U盘）进行加密处理，若需要启用数据电子备份投标文件（U盘）时，由</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或采购代理机构启封并进行解密；（3）若投标人未提供数据电子备份投标文件（U盘），招标公告及招标文件中关于数据电子备份投标文件（U盘）的要求及内容不再适用。</w:t>
            </w:r>
          </w:p>
        </w:tc>
      </w:tr>
      <w:tr w14:paraId="3FE2C4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744" w:type="dxa"/>
            <w:tcBorders>
              <w:top w:val="single" w:color="auto" w:sz="4" w:space="0"/>
              <w:left w:val="single" w:color="auto" w:sz="4" w:space="0"/>
              <w:bottom w:val="single" w:color="auto" w:sz="4" w:space="0"/>
              <w:right w:val="single" w:color="auto" w:sz="4" w:space="0"/>
            </w:tcBorders>
            <w:vAlign w:val="center"/>
          </w:tcPr>
          <w:p w14:paraId="193320ED">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984" w:type="dxa"/>
            <w:tcBorders>
              <w:top w:val="single" w:color="auto" w:sz="4" w:space="0"/>
              <w:left w:val="nil"/>
              <w:bottom w:val="single" w:color="auto" w:sz="4" w:space="0"/>
              <w:right w:val="single" w:color="auto" w:sz="4" w:space="0"/>
            </w:tcBorders>
            <w:vAlign w:val="center"/>
          </w:tcPr>
          <w:p w14:paraId="6FCB0F8A">
            <w:pPr>
              <w:autoSpaceDE w:val="0"/>
              <w:autoSpaceDN w:val="0"/>
              <w:snapToGrid w:val="0"/>
              <w:spacing w:line="273" w:lineRule="auto"/>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评标办法及评分标准：附后</w:t>
            </w:r>
          </w:p>
        </w:tc>
      </w:tr>
      <w:tr w14:paraId="4B6517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744" w:type="dxa"/>
            <w:tcBorders>
              <w:top w:val="single" w:color="auto" w:sz="4" w:space="0"/>
              <w:left w:val="single" w:color="auto" w:sz="4" w:space="0"/>
              <w:bottom w:val="single" w:color="auto" w:sz="4" w:space="0"/>
              <w:right w:val="single" w:color="auto" w:sz="4" w:space="0"/>
            </w:tcBorders>
            <w:vAlign w:val="center"/>
          </w:tcPr>
          <w:p w14:paraId="2C230F60">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984" w:type="dxa"/>
            <w:tcBorders>
              <w:top w:val="single" w:color="auto" w:sz="4" w:space="0"/>
              <w:left w:val="nil"/>
              <w:bottom w:val="single" w:color="auto" w:sz="4" w:space="0"/>
              <w:right w:val="single" w:color="auto" w:sz="4" w:space="0"/>
            </w:tcBorders>
            <w:vAlign w:val="center"/>
          </w:tcPr>
          <w:p w14:paraId="3FB35E8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中标结果公告：</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依法确定中标后 2 个工作日内，公告发布网址如下：</w:t>
            </w:r>
          </w:p>
          <w:p w14:paraId="19E2793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浙江政府采购网：http://zfcg.czt.zj.gov.cn/；</w:t>
            </w:r>
            <w:r>
              <w:rPr>
                <w:rFonts w:hint="eastAsia" w:ascii="仿宋" w:hAnsi="仿宋" w:eastAsia="仿宋"/>
                <w:color w:val="auto"/>
                <w:sz w:val="24"/>
                <w:highlight w:val="none"/>
              </w:rPr>
              <w:t>湖州市公共资源交易信息网：http://ggzyjy.huzhou.gov.cn/</w:t>
            </w:r>
          </w:p>
        </w:tc>
      </w:tr>
      <w:tr w14:paraId="17D19D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44" w:type="dxa"/>
            <w:tcBorders>
              <w:top w:val="single" w:color="auto" w:sz="4" w:space="0"/>
              <w:left w:val="single" w:color="auto" w:sz="4" w:space="0"/>
              <w:bottom w:val="single" w:color="auto" w:sz="4" w:space="0"/>
              <w:right w:val="single" w:color="auto" w:sz="4" w:space="0"/>
            </w:tcBorders>
            <w:vAlign w:val="center"/>
          </w:tcPr>
          <w:p w14:paraId="04E943E7">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8984" w:type="dxa"/>
            <w:tcBorders>
              <w:top w:val="single" w:color="auto" w:sz="4" w:space="0"/>
              <w:left w:val="nil"/>
              <w:bottom w:val="single" w:color="auto" w:sz="4" w:space="0"/>
              <w:right w:val="single" w:color="auto" w:sz="4" w:space="0"/>
            </w:tcBorders>
            <w:vAlign w:val="center"/>
          </w:tcPr>
          <w:p w14:paraId="53A33CB7">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中标通知书：在发布中标结果公告的同时，向中标人发中标通知书。</w:t>
            </w:r>
          </w:p>
        </w:tc>
      </w:tr>
      <w:tr w14:paraId="2A878E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744" w:type="dxa"/>
            <w:tcBorders>
              <w:top w:val="single" w:color="auto" w:sz="4" w:space="0"/>
              <w:left w:val="single" w:color="auto" w:sz="4" w:space="0"/>
              <w:bottom w:val="single" w:color="auto" w:sz="4" w:space="0"/>
              <w:right w:val="single" w:color="auto" w:sz="4" w:space="0"/>
            </w:tcBorders>
            <w:vAlign w:val="center"/>
          </w:tcPr>
          <w:p w14:paraId="2B178F4D">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8984" w:type="dxa"/>
            <w:tcBorders>
              <w:top w:val="single" w:color="auto" w:sz="4" w:space="0"/>
              <w:left w:val="nil"/>
              <w:bottom w:val="single" w:color="auto" w:sz="4" w:space="0"/>
              <w:right w:val="single" w:color="auto" w:sz="4" w:space="0"/>
            </w:tcBorders>
            <w:vAlign w:val="center"/>
          </w:tcPr>
          <w:p w14:paraId="1E3A8B9C">
            <w:pPr>
              <w:autoSpaceDE w:val="0"/>
              <w:autoSpaceDN w:val="0"/>
              <w:snapToGrid w:val="0"/>
              <w:spacing w:line="273" w:lineRule="auto"/>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签订合同时间：中标通知书发出后30日内。</w:t>
            </w:r>
          </w:p>
        </w:tc>
      </w:tr>
      <w:tr w14:paraId="1E0E19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744" w:type="dxa"/>
            <w:tcBorders>
              <w:top w:val="single" w:color="auto" w:sz="4" w:space="0"/>
              <w:left w:val="single" w:color="auto" w:sz="4" w:space="0"/>
              <w:bottom w:val="single" w:color="auto" w:sz="4" w:space="0"/>
              <w:right w:val="single" w:color="auto" w:sz="4" w:space="0"/>
            </w:tcBorders>
            <w:vAlign w:val="center"/>
          </w:tcPr>
          <w:p w14:paraId="686E5303">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8984" w:type="dxa"/>
            <w:tcBorders>
              <w:top w:val="single" w:color="auto" w:sz="4" w:space="0"/>
              <w:left w:val="nil"/>
              <w:bottom w:val="single" w:color="auto" w:sz="4" w:space="0"/>
              <w:right w:val="single" w:color="auto" w:sz="4" w:space="0"/>
            </w:tcBorders>
            <w:vAlign w:val="center"/>
          </w:tcPr>
          <w:p w14:paraId="408EF2B8">
            <w:pPr>
              <w:spacing w:line="48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履约保证金：合同金额的1%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中标人应向采购人交纳履约保证金，</w:t>
            </w:r>
            <w:r>
              <w:rPr>
                <w:rFonts w:hint="eastAsia" w:ascii="仿宋" w:hAnsi="仿宋" w:eastAsia="仿宋" w:cs="仿宋"/>
                <w:color w:val="auto"/>
                <w:spacing w:val="-2"/>
                <w:sz w:val="24"/>
                <w:szCs w:val="24"/>
                <w:highlight w:val="none"/>
              </w:rPr>
              <w:t>在服务期满后30天内退还</w:t>
            </w:r>
            <w:r>
              <w:rPr>
                <w:rFonts w:hint="eastAsia" w:ascii="仿宋" w:hAnsi="仿宋" w:eastAsia="仿宋" w:cs="仿宋"/>
                <w:color w:val="auto"/>
                <w:spacing w:val="-2"/>
                <w:sz w:val="24"/>
                <w:szCs w:val="24"/>
                <w:highlight w:val="none"/>
                <w:lang w:eastAsia="zh-CN"/>
              </w:rPr>
              <w:t>。</w:t>
            </w:r>
            <w:r>
              <w:rPr>
                <w:rFonts w:hint="eastAsia" w:ascii="仿宋" w:hAnsi="仿宋" w:eastAsia="仿宋" w:cs="仿宋"/>
                <w:color w:val="auto"/>
                <w:sz w:val="24"/>
                <w:highlight w:val="none"/>
              </w:rPr>
              <w:t>（缴纳形式为支票、汇票、本票、保险或者金融机构、担保机构出具的保函等非现金形式）。</w:t>
            </w:r>
          </w:p>
        </w:tc>
      </w:tr>
      <w:tr w14:paraId="5F5536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157B5B70">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8984" w:type="dxa"/>
            <w:tcBorders>
              <w:top w:val="single" w:color="auto" w:sz="4" w:space="0"/>
              <w:left w:val="nil"/>
              <w:bottom w:val="single" w:color="auto" w:sz="4" w:space="0"/>
              <w:right w:val="single" w:color="auto" w:sz="4" w:space="0"/>
            </w:tcBorders>
            <w:vAlign w:val="center"/>
          </w:tcPr>
          <w:p w14:paraId="77D793BE">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投标文件有效期：</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0天</w:t>
            </w:r>
          </w:p>
        </w:tc>
      </w:tr>
      <w:tr w14:paraId="0C8E68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6E4F7E7A">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8984" w:type="dxa"/>
            <w:tcBorders>
              <w:top w:val="single" w:color="auto" w:sz="4" w:space="0"/>
              <w:left w:val="nil"/>
              <w:bottom w:val="single" w:color="auto" w:sz="4" w:space="0"/>
              <w:right w:val="single" w:color="auto" w:sz="4" w:space="0"/>
            </w:tcBorders>
            <w:vAlign w:val="center"/>
          </w:tcPr>
          <w:p w14:paraId="378F613B">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解释：本招标文件的解释权属于</w:t>
            </w:r>
            <w:r>
              <w:rPr>
                <w:rFonts w:hint="eastAsia" w:ascii="仿宋" w:hAnsi="仿宋" w:eastAsia="仿宋" w:cs="仿宋"/>
                <w:color w:val="auto"/>
                <w:sz w:val="24"/>
                <w:highlight w:val="none"/>
                <w:lang w:eastAsia="zh-CN"/>
              </w:rPr>
              <w:t>招标人</w:t>
            </w:r>
            <w:r>
              <w:rPr>
                <w:rFonts w:hint="eastAsia" w:ascii="仿宋" w:hAnsi="仿宋" w:eastAsia="仿宋" w:cs="仿宋"/>
                <w:color w:val="auto"/>
                <w:sz w:val="24"/>
                <w:highlight w:val="none"/>
              </w:rPr>
              <w:t>。</w:t>
            </w:r>
          </w:p>
        </w:tc>
      </w:tr>
      <w:tr w14:paraId="4B501F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1E2FD13A">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p>
        </w:tc>
        <w:tc>
          <w:tcPr>
            <w:tcW w:w="8984" w:type="dxa"/>
            <w:tcBorders>
              <w:top w:val="single" w:color="auto" w:sz="4" w:space="0"/>
              <w:left w:val="nil"/>
              <w:bottom w:val="single" w:color="auto" w:sz="4" w:space="0"/>
              <w:right w:val="single" w:color="auto" w:sz="4" w:space="0"/>
            </w:tcBorders>
            <w:vAlign w:val="center"/>
          </w:tcPr>
          <w:p w14:paraId="078A8A3E">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在确定中标人后，签订合同前，中标人须提供二份完整的纸质投标文件给</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，纸质投标文件须与电子投标文件格式及内容一致。</w:t>
            </w:r>
          </w:p>
        </w:tc>
      </w:tr>
      <w:tr w14:paraId="008778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78F2663C">
            <w:pPr>
              <w:snapToGrid w:val="0"/>
              <w:spacing w:line="273"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w:t>
            </w:r>
          </w:p>
        </w:tc>
        <w:tc>
          <w:tcPr>
            <w:tcW w:w="8984" w:type="dxa"/>
            <w:tcBorders>
              <w:top w:val="single" w:color="auto" w:sz="4" w:space="0"/>
              <w:left w:val="nil"/>
              <w:bottom w:val="single" w:color="auto" w:sz="4" w:space="0"/>
              <w:right w:val="single" w:color="auto" w:sz="4" w:space="0"/>
            </w:tcBorders>
            <w:vAlign w:val="center"/>
          </w:tcPr>
          <w:p w14:paraId="41841738">
            <w:pPr>
              <w:snapToGrid w:val="0"/>
              <w:spacing w:line="273"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特别说明：政采云公司如对电子化开标及评审程序有调整的，应按调整的程序操作。</w:t>
            </w:r>
          </w:p>
        </w:tc>
      </w:tr>
    </w:tbl>
    <w:p w14:paraId="58EAA98D">
      <w:pPr>
        <w:pStyle w:val="31"/>
        <w:outlineLvl w:val="9"/>
        <w:rPr>
          <w:rFonts w:hint="eastAsia" w:ascii="仿宋" w:hAnsi="仿宋" w:eastAsia="仿宋" w:cs="仿宋"/>
          <w:b/>
          <w:color w:val="auto"/>
          <w:sz w:val="24"/>
          <w:szCs w:val="24"/>
          <w:highlight w:val="none"/>
        </w:rPr>
      </w:pPr>
    </w:p>
    <w:p w14:paraId="27BB02FE">
      <w:pPr>
        <w:pStyle w:val="31"/>
        <w:outlineLvl w:val="9"/>
        <w:rPr>
          <w:rFonts w:hint="eastAsia" w:ascii="仿宋" w:hAnsi="仿宋" w:eastAsia="仿宋" w:cs="仿宋"/>
          <w:b/>
          <w:color w:val="auto"/>
          <w:sz w:val="24"/>
          <w:szCs w:val="24"/>
          <w:highlight w:val="none"/>
        </w:rPr>
      </w:pPr>
    </w:p>
    <w:p w14:paraId="3F4F193E">
      <w:pPr>
        <w:pStyle w:val="31"/>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一、总 则 </w:t>
      </w:r>
    </w:p>
    <w:p w14:paraId="1DC51D74">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（一）适用范围 </w:t>
      </w:r>
    </w:p>
    <w:p w14:paraId="12214A59">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w:t>
      </w:r>
      <w:r>
        <w:rPr>
          <w:rFonts w:hint="eastAsia" w:ascii="仿宋" w:hAnsi="仿宋" w:eastAsia="仿宋" w:cs="仿宋"/>
          <w:color w:val="auto"/>
          <w:sz w:val="24"/>
          <w:highlight w:val="none"/>
          <w:u w:val="single"/>
          <w:lang w:val="en-US" w:eastAsia="zh-CN"/>
        </w:rPr>
        <w:t>湖州南太湖新区公用事业管理中心湖州南太湖新区西区、104国道、杨家埠等区域环卫作业一体化服务项目（2025-2027年度）</w:t>
      </w:r>
      <w:r>
        <w:rPr>
          <w:rFonts w:hint="eastAsia" w:ascii="仿宋" w:hAnsi="仿宋" w:eastAsia="仿宋" w:cs="仿宋"/>
          <w:color w:val="auto"/>
          <w:sz w:val="24"/>
          <w:highlight w:val="none"/>
        </w:rPr>
        <w:t xml:space="preserve">的招标、投标、评标、定标、验收、合同履约、付款等行为（法律、法规另有规定的，从其规定）。 </w:t>
      </w:r>
    </w:p>
    <w:p w14:paraId="0C8F9A58">
      <w:pPr>
        <w:pStyle w:val="31"/>
        <w:spacing w:line="460" w:lineRule="exact"/>
        <w:ind w:firstLine="480" w:firstLineChars="200"/>
        <w:rPr>
          <w:rFonts w:hint="eastAsia" w:ascii="仿宋" w:hAnsi="仿宋" w:eastAsia="仿宋" w:cs="仿宋"/>
          <w:color w:val="auto"/>
          <w:highlight w:val="none"/>
          <w:shd w:val="pct10" w:color="auto" w:fill="FFFFFF"/>
        </w:rPr>
      </w:pPr>
      <w:r>
        <w:rPr>
          <w:rFonts w:hint="eastAsia" w:ascii="仿宋" w:hAnsi="仿宋" w:eastAsia="仿宋" w:cs="仿宋"/>
          <w:color w:val="auto"/>
          <w:highlight w:val="none"/>
        </w:rPr>
        <w:t>（二）采购预算：</w:t>
      </w:r>
      <w:r>
        <w:rPr>
          <w:rFonts w:hint="eastAsia" w:ascii="仿宋" w:hAnsi="仿宋" w:eastAsia="仿宋" w:cs="仿宋"/>
          <w:color w:val="auto"/>
          <w:sz w:val="24"/>
          <w:highlight w:val="none"/>
          <w:lang w:val="en-US" w:eastAsia="zh-CN"/>
        </w:rPr>
        <w:t>3900万元（</w:t>
      </w:r>
      <w:r>
        <w:rPr>
          <w:rFonts w:hint="eastAsia" w:ascii="仿宋" w:hAnsi="仿宋" w:eastAsia="仿宋" w:cs="仿宋"/>
          <w:b w:val="0"/>
          <w:bCs/>
          <w:color w:val="auto"/>
          <w:sz w:val="24"/>
          <w:highlight w:val="none"/>
          <w:lang w:val="en-US" w:eastAsia="zh-CN"/>
        </w:rPr>
        <w:t>其中标项一：1350万元；  标项二：1230万元 ；标项三：1320万元</w:t>
      </w:r>
      <w:r>
        <w:rPr>
          <w:rFonts w:hint="eastAsia" w:ascii="仿宋" w:hAnsi="仿宋" w:eastAsia="仿宋" w:cs="仿宋"/>
          <w:color w:val="auto"/>
          <w:sz w:val="24"/>
          <w:highlight w:val="none"/>
          <w:lang w:val="en-US" w:eastAsia="zh-CN"/>
        </w:rPr>
        <w:t>）</w:t>
      </w:r>
    </w:p>
    <w:p w14:paraId="43F8CF23">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（三）定义 </w:t>
      </w:r>
    </w:p>
    <w:p w14:paraId="5ED83D45">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 采购人系指组织本次项目采购的</w:t>
      </w:r>
      <w:r>
        <w:rPr>
          <w:rFonts w:hint="eastAsia" w:ascii="仿宋" w:hAnsi="仿宋" w:eastAsia="仿宋" w:cs="仿宋"/>
          <w:b/>
          <w:bCs/>
          <w:color w:val="auto"/>
          <w:sz w:val="24"/>
          <w:highlight w:val="none"/>
          <w:u w:val="single"/>
          <w:lang w:eastAsia="zh-CN"/>
        </w:rPr>
        <w:t xml:space="preserve">湖州南太湖新区公用事业管理中心 </w:t>
      </w:r>
      <w:r>
        <w:rPr>
          <w:rFonts w:hint="eastAsia" w:ascii="仿宋" w:hAnsi="仿宋" w:eastAsia="仿宋" w:cs="仿宋"/>
          <w:color w:val="auto"/>
          <w:highlight w:val="none"/>
        </w:rPr>
        <w:t>；采购代理机构系指采购人授权委托代理本项目招标程序的</w:t>
      </w:r>
      <w:r>
        <w:rPr>
          <w:rFonts w:hint="eastAsia" w:ascii="仿宋" w:hAnsi="仿宋" w:eastAsia="仿宋" w:cs="仿宋"/>
          <w:b/>
          <w:color w:val="auto"/>
          <w:highlight w:val="none"/>
          <w:u w:val="single"/>
          <w:lang w:eastAsia="zh-CN"/>
        </w:rPr>
        <w:t>浙江新诚信工程咨询有限公司</w:t>
      </w:r>
      <w:r>
        <w:rPr>
          <w:rFonts w:hint="eastAsia" w:ascii="仿宋" w:hAnsi="仿宋" w:eastAsia="仿宋" w:cs="仿宋"/>
          <w:color w:val="auto"/>
          <w:highlight w:val="none"/>
        </w:rPr>
        <w:t xml:space="preserve">。 </w:t>
      </w:r>
    </w:p>
    <w:p w14:paraId="61767A45">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2.“投标人”指向</w:t>
      </w:r>
      <w:r>
        <w:rPr>
          <w:rFonts w:hint="eastAsia" w:ascii="仿宋" w:hAnsi="仿宋" w:eastAsia="仿宋" w:cs="仿宋"/>
          <w:color w:val="auto"/>
          <w:highlight w:val="none"/>
          <w:lang w:eastAsia="zh-CN"/>
        </w:rPr>
        <w:t>采购人</w:t>
      </w:r>
      <w:r>
        <w:rPr>
          <w:rFonts w:hint="eastAsia" w:ascii="仿宋" w:hAnsi="仿宋" w:eastAsia="仿宋" w:cs="仿宋"/>
          <w:color w:val="auto"/>
          <w:highlight w:val="none"/>
        </w:rPr>
        <w:t xml:space="preserve">提交投标文件的单位。 </w:t>
      </w:r>
    </w:p>
    <w:p w14:paraId="0BC69454">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 “产品”系指供方按招标文件规定，须向</w:t>
      </w:r>
      <w:r>
        <w:rPr>
          <w:rFonts w:hint="eastAsia" w:ascii="仿宋" w:hAnsi="仿宋" w:eastAsia="仿宋" w:cs="仿宋"/>
          <w:color w:val="auto"/>
          <w:highlight w:val="none"/>
          <w:lang w:eastAsia="zh-CN"/>
        </w:rPr>
        <w:t>采购人</w:t>
      </w:r>
      <w:r>
        <w:rPr>
          <w:rFonts w:hint="eastAsia" w:ascii="仿宋" w:hAnsi="仿宋" w:eastAsia="仿宋" w:cs="仿宋"/>
          <w:color w:val="auto"/>
          <w:highlight w:val="none"/>
        </w:rPr>
        <w:t>提供的一切产品、保险、税金、备品备件、工具、手册及其它有关技术资料和材料。</w:t>
      </w:r>
    </w:p>
    <w:p w14:paraId="0C2CFDCA">
      <w:pPr>
        <w:pStyle w:val="31"/>
        <w:spacing w:line="460" w:lineRule="exact"/>
        <w:ind w:firstLine="480" w:firstLineChars="200"/>
        <w:rPr>
          <w:rFonts w:hint="eastAsia" w:ascii="仿宋" w:hAnsi="仿宋" w:eastAsia="仿宋" w:cs="仿宋"/>
          <w:color w:val="auto"/>
          <w:szCs w:val="20"/>
          <w:highlight w:val="none"/>
        </w:rPr>
      </w:pPr>
      <w:r>
        <w:rPr>
          <w:rFonts w:hint="eastAsia" w:ascii="仿宋" w:hAnsi="仿宋" w:eastAsia="仿宋" w:cs="仿宋"/>
          <w:color w:val="auto"/>
          <w:highlight w:val="none"/>
        </w:rPr>
        <w:t>4.“服务”系指招标文件规定投标人须承担的安装、调试、技术协助、校准、培训、技术指导以及其他类似的义务。</w:t>
      </w:r>
    </w:p>
    <w:p w14:paraId="48CCF206">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5.“项目”系指投标人按招标文件规定向</w:t>
      </w:r>
      <w:r>
        <w:rPr>
          <w:rFonts w:hint="eastAsia" w:ascii="仿宋" w:hAnsi="仿宋" w:eastAsia="仿宋" w:cs="仿宋"/>
          <w:color w:val="auto"/>
          <w:highlight w:val="none"/>
          <w:lang w:eastAsia="zh-CN"/>
        </w:rPr>
        <w:t>采购人</w:t>
      </w:r>
      <w:r>
        <w:rPr>
          <w:rFonts w:hint="eastAsia" w:ascii="仿宋" w:hAnsi="仿宋" w:eastAsia="仿宋" w:cs="仿宋"/>
          <w:color w:val="auto"/>
          <w:highlight w:val="none"/>
        </w:rPr>
        <w:t xml:space="preserve">提供的服务。 </w:t>
      </w:r>
    </w:p>
    <w:p w14:paraId="67A61AC2">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6.“书面形式”包括信函、传真、电报等。 </w:t>
      </w:r>
    </w:p>
    <w:p w14:paraId="0935FAA2">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7.“▲”系指实质性要求条款。 </w:t>
      </w:r>
    </w:p>
    <w:p w14:paraId="4C8C54E5">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（四）采购方式 </w:t>
      </w:r>
    </w:p>
    <w:p w14:paraId="3711BE01">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本次招标采用公开招标方式进行。 </w:t>
      </w:r>
    </w:p>
    <w:p w14:paraId="01F7B303">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（五）投标费用</w:t>
      </w:r>
    </w:p>
    <w:p w14:paraId="5B972495">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投标人应自行承担投标过程中的所有相关费用，不论中标与否，</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在任何情况下不承担有关费用。</w:t>
      </w:r>
    </w:p>
    <w:p w14:paraId="3FF5F83D">
      <w:pPr>
        <w:spacing w:line="500" w:lineRule="exact"/>
        <w:ind w:firstLine="480" w:firstLineChars="200"/>
        <w:jc w:val="left"/>
        <w:rPr>
          <w:rFonts w:hint="eastAsia"/>
          <w:color w:val="auto"/>
          <w:highlight w:val="none"/>
        </w:rPr>
      </w:pPr>
      <w:r>
        <w:rPr>
          <w:rFonts w:hint="eastAsia" w:ascii="仿宋" w:hAnsi="仿宋" w:eastAsia="仿宋"/>
          <w:color w:val="auto"/>
          <w:kern w:val="0"/>
          <w:sz w:val="24"/>
          <w:highlight w:val="none"/>
        </w:rPr>
        <w:t>2. 本项目代理服务费由中标人在中标后、领取中标通知书时支付给采购代理机构，该费用请投标人自行考虑计入投标报价中。</w:t>
      </w:r>
    </w:p>
    <w:p w14:paraId="5E9E177A">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（六）联合体投标</w:t>
      </w:r>
    </w:p>
    <w:p w14:paraId="3FAD3CD5">
      <w:pPr>
        <w:spacing w:line="500" w:lineRule="exact"/>
        <w:ind w:firstLine="480" w:firstLineChars="200"/>
        <w:jc w:val="left"/>
        <w:rPr>
          <w:rFonts w:hint="eastAsia" w:ascii="仿宋" w:hAnsi="仿宋" w:eastAsia="仿宋" w:cs="Times New Roman"/>
          <w:color w:val="auto"/>
          <w:kern w:val="0"/>
          <w:sz w:val="24"/>
          <w:highlight w:val="none"/>
        </w:rPr>
      </w:pPr>
      <w:r>
        <w:rPr>
          <w:rFonts w:hint="eastAsia" w:ascii="仿宋" w:hAnsi="仿宋" w:eastAsia="仿宋" w:cs="Times New Roman"/>
          <w:color w:val="auto"/>
          <w:kern w:val="0"/>
          <w:sz w:val="24"/>
          <w:highlight w:val="none"/>
        </w:rPr>
        <w:t>本项目</w:t>
      </w:r>
      <w:r>
        <w:rPr>
          <w:rFonts w:hint="eastAsia" w:ascii="仿宋" w:hAnsi="仿宋" w:eastAsia="仿宋" w:cs="Times New Roman"/>
          <w:color w:val="auto"/>
          <w:kern w:val="0"/>
          <w:sz w:val="24"/>
          <w:highlight w:val="none"/>
          <w:lang w:val="en-US" w:eastAsia="zh-CN"/>
        </w:rPr>
        <w:t>不</w:t>
      </w:r>
      <w:r>
        <w:rPr>
          <w:rFonts w:hint="eastAsia" w:ascii="仿宋" w:hAnsi="仿宋" w:eastAsia="仿宋" w:cs="Times New Roman"/>
          <w:color w:val="auto"/>
          <w:kern w:val="0"/>
          <w:sz w:val="24"/>
          <w:highlight w:val="none"/>
        </w:rPr>
        <w:t>接受联合体投标。</w:t>
      </w:r>
    </w:p>
    <w:p w14:paraId="041EDD8F">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（七）转包与分包</w:t>
      </w:r>
    </w:p>
    <w:p w14:paraId="50D63120">
      <w:pPr>
        <w:spacing w:line="460" w:lineRule="exact"/>
        <w:ind w:firstLine="480" w:firstLineChars="200"/>
        <w:jc w:val="left"/>
        <w:rPr>
          <w:rFonts w:hint="default" w:ascii="仿宋" w:hAnsi="仿宋" w:eastAsia="仿宋" w:cs="仿宋"/>
          <w:color w:val="auto"/>
          <w:kern w:val="0"/>
          <w:sz w:val="24"/>
          <w:highlight w:val="none"/>
          <w:lang w:val="en-US"/>
        </w:rPr>
      </w:pPr>
      <w:r>
        <w:rPr>
          <w:rFonts w:hint="eastAsia" w:ascii="仿宋" w:hAnsi="仿宋" w:eastAsia="仿宋" w:cs="仿宋"/>
          <w:color w:val="auto"/>
          <w:kern w:val="0"/>
          <w:sz w:val="24"/>
          <w:highlight w:val="none"/>
        </w:rPr>
        <w:t>本项目不允许转包</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可以合理分包。</w:t>
      </w:r>
    </w:p>
    <w:p w14:paraId="12AE7664">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特别说明：</w:t>
      </w:r>
    </w:p>
    <w:p w14:paraId="77CD8BC7">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1.投标人投标所使用的资格、信誉、荣誉、业绩与企业认证必须为本法人所拥有。投标人投标所使用的采购项目实施人员必须为本法人员工。</w:t>
      </w:r>
    </w:p>
    <w:p w14:paraId="4E41F5A2">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2.投标人应仔细阅读招标文件的所有内容，按照招标文件的要求提交投标文件，并对所提供的全部资料的真实性承担法律责任。</w:t>
      </w:r>
    </w:p>
    <w:p w14:paraId="6572AFEE">
      <w:pPr>
        <w:widowControl/>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3.投标人在投标活动中提供任何虚假材料,其投标无效，并报监管部门查处；中标后发现的,中标人须依照《中华人民共和国消费者权益保护法》第49条之规定双倍赔偿</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，且民事赔偿并不免除违法投标人的行政与刑事责任。</w:t>
      </w:r>
    </w:p>
    <w:p w14:paraId="398BAC2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（八）质疑和投诉</w:t>
      </w:r>
    </w:p>
    <w:p w14:paraId="75422889">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根据《中华人民共和国财政部令第 94号-政府采购质疑和投诉办法》第二章规定。</w:t>
      </w:r>
    </w:p>
    <w:p w14:paraId="5B1EE616">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1.投标人认为招标文件、采购过程、中标或者中标结果使自己的权益受到损害的，可以在知道或者应知其权益受到损害之日起 7 个工作日内，以书面形式向</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、采购代理机构提出质疑。招标文件可以要求投标人在法定质疑期内一次性提出针对同一采购程序环节的质疑。</w:t>
      </w:r>
    </w:p>
    <w:p w14:paraId="6402024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2.提出质疑的投标人（以下简称质疑</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应当是参与所质疑项目采购活动的投标人。潜在投标人已依法获取（依法获取指：投标人按本项目招标公告要求在政采云系统上获取并报名成功）其可质疑的招标文件的，可以对该文件提出质疑。未按照规定方式依法获取招标文件的，不得对招标文件提起质疑投诉。对招标文件提出质疑的，应当在获取招标文件或者招标文件公告期限届满之日起 7 个工作日内提出。</w:t>
      </w:r>
    </w:p>
    <w:p w14:paraId="08BB5BB6">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3. 投标人提出质疑应当提交质疑函和必要的证明材料。质疑函应当包括下列内容: </w:t>
      </w:r>
    </w:p>
    <w:p w14:paraId="41D07511">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（1）投标人的姓名或者名称、地址、邮编、联系人及联系电话；</w:t>
      </w:r>
    </w:p>
    <w:p w14:paraId="5991D93C">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（2）质疑项目的名称、编号；</w:t>
      </w:r>
    </w:p>
    <w:p w14:paraId="5D554B0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（3）具体、明确的质疑事项和与质疑事项相关的请求；</w:t>
      </w:r>
    </w:p>
    <w:p w14:paraId="074C72A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（4）事实依据；</w:t>
      </w:r>
    </w:p>
    <w:p w14:paraId="69CCA6E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（5）必要的法律依据；</w:t>
      </w:r>
    </w:p>
    <w:p w14:paraId="64C40E6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（6）提出质疑的日期。</w:t>
      </w:r>
    </w:p>
    <w:p w14:paraId="0414BDB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投标人为自然人的，应当由本人签字；投标人为法人或者其他组织的，应当由法定代表人、主要负责人，或者其</w:t>
      </w:r>
      <w:r>
        <w:rPr>
          <w:rFonts w:hint="eastAsia" w:ascii="仿宋" w:hAnsi="仿宋" w:eastAsia="仿宋" w:cs="仿宋"/>
          <w:color w:val="auto"/>
          <w:kern w:val="0"/>
          <w:sz w:val="24"/>
          <w:highlight w:val="none"/>
          <w:lang w:eastAsia="zh-CN"/>
        </w:rPr>
        <w:t>授权代理人</w:t>
      </w:r>
      <w:r>
        <w:rPr>
          <w:rFonts w:hint="eastAsia" w:ascii="仿宋" w:hAnsi="仿宋" w:eastAsia="仿宋" w:cs="仿宋"/>
          <w:color w:val="auto"/>
          <w:kern w:val="0"/>
          <w:sz w:val="24"/>
          <w:highlight w:val="none"/>
        </w:rPr>
        <w:t>签字或者盖章，并加盖公章。</w:t>
      </w:r>
    </w:p>
    <w:p w14:paraId="51AE4BBA">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、采购代理机构不得拒收质疑</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在法定质疑期内发出的质疑函，应当在收到质疑函后 7 个工作日内作出答复，并以书面形式通知质疑投标人和其他有关投标人。</w:t>
      </w:r>
    </w:p>
    <w:p w14:paraId="31BA349C">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 投标人对评审过程、中标或者中标结果提出质疑的，</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、采购代理机构可以组织原评标委员会、竞争性谈判小组、询价小组或者竞争性磋商小组协助答复质疑。</w:t>
      </w:r>
    </w:p>
    <w:p w14:paraId="2455C25D">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6.质疑答复应当包括下列内容：</w:t>
      </w:r>
    </w:p>
    <w:p w14:paraId="3A0AEFF4">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（1）质疑投标人的姓名或者名称；</w:t>
      </w:r>
    </w:p>
    <w:p w14:paraId="364517D5">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（2）收到质疑函的日期、质疑项目名称及编号；</w:t>
      </w:r>
    </w:p>
    <w:p w14:paraId="3C45B4B8">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（3）质疑事项、质疑答复的具体内容、事实依据和法律依据；</w:t>
      </w:r>
    </w:p>
    <w:p w14:paraId="353D48A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（4）告知质疑</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依法投诉的权利；</w:t>
      </w:r>
    </w:p>
    <w:p w14:paraId="3B496AA4">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（5）质疑答复人名称；</w:t>
      </w:r>
    </w:p>
    <w:p w14:paraId="0B7F1771">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（6）答复质疑的日期。</w:t>
      </w:r>
    </w:p>
    <w:p w14:paraId="54B21C16">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质疑答复的内容不得涉及商业秘密。</w:t>
      </w:r>
    </w:p>
    <w:p w14:paraId="5D1B25FB">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、采购代理机构认为投标人质疑不成立，或者成立但未对中标、中标结果构成影响的，继续开展采购活动；认为投标人质疑成立且影响或者可能影响中标、中标结果的，按照下列情况处理：</w:t>
      </w:r>
    </w:p>
    <w:p w14:paraId="71FA3284">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（1）对招标文件提出的质疑，依法通过澄清或者修改可以继续开展采购活动的，澄清或者修改招标文件后继续开展采购活动；否则应当修改招标文件后重新开展采购活动。</w:t>
      </w:r>
    </w:p>
    <w:p w14:paraId="015E5C9C">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对采购过程、中标或者中标结果提出的质疑，合格投标人符合法定数量时，可以从合格的中标或者中标候选人中另行确定中标、中标人的，应当依法另行确定中标、中标人；否则应当重新开展采购活动。质疑答复导致中标、中标结果改变的，</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或者采购代理机构应当将有关情况书面报告本级财政部门。</w:t>
      </w:r>
    </w:p>
    <w:p w14:paraId="5318F71D">
      <w:pPr>
        <w:pStyle w:val="31"/>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二、招标文件</w:t>
      </w:r>
    </w:p>
    <w:p w14:paraId="38520791">
      <w:pPr>
        <w:spacing w:line="460" w:lineRule="exact"/>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（一） 招标文件的构成。本招标文件由以下部</w:t>
      </w:r>
      <w:r>
        <w:rPr>
          <w:rFonts w:hint="eastAsia" w:ascii="仿宋" w:hAnsi="仿宋" w:eastAsia="仿宋" w:cs="仿宋"/>
          <w:b/>
          <w:color w:val="auto"/>
          <w:kern w:val="0"/>
          <w:sz w:val="24"/>
          <w:highlight w:val="none"/>
          <w:lang w:eastAsia="zh-CN"/>
        </w:rPr>
        <w:t>分</w:t>
      </w:r>
      <w:r>
        <w:rPr>
          <w:rFonts w:hint="eastAsia" w:ascii="仿宋" w:hAnsi="仿宋" w:eastAsia="仿宋" w:cs="仿宋"/>
          <w:b/>
          <w:color w:val="auto"/>
          <w:kern w:val="0"/>
          <w:sz w:val="24"/>
          <w:highlight w:val="none"/>
        </w:rPr>
        <w:t>组成：</w:t>
      </w:r>
    </w:p>
    <w:p w14:paraId="03881091">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1.公开招标公告</w:t>
      </w:r>
    </w:p>
    <w:p w14:paraId="75BE85B3">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2.招标需求</w:t>
      </w:r>
    </w:p>
    <w:p w14:paraId="77BBA94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3.投标人须知</w:t>
      </w:r>
    </w:p>
    <w:p w14:paraId="4C8C8D65">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4.评标办法及</w:t>
      </w:r>
      <w:r>
        <w:rPr>
          <w:rFonts w:hint="eastAsia" w:ascii="仿宋" w:hAnsi="仿宋" w:eastAsia="仿宋" w:cs="仿宋"/>
          <w:color w:val="auto"/>
          <w:kern w:val="0"/>
          <w:sz w:val="24"/>
          <w:highlight w:val="none"/>
          <w:lang w:eastAsia="zh-CN"/>
        </w:rPr>
        <w:t>评分</w:t>
      </w:r>
      <w:r>
        <w:rPr>
          <w:rFonts w:hint="eastAsia" w:ascii="仿宋" w:hAnsi="仿宋" w:eastAsia="仿宋" w:cs="仿宋"/>
          <w:color w:val="auto"/>
          <w:kern w:val="0"/>
          <w:sz w:val="24"/>
          <w:highlight w:val="none"/>
        </w:rPr>
        <w:t>标准</w:t>
      </w:r>
    </w:p>
    <w:p w14:paraId="0BE396E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5.合同主要条款</w:t>
      </w:r>
    </w:p>
    <w:p w14:paraId="5A3AE34B">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6.投标格式</w:t>
      </w:r>
    </w:p>
    <w:p w14:paraId="2D82EE84">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7.本项目招标文件的澄清、答复、修改、补充的内容</w:t>
      </w:r>
    </w:p>
    <w:p w14:paraId="27D1527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（二）投标人的风险</w:t>
      </w:r>
    </w:p>
    <w:p w14:paraId="28D7F662">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投标人没有按照招标文件要求提供全部资料，或者投标人没有对招标文件在各方面作出实质性响应是投标人的风险，并可能导致其投标被拒绝。</w:t>
      </w:r>
    </w:p>
    <w:p w14:paraId="3D81150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（三）招标文件的澄清与修改</w:t>
      </w:r>
    </w:p>
    <w:p w14:paraId="10190962">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1.投标人应认真阅读本招标文件，发现其中有误或有不合理要求的，投标人应当在获取招标文件或者招标文件公告期限届满之日起七个工作日内提出，否则逾期视为默认。</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对已发出的招标文件进行必要澄清、答复、修改或补充的，应当在招标文件要求提交投标文件截止时间十五日前，在财政部门指定的政府采购信息发布媒体上发布更正公告，并以书面形式通知所有招标文件收受人；不足十五日的，</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或者采购代理机构应当顺延提交投标文件的截止时间。</w:t>
      </w:r>
    </w:p>
    <w:p w14:paraId="7A657CDA">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、采购代理机构必须以书面形式答复投标人要求澄清的问题，并将不包含问题来源的答复书面通知所有购买招标文件的投标人；除书面答复以外的其他澄清方式及澄清内容均无效。</w:t>
      </w:r>
    </w:p>
    <w:p w14:paraId="4C3ECA99">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3.招标文件澄清、答复、修改、补充的内容为招标文件的组成部分。当招标文件与招标文件的答复、澄清、修改、补充通知就同一内容的表述不一致时，以最后发出的书面文件为准。</w:t>
      </w:r>
    </w:p>
    <w:p w14:paraId="353639B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4.招标文件的澄清、答复、修改或补充都应该通过本采购代理机构以法定形式发布，</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非通过本采购代理机构，不得擅自澄清、答复、修改或补充招标文件。</w:t>
      </w:r>
    </w:p>
    <w:p w14:paraId="36FF6B9A">
      <w:pPr>
        <w:pStyle w:val="31"/>
        <w:outlineLvl w:val="1"/>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三、投标文件的编制要求</w:t>
      </w:r>
      <w:r>
        <w:rPr>
          <w:rFonts w:hint="eastAsia" w:ascii="仿宋" w:hAnsi="仿宋" w:eastAsia="仿宋" w:cs="仿宋"/>
          <w:b/>
          <w:color w:val="auto"/>
          <w:sz w:val="24"/>
          <w:szCs w:val="24"/>
          <w:highlight w:val="none"/>
          <w:lang w:eastAsia="zh-CN"/>
        </w:rPr>
        <w:t>：</w:t>
      </w:r>
    </w:p>
    <w:p w14:paraId="0C157F5D">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（一）投标文件的组成（如无格式、格式自拟。）</w:t>
      </w:r>
    </w:p>
    <w:p w14:paraId="4C64174F">
      <w:pPr>
        <w:spacing w:line="460" w:lineRule="exact"/>
        <w:ind w:firstLine="480" w:firstLineChars="200"/>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投标文件由《资格文件》《技术、商务、资信及其他文件》《报价文件》三部分组成。</w:t>
      </w:r>
    </w:p>
    <w:p w14:paraId="16F3706F">
      <w:pPr>
        <w:numPr>
          <w:ilvl w:val="0"/>
          <w:numId w:val="6"/>
        </w:numPr>
        <w:spacing w:line="460" w:lineRule="exact"/>
        <w:ind w:firstLine="482" w:firstLineChars="200"/>
        <w:rPr>
          <w:rFonts w:hint="eastAsia" w:ascii="仿宋" w:hAnsi="仿宋" w:eastAsia="仿宋" w:cs="仿宋"/>
          <w:b/>
          <w:color w:val="auto"/>
          <w:kern w:val="0"/>
          <w:sz w:val="24"/>
          <w:highlight w:val="none"/>
        </w:rPr>
      </w:pPr>
      <w:bookmarkStart w:id="5" w:name="_Hlk69641401"/>
      <w:r>
        <w:rPr>
          <w:rFonts w:hint="eastAsia" w:ascii="仿宋" w:hAnsi="仿宋" w:eastAsia="仿宋" w:cs="仿宋"/>
          <w:b/>
          <w:color w:val="auto"/>
          <w:kern w:val="0"/>
          <w:sz w:val="24"/>
          <w:highlight w:val="none"/>
        </w:rPr>
        <w:t>资格文件主要包括下列内容：</w:t>
      </w:r>
    </w:p>
    <w:p w14:paraId="5810955C">
      <w:pPr>
        <w:snapToGrid w:val="0"/>
        <w:spacing w:line="560" w:lineRule="exact"/>
        <w:ind w:firstLine="470" w:firstLineChars="196"/>
        <w:jc w:val="left"/>
        <w:rPr>
          <w:rFonts w:ascii="仿宋" w:hAnsi="仿宋" w:eastAsia="仿宋" w:cs="仿宋"/>
          <w:b/>
          <w:color w:val="auto"/>
          <w:sz w:val="24"/>
          <w:highlight w:val="none"/>
        </w:rPr>
      </w:pPr>
      <w:r>
        <w:rPr>
          <w:rFonts w:hint="eastAsia" w:ascii="仿宋" w:hAnsi="仿宋" w:eastAsia="仿宋" w:cs="仿宋"/>
          <w:color w:val="auto"/>
          <w:sz w:val="24"/>
          <w:highlight w:val="none"/>
          <w:lang w:val="en-US" w:eastAsia="zh-CN"/>
        </w:rPr>
        <w:t>（1）有效的</w:t>
      </w:r>
      <w:r>
        <w:rPr>
          <w:rFonts w:hint="eastAsia" w:ascii="仿宋" w:hAnsi="仿宋" w:eastAsia="仿宋" w:cs="仿宋"/>
          <w:color w:val="auto"/>
          <w:sz w:val="24"/>
          <w:highlight w:val="none"/>
        </w:rPr>
        <w:t>营业执照；</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复印件或扫描件，加盖投标人单位公章。</w:t>
      </w:r>
      <w:r>
        <w:rPr>
          <w:rFonts w:hint="eastAsia" w:ascii="仿宋" w:hAnsi="仿宋" w:eastAsia="仿宋" w:cs="仿宋"/>
          <w:b/>
          <w:color w:val="auto"/>
          <w:sz w:val="24"/>
          <w:highlight w:val="none"/>
        </w:rPr>
        <w:t>资格审查条款）</w:t>
      </w:r>
    </w:p>
    <w:p w14:paraId="62FEEEAA">
      <w:pPr>
        <w:snapToGrid w:val="0"/>
        <w:spacing w:line="560" w:lineRule="exact"/>
        <w:ind w:firstLine="470" w:firstLineChars="196"/>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法定代表人有效身份证明书及身份证（法定代表人参加</w:t>
      </w:r>
      <w:r>
        <w:rPr>
          <w:rFonts w:hint="eastAsia" w:ascii="仿宋" w:hAnsi="仿宋" w:eastAsia="仿宋" w:cs="仿宋"/>
          <w:color w:val="auto"/>
          <w:sz w:val="24"/>
          <w:highlight w:val="none"/>
          <w:lang w:eastAsia="zh-CN"/>
        </w:rPr>
        <w:t>投标</w:t>
      </w:r>
      <w:r>
        <w:rPr>
          <w:rFonts w:hint="eastAsia" w:ascii="仿宋" w:hAnsi="仿宋" w:eastAsia="仿宋" w:cs="仿宋"/>
          <w:color w:val="auto"/>
          <w:sz w:val="24"/>
          <w:highlight w:val="none"/>
        </w:rPr>
        <w:t>提供）或法定代表人授权书及</w:t>
      </w:r>
      <w:r>
        <w:rPr>
          <w:rFonts w:hint="eastAsia" w:ascii="仿宋" w:hAnsi="仿宋" w:eastAsia="仿宋" w:cs="仿宋"/>
          <w:color w:val="auto"/>
          <w:sz w:val="24"/>
          <w:highlight w:val="none"/>
          <w:lang w:eastAsia="zh-CN"/>
        </w:rPr>
        <w:t>授权委托人</w:t>
      </w:r>
      <w:r>
        <w:rPr>
          <w:rFonts w:hint="eastAsia" w:ascii="仿宋" w:hAnsi="仿宋" w:eastAsia="仿宋" w:cs="仿宋"/>
          <w:color w:val="auto"/>
          <w:sz w:val="24"/>
          <w:highlight w:val="none"/>
        </w:rPr>
        <w:t>身份证、</w:t>
      </w:r>
      <w:r>
        <w:rPr>
          <w:rFonts w:hint="eastAsia" w:ascii="仿宋" w:hAnsi="仿宋" w:eastAsia="仿宋" w:cs="仿宋"/>
          <w:color w:val="auto"/>
          <w:sz w:val="24"/>
          <w:highlight w:val="none"/>
          <w:lang w:eastAsia="zh-CN"/>
        </w:rPr>
        <w:t>授权委托人</w:t>
      </w:r>
      <w:r>
        <w:rPr>
          <w:rFonts w:hint="eastAsia" w:ascii="仿宋" w:hAnsi="仿宋" w:eastAsia="仿宋" w:cs="仿宋"/>
          <w:color w:val="auto"/>
          <w:sz w:val="24"/>
          <w:highlight w:val="none"/>
        </w:rPr>
        <w:t>最近1个月个人社保缴纳证明文件（法定代表人授权委托人参加</w:t>
      </w:r>
      <w:r>
        <w:rPr>
          <w:rFonts w:hint="eastAsia" w:ascii="仿宋" w:hAnsi="仿宋" w:eastAsia="仿宋" w:cs="仿宋"/>
          <w:color w:val="auto"/>
          <w:sz w:val="24"/>
          <w:highlight w:val="none"/>
          <w:lang w:eastAsia="zh-CN"/>
        </w:rPr>
        <w:t>投标</w:t>
      </w:r>
      <w:r>
        <w:rPr>
          <w:rFonts w:hint="eastAsia" w:ascii="仿宋" w:hAnsi="仿宋" w:eastAsia="仿宋" w:cs="仿宋"/>
          <w:color w:val="auto"/>
          <w:sz w:val="24"/>
          <w:highlight w:val="none"/>
        </w:rPr>
        <w:t>提供）；</w:t>
      </w:r>
      <w:r>
        <w:rPr>
          <w:rFonts w:hint="eastAsia" w:ascii="仿宋" w:hAnsi="仿宋" w:eastAsia="仿宋" w:cs="仿宋"/>
          <w:b/>
          <w:color w:val="auto"/>
          <w:sz w:val="24"/>
          <w:highlight w:val="none"/>
        </w:rPr>
        <w:t>（资格审查条款</w:t>
      </w:r>
      <w:r>
        <w:rPr>
          <w:rFonts w:hint="eastAsia" w:ascii="仿宋" w:hAnsi="仿宋" w:eastAsia="仿宋" w:cs="仿宋"/>
          <w:b/>
          <w:color w:val="auto"/>
          <w:sz w:val="24"/>
          <w:highlight w:val="none"/>
          <w:lang w:eastAsia="zh-CN"/>
        </w:rPr>
        <w:t>，</w:t>
      </w:r>
      <w:r>
        <w:rPr>
          <w:rFonts w:hint="eastAsia" w:ascii="仿宋" w:hAnsi="仿宋" w:eastAsia="仿宋" w:cs="宋体"/>
          <w:color w:val="auto"/>
          <w:kern w:val="0"/>
          <w:sz w:val="24"/>
          <w:highlight w:val="none"/>
          <w:lang w:val="en-US" w:eastAsia="zh-CN"/>
        </w:rPr>
        <w:t>格式见第六章</w:t>
      </w:r>
      <w:r>
        <w:rPr>
          <w:rFonts w:hint="eastAsia" w:ascii="仿宋" w:hAnsi="仿宋" w:eastAsia="仿宋" w:cs="仿宋"/>
          <w:b/>
          <w:color w:val="auto"/>
          <w:sz w:val="24"/>
          <w:highlight w:val="none"/>
        </w:rPr>
        <w:t>）</w:t>
      </w:r>
    </w:p>
    <w:p w14:paraId="4A4A7511">
      <w:pPr>
        <w:snapToGrid w:val="0"/>
        <w:spacing w:line="56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承诺书</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rPr>
        <w:t>资格审查条款</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格式见第</w:t>
      </w:r>
      <w:r>
        <w:rPr>
          <w:rFonts w:hint="eastAsia" w:ascii="仿宋" w:hAnsi="仿宋" w:eastAsia="仿宋" w:cs="仿宋"/>
          <w:color w:val="auto"/>
          <w:sz w:val="24"/>
          <w:highlight w:val="none"/>
          <w:lang w:eastAsia="zh-CN"/>
        </w:rPr>
        <w:t>六</w:t>
      </w:r>
      <w:r>
        <w:rPr>
          <w:rFonts w:hint="eastAsia" w:ascii="仿宋" w:hAnsi="仿宋" w:eastAsia="仿宋" w:cs="仿宋"/>
          <w:color w:val="auto"/>
          <w:sz w:val="24"/>
          <w:highlight w:val="none"/>
        </w:rPr>
        <w:t>章）</w:t>
      </w:r>
    </w:p>
    <w:p w14:paraId="5C1A8D1B">
      <w:pPr>
        <w:snapToGrid w:val="0"/>
        <w:spacing w:line="56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信用承诺书</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rPr>
        <w:t>资格审查条款</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格式见第</w:t>
      </w:r>
      <w:r>
        <w:rPr>
          <w:rFonts w:hint="eastAsia" w:ascii="仿宋" w:hAnsi="仿宋" w:eastAsia="仿宋" w:cs="仿宋"/>
          <w:color w:val="auto"/>
          <w:sz w:val="24"/>
          <w:highlight w:val="none"/>
          <w:lang w:eastAsia="zh-CN"/>
        </w:rPr>
        <w:t>六</w:t>
      </w:r>
      <w:r>
        <w:rPr>
          <w:rFonts w:hint="eastAsia" w:ascii="仿宋" w:hAnsi="仿宋" w:eastAsia="仿宋" w:cs="仿宋"/>
          <w:color w:val="auto"/>
          <w:sz w:val="24"/>
          <w:highlight w:val="none"/>
        </w:rPr>
        <w:t>章）</w:t>
      </w:r>
    </w:p>
    <w:p w14:paraId="30D4BEB7">
      <w:pPr>
        <w:snapToGrid w:val="0"/>
        <w:spacing w:line="56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符合政策要求的证明材料：（</w:t>
      </w:r>
      <w:r>
        <w:rPr>
          <w:rFonts w:hint="eastAsia" w:ascii="仿宋" w:hAnsi="仿宋" w:eastAsia="仿宋" w:cs="仿宋"/>
          <w:b/>
          <w:color w:val="auto"/>
          <w:sz w:val="24"/>
          <w:highlight w:val="none"/>
        </w:rPr>
        <w:t>资格审查条款</w:t>
      </w:r>
      <w:r>
        <w:rPr>
          <w:rFonts w:hint="eastAsia" w:ascii="仿宋" w:hAnsi="仿宋" w:eastAsia="仿宋" w:cs="仿宋"/>
          <w:b/>
          <w:color w:val="auto"/>
          <w:sz w:val="24"/>
          <w:highlight w:val="none"/>
          <w:lang w:eastAsia="zh-CN"/>
        </w:rPr>
        <w:t>，</w:t>
      </w:r>
      <w:r>
        <w:rPr>
          <w:rFonts w:hint="eastAsia" w:ascii="仿宋" w:hAnsi="仿宋" w:eastAsia="仿宋" w:cs="仿宋"/>
          <w:color w:val="auto"/>
          <w:sz w:val="24"/>
          <w:highlight w:val="none"/>
        </w:rPr>
        <w:t>格式见第</w:t>
      </w:r>
      <w:r>
        <w:rPr>
          <w:rFonts w:hint="eastAsia" w:ascii="仿宋" w:hAnsi="仿宋" w:eastAsia="仿宋" w:cs="仿宋"/>
          <w:color w:val="auto"/>
          <w:sz w:val="24"/>
          <w:highlight w:val="none"/>
          <w:lang w:eastAsia="zh-CN"/>
        </w:rPr>
        <w:t>六</w:t>
      </w:r>
      <w:r>
        <w:rPr>
          <w:rFonts w:hint="eastAsia" w:ascii="仿宋" w:hAnsi="仿宋" w:eastAsia="仿宋" w:cs="仿宋"/>
          <w:color w:val="auto"/>
          <w:sz w:val="24"/>
          <w:highlight w:val="none"/>
        </w:rPr>
        <w:t>章</w:t>
      </w:r>
      <w:r>
        <w:rPr>
          <w:rFonts w:hint="eastAsia" w:ascii="仿宋" w:hAnsi="仿宋" w:eastAsia="仿宋" w:cs="仿宋"/>
          <w:color w:val="auto"/>
          <w:sz w:val="24"/>
          <w:highlight w:val="none"/>
          <w:lang w:eastAsia="zh-CN"/>
        </w:rPr>
        <w:t>）</w:t>
      </w:r>
    </w:p>
    <w:p w14:paraId="66E24D78">
      <w:pPr>
        <w:snapToGrid w:val="0"/>
        <w:spacing w:line="56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①</w:t>
      </w:r>
      <w:r>
        <w:rPr>
          <w:rFonts w:hint="eastAsia" w:ascii="仿宋" w:hAnsi="仿宋" w:eastAsia="仿宋" w:cs="仿宋"/>
          <w:color w:val="auto"/>
          <w:sz w:val="24"/>
          <w:highlight w:val="none"/>
        </w:rPr>
        <w:t>如小微企业投标，提供小微企业的《中小企业声明函》（监狱企业视同小型、微型企业，提供由省级以上监狱管理局、戒毒管理局（含新疆生产建设兵团）出具的属于监狱企业的证明文件；残疾人福利性单位视同小型、微型企业，提供《残疾人福利性单位声明函》）；</w:t>
      </w:r>
    </w:p>
    <w:p w14:paraId="358A8FAE">
      <w:pPr>
        <w:snapToGrid w:val="0"/>
        <w:spacing w:line="56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②</w:t>
      </w:r>
      <w:r>
        <w:rPr>
          <w:rFonts w:hint="eastAsia" w:ascii="仿宋" w:hAnsi="仿宋" w:eastAsia="仿宋" w:cs="仿宋"/>
          <w:color w:val="auto"/>
          <w:sz w:val="24"/>
          <w:highlight w:val="none"/>
        </w:rPr>
        <w:t>如大型企业、中型企业投标，提供大型企业、中型企业同小微企业签订的《分包意向协议》及分包意向协议中小微企业的《中小企业声明函》等证明材料。</w:t>
      </w:r>
    </w:p>
    <w:p w14:paraId="25E17B3E">
      <w:pPr>
        <w:keepNext w:val="0"/>
        <w:keepLines w:val="0"/>
        <w:pageBreakBefore w:val="0"/>
        <w:widowControl w:val="0"/>
        <w:kinsoku/>
        <w:wordWrap/>
        <w:overflowPunct/>
        <w:topLinePunct w:val="0"/>
        <w:autoSpaceDE/>
        <w:autoSpaceDN/>
        <w:bidi w:val="0"/>
        <w:adjustRightInd/>
        <w:spacing w:line="600" w:lineRule="exact"/>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2. 技术、商务、资信及其他文件主要包括下列内容：</w:t>
      </w:r>
    </w:p>
    <w:p w14:paraId="7AB0B0BE">
      <w:pPr>
        <w:keepNext w:val="0"/>
        <w:keepLines w:val="0"/>
        <w:pageBreakBefore w:val="0"/>
        <w:widowControl w:val="0"/>
        <w:kinsoku/>
        <w:wordWrap/>
        <w:overflowPunct/>
        <w:topLinePunct w:val="0"/>
        <w:autoSpaceDE/>
        <w:autoSpaceDN/>
        <w:bidi w:val="0"/>
        <w:adjustRightInd/>
        <w:spacing w:line="600" w:lineRule="exact"/>
        <w:ind w:firstLine="475" w:firstLineChars="198"/>
        <w:textAlignment w:val="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投标人自评分索引表</w:t>
      </w:r>
      <w:r>
        <w:rPr>
          <w:rFonts w:hint="eastAsia" w:ascii="仿宋" w:hAnsi="仿宋" w:eastAsia="仿宋" w:cs="宋体"/>
          <w:color w:val="auto"/>
          <w:kern w:val="0"/>
          <w:sz w:val="24"/>
          <w:highlight w:val="none"/>
          <w:lang w:val="en-US" w:eastAsia="zh-CN"/>
        </w:rPr>
        <w:t>(格式见第六章）</w:t>
      </w:r>
      <w:r>
        <w:rPr>
          <w:rFonts w:hint="eastAsia" w:ascii="仿宋" w:hAnsi="仿宋" w:eastAsia="仿宋" w:cs="宋体"/>
          <w:color w:val="auto"/>
          <w:kern w:val="0"/>
          <w:sz w:val="24"/>
          <w:highlight w:val="none"/>
        </w:rPr>
        <w:t>；</w:t>
      </w:r>
    </w:p>
    <w:p w14:paraId="58D759AE">
      <w:pPr>
        <w:pStyle w:val="12"/>
        <w:numPr>
          <w:ilvl w:val="0"/>
          <w:numId w:val="7"/>
        </w:numPr>
        <w:spacing w:line="460" w:lineRule="exact"/>
        <w:ind w:left="0" w:right="0" w:rightChars="0" w:firstLine="236" w:firstLineChars="98"/>
        <w:jc w:val="left"/>
        <w:rPr>
          <w:rFonts w:hint="eastAsia"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技术部分：</w:t>
      </w:r>
    </w:p>
    <w:p w14:paraId="0C6DB605">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①清扫保洁作业方案；</w:t>
      </w:r>
    </w:p>
    <w:p w14:paraId="1A4C97FF">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②交接方案；</w:t>
      </w:r>
    </w:p>
    <w:p w14:paraId="6FB49845">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③项目人员配置一览表；(格式见第六章）</w:t>
      </w:r>
    </w:p>
    <w:p w14:paraId="2D39E458">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④管理制度措施；</w:t>
      </w:r>
    </w:p>
    <w:p w14:paraId="2D819BB5">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⑤拟投入车辆设备一览表；(格式见第六章）</w:t>
      </w:r>
    </w:p>
    <w:p w14:paraId="1D9F113F">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⑥投标人认为需要的其他资料。</w:t>
      </w:r>
    </w:p>
    <w:p w14:paraId="2ED748C7">
      <w:pPr>
        <w:numPr>
          <w:ilvl w:val="0"/>
          <w:numId w:val="7"/>
        </w:numPr>
        <w:spacing w:line="460" w:lineRule="exact"/>
        <w:ind w:left="0" w:leftChars="0" w:firstLine="236" w:firstLineChars="98"/>
        <w:jc w:val="left"/>
        <w:rPr>
          <w:rFonts w:hint="eastAsia" w:ascii="仿宋" w:hAnsi="仿宋" w:eastAsia="仿宋" w:cs="宋体"/>
          <w:b/>
          <w:color w:val="auto"/>
          <w:kern w:val="0"/>
          <w:sz w:val="24"/>
          <w:highlight w:val="none"/>
        </w:rPr>
      </w:pPr>
      <w:r>
        <w:rPr>
          <w:rFonts w:hint="eastAsia" w:ascii="仿宋" w:hAnsi="仿宋" w:eastAsia="仿宋" w:cs="宋体"/>
          <w:b/>
          <w:color w:val="auto"/>
          <w:kern w:val="0"/>
          <w:sz w:val="24"/>
          <w:highlight w:val="none"/>
        </w:rPr>
        <w:t>商务</w:t>
      </w:r>
      <w:r>
        <w:rPr>
          <w:rFonts w:hint="eastAsia" w:ascii="仿宋" w:hAnsi="仿宋" w:eastAsia="仿宋" w:cs="宋体"/>
          <w:b/>
          <w:color w:val="auto"/>
          <w:kern w:val="0"/>
          <w:sz w:val="24"/>
          <w:highlight w:val="none"/>
          <w:lang w:eastAsia="zh-CN"/>
        </w:rPr>
        <w:t>、资信及其他部分</w:t>
      </w:r>
      <w:r>
        <w:rPr>
          <w:rFonts w:hint="eastAsia" w:ascii="仿宋" w:hAnsi="仿宋" w:eastAsia="仿宋" w:cs="宋体"/>
          <w:b/>
          <w:color w:val="auto"/>
          <w:kern w:val="0"/>
          <w:sz w:val="24"/>
          <w:highlight w:val="none"/>
        </w:rPr>
        <w:t>：</w:t>
      </w:r>
    </w:p>
    <w:p w14:paraId="0D6EDD97">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①商务响应表；(格式见第六章）</w:t>
      </w:r>
    </w:p>
    <w:p w14:paraId="60191B5A">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②服务承诺；</w:t>
      </w:r>
    </w:p>
    <w:p w14:paraId="4968AD33">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③员工培训；</w:t>
      </w:r>
    </w:p>
    <w:p w14:paraId="3704C188">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④企业业绩；(格式见第六章）</w:t>
      </w:r>
    </w:p>
    <w:p w14:paraId="52DF5C85">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⑤企业认证；</w:t>
      </w:r>
    </w:p>
    <w:p w14:paraId="05799FC4">
      <w:pPr>
        <w:spacing w:line="460" w:lineRule="exact"/>
        <w:ind w:firstLine="240" w:firstLineChars="100"/>
        <w:jc w:val="left"/>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w:t>
      </w:r>
      <w:r>
        <w:rPr>
          <w:rFonts w:hint="eastAsia" w:ascii="仿宋" w:hAnsi="仿宋" w:eastAsia="仿宋" w:cs="宋体"/>
          <w:color w:val="auto"/>
          <w:kern w:val="0"/>
          <w:sz w:val="24"/>
          <w:highlight w:val="none"/>
          <w:lang w:val="en-US" w:eastAsia="zh-CN"/>
        </w:rPr>
        <w:t>3</w:t>
      </w:r>
      <w:r>
        <w:rPr>
          <w:rFonts w:hint="eastAsia" w:ascii="仿宋" w:hAnsi="仿宋" w:eastAsia="仿宋" w:cs="宋体"/>
          <w:color w:val="auto"/>
          <w:kern w:val="0"/>
          <w:sz w:val="24"/>
          <w:highlight w:val="none"/>
        </w:rPr>
        <w:t>）其他招标文件要求提供的或投标人认为需要说明的技术、商务、资信及其他文件内容。</w:t>
      </w:r>
    </w:p>
    <w:p w14:paraId="61797B7B">
      <w:pPr>
        <w:spacing w:line="460" w:lineRule="exact"/>
        <w:ind w:firstLine="241" w:firstLineChars="100"/>
        <w:rPr>
          <w:rFonts w:ascii="仿宋" w:hAnsi="仿宋" w:eastAsia="仿宋" w:cs="宋体"/>
          <w:b/>
          <w:color w:val="auto"/>
          <w:kern w:val="0"/>
          <w:sz w:val="24"/>
          <w:highlight w:val="none"/>
        </w:rPr>
      </w:pPr>
      <w:r>
        <w:rPr>
          <w:rFonts w:hint="eastAsia" w:ascii="仿宋" w:hAnsi="仿宋" w:eastAsia="仿宋" w:cs="宋体"/>
          <w:b/>
          <w:color w:val="auto"/>
          <w:kern w:val="0"/>
          <w:sz w:val="24"/>
          <w:highlight w:val="none"/>
        </w:rPr>
        <w:t>3.报价文件：</w:t>
      </w:r>
    </w:p>
    <w:p w14:paraId="297B8A3A">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（1）投标函；（格式见第六章）</w:t>
      </w:r>
    </w:p>
    <w:p w14:paraId="04C649D5">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（2）开标一览表；（格式见第六章）</w:t>
      </w:r>
    </w:p>
    <w:p w14:paraId="40BC5C84">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（3）报价明细表；（格式见第六章）</w:t>
      </w:r>
    </w:p>
    <w:p w14:paraId="533BE2B4">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（4）招标代理服务费承诺函；（格式见第六章）</w:t>
      </w:r>
    </w:p>
    <w:p w14:paraId="0173FF8F">
      <w:pPr>
        <w:tabs>
          <w:tab w:val="left" w:pos="3870"/>
          <w:tab w:val="left" w:pos="4085"/>
        </w:tabs>
        <w:snapToGrid w:val="0"/>
        <w:spacing w:line="560" w:lineRule="exact"/>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（5）投标人针对报价需要说明的其他文件和说明。</w:t>
      </w:r>
    </w:p>
    <w:bookmarkEnd w:id="5"/>
    <w:p w14:paraId="0F19318E">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（二）投标文件的语言及计量</w:t>
      </w:r>
    </w:p>
    <w:p w14:paraId="7F7693CA">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1.投标文件以及投标人与</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就有关投标事宜的所有来往函电，均应以中文汉语书写。除签名、盖章、专用名称等特殊情形外，以中文汉语以外的文字表述的投标文件视同未提供。</w:t>
      </w:r>
    </w:p>
    <w:p w14:paraId="34A19AD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2.投标计量单位，招标文件已有明确规定的，使用招标文件规定的计量单位；招标文件没有规定的，应采用中华人民共和国法定计量单位（货币单位：人民币元），否则视同未响应。</w:t>
      </w:r>
    </w:p>
    <w:p w14:paraId="277EB54E">
      <w:pPr>
        <w:spacing w:line="460" w:lineRule="exact"/>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（三）投标报价</w:t>
      </w:r>
    </w:p>
    <w:p w14:paraId="4BB14DDD">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1.投标报价应按招标文件中相关附表格式填写。投标报价为本招标项目全部工作内容的报价，所有报价均应使用（人民币元）表示。</w:t>
      </w:r>
    </w:p>
    <w:p w14:paraId="3CECF627">
      <w:pPr>
        <w:spacing w:line="460" w:lineRule="exact"/>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w:t>
      </w:r>
      <w:r>
        <w:rPr>
          <w:rFonts w:hint="eastAsia" w:ascii="仿宋" w:hAnsi="仿宋" w:eastAsia="仿宋" w:cs="仿宋"/>
          <w:color w:val="auto"/>
          <w:kern w:val="0"/>
          <w:sz w:val="24"/>
          <w:highlight w:val="none"/>
        </w:rPr>
        <w:t>2.投标报价是履行合同的最终价格，</w:t>
      </w:r>
      <w:r>
        <w:rPr>
          <w:rFonts w:hint="eastAsia" w:ascii="仿宋" w:hAnsi="仿宋" w:eastAsia="仿宋" w:cs="仿宋"/>
          <w:color w:val="auto"/>
          <w:sz w:val="24"/>
          <w:highlight w:val="none"/>
        </w:rPr>
        <w:t>不限于为完成本项目所涉及的人工、人员保险、福利、加班、税金、利润等所有费用。</w:t>
      </w:r>
      <w:r>
        <w:rPr>
          <w:rFonts w:hint="eastAsia" w:ascii="仿宋" w:hAnsi="仿宋" w:eastAsia="仿宋" w:cs="仿宋"/>
          <w:color w:val="auto"/>
          <w:kern w:val="0"/>
          <w:sz w:val="24"/>
          <w:highlight w:val="none"/>
        </w:rPr>
        <w:t>投标报价为签订合同的依据。因投标人失误的错漏项均视为已包含在总报价中。</w:t>
      </w:r>
    </w:p>
    <w:p w14:paraId="2A74CEE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3.投标文件只允许有一个报价，有选择的或有条件的报价将不予接受。</w:t>
      </w:r>
    </w:p>
    <w:p w14:paraId="1265ADA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4.投标人的最终报价由投标人自担全部风险责任，中标后不得以任何理由调整报价或追加任何费用。</w:t>
      </w:r>
    </w:p>
    <w:p w14:paraId="7A204583">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5.投标人所有优惠条件和优惠费用不得降低和影响本采购项目质量。</w:t>
      </w:r>
    </w:p>
    <w:p w14:paraId="7DD1D915">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6.投标人对招标文件里有关投标报价的全部内容应仔细确认，若有个别异议，应在开标前提出修改意见，否则视同全部确认。</w:t>
      </w:r>
    </w:p>
    <w:p w14:paraId="7F1C12D4">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7.总价金额与按单价汇总金额不一致的，以单价金额计算结果为准；大写与小写不符时以大写为准。</w:t>
      </w:r>
    </w:p>
    <w:p w14:paraId="0EB2C85C">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8.投标人在报价中应充分考虑所有可能发生的费用，否则</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将视报价总价中已包括所有费用。</w:t>
      </w:r>
    </w:p>
    <w:p w14:paraId="6B81C2B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9.投标人对在合同执行中，除上述费用及招标文件规定的由中标人负责的工作范围以外需要</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协调或提供便利的工作应当在报价文件中说明。</w:t>
      </w:r>
    </w:p>
    <w:p w14:paraId="0907FAA3">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（四）投标文件的有效期</w:t>
      </w:r>
    </w:p>
    <w:p w14:paraId="0CF7B655">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▲1.自投标截止日起</w:t>
      </w:r>
      <w:r>
        <w:rPr>
          <w:rFonts w:hint="eastAsia" w:ascii="仿宋" w:hAnsi="仿宋" w:eastAsia="仿宋" w:cs="仿宋"/>
          <w:color w:val="auto"/>
          <w:kern w:val="0"/>
          <w:sz w:val="24"/>
          <w:highlight w:val="none"/>
          <w:u w:val="single"/>
          <w:lang w:val="en-US" w:eastAsia="zh-CN"/>
        </w:rPr>
        <w:t>9</w:t>
      </w:r>
      <w:r>
        <w:rPr>
          <w:rFonts w:hint="eastAsia" w:ascii="仿宋" w:hAnsi="仿宋" w:eastAsia="仿宋" w:cs="仿宋"/>
          <w:color w:val="auto"/>
          <w:kern w:val="0"/>
          <w:sz w:val="24"/>
          <w:highlight w:val="none"/>
          <w:u w:val="single"/>
        </w:rPr>
        <w:t>0天</w:t>
      </w:r>
      <w:r>
        <w:rPr>
          <w:rFonts w:hint="eastAsia" w:ascii="仿宋" w:hAnsi="仿宋" w:eastAsia="仿宋" w:cs="仿宋"/>
          <w:color w:val="auto"/>
          <w:kern w:val="0"/>
          <w:sz w:val="24"/>
          <w:highlight w:val="none"/>
        </w:rPr>
        <w:t>投标文件应保持有效。有效期不足的投标文件将被拒绝。</w:t>
      </w:r>
    </w:p>
    <w:p w14:paraId="2749778C">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2.在特殊情况下，</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可与投标人协商延长投标书的有效期，这种要求和答复均以书面形式进行。</w:t>
      </w:r>
    </w:p>
    <w:p w14:paraId="125CB9C8">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3.投标人可拒绝接受延期要求。同意延长有效期的投标人不能修改投标文件。</w:t>
      </w:r>
    </w:p>
    <w:p w14:paraId="1173B096">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（五）投标文件的签署和份数</w:t>
      </w:r>
    </w:p>
    <w:p w14:paraId="1C691B2F">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1、电子投标文件：</w:t>
      </w:r>
    </w:p>
    <w:p w14:paraId="5A0D13D2">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投标人应根据“政采云</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项目采购-电子招投标操作指南”及本招标文件规定的格式和顺序编制电子投标文件并进行关联定位，若因投标文件内容不完整、编排混乱导致投标文件被误读、漏读或者查找不到相关内容的，是投标人的责任。凡是参加两个或者以上标项投标的，投标文件必须按标项分别制作。</w:t>
      </w:r>
    </w:p>
    <w:p w14:paraId="1C009C09">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 xml:space="preserve">2.数据电子备份投标文件（U 盘）： </w:t>
      </w:r>
    </w:p>
    <w:p w14:paraId="47A254DB">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电子投标文件的备份文件可以 U 盘形式存储。数据电子备份投标文件格式及内容须与政采云平台项目采购-电子交易操作指南中制作、加密并递交的电子投标文件格式及内容一致。投标人应将数据电子备份（U 盘）形式的投标文件密封、包装，不按此规定密封、包装的数据电子备份投标文件（U 盘）均按未提供处理。</w:t>
      </w:r>
    </w:p>
    <w:p w14:paraId="5E6AC609">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 xml:space="preserve">3.其他： </w:t>
      </w:r>
    </w:p>
    <w:p w14:paraId="6CF56E02">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投标文件需按招标文件要求的格式填写并签字盖章。</w:t>
      </w:r>
    </w:p>
    <w:p w14:paraId="1EED1E1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投标文件不应涂改或行间插字和增删, 如有修改，修改处须加盖投标人的公章或由法定代表人或其授权委托人签字或盖章。投标文件因字迹潦草或表达不清所引起的后果由投标人负责。</w:t>
      </w:r>
    </w:p>
    <w:p w14:paraId="3E3BF82F">
      <w:pPr>
        <w:spacing w:line="460" w:lineRule="exact"/>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（六）投标文件的包装、递交、修改和撤回</w:t>
      </w:r>
    </w:p>
    <w:p w14:paraId="422A9D1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1.投标人应当在投标截止时间前完成电子投标文件的传输递交，并可以补充、修改或者撤回电子投标文件。补充或者修改电子投标文件的，应当先行撤回</w:t>
      </w:r>
      <w:r>
        <w:rPr>
          <w:rFonts w:hint="eastAsia" w:ascii="仿宋" w:hAnsi="仿宋" w:eastAsia="仿宋" w:cs="仿宋"/>
          <w:color w:val="auto"/>
          <w:kern w:val="0"/>
          <w:sz w:val="24"/>
          <w:highlight w:val="none"/>
          <w:lang w:val="en-US" w:eastAsia="zh-CN"/>
        </w:rPr>
        <w:t>原</w:t>
      </w:r>
      <w:r>
        <w:rPr>
          <w:rFonts w:hint="eastAsia" w:ascii="仿宋" w:hAnsi="仿宋" w:eastAsia="仿宋" w:cs="仿宋"/>
          <w:color w:val="auto"/>
          <w:kern w:val="0"/>
          <w:sz w:val="24"/>
          <w:highlight w:val="none"/>
        </w:rPr>
        <w:t>文件，补充、修改后重新传输递交，投标截止时间止未完成传输的，视为撤回投标文件。投标、响应截止时间后送达的投标、响应文件，将被政采云平台拒收，</w:t>
      </w:r>
      <w:r>
        <w:rPr>
          <w:rFonts w:hint="eastAsia" w:ascii="仿宋" w:hAnsi="仿宋" w:eastAsia="仿宋" w:cs="仿宋"/>
          <w:color w:val="auto"/>
          <w:sz w:val="24"/>
          <w:highlight w:val="none"/>
        </w:rPr>
        <w:t>作</w:t>
      </w:r>
      <w:r>
        <w:rPr>
          <w:rFonts w:hint="eastAsia" w:ascii="仿宋" w:hAnsi="仿宋" w:eastAsia="仿宋" w:cs="仿宋"/>
          <w:color w:val="auto"/>
          <w:sz w:val="24"/>
          <w:highlight w:val="none"/>
          <w:lang w:eastAsia="zh-CN"/>
        </w:rPr>
        <w:t>未递交投标文件处理</w:t>
      </w:r>
      <w:r>
        <w:rPr>
          <w:rFonts w:hint="eastAsia" w:ascii="仿宋" w:hAnsi="仿宋" w:eastAsia="仿宋" w:cs="仿宋"/>
          <w:color w:val="auto"/>
          <w:kern w:val="0"/>
          <w:sz w:val="24"/>
          <w:highlight w:val="none"/>
        </w:rPr>
        <w:t>。</w:t>
      </w:r>
    </w:p>
    <w:p w14:paraId="30FC583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2.数据电子备份投标文件（U 盘）：以 U 盘形式提供的数据电子备份投标文件格式及内容须与政采云平台项目采购-电子交易操作指南中制作、加密并递交的电子投标文件格式及内容一致。</w:t>
      </w:r>
    </w:p>
    <w:p w14:paraId="4B78E7A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3.整个开标过程中若因投标人问题造成电子投标文件无法正常解密的，均认定为未提交电子投标文件，</w:t>
      </w:r>
      <w:r>
        <w:rPr>
          <w:rFonts w:hint="eastAsia" w:ascii="仿宋" w:hAnsi="仿宋" w:eastAsia="仿宋" w:cs="仿宋"/>
          <w:color w:val="auto"/>
          <w:sz w:val="24"/>
          <w:highlight w:val="none"/>
        </w:rPr>
        <w:t>作</w:t>
      </w:r>
      <w:r>
        <w:rPr>
          <w:rFonts w:hint="eastAsia" w:ascii="仿宋" w:hAnsi="仿宋" w:eastAsia="仿宋" w:cs="仿宋"/>
          <w:color w:val="auto"/>
          <w:sz w:val="24"/>
          <w:highlight w:val="none"/>
          <w:lang w:eastAsia="zh-CN"/>
        </w:rPr>
        <w:t>未递交投标文件处理</w:t>
      </w:r>
      <w:r>
        <w:rPr>
          <w:rFonts w:hint="eastAsia" w:ascii="仿宋" w:hAnsi="仿宋" w:eastAsia="仿宋" w:cs="仿宋"/>
          <w:color w:val="auto"/>
          <w:kern w:val="0"/>
          <w:sz w:val="24"/>
          <w:highlight w:val="none"/>
        </w:rPr>
        <w:t>。若因网络或者其他非投标人问题造成电子投标文件无法正常解密的，启用数据电子备份投标文件（U 盘），因投标人自身原因造成数据电子备份投标文件（U 盘）无法打开的，</w:t>
      </w:r>
      <w:r>
        <w:rPr>
          <w:rFonts w:hint="eastAsia" w:ascii="仿宋" w:hAnsi="仿宋" w:eastAsia="仿宋" w:cs="仿宋"/>
          <w:color w:val="auto"/>
          <w:sz w:val="24"/>
          <w:highlight w:val="none"/>
        </w:rPr>
        <w:t>作</w:t>
      </w:r>
      <w:r>
        <w:rPr>
          <w:rFonts w:hint="eastAsia" w:ascii="仿宋" w:hAnsi="仿宋" w:eastAsia="仿宋" w:cs="仿宋"/>
          <w:color w:val="auto"/>
          <w:sz w:val="24"/>
          <w:highlight w:val="none"/>
          <w:lang w:eastAsia="zh-CN"/>
        </w:rPr>
        <w:t>未递交投标文件处理</w:t>
      </w:r>
      <w:r>
        <w:rPr>
          <w:rFonts w:hint="eastAsia" w:ascii="仿宋" w:hAnsi="仿宋" w:eastAsia="仿宋" w:cs="仿宋"/>
          <w:color w:val="auto"/>
          <w:kern w:val="0"/>
          <w:sz w:val="24"/>
          <w:highlight w:val="none"/>
        </w:rPr>
        <w:t xml:space="preserve">。若正常解密成功，则数据电子备份投标文件（U 盘）不予开启。在下一顺位的投标文件启用时，前一顺位的投标文件自动失效。 </w:t>
      </w:r>
    </w:p>
    <w:p w14:paraId="58A1D34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4.投标人应将以数据电子备份（U 盘）形式提供的投标文件一份密封、包装。数据电子备份投标文件（U 盘）的包装封面上应注明投标人名称、投标人地址、投标文件名称、投标项目名称、标项及项目编号，并加盖投标人公章。未按规定密封、包装或标记的数据电子备份投标文件（U 盘）将被拒绝，由此造成数据电子备份投标文件（U 盘）被误投或提前拆封的风险由投标人承担。</w:t>
      </w:r>
    </w:p>
    <w:p w14:paraId="4A6FD8D2">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（七）投标无效的情形</w:t>
      </w:r>
    </w:p>
    <w:p w14:paraId="23C5904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53F9C927">
      <w:pPr>
        <w:spacing w:line="500" w:lineRule="exact"/>
        <w:ind w:firstLine="482" w:firstLineChars="200"/>
        <w:rPr>
          <w:rFonts w:ascii="仿宋" w:hAnsi="仿宋" w:eastAsia="仿宋" w:cs="宋体"/>
          <w:b/>
          <w:color w:val="auto"/>
          <w:kern w:val="0"/>
          <w:sz w:val="24"/>
          <w:highlight w:val="none"/>
        </w:rPr>
      </w:pPr>
      <w:r>
        <w:rPr>
          <w:rFonts w:hint="eastAsia" w:ascii="仿宋" w:hAnsi="仿宋" w:eastAsia="仿宋" w:cs="宋体"/>
          <w:b/>
          <w:color w:val="auto"/>
          <w:kern w:val="0"/>
          <w:sz w:val="24"/>
          <w:highlight w:val="none"/>
        </w:rPr>
        <w:t>1.在评标开始前，</w:t>
      </w:r>
      <w:r>
        <w:rPr>
          <w:rFonts w:hint="eastAsia" w:ascii="仿宋" w:hAnsi="仿宋" w:eastAsia="仿宋" w:cs="宋体"/>
          <w:b/>
          <w:color w:val="auto"/>
          <w:kern w:val="0"/>
          <w:sz w:val="24"/>
          <w:highlight w:val="none"/>
          <w:lang w:eastAsia="zh-CN"/>
        </w:rPr>
        <w:t>采购人代表</w:t>
      </w:r>
      <w:r>
        <w:rPr>
          <w:rFonts w:hint="eastAsia" w:ascii="仿宋" w:hAnsi="仿宋" w:eastAsia="仿宋" w:cs="宋体"/>
          <w:b/>
          <w:color w:val="auto"/>
          <w:kern w:val="0"/>
          <w:sz w:val="24"/>
          <w:highlight w:val="none"/>
        </w:rPr>
        <w:t>或采购代理机构对投标人的资格进行审查，如发现下列情形之一的，投标文件将被视为无效，不</w:t>
      </w:r>
      <w:r>
        <w:rPr>
          <w:rFonts w:hint="eastAsia" w:ascii="仿宋" w:hAnsi="仿宋" w:eastAsia="仿宋" w:cs="宋体"/>
          <w:b/>
          <w:color w:val="auto"/>
          <w:kern w:val="0"/>
          <w:sz w:val="24"/>
          <w:highlight w:val="none"/>
          <w:lang w:val="en-US" w:eastAsia="zh-CN"/>
        </w:rPr>
        <w:t>再</w:t>
      </w:r>
      <w:r>
        <w:rPr>
          <w:rFonts w:hint="eastAsia" w:ascii="仿宋" w:hAnsi="仿宋" w:eastAsia="仿宋" w:cs="宋体"/>
          <w:b/>
          <w:color w:val="auto"/>
          <w:kern w:val="0"/>
          <w:sz w:val="24"/>
          <w:highlight w:val="none"/>
        </w:rPr>
        <w:t>进行下一步评审：</w:t>
      </w:r>
    </w:p>
    <w:p w14:paraId="6200ABE3">
      <w:pPr>
        <w:spacing w:line="500" w:lineRule="exact"/>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（1）未提供有效的营业执照；</w:t>
      </w:r>
    </w:p>
    <w:p w14:paraId="4167EFBE">
      <w:pPr>
        <w:spacing w:line="500" w:lineRule="exact"/>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lang w:val="en-US" w:eastAsia="zh-CN"/>
        </w:rPr>
        <w:t>（2）</w:t>
      </w:r>
      <w:r>
        <w:rPr>
          <w:rFonts w:hint="eastAsia" w:ascii="仿宋" w:hAnsi="仿宋" w:eastAsia="仿宋" w:cs="宋体"/>
          <w:color w:val="auto"/>
          <w:kern w:val="0"/>
          <w:sz w:val="24"/>
          <w:highlight w:val="none"/>
        </w:rPr>
        <w:t>未提供法定代表人有效身份证明书及身份证</w:t>
      </w:r>
      <w:r>
        <w:rPr>
          <w:rFonts w:hint="eastAsia" w:ascii="仿宋" w:hAnsi="仿宋" w:eastAsia="仿宋" w:cs="宋体"/>
          <w:color w:val="auto"/>
          <w:kern w:val="0"/>
          <w:sz w:val="24"/>
          <w:highlight w:val="none"/>
          <w:lang w:eastAsia="zh-CN"/>
        </w:rPr>
        <w:t>（法定代表人参加投标）</w:t>
      </w:r>
      <w:r>
        <w:rPr>
          <w:rFonts w:hint="eastAsia" w:ascii="仿宋" w:hAnsi="仿宋" w:eastAsia="仿宋" w:cs="宋体"/>
          <w:color w:val="auto"/>
          <w:kern w:val="0"/>
          <w:sz w:val="24"/>
          <w:highlight w:val="none"/>
        </w:rPr>
        <w:t>或未提供法定代表人授权书及</w:t>
      </w:r>
      <w:r>
        <w:rPr>
          <w:rFonts w:hint="eastAsia" w:ascii="仿宋" w:hAnsi="仿宋" w:eastAsia="仿宋" w:cs="仿宋"/>
          <w:color w:val="auto"/>
          <w:sz w:val="24"/>
          <w:highlight w:val="none"/>
          <w:lang w:eastAsia="zh-CN"/>
        </w:rPr>
        <w:t>授权委托人</w:t>
      </w:r>
      <w:r>
        <w:rPr>
          <w:rFonts w:hint="eastAsia" w:ascii="仿宋" w:hAnsi="仿宋" w:eastAsia="仿宋" w:cs="仿宋"/>
          <w:color w:val="auto"/>
          <w:sz w:val="24"/>
          <w:highlight w:val="none"/>
        </w:rPr>
        <w:t>身份证、</w:t>
      </w:r>
      <w:r>
        <w:rPr>
          <w:rFonts w:hint="eastAsia" w:ascii="仿宋" w:hAnsi="仿宋" w:eastAsia="仿宋" w:cs="仿宋"/>
          <w:color w:val="auto"/>
          <w:sz w:val="24"/>
          <w:highlight w:val="none"/>
          <w:lang w:eastAsia="zh-CN"/>
        </w:rPr>
        <w:t>授权委托人</w:t>
      </w:r>
      <w:r>
        <w:rPr>
          <w:rFonts w:hint="eastAsia" w:ascii="仿宋" w:hAnsi="仿宋" w:eastAsia="仿宋" w:cs="仿宋"/>
          <w:color w:val="auto"/>
          <w:sz w:val="24"/>
          <w:highlight w:val="none"/>
        </w:rPr>
        <w:t>最近1个月个人社保缴纳证明文件</w:t>
      </w:r>
      <w:r>
        <w:rPr>
          <w:rFonts w:hint="eastAsia" w:ascii="仿宋" w:hAnsi="仿宋" w:eastAsia="仿宋" w:cs="宋体"/>
          <w:color w:val="auto"/>
          <w:kern w:val="0"/>
          <w:sz w:val="24"/>
          <w:highlight w:val="none"/>
          <w:lang w:eastAsia="zh-CN"/>
        </w:rPr>
        <w:t>（法定代表人授权委托人参加投标的）</w:t>
      </w:r>
      <w:r>
        <w:rPr>
          <w:rFonts w:hint="eastAsia" w:ascii="仿宋" w:hAnsi="仿宋" w:eastAsia="仿宋" w:cs="宋体"/>
          <w:color w:val="auto"/>
          <w:kern w:val="0"/>
          <w:sz w:val="24"/>
          <w:highlight w:val="none"/>
        </w:rPr>
        <w:t>；</w:t>
      </w:r>
    </w:p>
    <w:p w14:paraId="6215D2F2">
      <w:pPr>
        <w:spacing w:line="500" w:lineRule="exact"/>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w:t>
      </w:r>
      <w:r>
        <w:rPr>
          <w:rFonts w:hint="eastAsia" w:ascii="仿宋" w:hAnsi="仿宋" w:eastAsia="仿宋" w:cs="宋体"/>
          <w:color w:val="auto"/>
          <w:kern w:val="0"/>
          <w:sz w:val="24"/>
          <w:highlight w:val="none"/>
          <w:lang w:val="en-US" w:eastAsia="zh-CN"/>
        </w:rPr>
        <w:t>3</w:t>
      </w:r>
      <w:r>
        <w:rPr>
          <w:rFonts w:hint="eastAsia" w:ascii="仿宋" w:hAnsi="仿宋" w:eastAsia="仿宋" w:cs="宋体"/>
          <w:color w:val="auto"/>
          <w:kern w:val="0"/>
          <w:sz w:val="24"/>
          <w:highlight w:val="none"/>
        </w:rPr>
        <w:t>）未提供承诺书的；</w:t>
      </w:r>
    </w:p>
    <w:p w14:paraId="279C1A2C">
      <w:pPr>
        <w:spacing w:line="500" w:lineRule="exact"/>
        <w:ind w:firstLine="480" w:firstLineChars="200"/>
        <w:rPr>
          <w:rFonts w:hint="eastAsia" w:ascii="仿宋" w:hAnsi="仿宋" w:eastAsia="仿宋" w:cs="宋体"/>
          <w:color w:val="auto"/>
          <w:kern w:val="0"/>
          <w:sz w:val="24"/>
          <w:highlight w:val="none"/>
          <w:lang w:eastAsia="zh-CN"/>
        </w:rPr>
      </w:pPr>
      <w:r>
        <w:rPr>
          <w:rFonts w:hint="eastAsia" w:ascii="仿宋" w:hAnsi="仿宋" w:eastAsia="仿宋" w:cs="宋体"/>
          <w:color w:val="auto"/>
          <w:kern w:val="0"/>
          <w:sz w:val="24"/>
          <w:highlight w:val="none"/>
        </w:rPr>
        <w:t>（</w:t>
      </w:r>
      <w:r>
        <w:rPr>
          <w:rFonts w:hint="eastAsia" w:ascii="仿宋" w:hAnsi="仿宋" w:eastAsia="仿宋" w:cs="宋体"/>
          <w:color w:val="auto"/>
          <w:kern w:val="0"/>
          <w:sz w:val="24"/>
          <w:highlight w:val="none"/>
          <w:lang w:val="en-US" w:eastAsia="zh-CN"/>
        </w:rPr>
        <w:t>4</w:t>
      </w:r>
      <w:r>
        <w:rPr>
          <w:rFonts w:hint="eastAsia" w:ascii="仿宋" w:hAnsi="仿宋" w:eastAsia="仿宋" w:cs="宋体"/>
          <w:color w:val="auto"/>
          <w:kern w:val="0"/>
          <w:sz w:val="24"/>
          <w:highlight w:val="none"/>
        </w:rPr>
        <w:t>）未提供</w:t>
      </w:r>
      <w:r>
        <w:rPr>
          <w:rFonts w:hint="eastAsia" w:ascii="仿宋" w:hAnsi="仿宋" w:eastAsia="仿宋" w:cs="宋体"/>
          <w:color w:val="auto"/>
          <w:kern w:val="0"/>
          <w:sz w:val="24"/>
          <w:highlight w:val="none"/>
          <w:lang w:val="en-US" w:eastAsia="zh-CN"/>
        </w:rPr>
        <w:t>信用</w:t>
      </w:r>
      <w:r>
        <w:rPr>
          <w:rFonts w:hint="eastAsia" w:ascii="仿宋" w:hAnsi="仿宋" w:eastAsia="仿宋" w:cs="宋体"/>
          <w:color w:val="auto"/>
          <w:kern w:val="0"/>
          <w:sz w:val="24"/>
          <w:highlight w:val="none"/>
        </w:rPr>
        <w:t>承诺书的</w:t>
      </w:r>
      <w:r>
        <w:rPr>
          <w:rFonts w:hint="eastAsia" w:ascii="仿宋" w:hAnsi="仿宋" w:eastAsia="仿宋" w:cs="宋体"/>
          <w:color w:val="auto"/>
          <w:kern w:val="0"/>
          <w:sz w:val="24"/>
          <w:highlight w:val="none"/>
          <w:lang w:eastAsia="zh-CN"/>
        </w:rPr>
        <w:t>；</w:t>
      </w:r>
    </w:p>
    <w:p w14:paraId="6227901F">
      <w:pPr>
        <w:spacing w:line="500" w:lineRule="exact"/>
        <w:ind w:firstLine="480" w:firstLineChars="200"/>
        <w:rPr>
          <w:rFonts w:hint="eastAsia" w:ascii="仿宋" w:hAnsi="仿宋" w:eastAsia="仿宋" w:cs="宋体"/>
          <w:color w:val="auto"/>
          <w:kern w:val="0"/>
          <w:sz w:val="24"/>
          <w:highlight w:val="none"/>
          <w:lang w:eastAsia="zh-CN"/>
        </w:rPr>
      </w:pPr>
      <w:r>
        <w:rPr>
          <w:rFonts w:hint="eastAsia" w:ascii="仿宋" w:hAnsi="仿宋" w:eastAsia="仿宋" w:cs="宋体"/>
          <w:color w:val="auto"/>
          <w:kern w:val="0"/>
          <w:sz w:val="24"/>
          <w:highlight w:val="none"/>
          <w:lang w:eastAsia="zh-CN"/>
        </w:rPr>
        <w:t>（</w:t>
      </w:r>
      <w:r>
        <w:rPr>
          <w:rFonts w:hint="eastAsia" w:ascii="仿宋" w:hAnsi="仿宋" w:eastAsia="仿宋" w:cs="宋体"/>
          <w:color w:val="auto"/>
          <w:kern w:val="0"/>
          <w:sz w:val="24"/>
          <w:highlight w:val="none"/>
          <w:lang w:val="en-US" w:eastAsia="zh-CN"/>
        </w:rPr>
        <w:t>5</w:t>
      </w:r>
      <w:r>
        <w:rPr>
          <w:rFonts w:hint="eastAsia" w:ascii="仿宋" w:hAnsi="仿宋" w:eastAsia="仿宋" w:cs="宋体"/>
          <w:color w:val="auto"/>
          <w:kern w:val="0"/>
          <w:sz w:val="24"/>
          <w:highlight w:val="none"/>
          <w:lang w:eastAsia="zh-CN"/>
        </w:rPr>
        <w:t>）</w:t>
      </w:r>
      <w:r>
        <w:rPr>
          <w:rFonts w:hint="eastAsia" w:ascii="仿宋" w:hAnsi="仿宋" w:eastAsia="仿宋" w:cs="宋体"/>
          <w:color w:val="auto"/>
          <w:kern w:val="0"/>
          <w:sz w:val="24"/>
          <w:highlight w:val="none"/>
          <w:lang w:val="en-US" w:eastAsia="zh-CN"/>
        </w:rPr>
        <w:t>小微企业</w:t>
      </w:r>
      <w:r>
        <w:rPr>
          <w:rFonts w:hint="eastAsia" w:ascii="仿宋" w:hAnsi="仿宋" w:eastAsia="仿宋" w:cs="宋体"/>
          <w:color w:val="auto"/>
          <w:kern w:val="0"/>
          <w:sz w:val="24"/>
          <w:highlight w:val="none"/>
        </w:rPr>
        <w:t>投标未提供《中小企业声明函》</w:t>
      </w:r>
      <w:r>
        <w:rPr>
          <w:rFonts w:hint="eastAsia" w:ascii="仿宋" w:hAnsi="仿宋" w:eastAsia="仿宋" w:cs="宋体"/>
          <w:color w:val="auto"/>
          <w:kern w:val="0"/>
          <w:sz w:val="24"/>
          <w:highlight w:val="none"/>
          <w:lang w:val="en-US" w:eastAsia="zh-CN"/>
        </w:rPr>
        <w:t>（</w:t>
      </w:r>
      <w:r>
        <w:rPr>
          <w:rFonts w:hint="eastAsia" w:ascii="仿宋" w:hAnsi="仿宋" w:eastAsia="仿宋" w:cs="宋体"/>
          <w:color w:val="auto"/>
          <w:kern w:val="0"/>
          <w:sz w:val="24"/>
          <w:highlight w:val="none"/>
        </w:rPr>
        <w:t>监狱企业参加投标</w:t>
      </w:r>
      <w:r>
        <w:rPr>
          <w:rFonts w:hint="eastAsia" w:ascii="仿宋" w:hAnsi="仿宋" w:eastAsia="仿宋" w:cs="宋体"/>
          <w:color w:val="auto"/>
          <w:kern w:val="0"/>
          <w:sz w:val="24"/>
          <w:highlight w:val="none"/>
          <w:lang w:val="en-US" w:eastAsia="zh-CN"/>
        </w:rPr>
        <w:t>未</w:t>
      </w:r>
      <w:r>
        <w:rPr>
          <w:rFonts w:hint="eastAsia" w:ascii="仿宋" w:hAnsi="仿宋" w:eastAsia="仿宋" w:cs="宋体"/>
          <w:color w:val="auto"/>
          <w:kern w:val="0"/>
          <w:sz w:val="24"/>
          <w:highlight w:val="none"/>
        </w:rPr>
        <w:t>提供《监狱企业声明函》及其相关的证明材料</w:t>
      </w:r>
      <w:r>
        <w:rPr>
          <w:rFonts w:hint="eastAsia" w:ascii="仿宋" w:hAnsi="仿宋" w:eastAsia="仿宋" w:cs="宋体"/>
          <w:color w:val="auto"/>
          <w:kern w:val="0"/>
          <w:sz w:val="24"/>
          <w:highlight w:val="none"/>
          <w:lang w:val="en-US" w:eastAsia="zh-CN"/>
        </w:rPr>
        <w:t>或</w:t>
      </w:r>
      <w:r>
        <w:rPr>
          <w:rFonts w:hint="eastAsia" w:ascii="仿宋" w:hAnsi="仿宋" w:eastAsia="仿宋" w:cs="宋体"/>
          <w:color w:val="auto"/>
          <w:kern w:val="0"/>
          <w:sz w:val="24"/>
          <w:highlight w:val="none"/>
        </w:rPr>
        <w:t>残疾人福利性单位参加投标</w:t>
      </w:r>
      <w:r>
        <w:rPr>
          <w:rFonts w:hint="eastAsia" w:ascii="仿宋" w:hAnsi="仿宋" w:eastAsia="仿宋" w:cs="宋体"/>
          <w:color w:val="auto"/>
          <w:kern w:val="0"/>
          <w:sz w:val="24"/>
          <w:highlight w:val="none"/>
          <w:lang w:val="en-US" w:eastAsia="zh-CN"/>
        </w:rPr>
        <w:t>未</w:t>
      </w:r>
      <w:r>
        <w:rPr>
          <w:rFonts w:hint="eastAsia" w:ascii="仿宋" w:hAnsi="仿宋" w:eastAsia="仿宋" w:cs="宋体"/>
          <w:color w:val="auto"/>
          <w:kern w:val="0"/>
          <w:sz w:val="24"/>
          <w:highlight w:val="none"/>
        </w:rPr>
        <w:t>提供《残疾人福利性单位声明函》</w:t>
      </w:r>
      <w:r>
        <w:rPr>
          <w:rFonts w:hint="eastAsia" w:ascii="仿宋" w:hAnsi="仿宋" w:eastAsia="仿宋" w:cs="宋体"/>
          <w:color w:val="auto"/>
          <w:kern w:val="0"/>
          <w:sz w:val="24"/>
          <w:highlight w:val="none"/>
          <w:lang w:val="en-US" w:eastAsia="zh-CN"/>
        </w:rPr>
        <w:t>的</w:t>
      </w:r>
      <w:r>
        <w:rPr>
          <w:rFonts w:hint="eastAsia" w:ascii="仿宋" w:hAnsi="仿宋" w:eastAsia="仿宋" w:cs="宋体"/>
          <w:color w:val="auto"/>
          <w:kern w:val="0"/>
          <w:sz w:val="24"/>
          <w:highlight w:val="none"/>
          <w:lang w:eastAsia="zh-CN"/>
        </w:rPr>
        <w:t>）；</w:t>
      </w:r>
    </w:p>
    <w:p w14:paraId="0CB33D5A">
      <w:pPr>
        <w:spacing w:line="500" w:lineRule="exact"/>
        <w:ind w:firstLine="480" w:firstLineChars="200"/>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eastAsia="zh-CN"/>
        </w:rPr>
        <w:t>（</w:t>
      </w:r>
      <w:r>
        <w:rPr>
          <w:rFonts w:hint="eastAsia" w:ascii="仿宋" w:hAnsi="仿宋" w:eastAsia="仿宋" w:cs="宋体"/>
          <w:color w:val="auto"/>
          <w:kern w:val="0"/>
          <w:sz w:val="24"/>
          <w:highlight w:val="none"/>
          <w:lang w:val="en-US" w:eastAsia="zh-CN"/>
        </w:rPr>
        <w:t>6</w:t>
      </w:r>
      <w:r>
        <w:rPr>
          <w:rFonts w:hint="eastAsia" w:ascii="仿宋" w:hAnsi="仿宋" w:eastAsia="仿宋" w:cs="宋体"/>
          <w:color w:val="auto"/>
          <w:kern w:val="0"/>
          <w:sz w:val="24"/>
          <w:highlight w:val="none"/>
          <w:lang w:eastAsia="zh-CN"/>
        </w:rPr>
        <w:t>）</w:t>
      </w:r>
      <w:r>
        <w:rPr>
          <w:rFonts w:hint="eastAsia" w:ascii="仿宋" w:hAnsi="仿宋" w:eastAsia="仿宋" w:cs="宋体"/>
          <w:color w:val="auto"/>
          <w:kern w:val="0"/>
          <w:sz w:val="24"/>
          <w:highlight w:val="none"/>
        </w:rPr>
        <w:t>大型企业</w:t>
      </w:r>
      <w:r>
        <w:rPr>
          <w:rFonts w:hint="eastAsia" w:ascii="仿宋" w:hAnsi="仿宋" w:eastAsia="仿宋" w:cs="宋体"/>
          <w:color w:val="auto"/>
          <w:kern w:val="0"/>
          <w:sz w:val="24"/>
          <w:highlight w:val="none"/>
          <w:lang w:eastAsia="zh-CN"/>
        </w:rPr>
        <w:t>、</w:t>
      </w:r>
      <w:r>
        <w:rPr>
          <w:rFonts w:hint="eastAsia" w:ascii="仿宋" w:hAnsi="仿宋" w:eastAsia="仿宋" w:cs="宋体"/>
          <w:color w:val="auto"/>
          <w:kern w:val="0"/>
          <w:sz w:val="24"/>
          <w:highlight w:val="none"/>
          <w:lang w:val="en-US" w:eastAsia="zh-CN"/>
        </w:rPr>
        <w:t>中型企业</w:t>
      </w:r>
      <w:r>
        <w:rPr>
          <w:rFonts w:hint="eastAsia" w:ascii="仿宋" w:hAnsi="仿宋" w:eastAsia="仿宋" w:cs="宋体"/>
          <w:color w:val="auto"/>
          <w:kern w:val="0"/>
          <w:sz w:val="24"/>
          <w:highlight w:val="none"/>
        </w:rPr>
        <w:t>投标采用分包的未提供分包意向协议及分包单位中小企业声明函</w:t>
      </w:r>
      <w:r>
        <w:rPr>
          <w:rFonts w:hint="eastAsia" w:ascii="仿宋" w:hAnsi="仿宋" w:eastAsia="仿宋" w:cs="宋体"/>
          <w:color w:val="auto"/>
          <w:kern w:val="0"/>
          <w:sz w:val="24"/>
          <w:highlight w:val="none"/>
          <w:lang w:val="en-US" w:eastAsia="zh-CN"/>
        </w:rPr>
        <w:t>；</w:t>
      </w:r>
    </w:p>
    <w:p w14:paraId="535002CA">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宋体"/>
          <w:color w:val="auto"/>
          <w:kern w:val="0"/>
          <w:sz w:val="24"/>
          <w:highlight w:val="none"/>
          <w:lang w:eastAsia="zh-CN"/>
        </w:rPr>
        <w:t>（</w:t>
      </w:r>
      <w:r>
        <w:rPr>
          <w:rFonts w:hint="eastAsia" w:ascii="仿宋" w:hAnsi="仿宋" w:eastAsia="仿宋" w:cs="宋体"/>
          <w:color w:val="auto"/>
          <w:kern w:val="0"/>
          <w:sz w:val="24"/>
          <w:highlight w:val="none"/>
          <w:lang w:val="en-US" w:eastAsia="zh-CN"/>
        </w:rPr>
        <w:t>7</w:t>
      </w:r>
      <w:r>
        <w:rPr>
          <w:rFonts w:hint="eastAsia" w:ascii="仿宋" w:hAnsi="仿宋" w:eastAsia="仿宋" w:cs="宋体"/>
          <w:color w:val="auto"/>
          <w:kern w:val="0"/>
          <w:sz w:val="24"/>
          <w:highlight w:val="none"/>
          <w:lang w:eastAsia="zh-CN"/>
        </w:rPr>
        <w:t>）</w:t>
      </w:r>
      <w:r>
        <w:rPr>
          <w:rFonts w:hint="eastAsia" w:ascii="仿宋" w:hAnsi="仿宋" w:eastAsia="仿宋" w:cs="宋体"/>
          <w:color w:val="auto"/>
          <w:kern w:val="0"/>
          <w:sz w:val="24"/>
          <w:highlight w:val="none"/>
        </w:rPr>
        <w:t>《中小企业声明函》</w:t>
      </w:r>
      <w:r>
        <w:rPr>
          <w:rFonts w:hint="eastAsia" w:ascii="仿宋" w:hAnsi="仿宋" w:eastAsia="仿宋" w:cs="宋体"/>
          <w:color w:val="auto"/>
          <w:kern w:val="0"/>
          <w:sz w:val="24"/>
          <w:highlight w:val="none"/>
          <w:lang w:val="en-US" w:eastAsia="zh-CN"/>
        </w:rPr>
        <w:t>填写行业错误或未填写行业的</w:t>
      </w:r>
      <w:r>
        <w:rPr>
          <w:rFonts w:hint="eastAsia" w:ascii="仿宋" w:hAnsi="仿宋" w:eastAsia="仿宋" w:cs="宋体"/>
          <w:color w:val="auto"/>
          <w:kern w:val="0"/>
          <w:sz w:val="24"/>
          <w:highlight w:val="none"/>
          <w:lang w:eastAsia="zh-CN"/>
        </w:rPr>
        <w:t>；</w:t>
      </w:r>
    </w:p>
    <w:p w14:paraId="2006283F">
      <w:pPr>
        <w:spacing w:line="500" w:lineRule="exact"/>
        <w:ind w:firstLine="480" w:firstLineChars="200"/>
        <w:rPr>
          <w:rFonts w:hint="eastAsia" w:ascii="仿宋" w:hAnsi="仿宋" w:eastAsia="仿宋" w:cs="宋体"/>
          <w:color w:val="auto"/>
          <w:kern w:val="0"/>
          <w:sz w:val="24"/>
          <w:highlight w:val="none"/>
        </w:rPr>
      </w:pPr>
      <w:r>
        <w:rPr>
          <w:rFonts w:hint="eastAsia" w:ascii="仿宋" w:hAnsi="仿宋" w:eastAsia="仿宋" w:cs="宋体"/>
          <w:color w:val="auto"/>
          <w:kern w:val="0"/>
          <w:sz w:val="24"/>
          <w:highlight w:val="none"/>
          <w:lang w:eastAsia="zh-CN"/>
        </w:rPr>
        <w:t>（</w:t>
      </w:r>
      <w:r>
        <w:rPr>
          <w:rFonts w:hint="eastAsia" w:ascii="仿宋" w:hAnsi="仿宋" w:eastAsia="仿宋" w:cs="宋体"/>
          <w:color w:val="auto"/>
          <w:kern w:val="0"/>
          <w:sz w:val="24"/>
          <w:highlight w:val="none"/>
          <w:lang w:val="en-US" w:eastAsia="zh-CN"/>
        </w:rPr>
        <w:t>8</w:t>
      </w:r>
      <w:r>
        <w:rPr>
          <w:rFonts w:hint="eastAsia" w:ascii="仿宋" w:hAnsi="仿宋" w:eastAsia="仿宋" w:cs="宋体"/>
          <w:color w:val="auto"/>
          <w:kern w:val="0"/>
          <w:sz w:val="24"/>
          <w:highlight w:val="none"/>
          <w:lang w:eastAsia="zh-CN"/>
        </w:rPr>
        <w:t>）</w:t>
      </w:r>
      <w:r>
        <w:rPr>
          <w:rFonts w:hint="eastAsia" w:ascii="仿宋" w:hAnsi="仿宋" w:eastAsia="仿宋" w:cs="宋体"/>
          <w:color w:val="auto"/>
          <w:kern w:val="0"/>
          <w:sz w:val="24"/>
          <w:highlight w:val="none"/>
        </w:rPr>
        <w:t>自招标公告发布之日起投标截止日内，在“信用中国网”(www.creditchina.gov.cn)被列入失信被执行人、重大税收违法当事人名单、政府采购严重违法失信行为记录名单的投标人，资格审查时不予以通过；投标截止前，在“中国政府采购网”(www.ccgp.gov.cn)被列入政府采购严重违法失信行为记录名单中的投标人且在处罚有效期内的投标人，资格审查时不予以通过；</w:t>
      </w:r>
    </w:p>
    <w:p w14:paraId="7259A1EC">
      <w:pPr>
        <w:spacing w:line="500" w:lineRule="exact"/>
        <w:ind w:firstLine="480" w:firstLineChars="200"/>
        <w:rPr>
          <w:rFonts w:ascii="仿宋" w:hAnsi="仿宋" w:eastAsia="仿宋" w:cs="宋体"/>
          <w:color w:val="auto"/>
          <w:kern w:val="0"/>
          <w:sz w:val="24"/>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zh-CN"/>
        </w:rPr>
        <w:t>）</w:t>
      </w:r>
      <w:r>
        <w:rPr>
          <w:rFonts w:hint="eastAsia" w:ascii="仿宋" w:hAnsi="仿宋" w:eastAsia="仿宋" w:cs="宋体"/>
          <w:color w:val="auto"/>
          <w:kern w:val="0"/>
          <w:sz w:val="24"/>
          <w:highlight w:val="none"/>
        </w:rPr>
        <w:t>资格证明文件不全的，或者不符合招标文件标明的资格要求的。</w:t>
      </w:r>
    </w:p>
    <w:p w14:paraId="6816A70D">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2.在符合性审查和商务评审时，如发现下列情形之一的，投标文件将被视为无效：</w:t>
      </w:r>
    </w:p>
    <w:p w14:paraId="15A78D0C">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（1）投标文件未按招标文件要求签字或盖章；</w:t>
      </w:r>
    </w:p>
    <w:p w14:paraId="4D48FA5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（2）投标文件格式不规范、项目不齐全或者内容虚假的；</w:t>
      </w:r>
    </w:p>
    <w:p w14:paraId="633F5C2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（3）投标文件的实质性内容未使用中文表述、意思表述不明确、前后矛盾或者使用计量单位不符合招标文件要求的（经评标委员会认定并允许其当场更正的笔误除外）；</w:t>
      </w:r>
    </w:p>
    <w:p w14:paraId="09ADE2B3">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（4）未实质性响应招标文件要求或者投标文件有</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不能接受的附加条件的。</w:t>
      </w:r>
    </w:p>
    <w:p w14:paraId="1429F90A">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3.在技术评审时，如发现下列情形之一的，投标文件将被视为无效：</w:t>
      </w:r>
    </w:p>
    <w:p w14:paraId="0A8359E8">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（1）未提供或未如实提供投标货物的技术参数，或者投标文件标明的响应或偏离与事实不符或虚假投标的；</w:t>
      </w:r>
    </w:p>
    <w:p w14:paraId="4FCBF72A">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（2）明显不符合招标文件要求的规格型号、质量标准，或者与招标文件中标有“▲”的技术指标、主要功能项目发生实质性偏离的；</w:t>
      </w:r>
    </w:p>
    <w:p w14:paraId="5098FF7B">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（3）投标技术方案不明确，存在一个或一个以上备选（替代）投标方案的；</w:t>
      </w:r>
    </w:p>
    <w:p w14:paraId="338A4065">
      <w:pPr>
        <w:spacing w:line="46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4.在报价评审时，如发现下列情形之一的，投标文件将被视为无效：</w:t>
      </w:r>
    </w:p>
    <w:p w14:paraId="1D758B0C">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（1）未采用“人民币元”报价的或未按照招标文件表明的币种报价的；</w:t>
      </w:r>
    </w:p>
    <w:p w14:paraId="6B70B2DA">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（2）报价偏离</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的采购定价，或者超出采购预算金额，</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不能支付的；</w:t>
      </w:r>
    </w:p>
    <w:p w14:paraId="526B993D">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（3）投标报价具有选择性，或者投标报价未按照招标文件规定的价格进行报价的。</w:t>
      </w:r>
    </w:p>
    <w:p w14:paraId="2893DB4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5.被拒绝的投标文件为无效。</w:t>
      </w:r>
    </w:p>
    <w:p w14:paraId="191B44AB">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6.投标人有下列情形之一的，视为投标人串通投标，其投标无效： </w:t>
      </w:r>
    </w:p>
    <w:p w14:paraId="729EEAD3">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（1）不同投标人的投标（响应）文件由同一单位或者个人编制；</w:t>
      </w:r>
    </w:p>
    <w:p w14:paraId="7BD6210D">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（2）不同投标人委托同一单位或者个人办理投标事宜；</w:t>
      </w:r>
    </w:p>
    <w:p w14:paraId="58FD116A">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（3）不同投标人的投标文件或响应文件载明的项目管理成员或者联系人员为同一人；</w:t>
      </w:r>
    </w:p>
    <w:p w14:paraId="24765E73">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（4）不同投标人的投标（响应）文件件异常一致或者投标报价呈规律性差异；</w:t>
      </w:r>
    </w:p>
    <w:p w14:paraId="24F869D2">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（5）不同投标人的投标（响应）文件相互混装。</w:t>
      </w:r>
    </w:p>
    <w:p w14:paraId="26EA39C3">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 投标人有下列情形之一的，属于恶意串通，其投标无效：</w:t>
      </w:r>
    </w:p>
    <w:p w14:paraId="53DD5FF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（1）投标人直接或者间接从</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或者采购代理机构处获得其他投标人的相关情况并修改其投标（响应）文件；</w:t>
      </w:r>
    </w:p>
    <w:p w14:paraId="4C8F46D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（2）投标人按照</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或者采购代理机构的授意撤换、修改投标（响应）文件；</w:t>
      </w:r>
    </w:p>
    <w:p w14:paraId="23A4F16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（3）投标人之间协商报价、技术方案等投标（响应）文件的实质性内容；</w:t>
      </w:r>
    </w:p>
    <w:p w14:paraId="45D5D896">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（4）属于同一集团、协会、商会等组织成员的投标人按照该组织要求协同参加政府采购活动；</w:t>
      </w:r>
    </w:p>
    <w:p w14:paraId="0EF34F68">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（5）投标人之间事先约定由某一特定投标人中标、成交；</w:t>
      </w:r>
    </w:p>
    <w:p w14:paraId="02FB8BF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（6）投标人之间商定部分投标人放弃参加政府采购活动或者放弃中标、成交；</w:t>
      </w:r>
    </w:p>
    <w:p w14:paraId="2A87827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（7）投标人与</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或者采购代理机构之间、投标人相互之间，为谋求特定投标人中标、成交或者排斥其他投标人的其他串通行为。</w:t>
      </w:r>
    </w:p>
    <w:p w14:paraId="30504B68">
      <w:pPr>
        <w:spacing w:line="46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kern w:val="0"/>
          <w:sz w:val="24"/>
          <w:highlight w:val="none"/>
        </w:rPr>
        <w:t>8.</w:t>
      </w:r>
      <w:r>
        <w:rPr>
          <w:rFonts w:hint="eastAsia" w:ascii="仿宋" w:hAnsi="仿宋" w:eastAsia="仿宋" w:cs="仿宋"/>
          <w:color w:val="auto"/>
          <w:kern w:val="0"/>
          <w:sz w:val="24"/>
          <w:highlight w:val="none"/>
          <w:lang w:val="en-US" w:eastAsia="zh-CN"/>
        </w:rPr>
        <w:t>投标人</w:t>
      </w:r>
      <w:r>
        <w:rPr>
          <w:rFonts w:hint="eastAsia" w:ascii="仿宋" w:hAnsi="仿宋" w:eastAsia="仿宋" w:cs="仿宋"/>
          <w:color w:val="auto"/>
          <w:sz w:val="24"/>
          <w:highlight w:val="none"/>
        </w:rPr>
        <w:t>存在下列情形之一且无法合理解释的，其投标(响应)文件无效</w:t>
      </w:r>
      <w:r>
        <w:rPr>
          <w:rFonts w:hint="eastAsia" w:ascii="仿宋" w:hAnsi="仿宋" w:eastAsia="仿宋" w:cs="仿宋"/>
          <w:color w:val="auto"/>
          <w:sz w:val="24"/>
          <w:highlight w:val="none"/>
          <w:lang w:eastAsia="zh-CN"/>
        </w:rPr>
        <w:t>：</w:t>
      </w:r>
    </w:p>
    <w:p w14:paraId="3E47093B">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w:t>
      </w:r>
      <w:r>
        <w:rPr>
          <w:rFonts w:hint="eastAsia" w:ascii="仿宋" w:hAnsi="仿宋" w:eastAsia="仿宋" w:cs="仿宋"/>
          <w:color w:val="auto"/>
          <w:kern w:val="0"/>
          <w:sz w:val="24"/>
          <w:highlight w:val="none"/>
        </w:rPr>
        <w:t>不同</w:t>
      </w:r>
      <w:r>
        <w:rPr>
          <w:rFonts w:hint="eastAsia" w:ascii="仿宋" w:hAnsi="仿宋" w:eastAsia="仿宋" w:cs="仿宋"/>
          <w:color w:val="auto"/>
          <w:kern w:val="0"/>
          <w:sz w:val="24"/>
          <w:highlight w:val="none"/>
          <w:lang w:val="en-US" w:eastAsia="zh-CN"/>
        </w:rPr>
        <w:t>投标人</w:t>
      </w:r>
      <w:r>
        <w:rPr>
          <w:rFonts w:hint="eastAsia" w:ascii="仿宋" w:hAnsi="仿宋" w:eastAsia="仿宋" w:cs="仿宋"/>
          <w:color w:val="auto"/>
          <w:kern w:val="0"/>
          <w:sz w:val="24"/>
          <w:highlight w:val="none"/>
        </w:rPr>
        <w:t>的电子投标(响应)文件上传计算机的网卡MAC 地址或硬盘序列号等硬件信息相同的；</w:t>
      </w:r>
    </w:p>
    <w:p w14:paraId="0EADFBC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上传的电子投标(响应)文件若出现使用本项目其他投标(响应)供应商的数字证书加密的，或者加盖本项目其他投标(响应)供应商的电子印章的；</w:t>
      </w:r>
    </w:p>
    <w:p w14:paraId="05536020">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不同</w:t>
      </w:r>
      <w:r>
        <w:rPr>
          <w:rFonts w:hint="eastAsia" w:ascii="仿宋" w:hAnsi="仿宋" w:eastAsia="仿宋" w:cs="仿宋"/>
          <w:color w:val="auto"/>
          <w:kern w:val="0"/>
          <w:sz w:val="24"/>
          <w:highlight w:val="none"/>
          <w:lang w:val="en-US" w:eastAsia="zh-CN"/>
        </w:rPr>
        <w:t>投标人</w:t>
      </w:r>
      <w:r>
        <w:rPr>
          <w:rFonts w:hint="eastAsia" w:ascii="仿宋" w:hAnsi="仿宋" w:eastAsia="仿宋" w:cs="仿宋"/>
          <w:color w:val="auto"/>
          <w:kern w:val="0"/>
          <w:sz w:val="24"/>
          <w:highlight w:val="none"/>
        </w:rPr>
        <w:t>的投标(响应)文件的内容存在3处(含)以上错误一致的；</w:t>
      </w:r>
    </w:p>
    <w:p w14:paraId="6779218B">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不同</w:t>
      </w:r>
      <w:r>
        <w:rPr>
          <w:rFonts w:hint="eastAsia" w:ascii="仿宋" w:hAnsi="仿宋" w:eastAsia="仿宋" w:cs="仿宋"/>
          <w:color w:val="auto"/>
          <w:kern w:val="0"/>
          <w:sz w:val="24"/>
          <w:highlight w:val="none"/>
          <w:lang w:val="en-US" w:eastAsia="zh-CN"/>
        </w:rPr>
        <w:t>投标人</w:t>
      </w:r>
      <w:r>
        <w:rPr>
          <w:rFonts w:hint="eastAsia" w:ascii="仿宋" w:hAnsi="仿宋" w:eastAsia="仿宋" w:cs="仿宋"/>
          <w:color w:val="auto"/>
          <w:kern w:val="0"/>
          <w:sz w:val="24"/>
          <w:highlight w:val="none"/>
        </w:rPr>
        <w:t>联系人为同一人或不同联系人的联系电话一致的。</w:t>
      </w:r>
    </w:p>
    <w:p w14:paraId="2B030CA8">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 xml:space="preserve">.出现以下情形，导致电子交易平台无法正常进行，或者无法保证电子交易的公平、公正和安全时，中止电子交易活动： </w:t>
      </w:r>
    </w:p>
    <w:p w14:paraId="260BDF6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（1）电子交易平台发生故障而无法登录访问的；</w:t>
      </w:r>
    </w:p>
    <w:p w14:paraId="5B3363DC">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（2）电子交易平台应用或数据库出现错误，不能进行正常操作的；</w:t>
      </w:r>
    </w:p>
    <w:p w14:paraId="6450B009">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（3）电子交易平台发现严重安全漏洞，有潜在泄密危险的；</w:t>
      </w:r>
    </w:p>
    <w:p w14:paraId="3534A43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（4）病毒发作导致不能进行正常操作的；</w:t>
      </w:r>
    </w:p>
    <w:p w14:paraId="5B10DBA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（5）其他无法保证电子交易的公平、公正和安全的情况。</w:t>
      </w:r>
    </w:p>
    <w:p w14:paraId="7AEAF87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出现以上规定情形，不影响采购公平、公正性的，采购代理机构可以待上述情形消除后继续组织电子交易活动，也可以决定某些环节以数据电子备份投标文件（U 盘）形式进行；影响或可能影响采购公平、公正性的，重新采购。</w:t>
      </w:r>
    </w:p>
    <w:p w14:paraId="415A4435">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(八）废标的情形</w:t>
      </w:r>
    </w:p>
    <w:p w14:paraId="27C5AB6C">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在采购活动中，出现下列情形之一的，应予废标：</w:t>
      </w:r>
    </w:p>
    <w:p w14:paraId="1FB7F726">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(1)符合专业条件的投标人或者对招标文件作实质性响应的投标人不足三家的；</w:t>
      </w:r>
    </w:p>
    <w:p w14:paraId="6CEE3C5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(2)出现影响采购公正的违法、违规行为的；</w:t>
      </w:r>
    </w:p>
    <w:p w14:paraId="10C0F54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(3)投标人的报价均超过了采购预算，</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不能支付的；</w:t>
      </w:r>
    </w:p>
    <w:p w14:paraId="3E6538F9">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(4)因重大变故，采购任务取消的。</w:t>
      </w:r>
    </w:p>
    <w:p w14:paraId="353607A2">
      <w:pPr>
        <w:pStyle w:val="31"/>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四、开标</w:t>
      </w:r>
    </w:p>
    <w:p w14:paraId="2D07BD57">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（一）开标准备</w:t>
      </w:r>
    </w:p>
    <w:p w14:paraId="5EBAA05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采购代理机构将在规定的时间和地点进行开标，并按照招标文件规定的时间通过“政府采购云平台”组织开标、开启投标文件，所有投标人均应当准时在线参加。</w:t>
      </w:r>
    </w:p>
    <w:p w14:paraId="38E4CCC2">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 xml:space="preserve">（二） 电子招投标开标及评审程序 </w:t>
      </w:r>
    </w:p>
    <w:p w14:paraId="35B5642B">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1.开标由采购代理机构主持，邀请投标人在线参加。评标委员会成员不得参加开标活动；</w:t>
      </w:r>
    </w:p>
    <w:p w14:paraId="709E574D">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2.主持人宣布开标会议开始，并按照规定的时间通过政采云系统组织开标，所有投标人应当准时在线参加；</w:t>
      </w:r>
    </w:p>
    <w:p w14:paraId="25CCABD1">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.投标截止时间后，投标人应登录政采云平台，在收到电子加密投标文件【开始解密】通知后，通过“项目采购-开标评标”模块对电子投标文件进行在线解密；</w:t>
      </w:r>
    </w:p>
    <w:p w14:paraId="265EDE3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.在开标结束后（评标开始前），由</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或采购代理机构进行资格审查。资格审查后在系统上公布资格审查结果；</w:t>
      </w:r>
    </w:p>
    <w:p w14:paraId="150824B4">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.由评标委员会对资格审查通过的投标人进行技术、商务、资信及其他部分评审，符合性审查及评分结束后，由主持人公布无效投标的投标人名单、投标无效的原因，并在系统上公布其他有效投标的评审结果；</w:t>
      </w:r>
    </w:p>
    <w:p w14:paraId="55B209B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.由主持人在系统上公布的投标人名称及在其投标文件中承诺的投标报价、投标内容以及其他有必要宣读的内容；</w:t>
      </w:r>
    </w:p>
    <w:p w14:paraId="30670059">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7</w:t>
      </w:r>
      <w:r>
        <w:rPr>
          <w:rFonts w:hint="eastAsia" w:ascii="仿宋" w:hAnsi="仿宋" w:eastAsia="仿宋" w:cs="仿宋"/>
          <w:color w:val="auto"/>
          <w:kern w:val="0"/>
          <w:sz w:val="24"/>
          <w:highlight w:val="none"/>
        </w:rPr>
        <w:t>.报价部分符合性审查及评分结束后，由主持人公布无效投标的投标人名单、投标无效的原因，并在系统上公布其他有效投标的评分结果；</w:t>
      </w:r>
    </w:p>
    <w:p w14:paraId="11AF4955">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.最终在政采云系统上公布评审结果；</w:t>
      </w:r>
    </w:p>
    <w:p w14:paraId="2D2F47E6">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.开标会议结束。</w:t>
      </w:r>
    </w:p>
    <w:p w14:paraId="43678E91">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特别说明：政采云公司如对电子化开标及评审程序有调整的，应按调整的程序操作。</w:t>
      </w:r>
    </w:p>
    <w:p w14:paraId="5B92731F">
      <w:pPr>
        <w:pStyle w:val="31"/>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五</w:t>
      </w:r>
      <w:r>
        <w:rPr>
          <w:rFonts w:hint="eastAsia" w:ascii="仿宋" w:hAnsi="仿宋" w:eastAsia="仿宋" w:cs="仿宋"/>
          <w:b/>
          <w:color w:val="auto"/>
          <w:sz w:val="24"/>
          <w:szCs w:val="24"/>
          <w:highlight w:val="none"/>
        </w:rPr>
        <w:t>、评标</w:t>
      </w:r>
    </w:p>
    <w:p w14:paraId="3D06FDF5">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（一）组建评标委员会</w:t>
      </w:r>
    </w:p>
    <w:p w14:paraId="0FF0F313">
      <w:pPr>
        <w:spacing w:line="460" w:lineRule="exact"/>
        <w:ind w:firstLine="480" w:firstLineChars="200"/>
        <w:rPr>
          <w:rFonts w:hint="default" w:ascii="仿宋" w:hAnsi="仿宋" w:eastAsia="仿宋" w:cs="宋体"/>
          <w:color w:val="auto"/>
          <w:kern w:val="0"/>
          <w:sz w:val="24"/>
          <w:highlight w:val="none"/>
          <w:lang w:val="en-US"/>
        </w:rPr>
      </w:pPr>
      <w:r>
        <w:rPr>
          <w:rFonts w:hint="eastAsia" w:ascii="仿宋" w:hAnsi="仿宋" w:eastAsia="仿宋" w:cs="仿宋"/>
          <w:color w:val="auto"/>
          <w:kern w:val="0"/>
          <w:sz w:val="24"/>
          <w:highlight w:val="none"/>
        </w:rPr>
        <w:t>本项目评标委员会由采购人代表及评审专家组成</w:t>
      </w:r>
      <w:r>
        <w:rPr>
          <w:rFonts w:hint="eastAsia" w:ascii="仿宋" w:hAnsi="仿宋" w:eastAsia="仿宋" w:cs="仿宋"/>
          <w:color w:val="auto"/>
          <w:kern w:val="0"/>
          <w:sz w:val="24"/>
          <w:highlight w:val="none"/>
          <w:lang w:val="en-US" w:eastAsia="zh-CN"/>
        </w:rPr>
        <w:t>,人数为7人及以上单数，其中评审专家不得少于成员总数的三分之二。</w:t>
      </w:r>
    </w:p>
    <w:p w14:paraId="266C4E23">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（二）评标的方式</w:t>
      </w:r>
    </w:p>
    <w:p w14:paraId="7BD19CA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本项目采用不公开方式评标，评标的依据为招标文件和投标文件。</w:t>
      </w:r>
    </w:p>
    <w:p w14:paraId="6865384C">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（三）评标程序</w:t>
      </w:r>
    </w:p>
    <w:p w14:paraId="64A5C67F">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1.形式审查</w:t>
      </w:r>
    </w:p>
    <w:p w14:paraId="2EEC284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在开标结束后（评标开始前），</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或代理机构负责对投标人的资格和投标文件的完整性、合法性等进行审查。</w:t>
      </w:r>
    </w:p>
    <w:p w14:paraId="53C3180F">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2.实质审查与比较</w:t>
      </w:r>
    </w:p>
    <w:p w14:paraId="1F97D4E2">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（1）评标委员会审查投标文件的实质性内容是否符合招标文件的实质性要求。</w:t>
      </w:r>
    </w:p>
    <w:p w14:paraId="39BFF892">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评标委员会将根据投标人的投标文件进行审查、核对,如有疑问,将对投标人进行询标,投标人要向评标委员会澄清有关问题,并最终以书面形式进行答复。投标人未的规定时间内澄清或者拒绝澄清或者澄清的内容改变了投标文件的实质性内容的，评标委员会有权对该投标文件做出不利于投标人的评判。</w:t>
      </w:r>
    </w:p>
    <w:p w14:paraId="65891D6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（3）评标委员会完成评标后,推荐中标候选人同时起草评标报告。</w:t>
      </w:r>
    </w:p>
    <w:p w14:paraId="417AC51A">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（4）评标委员会通过电子系统向</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及采购代理机构提交评审报告。</w:t>
      </w:r>
    </w:p>
    <w:p w14:paraId="0B95B69E">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（四）澄清问题的形式</w:t>
      </w:r>
    </w:p>
    <w:p w14:paraId="34DEA55A">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评审中需要投标人对投标文件作出澄清、说明或者补正的，评标委员会和投标人应当通过电子交易平台交换数据电文。给予投标人提交澄清说明或补正的时间为30分钟，投标人已经明确表示澄清说明或补正完毕的除外。</w:t>
      </w:r>
    </w:p>
    <w:p w14:paraId="5813B96E">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（五）错误修正</w:t>
      </w:r>
    </w:p>
    <w:p w14:paraId="3FE3DDAC">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投标文件如果出现计算或表达上的错误，修正错误的原则如下：</w:t>
      </w:r>
    </w:p>
    <w:p w14:paraId="7246FB8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1.投标文件的大写和小写不一致的，以大写为准；</w:t>
      </w:r>
    </w:p>
    <w:p w14:paraId="0145F0D2">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2.对不同文字文本投标文件的解释发生异议的，以中文文本为准。</w:t>
      </w:r>
    </w:p>
    <w:p w14:paraId="4A5762CF">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按上述修正错误的原则及方法调整或修正投标文件的投标报价，投标人同意并签字确认后，调整后的投标报价对投标人具有约束作用。如果投标人不接受修正后的报价，则其投标将作为无效投标处理。</w:t>
      </w:r>
    </w:p>
    <w:p w14:paraId="7466F686">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（六）评标原则和评标办法</w:t>
      </w:r>
    </w:p>
    <w:p w14:paraId="6AC1A79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0BAA5984">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2.评标办法。本项目评标办法是</w:t>
      </w:r>
      <w:r>
        <w:rPr>
          <w:rFonts w:hint="eastAsia" w:ascii="仿宋" w:hAnsi="仿宋" w:eastAsia="仿宋" w:cs="仿宋"/>
          <w:b/>
          <w:color w:val="auto"/>
          <w:kern w:val="0"/>
          <w:sz w:val="24"/>
          <w:highlight w:val="none"/>
          <w:u w:val="single"/>
        </w:rPr>
        <w:t>综合评分法</w:t>
      </w:r>
      <w:r>
        <w:rPr>
          <w:rFonts w:hint="eastAsia" w:ascii="仿宋" w:hAnsi="仿宋" w:eastAsia="仿宋" w:cs="仿宋"/>
          <w:color w:val="auto"/>
          <w:kern w:val="0"/>
          <w:sz w:val="24"/>
          <w:highlight w:val="none"/>
        </w:rPr>
        <w:t>，具体评标内容及评分标准等详见《第四章：评标办法及评分标准》。</w:t>
      </w:r>
    </w:p>
    <w:p w14:paraId="23517ACA">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3.评标过程中凡是属于审查、澄清、评审和比较的有关资料以及授标建议，任何人均不得向投标人或其他无关人员透露。</w:t>
      </w:r>
    </w:p>
    <w:p w14:paraId="0140095C">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（七）评标过程的监控</w:t>
      </w:r>
    </w:p>
    <w:p w14:paraId="51B7B593">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本项目评标过程实行全程录音、录像监控。投标人在评标过程中所进行的试图影响评标结果的不公正活动，可能导致其投标被拒绝。</w:t>
      </w:r>
    </w:p>
    <w:p w14:paraId="27A04F08">
      <w:pPr>
        <w:pStyle w:val="31"/>
        <w:outlineLvl w:val="1"/>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六、定标</w:t>
      </w:r>
    </w:p>
    <w:p w14:paraId="17207EE4">
      <w:pPr>
        <w:spacing w:line="460" w:lineRule="exact"/>
        <w:ind w:firstLine="482" w:firstLineChars="200"/>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rPr>
        <w:t>（一）确定中标人。本项目由</w:t>
      </w:r>
      <w:r>
        <w:rPr>
          <w:rFonts w:hint="eastAsia" w:ascii="仿宋" w:hAnsi="仿宋" w:eastAsia="仿宋" w:cs="仿宋"/>
          <w:b/>
          <w:color w:val="auto"/>
          <w:kern w:val="0"/>
          <w:sz w:val="24"/>
          <w:highlight w:val="none"/>
          <w:lang w:eastAsia="zh-CN"/>
        </w:rPr>
        <w:t>采购人</w:t>
      </w:r>
      <w:r>
        <w:rPr>
          <w:rFonts w:hint="eastAsia" w:ascii="仿宋" w:hAnsi="仿宋" w:eastAsia="仿宋" w:cs="仿宋"/>
          <w:b/>
          <w:color w:val="auto"/>
          <w:kern w:val="0"/>
          <w:sz w:val="24"/>
          <w:highlight w:val="none"/>
        </w:rPr>
        <w:t>确定中标人。</w:t>
      </w:r>
    </w:p>
    <w:p w14:paraId="3AC617F8">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1.评标委员会完成评审后，采购代理机构通过电子交易平台向</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提交评标报告。</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通过电子交易平台确认中标人。</w:t>
      </w:r>
    </w:p>
    <w:p w14:paraId="4D70C436">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sz w:val="24"/>
          <w:highlight w:val="none"/>
        </w:rPr>
        <w:t>采购代理机构在评标结束后2个工作日内将评标报告交</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应当自收到评标报告之日起5个工作日内，在评标报告确定的中标候选人名单中按顺序确定中标人。中标候选人并列的，由</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或者</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委托评标委员会按照招标文件规定的方式确定中标人；招标文件未规定的，采取随机抽取的方式确定。</w:t>
      </w:r>
    </w:p>
    <w:p w14:paraId="2342FE67">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在收到评标报告5个工作日内未按评标报告推荐的中标候选人顺序确定中标人，又不能说明合法理由的，视同按评标报告推荐的顺序确定排名第一的中标候选人为中标人。</w:t>
      </w:r>
    </w:p>
    <w:p w14:paraId="58580394">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依法确定中标人后2个工作日内，采购代理机构、</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向中标人发出中标通知书，并同时在相关网站上发布中标结果公告。</w:t>
      </w:r>
    </w:p>
    <w:p w14:paraId="11653776">
      <w:pPr>
        <w:pStyle w:val="31"/>
        <w:outlineLvl w:val="1"/>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七、合同授予</w:t>
      </w:r>
    </w:p>
    <w:p w14:paraId="4C6584C9">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（一）签订合同</w:t>
      </w:r>
    </w:p>
    <w:p w14:paraId="1D52A6A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与中标人应当在《中标通知书》发出之日起30日内签订政府采购合同。</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通过电子交易平台与中标人签订合同，并在规定时间内依法发布合同公告。同时，采购代理机构对合同内容进行审查，如发现与采购结果和投标承诺内容不一致的，应予以纠正。</w:t>
      </w:r>
    </w:p>
    <w:p w14:paraId="3AB9A11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2.中标人拖延、拒签合同的,将被取消中标资格。</w:t>
      </w:r>
    </w:p>
    <w:p w14:paraId="3AA67028">
      <w:pPr>
        <w:spacing w:line="460" w:lineRule="exact"/>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（二）中标通知书</w:t>
      </w:r>
    </w:p>
    <w:p w14:paraId="7E4FEE85">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1.确定中标人后，采购代理机构将以书面形式发出中标通知书，通知中标的投标人其投标被接受； </w:t>
      </w:r>
    </w:p>
    <w:p w14:paraId="77689CEA">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2.中标通知书为双方签订合同的依据； </w:t>
      </w:r>
    </w:p>
    <w:p w14:paraId="468C830D">
      <w:pPr>
        <w:keepNext w:val="0"/>
        <w:keepLines w:val="0"/>
        <w:pageBreakBefore w:val="0"/>
        <w:widowControl w:val="0"/>
        <w:kinsoku/>
        <w:wordWrap/>
        <w:overflowPunct/>
        <w:topLinePunct w:val="0"/>
        <w:bidi w:val="0"/>
        <w:snapToGrid/>
        <w:spacing w:line="6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3.中标人应根据中标通知书中规定的时间内，由法定代表人或其授权代理人与</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签订合同。</w:t>
      </w:r>
    </w:p>
    <w:p w14:paraId="364CEAC3">
      <w:pPr>
        <w:pStyle w:val="2"/>
        <w:spacing w:before="216" w:line="375" w:lineRule="auto"/>
        <w:ind w:left="36" w:right="236" w:firstLine="477"/>
        <w:jc w:val="both"/>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（三）履约保证金：</w:t>
      </w:r>
      <w:r>
        <w:rPr>
          <w:rFonts w:hint="eastAsia" w:ascii="仿宋" w:hAnsi="仿宋" w:eastAsia="仿宋" w:cs="仿宋"/>
          <w:color w:val="auto"/>
          <w:kern w:val="0"/>
          <w:sz w:val="24"/>
          <w:szCs w:val="24"/>
          <w:highlight w:val="none"/>
          <w:lang w:val="en-US" w:eastAsia="zh-CN" w:bidi="ar-SA"/>
        </w:rPr>
        <w:t>合同金额的 1%。中标人应向采购人交纳履约保证金，在服务期满后30天内退还。（缴纳形式为支票、汇票、本票、保险或者金融机构、担保机构出具的保函等非现金形式</w:t>
      </w:r>
      <w:r>
        <w:rPr>
          <w:color w:val="auto"/>
          <w:spacing w:val="-2"/>
          <w:sz w:val="24"/>
          <w:szCs w:val="24"/>
          <w:highlight w:val="none"/>
        </w:rPr>
        <w:t>）。</w:t>
      </w:r>
    </w:p>
    <w:p w14:paraId="0FAC41EF">
      <w:pPr>
        <w:pStyle w:val="31"/>
        <w:keepNext w:val="0"/>
        <w:keepLines w:val="0"/>
        <w:pageBreakBefore w:val="0"/>
        <w:widowControl w:val="0"/>
        <w:kinsoku/>
        <w:wordWrap/>
        <w:overflowPunct/>
        <w:topLinePunct w:val="0"/>
        <w:bidi w:val="0"/>
        <w:snapToGrid/>
        <w:spacing w:line="500" w:lineRule="exact"/>
        <w:textAlignment w:val="auto"/>
        <w:outlineLvl w:val="1"/>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 xml:space="preserve">八、其他内容 </w:t>
      </w:r>
    </w:p>
    <w:p w14:paraId="36EEE59B">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发生下列情况之一，投标人自愿接受取消投标资格、记入信用档案、媒体通报、1-3年内禁止参与政府采购等处罚；如已中标（成交）的，自动放弃中标（成交）资格，并承担全部法律责任；给</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造成损失的，依法承担赔偿责任：</w:t>
      </w:r>
    </w:p>
    <w:p w14:paraId="09769704">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1.投标人在提交投标（响应）文件截止时间后撤回投标（响应）文件的；</w:t>
      </w:r>
    </w:p>
    <w:p w14:paraId="614591FC">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 投标人在投标（响应）文件中提交虚假材料的；</w:t>
      </w:r>
    </w:p>
    <w:p w14:paraId="22C5A39E">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3.除因不可抗力或招标文件认可的情形以外，中标人不与</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签订合同的；</w:t>
      </w:r>
    </w:p>
    <w:p w14:paraId="186B1D15">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4.投标人与</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、其他投标人或者采购代理机构恶意串通的；</w:t>
      </w:r>
    </w:p>
    <w:p w14:paraId="6BF70474">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.招标文件规定的其他情形。</w:t>
      </w:r>
    </w:p>
    <w:p w14:paraId="5647F3FA">
      <w:pPr>
        <w:keepNext w:val="0"/>
        <w:keepLines w:val="0"/>
        <w:pageBreakBefore w:val="0"/>
        <w:widowControl w:val="0"/>
        <w:kinsoku/>
        <w:wordWrap/>
        <w:overflowPunct/>
        <w:topLinePunct w:val="0"/>
        <w:bidi w:val="0"/>
        <w:snapToGrid/>
        <w:spacing w:line="5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为有效破解当前中小微企业面临的“融资难、融资贵”困局，充分发挥好政府采购扶持小微企业发展的政策功能，本项目中标人可凭中标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14:paraId="246411EB">
      <w:pPr>
        <w:pStyle w:val="4"/>
        <w:keepNext w:val="0"/>
        <w:pageBreakBefore/>
        <w:spacing w:line="360" w:lineRule="auto"/>
        <w:rPr>
          <w:rFonts w:hint="eastAsia" w:ascii="仿宋" w:hAnsi="仿宋" w:eastAsia="仿宋" w:cs="仿宋"/>
          <w:color w:val="auto"/>
          <w:sz w:val="32"/>
          <w:highlight w:val="none"/>
        </w:rPr>
      </w:pPr>
      <w:r>
        <w:rPr>
          <w:rFonts w:hint="eastAsia" w:ascii="仿宋" w:hAnsi="仿宋" w:eastAsia="仿宋" w:cs="仿宋"/>
          <w:color w:val="auto"/>
          <w:sz w:val="32"/>
          <w:highlight w:val="none"/>
          <w:lang w:val="en-US" w:eastAsia="zh-CN"/>
        </w:rPr>
        <w:t xml:space="preserve">第四章 </w:t>
      </w:r>
      <w:r>
        <w:rPr>
          <w:rFonts w:hint="eastAsia" w:ascii="仿宋" w:hAnsi="仿宋" w:eastAsia="仿宋" w:cs="仿宋"/>
          <w:color w:val="auto"/>
          <w:sz w:val="32"/>
          <w:highlight w:val="none"/>
        </w:rPr>
        <w:t>评标办法及评分标准</w:t>
      </w:r>
    </w:p>
    <w:p w14:paraId="554F3C0C">
      <w:pPr>
        <w:keepNext w:val="0"/>
        <w:keepLines w:val="0"/>
        <w:widowControl w:val="0"/>
        <w:numPr>
          <w:ilvl w:val="0"/>
          <w:numId w:val="0"/>
        </w:numPr>
        <w:kinsoku/>
        <w:wordWrap/>
        <w:overflowPunct/>
        <w:topLinePunct w:val="0"/>
        <w:autoSpaceDE/>
        <w:autoSpaceDN/>
        <w:bidi w:val="0"/>
        <w:adjustRightInd/>
        <w:spacing w:line="460" w:lineRule="exact"/>
        <w:ind w:firstLine="720" w:firstLineChars="3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为公正、公平、科学地选择中标供应商，根据《中华人民共和国政府采购法》、《政府采购货物和服务招标投标管理办法》及相关法律、法规等规定，并结合本项目的实际，制定本办法。</w:t>
      </w:r>
    </w:p>
    <w:p w14:paraId="0B27D422">
      <w:pPr>
        <w:keepNext w:val="0"/>
        <w:keepLines w:val="0"/>
        <w:widowControl w:val="0"/>
        <w:kinsoku/>
        <w:wordWrap/>
        <w:overflowPunct/>
        <w:topLinePunct w:val="0"/>
        <w:autoSpaceDE/>
        <w:autoSpaceDN/>
        <w:bidi w:val="0"/>
        <w:adjustRightInd/>
        <w:spacing w:line="46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本办法适用于</w:t>
      </w:r>
      <w:r>
        <w:rPr>
          <w:rFonts w:hint="eastAsia" w:ascii="仿宋" w:hAnsi="仿宋" w:eastAsia="仿宋" w:cs="仿宋"/>
          <w:b w:val="0"/>
          <w:bCs/>
          <w:i w:val="0"/>
          <w:iCs w:val="0"/>
          <w:caps w:val="0"/>
          <w:color w:val="auto"/>
          <w:spacing w:val="0"/>
          <w:kern w:val="2"/>
          <w:sz w:val="24"/>
          <w:szCs w:val="24"/>
          <w:highlight w:val="none"/>
          <w:u w:val="single"/>
          <w:lang w:val="en-US" w:eastAsia="zh-CN" w:bidi="ar-SA"/>
        </w:rPr>
        <w:t>湖州南太湖新区西区、104国道、杨家埠等区域环卫作业一体化服务项目（2025-2027年度）</w:t>
      </w:r>
      <w:r>
        <w:rPr>
          <w:rFonts w:hint="eastAsia" w:ascii="仿宋" w:hAnsi="仿宋" w:eastAsia="仿宋" w:cs="仿宋"/>
          <w:color w:val="auto"/>
          <w:kern w:val="0"/>
          <w:sz w:val="24"/>
          <w:szCs w:val="24"/>
          <w:highlight w:val="none"/>
        </w:rPr>
        <w:t>招标项目的评标。</w:t>
      </w:r>
    </w:p>
    <w:bookmarkEnd w:id="3"/>
    <w:bookmarkEnd w:id="4"/>
    <w:p w14:paraId="75F795F9">
      <w:pPr>
        <w:pStyle w:val="31"/>
        <w:ind w:firstLine="482" w:firstLineChars="200"/>
        <w:outlineLvl w:val="1"/>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一、总则</w:t>
      </w:r>
    </w:p>
    <w:p w14:paraId="7111E9A2">
      <w:pPr>
        <w:keepNext w:val="0"/>
        <w:keepLines w:val="0"/>
        <w:widowControl w:val="0"/>
        <w:kinsoku/>
        <w:wordWrap/>
        <w:overflowPunct/>
        <w:topLinePunct w:val="0"/>
        <w:autoSpaceDE/>
        <w:autoSpaceDN/>
        <w:bidi w:val="0"/>
        <w:adjustRightInd/>
        <w:spacing w:line="460" w:lineRule="exact"/>
        <w:ind w:firstLine="480" w:firstLineChars="200"/>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注：本项目分3个标项进行采购，按标项一、标项二、标项三顺序开标、评标，采取兼投不兼中原则，符合条件的供应商允许多个标项报名并进行多个标项评审，但同一供应商最多只能中标1个标项，中标顺序按评标顺序，已推荐为标项一中标候选人的供应商</w:t>
      </w:r>
      <w:r>
        <w:rPr>
          <w:rFonts w:hint="eastAsia" w:ascii="仿宋" w:hAnsi="仿宋" w:eastAsia="仿宋" w:cs="仿宋"/>
          <w:color w:val="auto"/>
          <w:kern w:val="0"/>
          <w:sz w:val="24"/>
          <w:szCs w:val="24"/>
          <w:highlight w:val="none"/>
          <w:lang w:eastAsia="zh-CN"/>
        </w:rPr>
        <w:t>在其所投剩余标项中，只参加评审、不参加排序、</w:t>
      </w:r>
      <w:r>
        <w:rPr>
          <w:rFonts w:hint="eastAsia" w:ascii="仿宋" w:hAnsi="仿宋" w:eastAsia="仿宋" w:cs="仿宋"/>
          <w:color w:val="auto"/>
          <w:kern w:val="0"/>
          <w:sz w:val="24"/>
          <w:szCs w:val="24"/>
          <w:highlight w:val="none"/>
          <w:lang w:val="en-US" w:eastAsia="zh-CN"/>
        </w:rPr>
        <w:t>不</w:t>
      </w:r>
      <w:r>
        <w:rPr>
          <w:rFonts w:hint="eastAsia" w:ascii="仿宋" w:hAnsi="仿宋" w:eastAsia="仿宋" w:cs="仿宋"/>
          <w:color w:val="auto"/>
          <w:kern w:val="0"/>
          <w:sz w:val="24"/>
          <w:szCs w:val="24"/>
          <w:highlight w:val="none"/>
          <w:lang w:eastAsia="zh-CN"/>
        </w:rPr>
        <w:t>推荐中标。</w:t>
      </w:r>
      <w:r>
        <w:rPr>
          <w:rFonts w:hint="eastAsia" w:ascii="仿宋" w:hAnsi="仿宋" w:eastAsia="仿宋" w:cs="仿宋"/>
          <w:b w:val="0"/>
          <w:bCs w:val="0"/>
          <w:color w:val="auto"/>
          <w:sz w:val="24"/>
          <w:highlight w:val="none"/>
          <w:lang w:val="en-US" w:eastAsia="zh-CN"/>
        </w:rPr>
        <w:t xml:space="preserve">以此类推。 </w:t>
      </w:r>
    </w:p>
    <w:p w14:paraId="342F781D">
      <w:pPr>
        <w:keepNext w:val="0"/>
        <w:keepLines w:val="0"/>
        <w:widowControl w:val="0"/>
        <w:kinsoku/>
        <w:wordWrap/>
        <w:overflowPunct/>
        <w:topLinePunct w:val="0"/>
        <w:autoSpaceDE/>
        <w:autoSpaceDN/>
        <w:bidi w:val="0"/>
        <w:adjustRightInd/>
        <w:spacing w:line="46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b w:val="0"/>
          <w:bCs w:val="0"/>
          <w:color w:val="auto"/>
          <w:sz w:val="24"/>
          <w:highlight w:val="none"/>
          <w:lang w:val="en-US" w:eastAsia="zh-CN"/>
        </w:rPr>
        <w:t>本次评标采用综合评分法，总分为100分，其中价格分为20分，技术、商务资信及其他分为80分。本项目各标项中标供应商为1家，合格供应商的评标得分为各项目汇总得分。评标结果按评审后得分由高到低顺序排列。得分相同的，按投标报价由低到高顺序排列。得分且投标报价相同的，按技术分得分由高到低顺序排列。技术分得分仍相同的，由采购人随机抽取。各标项排名第一位的供应商为中标候选人。中标候选供应商放弃中标或者因不可抗力提出不能履行合同或在采购活动中存在违法违规行为或其他原因使质疑成立的，采购人将重新招标相应标项。</w:t>
      </w:r>
      <w:r>
        <w:rPr>
          <w:rFonts w:hint="eastAsia" w:ascii="仿宋" w:hAnsi="仿宋" w:eastAsia="仿宋" w:cs="仿宋"/>
          <w:color w:val="auto"/>
          <w:kern w:val="0"/>
          <w:sz w:val="24"/>
          <w:szCs w:val="24"/>
          <w:highlight w:val="none"/>
        </w:rPr>
        <w:t>评分过程中采用四舍五入法，并保留小数2位。</w:t>
      </w:r>
    </w:p>
    <w:p w14:paraId="688DC9BE">
      <w:pPr>
        <w:keepNext w:val="0"/>
        <w:keepLines w:val="0"/>
        <w:widowControl w:val="0"/>
        <w:kinsoku/>
        <w:wordWrap/>
        <w:overflowPunct/>
        <w:topLinePunct w:val="0"/>
        <w:autoSpaceDE/>
        <w:autoSpaceDN/>
        <w:bidi w:val="0"/>
        <w:adjustRightInd/>
        <w:spacing w:line="46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各供应商最终得分=技术分、商务分和资信及其他分得分+价格分得分</w:t>
      </w:r>
    </w:p>
    <w:p w14:paraId="53FF3FCE">
      <w:pPr>
        <w:keepNext w:val="0"/>
        <w:keepLines w:val="0"/>
        <w:widowControl w:val="0"/>
        <w:kinsoku/>
        <w:wordWrap/>
        <w:overflowPunct/>
        <w:topLinePunct w:val="0"/>
        <w:autoSpaceDE/>
        <w:autoSpaceDN/>
        <w:bidi w:val="0"/>
        <w:adjustRightInd/>
        <w:spacing w:line="460" w:lineRule="exact"/>
        <w:ind w:firstLine="482" w:firstLineChars="200"/>
        <w:textAlignment w:val="auto"/>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二、评标内容及标准（</w:t>
      </w:r>
      <w:r>
        <w:rPr>
          <w:rFonts w:hint="eastAsia" w:ascii="仿宋" w:hAnsi="仿宋" w:eastAsia="仿宋" w:cs="仿宋"/>
          <w:b/>
          <w:bCs/>
          <w:color w:val="auto"/>
          <w:kern w:val="0"/>
          <w:sz w:val="24"/>
          <w:szCs w:val="24"/>
          <w:highlight w:val="none"/>
          <w:lang w:val="en-US" w:eastAsia="zh-CN"/>
        </w:rPr>
        <w:t>适用于标项一、标项二、标项三</w:t>
      </w:r>
      <w:r>
        <w:rPr>
          <w:rFonts w:hint="eastAsia" w:ascii="仿宋" w:hAnsi="仿宋" w:eastAsia="仿宋" w:cs="仿宋"/>
          <w:b/>
          <w:bCs/>
          <w:color w:val="auto"/>
          <w:kern w:val="0"/>
          <w:sz w:val="24"/>
          <w:szCs w:val="24"/>
          <w:highlight w:val="none"/>
          <w:lang w:eastAsia="zh-CN"/>
        </w:rPr>
        <w:t xml:space="preserve">） </w:t>
      </w:r>
    </w:p>
    <w:p w14:paraId="58A557C0">
      <w:pPr>
        <w:keepNext w:val="0"/>
        <w:keepLines w:val="0"/>
        <w:widowControl w:val="0"/>
        <w:kinsoku/>
        <w:wordWrap/>
        <w:overflowPunct/>
        <w:topLinePunct w:val="0"/>
        <w:autoSpaceDE/>
        <w:autoSpaceDN/>
        <w:bidi w:val="0"/>
        <w:adjustRightInd/>
        <w:spacing w:line="46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（1）价格分</w:t>
      </w:r>
      <w:r>
        <w:rPr>
          <w:rFonts w:hint="eastAsia" w:ascii="仿宋" w:hAnsi="仿宋" w:eastAsia="仿宋" w:cs="仿宋"/>
          <w:color w:val="auto"/>
          <w:kern w:val="0"/>
          <w:sz w:val="24"/>
          <w:szCs w:val="24"/>
          <w:highlight w:val="none"/>
          <w:lang w:val="en-US" w:eastAsia="zh-CN"/>
        </w:rPr>
        <w:t>20</w:t>
      </w:r>
      <w:r>
        <w:rPr>
          <w:rFonts w:hint="eastAsia" w:ascii="仿宋" w:hAnsi="仿宋" w:eastAsia="仿宋" w:cs="仿宋"/>
          <w:color w:val="auto"/>
          <w:kern w:val="0"/>
          <w:sz w:val="24"/>
          <w:szCs w:val="24"/>
          <w:highlight w:val="none"/>
        </w:rPr>
        <w:t>分</w:t>
      </w:r>
    </w:p>
    <w:p w14:paraId="465CBD44">
      <w:pPr>
        <w:keepNext w:val="0"/>
        <w:keepLines w:val="0"/>
        <w:widowControl w:val="0"/>
        <w:kinsoku/>
        <w:wordWrap/>
        <w:overflowPunct/>
        <w:topLinePunct w:val="0"/>
        <w:autoSpaceDE/>
        <w:autoSpaceDN/>
        <w:bidi w:val="0"/>
        <w:adjustRightInd/>
        <w:spacing w:line="46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价格分采用低价优先法计算，即满足招标文件要求且投标报价最低的投标报价为评标基准价，其他供应商的价格分按照下列公式计算：</w:t>
      </w:r>
    </w:p>
    <w:p w14:paraId="1F39CD21">
      <w:pPr>
        <w:keepNext w:val="0"/>
        <w:keepLines w:val="0"/>
        <w:widowControl w:val="0"/>
        <w:kinsoku/>
        <w:wordWrap/>
        <w:overflowPunct/>
        <w:topLinePunct w:val="0"/>
        <w:autoSpaceDE/>
        <w:autoSpaceDN/>
        <w:bidi w:val="0"/>
        <w:adjustRightInd/>
        <w:spacing w:line="460" w:lineRule="exact"/>
        <w:ind w:firstLine="482" w:firstLineChars="200"/>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价格分=（评标基准价/投标报价）×</w:t>
      </w:r>
      <w:r>
        <w:rPr>
          <w:rFonts w:hint="eastAsia" w:ascii="仿宋" w:hAnsi="仿宋" w:eastAsia="仿宋" w:cs="仿宋"/>
          <w:b/>
          <w:color w:val="auto"/>
          <w:kern w:val="0"/>
          <w:sz w:val="24"/>
          <w:szCs w:val="24"/>
          <w:highlight w:val="none"/>
          <w:lang w:val="en-US" w:eastAsia="zh-CN"/>
        </w:rPr>
        <w:t>20</w:t>
      </w:r>
      <w:r>
        <w:rPr>
          <w:rFonts w:hint="eastAsia" w:ascii="仿宋" w:hAnsi="仿宋" w:eastAsia="仿宋" w:cs="仿宋"/>
          <w:b/>
          <w:color w:val="auto"/>
          <w:kern w:val="0"/>
          <w:sz w:val="24"/>
          <w:szCs w:val="24"/>
          <w:highlight w:val="none"/>
        </w:rPr>
        <w:t>%×100</w:t>
      </w:r>
    </w:p>
    <w:p w14:paraId="229BCC3F">
      <w:pPr>
        <w:keepNext w:val="0"/>
        <w:keepLines w:val="0"/>
        <w:widowControl w:val="0"/>
        <w:kinsoku/>
        <w:wordWrap/>
        <w:overflowPunct/>
        <w:topLinePunct w:val="0"/>
        <w:autoSpaceDE/>
        <w:autoSpaceDN/>
        <w:bidi w:val="0"/>
        <w:adjustRightInd/>
        <w:spacing w:line="460" w:lineRule="exact"/>
        <w:ind w:firstLine="482" w:firstLineChars="200"/>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（2）技术分、商务分、资信及其他分</w:t>
      </w:r>
      <w:r>
        <w:rPr>
          <w:rFonts w:hint="eastAsia" w:ascii="仿宋" w:hAnsi="仿宋" w:eastAsia="仿宋" w:cs="仿宋"/>
          <w:b/>
          <w:color w:val="auto"/>
          <w:kern w:val="0"/>
          <w:sz w:val="24"/>
          <w:szCs w:val="24"/>
          <w:highlight w:val="none"/>
          <w:lang w:val="en-US" w:eastAsia="zh-CN"/>
        </w:rPr>
        <w:t>80</w:t>
      </w:r>
      <w:r>
        <w:rPr>
          <w:rFonts w:hint="eastAsia" w:ascii="仿宋" w:hAnsi="仿宋" w:eastAsia="仿宋" w:cs="仿宋"/>
          <w:b/>
          <w:color w:val="auto"/>
          <w:kern w:val="0"/>
          <w:sz w:val="24"/>
          <w:szCs w:val="24"/>
          <w:highlight w:val="none"/>
        </w:rPr>
        <w:t>分</w:t>
      </w:r>
    </w:p>
    <w:p w14:paraId="6C0A476A">
      <w:pPr>
        <w:keepNext w:val="0"/>
        <w:keepLines w:val="0"/>
        <w:widowControl w:val="0"/>
        <w:kinsoku/>
        <w:wordWrap/>
        <w:overflowPunct/>
        <w:topLinePunct w:val="0"/>
        <w:autoSpaceDE/>
        <w:autoSpaceDN/>
        <w:bidi w:val="0"/>
        <w:adjustRightInd/>
        <w:spacing w:line="46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技术、商务、资信及其他分按照评标委员会成员的独立评分结果汇总数的算术平均分计算，计算公式为：</w:t>
      </w:r>
    </w:p>
    <w:p w14:paraId="0BDF5C1C">
      <w:pPr>
        <w:keepNext w:val="0"/>
        <w:keepLines w:val="0"/>
        <w:widowControl w:val="0"/>
        <w:kinsoku/>
        <w:wordWrap/>
        <w:overflowPunct/>
        <w:topLinePunct w:val="0"/>
        <w:autoSpaceDE/>
        <w:autoSpaceDN/>
        <w:bidi w:val="0"/>
        <w:adjustRightInd/>
        <w:spacing w:line="460" w:lineRule="exact"/>
        <w:ind w:firstLine="480" w:firstLineChars="200"/>
        <w:textAlignment w:val="auto"/>
        <w:rPr>
          <w:rFonts w:hint="eastAsia"/>
          <w:color w:val="auto"/>
          <w:highlight w:val="none"/>
        </w:rPr>
      </w:pPr>
      <w:r>
        <w:rPr>
          <w:rFonts w:hint="eastAsia" w:ascii="仿宋" w:hAnsi="仿宋" w:eastAsia="仿宋" w:cs="仿宋"/>
          <w:color w:val="auto"/>
          <w:kern w:val="0"/>
          <w:sz w:val="24"/>
          <w:szCs w:val="24"/>
          <w:highlight w:val="none"/>
        </w:rPr>
        <w:t>技术分、商务分、资信及其他分=（评标委员会所有成员评分合计数）/（评标委员会组成人员数）</w:t>
      </w:r>
    </w:p>
    <w:p w14:paraId="7A16F68E">
      <w:pPr>
        <w:pStyle w:val="8"/>
        <w:ind w:left="0" w:leftChars="0" w:firstLine="0" w:firstLineChars="0"/>
        <w:rPr>
          <w:rFonts w:hint="eastAsia"/>
          <w:color w:val="auto"/>
          <w:highlight w:val="none"/>
        </w:rPr>
      </w:pPr>
    </w:p>
    <w:p w14:paraId="56F1F135">
      <w:pPr>
        <w:outlineLvl w:val="0"/>
        <w:rPr>
          <w:rFonts w:hint="eastAsia" w:ascii="仿宋" w:hAnsi="仿宋" w:eastAsia="仿宋" w:cs="仿宋"/>
          <w:color w:val="auto"/>
          <w:highlight w:val="none"/>
        </w:rPr>
      </w:pPr>
      <w:r>
        <w:rPr>
          <w:rFonts w:hint="eastAsia" w:ascii="仿宋" w:hAnsi="仿宋" w:eastAsia="仿宋" w:cs="仿宋"/>
          <w:b/>
          <w:color w:val="auto"/>
          <w:kern w:val="0"/>
          <w:sz w:val="24"/>
          <w:szCs w:val="24"/>
          <w:highlight w:val="none"/>
        </w:rPr>
        <w:t>附件：评分表格式（技术、商务、资信及其他分，共</w:t>
      </w:r>
      <w:r>
        <w:rPr>
          <w:rFonts w:hint="eastAsia" w:ascii="仿宋" w:hAnsi="仿宋" w:eastAsia="仿宋" w:cs="仿宋"/>
          <w:b/>
          <w:color w:val="auto"/>
          <w:kern w:val="0"/>
          <w:sz w:val="24"/>
          <w:szCs w:val="24"/>
          <w:highlight w:val="none"/>
          <w:lang w:val="en-US" w:eastAsia="zh-CN"/>
        </w:rPr>
        <w:t>80</w:t>
      </w:r>
      <w:r>
        <w:rPr>
          <w:rFonts w:hint="eastAsia" w:ascii="仿宋" w:hAnsi="仿宋" w:eastAsia="仿宋" w:cs="仿宋"/>
          <w:b/>
          <w:color w:val="auto"/>
          <w:kern w:val="0"/>
          <w:sz w:val="24"/>
          <w:szCs w:val="24"/>
          <w:highlight w:val="none"/>
        </w:rPr>
        <w:t>分）</w:t>
      </w:r>
    </w:p>
    <w:tbl>
      <w:tblPr>
        <w:tblStyle w:val="23"/>
        <w:tblW w:w="9770"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98"/>
        <w:gridCol w:w="1389"/>
        <w:gridCol w:w="6863"/>
        <w:gridCol w:w="820"/>
      </w:tblGrid>
      <w:tr w14:paraId="2F6EA70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698" w:type="dxa"/>
            <w:tcBorders>
              <w:tl2br w:val="nil"/>
              <w:tr2bl w:val="nil"/>
            </w:tcBorders>
            <w:vAlign w:val="center"/>
          </w:tcPr>
          <w:p w14:paraId="326B8E60">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序号</w:t>
            </w:r>
          </w:p>
        </w:tc>
        <w:tc>
          <w:tcPr>
            <w:tcW w:w="1389" w:type="dxa"/>
            <w:tcBorders>
              <w:tl2br w:val="nil"/>
              <w:tr2bl w:val="nil"/>
            </w:tcBorders>
            <w:vAlign w:val="center"/>
          </w:tcPr>
          <w:p w14:paraId="0E1CC30D">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评分内容</w:t>
            </w:r>
          </w:p>
        </w:tc>
        <w:tc>
          <w:tcPr>
            <w:tcW w:w="6863" w:type="dxa"/>
            <w:tcBorders>
              <w:tl2br w:val="nil"/>
              <w:tr2bl w:val="nil"/>
            </w:tcBorders>
            <w:vAlign w:val="center"/>
          </w:tcPr>
          <w:p w14:paraId="2A89DD1F">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评分标准</w:t>
            </w:r>
          </w:p>
        </w:tc>
        <w:tc>
          <w:tcPr>
            <w:tcW w:w="820" w:type="dxa"/>
            <w:tcBorders>
              <w:tl2br w:val="nil"/>
              <w:tr2bl w:val="nil"/>
            </w:tcBorders>
            <w:vAlign w:val="center"/>
          </w:tcPr>
          <w:p w14:paraId="6209A102">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分值</w:t>
            </w:r>
          </w:p>
        </w:tc>
      </w:tr>
      <w:tr w14:paraId="537B75E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8" w:type="dxa"/>
            <w:tcBorders>
              <w:tl2br w:val="nil"/>
              <w:tr2bl w:val="nil"/>
            </w:tcBorders>
            <w:vAlign w:val="center"/>
          </w:tcPr>
          <w:p w14:paraId="359491BC">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一</w:t>
            </w:r>
          </w:p>
        </w:tc>
        <w:tc>
          <w:tcPr>
            <w:tcW w:w="8252" w:type="dxa"/>
            <w:gridSpan w:val="2"/>
            <w:tcBorders>
              <w:tl2br w:val="nil"/>
              <w:tr2bl w:val="nil"/>
            </w:tcBorders>
            <w:vAlign w:val="center"/>
          </w:tcPr>
          <w:p w14:paraId="75A44947">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技术分</w:t>
            </w:r>
          </w:p>
        </w:tc>
        <w:tc>
          <w:tcPr>
            <w:tcW w:w="820" w:type="dxa"/>
            <w:tcBorders>
              <w:tl2br w:val="nil"/>
              <w:tr2bl w:val="nil"/>
            </w:tcBorders>
            <w:vAlign w:val="center"/>
          </w:tcPr>
          <w:p w14:paraId="30FAC9AA">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67分</w:t>
            </w:r>
          </w:p>
        </w:tc>
      </w:tr>
      <w:tr w14:paraId="7CF972D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8" w:type="dxa"/>
            <w:tcBorders>
              <w:tl2br w:val="nil"/>
              <w:tr2bl w:val="nil"/>
            </w:tcBorders>
            <w:vAlign w:val="center"/>
          </w:tcPr>
          <w:p w14:paraId="2153A841">
            <w:pPr>
              <w:widowControl/>
              <w:tabs>
                <w:tab w:val="left" w:pos="0"/>
                <w:tab w:val="left" w:pos="993"/>
                <w:tab w:val="left" w:pos="1134"/>
              </w:tabs>
              <w:snapToGrid w:val="0"/>
              <w:spacing w:line="420" w:lineRule="exact"/>
              <w:jc w:val="center"/>
              <w:rPr>
                <w:rFonts w:hint="eastAsia" w:ascii="仿宋" w:hAnsi="仿宋" w:eastAsia="仿宋" w:cs="仿宋"/>
                <w:bCs/>
                <w:color w:val="auto"/>
                <w:kern w:val="0"/>
                <w:sz w:val="24"/>
                <w:highlight w:val="none"/>
                <w:lang w:val="en-US" w:eastAsia="zh-CN"/>
              </w:rPr>
            </w:pPr>
            <w:r>
              <w:rPr>
                <w:rFonts w:hint="eastAsia" w:ascii="仿宋" w:hAnsi="仿宋" w:eastAsia="仿宋" w:cs="仿宋"/>
                <w:bCs/>
                <w:color w:val="auto"/>
                <w:kern w:val="0"/>
                <w:sz w:val="24"/>
                <w:highlight w:val="none"/>
                <w:lang w:val="en-US" w:eastAsia="zh-CN"/>
              </w:rPr>
              <w:t>1</w:t>
            </w:r>
          </w:p>
        </w:tc>
        <w:tc>
          <w:tcPr>
            <w:tcW w:w="1389" w:type="dxa"/>
            <w:tcBorders>
              <w:tl2br w:val="nil"/>
              <w:tr2bl w:val="nil"/>
            </w:tcBorders>
            <w:vAlign w:val="center"/>
          </w:tcPr>
          <w:p w14:paraId="5561C1C6">
            <w:pPr>
              <w:tabs>
                <w:tab w:val="left" w:pos="1080"/>
              </w:tabs>
              <w:spacing w:line="42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Cs/>
                <w:color w:val="auto"/>
                <w:sz w:val="24"/>
                <w:highlight w:val="none"/>
                <w:lang w:val="zh-CN" w:eastAsia="zh-CN"/>
              </w:rPr>
              <w:t>清扫保洁作业方案</w:t>
            </w:r>
          </w:p>
        </w:tc>
        <w:tc>
          <w:tcPr>
            <w:tcW w:w="6863" w:type="dxa"/>
            <w:tcBorders>
              <w:tl2br w:val="nil"/>
              <w:tr2bl w:val="nil"/>
            </w:tcBorders>
            <w:vAlign w:val="center"/>
          </w:tcPr>
          <w:p w14:paraId="7DECB6F4">
            <w:pPr>
              <w:numPr>
                <w:ilvl w:val="0"/>
                <w:numId w:val="0"/>
              </w:numPr>
              <w:spacing w:line="360" w:lineRule="auto"/>
              <w:ind w:firstLine="240" w:firstLineChars="100"/>
              <w:rPr>
                <w:rFonts w:hint="eastAsia" w:ascii="仿宋" w:hAnsi="仿宋" w:eastAsia="仿宋" w:cs="仿宋"/>
                <w:b w:val="0"/>
                <w:bCs/>
                <w:color w:val="auto"/>
                <w:sz w:val="24"/>
                <w:highlight w:val="none"/>
                <w:lang w:val="zh-CN"/>
              </w:rPr>
            </w:pPr>
            <w:r>
              <w:rPr>
                <w:rFonts w:hint="eastAsia" w:ascii="仿宋" w:hAnsi="仿宋" w:eastAsia="仿宋" w:cs="仿宋"/>
                <w:b w:val="0"/>
                <w:bCs/>
                <w:color w:val="auto"/>
                <w:kern w:val="2"/>
                <w:sz w:val="24"/>
                <w:szCs w:val="24"/>
                <w:highlight w:val="none"/>
                <w:lang w:val="zh-CN" w:eastAsia="zh-CN" w:bidi="ar-SA"/>
              </w:rPr>
              <w:t>1、</w:t>
            </w:r>
            <w:r>
              <w:rPr>
                <w:rFonts w:hint="eastAsia" w:ascii="仿宋" w:hAnsi="仿宋" w:eastAsia="仿宋" w:cs="仿宋"/>
                <w:b w:val="0"/>
                <w:bCs/>
                <w:color w:val="auto"/>
                <w:sz w:val="24"/>
                <w:highlight w:val="none"/>
                <w:lang w:val="zh-CN"/>
              </w:rPr>
              <w:t>针对本招标项目的预定要求，制定作业方案：（0-</w:t>
            </w:r>
            <w:r>
              <w:rPr>
                <w:rFonts w:hint="eastAsia" w:ascii="仿宋" w:hAnsi="仿宋" w:eastAsia="仿宋" w:cs="仿宋"/>
                <w:b w:val="0"/>
                <w:bCs/>
                <w:color w:val="auto"/>
                <w:sz w:val="24"/>
                <w:highlight w:val="none"/>
                <w:lang w:val="en-US" w:eastAsia="zh-CN"/>
              </w:rPr>
              <w:t>10</w:t>
            </w:r>
            <w:r>
              <w:rPr>
                <w:rFonts w:hint="eastAsia" w:ascii="仿宋" w:hAnsi="仿宋" w:eastAsia="仿宋" w:cs="仿宋"/>
                <w:b w:val="0"/>
                <w:bCs/>
                <w:color w:val="auto"/>
                <w:sz w:val="24"/>
                <w:highlight w:val="none"/>
                <w:lang w:val="zh-CN"/>
              </w:rPr>
              <w:t xml:space="preserve"> 分）</w:t>
            </w:r>
          </w:p>
          <w:p w14:paraId="35F559DC">
            <w:pPr>
              <w:numPr>
                <w:ilvl w:val="0"/>
                <w:numId w:val="0"/>
              </w:numPr>
              <w:spacing w:line="360" w:lineRule="auto"/>
              <w:ind w:firstLine="240" w:firstLineChars="100"/>
              <w:rPr>
                <w:rFonts w:hint="eastAsia" w:ascii="微软雅黑" w:hAnsi="微软雅黑" w:eastAsia="仿宋" w:cs="微软雅黑"/>
                <w:b w:val="0"/>
                <w:bCs/>
                <w:color w:val="auto"/>
                <w:sz w:val="24"/>
                <w:szCs w:val="21"/>
                <w:highlight w:val="none"/>
                <w:lang w:val="zh-CN" w:eastAsia="zh-CN" w:bidi="zh-CN"/>
              </w:rPr>
            </w:pPr>
            <w:r>
              <w:rPr>
                <w:rFonts w:hint="eastAsia" w:ascii="仿宋" w:hAnsi="仿宋" w:eastAsia="仿宋" w:cs="仿宋"/>
                <w:b w:val="0"/>
                <w:bCs/>
                <w:color w:val="auto"/>
                <w:sz w:val="24"/>
                <w:highlight w:val="none"/>
                <w:lang w:val="zh-CN"/>
              </w:rPr>
              <w:t>方案必须包括</w:t>
            </w:r>
            <w:r>
              <w:rPr>
                <w:rFonts w:hint="eastAsia" w:ascii="仿宋" w:hAnsi="仿宋" w:eastAsia="仿宋" w:cs="仿宋"/>
                <w:b w:val="0"/>
                <w:bCs/>
                <w:color w:val="auto"/>
                <w:sz w:val="24"/>
                <w:highlight w:val="none"/>
                <w:lang w:val="en-US" w:eastAsia="zh-CN"/>
              </w:rPr>
              <w:t>对</w:t>
            </w:r>
            <w:r>
              <w:rPr>
                <w:rFonts w:hint="eastAsia" w:ascii="仿宋" w:hAnsi="仿宋" w:eastAsia="仿宋" w:cs="仿宋"/>
                <w:b w:val="0"/>
                <w:bCs/>
                <w:color w:val="auto"/>
                <w:sz w:val="24"/>
                <w:highlight w:val="none"/>
                <w:lang w:val="zh-CN"/>
              </w:rPr>
              <w:t>道路人工清扫保洁</w:t>
            </w:r>
            <w:r>
              <w:rPr>
                <w:rFonts w:hint="eastAsia" w:ascii="仿宋" w:hAnsi="仿宋" w:eastAsia="仿宋" w:cs="仿宋"/>
                <w:b w:val="0"/>
                <w:bCs/>
                <w:color w:val="auto"/>
                <w:sz w:val="24"/>
                <w:highlight w:val="none"/>
                <w:lang w:val="zh-CN"/>
              </w:rPr>
              <w:t>（</w:t>
            </w:r>
            <w:r>
              <w:rPr>
                <w:rFonts w:hint="eastAsia" w:ascii="仿宋" w:hAnsi="仿宋" w:eastAsia="仿宋" w:cs="仿宋"/>
                <w:b w:val="0"/>
                <w:bCs/>
                <w:color w:val="auto"/>
                <w:sz w:val="24"/>
                <w:highlight w:val="none"/>
                <w:lang w:val="en-US" w:eastAsia="zh-CN"/>
              </w:rPr>
              <w:t>3分</w:t>
            </w:r>
            <w:r>
              <w:rPr>
                <w:rFonts w:hint="eastAsia" w:ascii="仿宋" w:hAnsi="仿宋" w:eastAsia="仿宋" w:cs="仿宋"/>
                <w:b w:val="0"/>
                <w:bCs/>
                <w:color w:val="auto"/>
                <w:sz w:val="24"/>
                <w:highlight w:val="none"/>
                <w:lang w:val="zh-CN"/>
              </w:rPr>
              <w:t>）、快速保洁（</w:t>
            </w:r>
            <w:r>
              <w:rPr>
                <w:rFonts w:hint="eastAsia" w:ascii="仿宋" w:hAnsi="仿宋" w:eastAsia="仿宋" w:cs="仿宋"/>
                <w:b w:val="0"/>
                <w:bCs/>
                <w:color w:val="auto"/>
                <w:sz w:val="24"/>
                <w:highlight w:val="none"/>
                <w:lang w:val="en-US" w:eastAsia="zh-CN"/>
              </w:rPr>
              <w:t>3分</w:t>
            </w:r>
            <w:r>
              <w:rPr>
                <w:rFonts w:hint="eastAsia" w:ascii="仿宋" w:hAnsi="仿宋" w:eastAsia="仿宋" w:cs="仿宋"/>
                <w:b w:val="0"/>
                <w:bCs/>
                <w:color w:val="auto"/>
                <w:sz w:val="24"/>
                <w:highlight w:val="none"/>
                <w:lang w:val="zh-CN"/>
              </w:rPr>
              <w:t>）</w:t>
            </w:r>
            <w:r>
              <w:rPr>
                <w:rFonts w:hint="eastAsia" w:ascii="仿宋" w:hAnsi="仿宋" w:eastAsia="仿宋" w:cs="仿宋"/>
                <w:b w:val="0"/>
                <w:bCs/>
                <w:color w:val="auto"/>
                <w:sz w:val="24"/>
                <w:highlight w:val="none"/>
                <w:lang w:val="zh-CN"/>
              </w:rPr>
              <w:t>、机械化保洁作业（</w:t>
            </w:r>
            <w:r>
              <w:rPr>
                <w:rFonts w:hint="eastAsia" w:ascii="仿宋" w:hAnsi="仿宋" w:eastAsia="仿宋" w:cs="仿宋"/>
                <w:b w:val="0"/>
                <w:bCs/>
                <w:color w:val="auto"/>
                <w:sz w:val="24"/>
                <w:highlight w:val="none"/>
                <w:lang w:val="en-US" w:eastAsia="zh-CN"/>
              </w:rPr>
              <w:t>2分</w:t>
            </w:r>
            <w:r>
              <w:rPr>
                <w:rFonts w:hint="eastAsia" w:ascii="仿宋" w:hAnsi="仿宋" w:eastAsia="仿宋" w:cs="仿宋"/>
                <w:b w:val="0"/>
                <w:bCs/>
                <w:color w:val="auto"/>
                <w:sz w:val="24"/>
                <w:highlight w:val="none"/>
                <w:lang w:val="zh-CN"/>
              </w:rPr>
              <w:t>）、垃圾清运（</w:t>
            </w:r>
            <w:r>
              <w:rPr>
                <w:rFonts w:hint="eastAsia" w:ascii="仿宋" w:hAnsi="仿宋" w:eastAsia="仿宋" w:cs="仿宋"/>
                <w:b w:val="0"/>
                <w:bCs/>
                <w:color w:val="auto"/>
                <w:sz w:val="24"/>
                <w:highlight w:val="none"/>
                <w:lang w:val="en-US" w:eastAsia="zh-CN"/>
              </w:rPr>
              <w:t>2分</w:t>
            </w:r>
            <w:r>
              <w:rPr>
                <w:rFonts w:hint="eastAsia" w:ascii="仿宋" w:hAnsi="仿宋" w:eastAsia="仿宋" w:cs="仿宋"/>
                <w:b w:val="0"/>
                <w:bCs/>
                <w:color w:val="auto"/>
                <w:sz w:val="24"/>
                <w:highlight w:val="none"/>
                <w:lang w:val="zh-CN"/>
              </w:rPr>
              <w:t>）</w:t>
            </w:r>
            <w:r>
              <w:rPr>
                <w:rFonts w:hint="eastAsia" w:ascii="仿宋" w:hAnsi="仿宋" w:eastAsia="仿宋" w:cs="仿宋"/>
                <w:b w:val="0"/>
                <w:bCs/>
                <w:color w:val="auto"/>
                <w:sz w:val="24"/>
                <w:highlight w:val="none"/>
                <w:lang w:val="en-US" w:eastAsia="zh-CN"/>
              </w:rPr>
              <w:t>各</w:t>
            </w:r>
            <w:r>
              <w:rPr>
                <w:rFonts w:hint="eastAsia" w:ascii="仿宋" w:hAnsi="仿宋" w:eastAsia="仿宋" w:cs="仿宋"/>
                <w:b w:val="0"/>
                <w:bCs/>
                <w:color w:val="auto"/>
                <w:sz w:val="24"/>
                <w:highlight w:val="none"/>
                <w:lang w:val="zh-CN"/>
              </w:rPr>
              <w:t>个方面</w:t>
            </w:r>
            <w:r>
              <w:rPr>
                <w:rFonts w:hint="eastAsia" w:ascii="仿宋" w:hAnsi="仿宋" w:eastAsia="仿宋" w:cs="仿宋"/>
                <w:b w:val="0"/>
                <w:bCs/>
                <w:color w:val="auto"/>
                <w:sz w:val="24"/>
                <w:highlight w:val="none"/>
                <w:lang w:val="en-US" w:eastAsia="zh-CN"/>
              </w:rPr>
              <w:t>进行阐述</w:t>
            </w:r>
            <w:r>
              <w:rPr>
                <w:rFonts w:hint="eastAsia" w:ascii="仿宋" w:hAnsi="仿宋" w:eastAsia="仿宋" w:cs="仿宋"/>
                <w:b w:val="0"/>
                <w:bCs/>
                <w:color w:val="auto"/>
                <w:sz w:val="24"/>
                <w:highlight w:val="none"/>
                <w:lang w:val="zh-CN"/>
              </w:rPr>
              <w:t>。</w:t>
            </w:r>
            <w:r>
              <w:rPr>
                <w:rFonts w:hint="eastAsia" w:ascii="仿宋" w:hAnsi="仿宋" w:eastAsia="仿宋" w:cs="仿宋"/>
                <w:b w:val="0"/>
                <w:bCs/>
                <w:color w:val="auto"/>
                <w:sz w:val="24"/>
                <w:highlight w:val="none"/>
                <w:lang w:val="en-US" w:eastAsia="zh-CN"/>
              </w:rPr>
              <w:t>阐述内容不契合项目采购需求的或阐述内容</w:t>
            </w:r>
            <w:r>
              <w:rPr>
                <w:rFonts w:hint="default" w:ascii="仿宋" w:hAnsi="仿宋" w:eastAsia="仿宋" w:cs="仿宋"/>
                <w:b w:val="0"/>
                <w:bCs/>
                <w:color w:val="auto"/>
                <w:sz w:val="24"/>
                <w:highlight w:val="none"/>
                <w:lang w:val="en-US" w:eastAsia="zh-CN"/>
              </w:rPr>
              <w:t>明显具有不可行不合理的每处扣0.5分，扣完为止，</w:t>
            </w:r>
            <w:r>
              <w:rPr>
                <w:rFonts w:hint="eastAsia" w:ascii="仿宋" w:hAnsi="仿宋" w:eastAsia="仿宋" w:cs="仿宋"/>
                <w:b w:val="0"/>
                <w:bCs/>
                <w:color w:val="auto"/>
                <w:sz w:val="24"/>
                <w:highlight w:val="none"/>
              </w:rPr>
              <w:t>未提供不得分。</w:t>
            </w:r>
          </w:p>
          <w:p w14:paraId="35D08BF1">
            <w:pPr>
              <w:numPr>
                <w:ilvl w:val="0"/>
                <w:numId w:val="0"/>
              </w:numPr>
              <w:spacing w:line="360" w:lineRule="auto"/>
              <w:ind w:left="0" w:leftChars="0" w:firstLine="240" w:firstLineChars="100"/>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2、</w:t>
            </w:r>
            <w:r>
              <w:rPr>
                <w:rFonts w:hint="eastAsia" w:ascii="仿宋" w:hAnsi="仿宋" w:eastAsia="仿宋" w:cs="仿宋"/>
                <w:b w:val="0"/>
                <w:bCs/>
                <w:color w:val="auto"/>
                <w:sz w:val="24"/>
                <w:highlight w:val="none"/>
                <w:lang w:val="zh-CN"/>
              </w:rPr>
              <w:t>运行管理</w:t>
            </w:r>
            <w:r>
              <w:rPr>
                <w:rFonts w:hint="eastAsia" w:ascii="仿宋" w:hAnsi="仿宋" w:eastAsia="仿宋" w:cs="仿宋"/>
                <w:b w:val="0"/>
                <w:bCs/>
                <w:color w:val="auto"/>
                <w:sz w:val="24"/>
                <w:highlight w:val="none"/>
                <w:lang w:val="en-US" w:eastAsia="zh-CN"/>
              </w:rPr>
              <w:t>方案</w:t>
            </w:r>
            <w:r>
              <w:rPr>
                <w:rFonts w:hint="eastAsia" w:ascii="仿宋" w:hAnsi="仿宋" w:eastAsia="仿宋" w:cs="仿宋"/>
                <w:b w:val="0"/>
                <w:bCs/>
                <w:color w:val="auto"/>
                <w:sz w:val="24"/>
                <w:highlight w:val="none"/>
                <w:lang w:val="zh-CN"/>
              </w:rPr>
              <w:t>（0-</w:t>
            </w:r>
            <w:r>
              <w:rPr>
                <w:rFonts w:hint="eastAsia" w:ascii="仿宋" w:hAnsi="仿宋" w:eastAsia="仿宋" w:cs="仿宋"/>
                <w:b w:val="0"/>
                <w:bCs/>
                <w:color w:val="auto"/>
                <w:sz w:val="24"/>
                <w:highlight w:val="none"/>
                <w:lang w:val="en-US" w:eastAsia="zh-CN"/>
              </w:rPr>
              <w:t>6</w:t>
            </w:r>
            <w:r>
              <w:rPr>
                <w:rFonts w:hint="eastAsia" w:ascii="仿宋" w:hAnsi="仿宋" w:eastAsia="仿宋" w:cs="仿宋"/>
                <w:b w:val="0"/>
                <w:bCs/>
                <w:color w:val="auto"/>
                <w:sz w:val="24"/>
                <w:highlight w:val="none"/>
                <w:lang w:val="zh-CN"/>
              </w:rPr>
              <w:t xml:space="preserve"> 分）</w:t>
            </w:r>
            <w:r>
              <w:rPr>
                <w:rFonts w:hint="eastAsia" w:ascii="仿宋" w:hAnsi="仿宋" w:eastAsia="仿宋" w:cs="仿宋"/>
                <w:b w:val="0"/>
                <w:bCs/>
                <w:color w:val="auto"/>
                <w:sz w:val="24"/>
                <w:highlight w:val="none"/>
                <w:lang w:val="en-US" w:eastAsia="zh-CN"/>
              </w:rPr>
              <w:t>：</w:t>
            </w:r>
          </w:p>
          <w:p w14:paraId="788FF55B">
            <w:pPr>
              <w:numPr>
                <w:ilvl w:val="0"/>
                <w:numId w:val="0"/>
              </w:numPr>
              <w:spacing w:line="360" w:lineRule="auto"/>
              <w:ind w:leftChars="0"/>
              <w:rPr>
                <w:rFonts w:hint="eastAsia" w:ascii="仿宋" w:hAnsi="仿宋" w:eastAsia="仿宋" w:cs="仿宋"/>
                <w:b w:val="0"/>
                <w:bCs/>
                <w:color w:val="auto"/>
                <w:sz w:val="24"/>
                <w:highlight w:val="none"/>
                <w:lang w:val="zh-CN" w:eastAsia="zh-CN"/>
              </w:rPr>
            </w:pPr>
            <w:r>
              <w:rPr>
                <w:rFonts w:hint="eastAsia" w:ascii="仿宋" w:hAnsi="仿宋" w:eastAsia="仿宋" w:cs="仿宋"/>
                <w:b w:val="0"/>
                <w:bCs/>
                <w:color w:val="auto"/>
                <w:sz w:val="24"/>
                <w:highlight w:val="none"/>
                <w:lang w:val="en-US" w:eastAsia="zh-CN"/>
              </w:rPr>
              <w:t>运行管理</w:t>
            </w:r>
            <w:r>
              <w:rPr>
                <w:rFonts w:hint="eastAsia" w:ascii="仿宋" w:hAnsi="仿宋" w:eastAsia="仿宋" w:cs="仿宋"/>
                <w:b w:val="0"/>
                <w:bCs/>
                <w:color w:val="auto"/>
                <w:sz w:val="24"/>
                <w:highlight w:val="none"/>
                <w:lang w:val="zh-CN"/>
              </w:rPr>
              <w:t>模式在符合本项目要求的基础上，突破传统运行模式，包括</w:t>
            </w:r>
            <w:r>
              <w:rPr>
                <w:rFonts w:hint="eastAsia" w:ascii="仿宋" w:hAnsi="仿宋" w:eastAsia="仿宋" w:cs="仿宋"/>
                <w:b w:val="0"/>
                <w:bCs/>
                <w:color w:val="auto"/>
                <w:sz w:val="24"/>
                <w:highlight w:val="none"/>
                <w:lang w:val="en-US" w:eastAsia="zh-CN"/>
              </w:rPr>
              <w:t>对</w:t>
            </w:r>
            <w:r>
              <w:rPr>
                <w:rFonts w:hint="eastAsia" w:ascii="仿宋" w:hAnsi="仿宋" w:eastAsia="仿宋" w:cs="仿宋"/>
                <w:b w:val="0"/>
                <w:bCs/>
                <w:color w:val="auto"/>
                <w:sz w:val="24"/>
                <w:highlight w:val="none"/>
                <w:lang w:val="zh-CN"/>
              </w:rPr>
              <w:t>保洁管理（</w:t>
            </w:r>
            <w:r>
              <w:rPr>
                <w:rFonts w:hint="eastAsia" w:ascii="仿宋" w:hAnsi="仿宋" w:eastAsia="仿宋" w:cs="仿宋"/>
                <w:b w:val="0"/>
                <w:bCs/>
                <w:color w:val="auto"/>
                <w:sz w:val="24"/>
                <w:highlight w:val="none"/>
                <w:lang w:val="en-US" w:eastAsia="zh-CN"/>
              </w:rPr>
              <w:t>2分</w:t>
            </w:r>
            <w:r>
              <w:rPr>
                <w:rFonts w:hint="eastAsia" w:ascii="仿宋" w:hAnsi="仿宋" w:eastAsia="仿宋" w:cs="仿宋"/>
                <w:b w:val="0"/>
                <w:bCs/>
                <w:color w:val="auto"/>
                <w:sz w:val="24"/>
                <w:highlight w:val="none"/>
                <w:lang w:val="zh-CN"/>
              </w:rPr>
              <w:t>）、作业措施（</w:t>
            </w:r>
            <w:r>
              <w:rPr>
                <w:rFonts w:hint="eastAsia" w:ascii="仿宋" w:hAnsi="仿宋" w:eastAsia="仿宋" w:cs="仿宋"/>
                <w:b w:val="0"/>
                <w:bCs/>
                <w:color w:val="auto"/>
                <w:sz w:val="24"/>
                <w:highlight w:val="none"/>
                <w:lang w:val="en-US" w:eastAsia="zh-CN"/>
              </w:rPr>
              <w:t>2分</w:t>
            </w:r>
            <w:r>
              <w:rPr>
                <w:rFonts w:hint="eastAsia" w:ascii="仿宋" w:hAnsi="仿宋" w:eastAsia="仿宋" w:cs="仿宋"/>
                <w:b w:val="0"/>
                <w:bCs/>
                <w:color w:val="auto"/>
                <w:sz w:val="24"/>
                <w:highlight w:val="none"/>
                <w:lang w:val="zh-CN"/>
              </w:rPr>
              <w:t>）和设施设备安排（</w:t>
            </w:r>
            <w:r>
              <w:rPr>
                <w:rFonts w:hint="eastAsia" w:ascii="仿宋" w:hAnsi="仿宋" w:eastAsia="仿宋" w:cs="仿宋"/>
                <w:b w:val="0"/>
                <w:bCs/>
                <w:color w:val="auto"/>
                <w:sz w:val="24"/>
                <w:highlight w:val="none"/>
                <w:lang w:val="en-US" w:eastAsia="zh-CN"/>
              </w:rPr>
              <w:t>2分</w:t>
            </w:r>
            <w:r>
              <w:rPr>
                <w:rFonts w:hint="eastAsia" w:ascii="仿宋" w:hAnsi="仿宋" w:eastAsia="仿宋" w:cs="仿宋"/>
                <w:b w:val="0"/>
                <w:bCs/>
                <w:color w:val="auto"/>
                <w:sz w:val="24"/>
                <w:highlight w:val="none"/>
                <w:lang w:val="zh-CN"/>
              </w:rPr>
              <w:t>）</w:t>
            </w:r>
            <w:r>
              <w:rPr>
                <w:rFonts w:hint="eastAsia" w:ascii="仿宋" w:hAnsi="仿宋" w:eastAsia="仿宋" w:cs="仿宋"/>
                <w:b w:val="0"/>
                <w:bCs/>
                <w:color w:val="auto"/>
                <w:sz w:val="24"/>
                <w:highlight w:val="none"/>
                <w:lang w:val="en-US" w:eastAsia="zh-CN"/>
              </w:rPr>
              <w:t>进行阐述</w:t>
            </w:r>
            <w:r>
              <w:rPr>
                <w:rFonts w:hint="eastAsia" w:ascii="仿宋" w:hAnsi="仿宋" w:eastAsia="仿宋" w:cs="仿宋"/>
                <w:b w:val="0"/>
                <w:bCs/>
                <w:color w:val="auto"/>
                <w:sz w:val="24"/>
                <w:highlight w:val="none"/>
                <w:lang w:val="zh-CN"/>
              </w:rPr>
              <w:t>。</w:t>
            </w:r>
            <w:r>
              <w:rPr>
                <w:rFonts w:hint="eastAsia" w:ascii="仿宋" w:hAnsi="仿宋" w:eastAsia="仿宋" w:cs="仿宋"/>
                <w:b w:val="0"/>
                <w:bCs/>
                <w:color w:val="auto"/>
                <w:sz w:val="24"/>
                <w:highlight w:val="none"/>
                <w:lang w:val="en-US" w:eastAsia="zh-CN"/>
              </w:rPr>
              <w:t>阐述内容不契合项目采购需求的或阐述内容</w:t>
            </w:r>
            <w:r>
              <w:rPr>
                <w:rFonts w:hint="default" w:ascii="仿宋" w:hAnsi="仿宋" w:eastAsia="仿宋" w:cs="仿宋"/>
                <w:b w:val="0"/>
                <w:bCs/>
                <w:color w:val="auto"/>
                <w:sz w:val="24"/>
                <w:highlight w:val="none"/>
                <w:lang w:val="en-US" w:eastAsia="zh-CN"/>
              </w:rPr>
              <w:t>明显具有不可行不合理的每处扣0.5分，扣完为止，</w:t>
            </w:r>
            <w:r>
              <w:rPr>
                <w:rFonts w:hint="eastAsia" w:ascii="仿宋" w:hAnsi="仿宋" w:eastAsia="仿宋" w:cs="仿宋"/>
                <w:b w:val="0"/>
                <w:bCs/>
                <w:color w:val="auto"/>
                <w:sz w:val="24"/>
                <w:highlight w:val="none"/>
              </w:rPr>
              <w:t>未提供不得分。</w:t>
            </w:r>
          </w:p>
          <w:p w14:paraId="3617469C">
            <w:pPr>
              <w:numPr>
                <w:ilvl w:val="0"/>
                <w:numId w:val="0"/>
              </w:numPr>
              <w:spacing w:line="360" w:lineRule="auto"/>
              <w:ind w:firstLine="240" w:firstLineChars="100"/>
              <w:rPr>
                <w:rFonts w:hint="eastAsia" w:ascii="仿宋" w:hAnsi="仿宋" w:eastAsia="仿宋" w:cs="仿宋"/>
                <w:b w:val="0"/>
                <w:bCs/>
                <w:color w:val="auto"/>
                <w:sz w:val="24"/>
                <w:highlight w:val="none"/>
                <w:lang w:val="zh-CN"/>
              </w:rPr>
            </w:pPr>
            <w:r>
              <w:rPr>
                <w:rFonts w:hint="eastAsia" w:ascii="仿宋" w:hAnsi="仿宋" w:eastAsia="仿宋" w:cs="仿宋"/>
                <w:b w:val="0"/>
                <w:bCs/>
                <w:color w:val="auto"/>
                <w:sz w:val="24"/>
                <w:highlight w:val="none"/>
                <w:lang w:val="en-US" w:eastAsia="zh-CN"/>
              </w:rPr>
              <w:t>3、</w:t>
            </w:r>
            <w:r>
              <w:rPr>
                <w:rFonts w:hint="eastAsia" w:ascii="仿宋" w:hAnsi="仿宋" w:eastAsia="仿宋" w:cs="仿宋"/>
                <w:b w:val="0"/>
                <w:bCs/>
                <w:color w:val="auto"/>
                <w:sz w:val="24"/>
                <w:highlight w:val="none"/>
                <w:lang w:val="zh-CN"/>
              </w:rPr>
              <w:t>环卫作业管理服务的应急方案（0-6 分）：</w:t>
            </w:r>
          </w:p>
          <w:p w14:paraId="40607AD9">
            <w:pPr>
              <w:numPr>
                <w:ilvl w:val="0"/>
                <w:numId w:val="0"/>
              </w:numPr>
              <w:spacing w:line="360" w:lineRule="auto"/>
              <w:ind w:left="0" w:leftChars="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zh-CN"/>
              </w:rPr>
              <w:t>按照要求制订发生突发事件时的应急预案及相应的措施：应对国家卫生城市复评（</w:t>
            </w:r>
            <w:r>
              <w:rPr>
                <w:rFonts w:hint="eastAsia" w:ascii="仿宋" w:hAnsi="仿宋" w:eastAsia="仿宋" w:cs="仿宋"/>
                <w:b w:val="0"/>
                <w:bCs/>
                <w:color w:val="auto"/>
                <w:sz w:val="24"/>
                <w:highlight w:val="none"/>
                <w:lang w:val="en-US" w:eastAsia="zh-CN"/>
              </w:rPr>
              <w:t>1分</w:t>
            </w:r>
            <w:r>
              <w:rPr>
                <w:rFonts w:hint="eastAsia" w:ascii="仿宋" w:hAnsi="仿宋" w:eastAsia="仿宋" w:cs="仿宋"/>
                <w:b w:val="0"/>
                <w:bCs/>
                <w:color w:val="auto"/>
                <w:sz w:val="24"/>
                <w:highlight w:val="none"/>
                <w:lang w:val="zh-CN"/>
              </w:rPr>
              <w:t>）、全国文明城市（</w:t>
            </w:r>
            <w:r>
              <w:rPr>
                <w:rFonts w:hint="eastAsia" w:ascii="仿宋" w:hAnsi="仿宋" w:eastAsia="仿宋" w:cs="仿宋"/>
                <w:b w:val="0"/>
                <w:bCs/>
                <w:color w:val="auto"/>
                <w:sz w:val="24"/>
                <w:highlight w:val="none"/>
                <w:lang w:val="en-US" w:eastAsia="zh-CN"/>
              </w:rPr>
              <w:t>1分</w:t>
            </w:r>
            <w:r>
              <w:rPr>
                <w:rFonts w:hint="eastAsia" w:ascii="仿宋" w:hAnsi="仿宋" w:eastAsia="仿宋" w:cs="仿宋"/>
                <w:b w:val="0"/>
                <w:bCs/>
                <w:color w:val="auto"/>
                <w:sz w:val="24"/>
                <w:highlight w:val="none"/>
                <w:lang w:val="zh-CN"/>
              </w:rPr>
              <w:t>）及发生冰冻暴雪等灾害性天气（</w:t>
            </w:r>
            <w:r>
              <w:rPr>
                <w:rFonts w:hint="eastAsia" w:ascii="仿宋" w:hAnsi="仿宋" w:eastAsia="仿宋" w:cs="仿宋"/>
                <w:b w:val="0"/>
                <w:bCs/>
                <w:color w:val="auto"/>
                <w:sz w:val="24"/>
                <w:highlight w:val="none"/>
                <w:lang w:val="en-US" w:eastAsia="zh-CN"/>
              </w:rPr>
              <w:t>1分</w:t>
            </w:r>
            <w:r>
              <w:rPr>
                <w:rFonts w:hint="eastAsia" w:ascii="仿宋" w:hAnsi="仿宋" w:eastAsia="仿宋" w:cs="仿宋"/>
                <w:b w:val="0"/>
                <w:bCs/>
                <w:color w:val="auto"/>
                <w:sz w:val="24"/>
                <w:highlight w:val="none"/>
                <w:lang w:val="zh-CN"/>
              </w:rPr>
              <w:t>）及其他突发性事件的处置方案是否有效（</w:t>
            </w:r>
            <w:r>
              <w:rPr>
                <w:rFonts w:hint="eastAsia" w:ascii="仿宋" w:hAnsi="仿宋" w:eastAsia="仿宋" w:cs="仿宋"/>
                <w:b w:val="0"/>
                <w:bCs/>
                <w:color w:val="auto"/>
                <w:sz w:val="24"/>
                <w:highlight w:val="none"/>
                <w:lang w:val="en-US" w:eastAsia="zh-CN"/>
              </w:rPr>
              <w:t>1分</w:t>
            </w:r>
            <w:r>
              <w:rPr>
                <w:rFonts w:hint="eastAsia" w:ascii="仿宋" w:hAnsi="仿宋" w:eastAsia="仿宋" w:cs="仿宋"/>
                <w:b w:val="0"/>
                <w:bCs/>
                <w:color w:val="auto"/>
                <w:sz w:val="24"/>
                <w:highlight w:val="none"/>
                <w:lang w:val="zh-CN"/>
              </w:rPr>
              <w:t>），人员安排是否合理（</w:t>
            </w:r>
            <w:r>
              <w:rPr>
                <w:rFonts w:hint="eastAsia" w:ascii="仿宋" w:hAnsi="仿宋" w:eastAsia="仿宋" w:cs="仿宋"/>
                <w:b w:val="0"/>
                <w:bCs/>
                <w:color w:val="auto"/>
                <w:sz w:val="24"/>
                <w:highlight w:val="none"/>
                <w:lang w:val="en-US" w:eastAsia="zh-CN"/>
              </w:rPr>
              <w:t>1分</w:t>
            </w:r>
            <w:r>
              <w:rPr>
                <w:rFonts w:hint="eastAsia" w:ascii="仿宋" w:hAnsi="仿宋" w:eastAsia="仿宋" w:cs="仿宋"/>
                <w:b w:val="0"/>
                <w:bCs/>
                <w:color w:val="auto"/>
                <w:sz w:val="24"/>
                <w:highlight w:val="none"/>
                <w:lang w:val="zh-CN"/>
              </w:rPr>
              <w:t>），物资准备是否全面（</w:t>
            </w:r>
            <w:r>
              <w:rPr>
                <w:rFonts w:hint="eastAsia" w:ascii="仿宋" w:hAnsi="仿宋" w:eastAsia="仿宋" w:cs="仿宋"/>
                <w:b w:val="0"/>
                <w:bCs/>
                <w:color w:val="auto"/>
                <w:sz w:val="24"/>
                <w:highlight w:val="none"/>
                <w:lang w:val="en-US" w:eastAsia="zh-CN"/>
              </w:rPr>
              <w:t>1分</w:t>
            </w:r>
            <w:r>
              <w:rPr>
                <w:rFonts w:hint="eastAsia" w:ascii="仿宋" w:hAnsi="仿宋" w:eastAsia="仿宋" w:cs="仿宋"/>
                <w:b w:val="0"/>
                <w:bCs/>
                <w:color w:val="auto"/>
                <w:sz w:val="24"/>
                <w:highlight w:val="none"/>
                <w:lang w:val="zh-CN"/>
              </w:rPr>
              <w:t>）。</w:t>
            </w:r>
            <w:r>
              <w:rPr>
                <w:rFonts w:hint="eastAsia" w:ascii="仿宋" w:hAnsi="仿宋" w:eastAsia="仿宋" w:cs="仿宋"/>
                <w:b w:val="0"/>
                <w:bCs/>
                <w:color w:val="auto"/>
                <w:sz w:val="24"/>
                <w:highlight w:val="none"/>
                <w:lang w:val="en-US" w:eastAsia="zh-CN"/>
              </w:rPr>
              <w:t>阐述内容不契合项目采购需求的或阐述内容</w:t>
            </w:r>
            <w:r>
              <w:rPr>
                <w:rFonts w:hint="default" w:ascii="仿宋" w:hAnsi="仿宋" w:eastAsia="仿宋" w:cs="仿宋"/>
                <w:b w:val="0"/>
                <w:bCs/>
                <w:color w:val="auto"/>
                <w:sz w:val="24"/>
                <w:highlight w:val="none"/>
                <w:lang w:val="en-US" w:eastAsia="zh-CN"/>
              </w:rPr>
              <w:t>明显具有不可行不合理的每处扣0.5分，扣完为止，</w:t>
            </w:r>
            <w:r>
              <w:rPr>
                <w:rFonts w:hint="eastAsia" w:ascii="仿宋" w:hAnsi="仿宋" w:eastAsia="仿宋" w:cs="仿宋"/>
                <w:b w:val="0"/>
                <w:bCs/>
                <w:color w:val="auto"/>
                <w:sz w:val="24"/>
                <w:highlight w:val="none"/>
              </w:rPr>
              <w:t>未提供不得分。</w:t>
            </w:r>
          </w:p>
          <w:p w14:paraId="61116BA0">
            <w:pPr>
              <w:numPr>
                <w:ilvl w:val="0"/>
                <w:numId w:val="0"/>
              </w:numPr>
              <w:spacing w:line="360" w:lineRule="auto"/>
              <w:ind w:leftChars="0" w:firstLine="240" w:firstLineChars="100"/>
              <w:rPr>
                <w:rFonts w:hint="eastAsia" w:ascii="仿宋" w:hAnsi="仿宋" w:eastAsia="仿宋" w:cs="仿宋"/>
                <w:b w:val="0"/>
                <w:bCs/>
                <w:color w:val="auto"/>
                <w:sz w:val="24"/>
                <w:highlight w:val="none"/>
                <w:lang w:val="zh-CN"/>
              </w:rPr>
            </w:pPr>
            <w:r>
              <w:rPr>
                <w:rFonts w:hint="eastAsia" w:ascii="仿宋" w:hAnsi="仿宋" w:eastAsia="仿宋" w:cs="仿宋"/>
                <w:b w:val="0"/>
                <w:bCs/>
                <w:color w:val="auto"/>
                <w:sz w:val="24"/>
                <w:highlight w:val="none"/>
                <w:lang w:val="en-US" w:eastAsia="zh-CN"/>
              </w:rPr>
              <w:t>4、</w:t>
            </w:r>
            <w:r>
              <w:rPr>
                <w:rFonts w:hint="eastAsia" w:ascii="仿宋" w:hAnsi="仿宋" w:eastAsia="仿宋" w:cs="仿宋"/>
                <w:b w:val="0"/>
                <w:bCs/>
                <w:color w:val="auto"/>
                <w:sz w:val="24"/>
                <w:highlight w:val="none"/>
                <w:lang w:val="zh-CN"/>
              </w:rPr>
              <w:t>项目重点、难点的分析和解决方案（0-6 分）：</w:t>
            </w:r>
          </w:p>
          <w:p w14:paraId="5A0C47B1">
            <w:pPr>
              <w:numPr>
                <w:ilvl w:val="0"/>
                <w:numId w:val="0"/>
              </w:numPr>
              <w:spacing w:line="360" w:lineRule="auto"/>
              <w:ind w:left="0" w:leftChars="0" w:firstLine="480" w:firstLineChars="200"/>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①项目重点、难点的分析精准、全面、可行的得3分；分析内容</w:t>
            </w:r>
            <w:r>
              <w:rPr>
                <w:rFonts w:hint="default" w:ascii="仿宋" w:hAnsi="仿宋" w:eastAsia="仿宋" w:cs="仿宋"/>
                <w:b w:val="0"/>
                <w:bCs/>
                <w:color w:val="auto"/>
                <w:sz w:val="24"/>
                <w:highlight w:val="none"/>
                <w:lang w:val="en-US" w:eastAsia="zh-CN"/>
              </w:rPr>
              <w:t>明显具有</w:t>
            </w:r>
            <w:r>
              <w:rPr>
                <w:rFonts w:hint="eastAsia" w:ascii="仿宋" w:hAnsi="仿宋" w:eastAsia="仿宋" w:cs="仿宋"/>
                <w:b w:val="0"/>
                <w:bCs/>
                <w:color w:val="auto"/>
                <w:sz w:val="24"/>
                <w:highlight w:val="none"/>
                <w:lang w:val="en-US" w:eastAsia="zh-CN"/>
              </w:rPr>
              <w:t>不精准、不全面、</w:t>
            </w:r>
            <w:r>
              <w:rPr>
                <w:rFonts w:hint="default" w:ascii="仿宋" w:hAnsi="仿宋" w:eastAsia="仿宋" w:cs="仿宋"/>
                <w:b w:val="0"/>
                <w:bCs/>
                <w:color w:val="auto"/>
                <w:sz w:val="24"/>
                <w:highlight w:val="none"/>
                <w:lang w:val="en-US" w:eastAsia="zh-CN"/>
              </w:rPr>
              <w:t>不可行的每处扣0.5分，扣完为止</w:t>
            </w:r>
            <w:r>
              <w:rPr>
                <w:rFonts w:hint="eastAsia" w:ascii="仿宋" w:hAnsi="仿宋" w:eastAsia="仿宋" w:cs="仿宋"/>
                <w:b w:val="0"/>
                <w:bCs/>
                <w:color w:val="auto"/>
                <w:sz w:val="24"/>
                <w:highlight w:val="none"/>
                <w:lang w:val="en-US" w:eastAsia="zh-CN"/>
              </w:rPr>
              <w:t>，</w:t>
            </w:r>
            <w:r>
              <w:rPr>
                <w:rFonts w:hint="eastAsia" w:ascii="仿宋" w:hAnsi="仿宋" w:eastAsia="仿宋" w:cs="仿宋"/>
                <w:b w:val="0"/>
                <w:bCs/>
                <w:color w:val="auto"/>
                <w:sz w:val="24"/>
                <w:highlight w:val="none"/>
              </w:rPr>
              <w:t>未提供不得分</w:t>
            </w:r>
            <w:r>
              <w:rPr>
                <w:rFonts w:hint="eastAsia" w:ascii="仿宋" w:hAnsi="仿宋" w:eastAsia="仿宋" w:cs="仿宋"/>
                <w:b w:val="0"/>
                <w:bCs/>
                <w:color w:val="auto"/>
                <w:sz w:val="24"/>
                <w:highlight w:val="none"/>
                <w:lang w:val="en-US" w:eastAsia="zh-CN"/>
              </w:rPr>
              <w:t>。</w:t>
            </w:r>
          </w:p>
          <w:p w14:paraId="47EAB8E6">
            <w:pPr>
              <w:numPr>
                <w:ilvl w:val="0"/>
                <w:numId w:val="0"/>
              </w:numPr>
              <w:spacing w:line="360" w:lineRule="auto"/>
              <w:ind w:left="0" w:leftChars="0" w:firstLine="480" w:firstLineChars="200"/>
              <w:rPr>
                <w:rFonts w:hint="default"/>
                <w:color w:val="auto"/>
                <w:highlight w:val="none"/>
                <w:lang w:val="en-US" w:eastAsia="zh-CN"/>
              </w:rPr>
            </w:pPr>
            <w:r>
              <w:rPr>
                <w:rFonts w:hint="eastAsia" w:ascii="仿宋" w:hAnsi="仿宋" w:eastAsia="仿宋" w:cs="仿宋"/>
                <w:b w:val="0"/>
                <w:bCs/>
                <w:color w:val="auto"/>
                <w:sz w:val="24"/>
                <w:highlight w:val="none"/>
                <w:lang w:val="en-US" w:eastAsia="zh-CN"/>
              </w:rPr>
              <w:t>②解决方案具有针对性和可操作性的得3分，方案内容针对性和操作性不强，</w:t>
            </w:r>
            <w:r>
              <w:rPr>
                <w:rFonts w:hint="default" w:ascii="仿宋" w:hAnsi="仿宋" w:eastAsia="仿宋" w:cs="仿宋"/>
                <w:b w:val="0"/>
                <w:bCs/>
                <w:color w:val="auto"/>
                <w:sz w:val="24"/>
                <w:highlight w:val="none"/>
                <w:lang w:val="en-US" w:eastAsia="zh-CN"/>
              </w:rPr>
              <w:t>有</w:t>
            </w:r>
            <w:r>
              <w:rPr>
                <w:rFonts w:hint="eastAsia" w:ascii="仿宋" w:hAnsi="仿宋" w:eastAsia="仿宋" w:cs="仿宋"/>
                <w:b w:val="0"/>
                <w:bCs/>
                <w:color w:val="auto"/>
                <w:sz w:val="24"/>
                <w:highlight w:val="none"/>
                <w:lang w:val="en-US" w:eastAsia="zh-CN"/>
              </w:rPr>
              <w:t>欠缺</w:t>
            </w:r>
            <w:r>
              <w:rPr>
                <w:rFonts w:hint="default" w:ascii="仿宋" w:hAnsi="仿宋" w:eastAsia="仿宋" w:cs="仿宋"/>
                <w:b w:val="0"/>
                <w:bCs/>
                <w:color w:val="auto"/>
                <w:sz w:val="24"/>
                <w:highlight w:val="none"/>
                <w:lang w:val="en-US" w:eastAsia="zh-CN"/>
              </w:rPr>
              <w:t>的每处扣0.5分，扣完为止</w:t>
            </w:r>
            <w:r>
              <w:rPr>
                <w:rFonts w:hint="eastAsia" w:ascii="仿宋" w:hAnsi="仿宋" w:eastAsia="仿宋" w:cs="仿宋"/>
                <w:b w:val="0"/>
                <w:bCs/>
                <w:color w:val="auto"/>
                <w:sz w:val="24"/>
                <w:highlight w:val="none"/>
                <w:lang w:val="en-US" w:eastAsia="zh-CN"/>
              </w:rPr>
              <w:t>，</w:t>
            </w:r>
            <w:r>
              <w:rPr>
                <w:rFonts w:hint="eastAsia" w:ascii="仿宋" w:hAnsi="仿宋" w:eastAsia="仿宋" w:cs="仿宋"/>
                <w:b w:val="0"/>
                <w:bCs/>
                <w:color w:val="auto"/>
                <w:sz w:val="24"/>
                <w:highlight w:val="none"/>
              </w:rPr>
              <w:t>未提供不得分</w:t>
            </w:r>
            <w:r>
              <w:rPr>
                <w:rFonts w:hint="eastAsia" w:ascii="仿宋" w:hAnsi="仿宋" w:eastAsia="仿宋" w:cs="仿宋"/>
                <w:b w:val="0"/>
                <w:bCs/>
                <w:color w:val="auto"/>
                <w:sz w:val="24"/>
                <w:highlight w:val="none"/>
                <w:lang w:val="en-US" w:eastAsia="zh-CN"/>
              </w:rPr>
              <w:t>。</w:t>
            </w:r>
          </w:p>
        </w:tc>
        <w:tc>
          <w:tcPr>
            <w:tcW w:w="820" w:type="dxa"/>
            <w:tcBorders>
              <w:tl2br w:val="nil"/>
              <w:tr2bl w:val="nil"/>
            </w:tcBorders>
            <w:vAlign w:val="center"/>
          </w:tcPr>
          <w:p w14:paraId="08D22815">
            <w:pPr>
              <w:widowControl/>
              <w:overflowPunct w:val="0"/>
              <w:autoSpaceDE w:val="0"/>
              <w:autoSpaceDN w:val="0"/>
              <w:adjustRightInd w:val="0"/>
              <w:spacing w:line="440" w:lineRule="exact"/>
              <w:jc w:val="center"/>
              <w:textAlignment w:val="baseline"/>
              <w:rPr>
                <w:rFonts w:hint="eastAsia" w:ascii="仿宋" w:hAnsi="仿宋" w:eastAsia="仿宋" w:cs="仿宋"/>
                <w:bCs/>
                <w:color w:val="auto"/>
                <w:kern w:val="0"/>
                <w:sz w:val="24"/>
                <w:highlight w:val="none"/>
                <w:lang w:val="en-US" w:eastAsia="zh-CN"/>
              </w:rPr>
            </w:pPr>
            <w:r>
              <w:rPr>
                <w:rFonts w:hint="eastAsia" w:ascii="仿宋" w:hAnsi="仿宋" w:eastAsia="仿宋" w:cs="仿宋"/>
                <w:b/>
                <w:bCs w:val="0"/>
                <w:color w:val="auto"/>
                <w:kern w:val="0"/>
                <w:sz w:val="24"/>
                <w:highlight w:val="none"/>
                <w:lang w:val="en-US" w:eastAsia="zh-CN"/>
              </w:rPr>
              <w:t>28分</w:t>
            </w:r>
          </w:p>
        </w:tc>
      </w:tr>
      <w:tr w14:paraId="2F9A845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42" w:hRule="atLeast"/>
          <w:jc w:val="center"/>
        </w:trPr>
        <w:tc>
          <w:tcPr>
            <w:tcW w:w="698" w:type="dxa"/>
            <w:tcBorders>
              <w:tl2br w:val="nil"/>
              <w:tr2bl w:val="nil"/>
            </w:tcBorders>
            <w:vAlign w:val="center"/>
          </w:tcPr>
          <w:p w14:paraId="5B222C89">
            <w:pPr>
              <w:widowControl/>
              <w:tabs>
                <w:tab w:val="left" w:pos="0"/>
                <w:tab w:val="left" w:pos="993"/>
                <w:tab w:val="left" w:pos="1134"/>
              </w:tabs>
              <w:snapToGrid w:val="0"/>
              <w:spacing w:line="420" w:lineRule="exact"/>
              <w:jc w:val="center"/>
              <w:rPr>
                <w:rFonts w:hint="default" w:ascii="仿宋" w:hAnsi="仿宋" w:eastAsia="仿宋" w:cs="仿宋"/>
                <w:bCs/>
                <w:color w:val="auto"/>
                <w:kern w:val="0"/>
                <w:sz w:val="24"/>
                <w:highlight w:val="none"/>
                <w:lang w:val="en-US" w:eastAsia="zh-CN"/>
              </w:rPr>
            </w:pPr>
            <w:r>
              <w:rPr>
                <w:rFonts w:hint="eastAsia" w:ascii="仿宋" w:hAnsi="仿宋" w:eastAsia="仿宋" w:cs="仿宋"/>
                <w:bCs/>
                <w:color w:val="auto"/>
                <w:kern w:val="0"/>
                <w:sz w:val="24"/>
                <w:highlight w:val="none"/>
                <w:lang w:val="en-US" w:eastAsia="zh-CN"/>
              </w:rPr>
              <w:t>2</w:t>
            </w:r>
          </w:p>
        </w:tc>
        <w:tc>
          <w:tcPr>
            <w:tcW w:w="1389" w:type="dxa"/>
            <w:tcBorders>
              <w:tl2br w:val="nil"/>
              <w:tr2bl w:val="nil"/>
            </w:tcBorders>
            <w:vAlign w:val="center"/>
          </w:tcPr>
          <w:p w14:paraId="5C4EDE04">
            <w:pPr>
              <w:tabs>
                <w:tab w:val="left" w:pos="1080"/>
              </w:tabs>
              <w:spacing w:line="420" w:lineRule="exact"/>
              <w:jc w:val="center"/>
              <w:rPr>
                <w:rFonts w:hint="eastAsia" w:ascii="仿宋" w:hAnsi="仿宋" w:eastAsia="仿宋" w:cs="仿宋"/>
                <w:bCs/>
                <w:color w:val="auto"/>
                <w:sz w:val="24"/>
                <w:highlight w:val="none"/>
                <w:lang w:val="zh-CN" w:eastAsia="zh-CN"/>
              </w:rPr>
            </w:pPr>
            <w:r>
              <w:rPr>
                <w:rFonts w:hint="eastAsia" w:ascii="仿宋" w:hAnsi="仿宋" w:eastAsia="仿宋" w:cs="仿宋"/>
                <w:bCs/>
                <w:color w:val="auto"/>
                <w:sz w:val="24"/>
                <w:highlight w:val="none"/>
                <w:lang w:val="zh-CN" w:eastAsia="zh-CN"/>
              </w:rPr>
              <w:t>交接方案</w:t>
            </w:r>
          </w:p>
        </w:tc>
        <w:tc>
          <w:tcPr>
            <w:tcW w:w="6863" w:type="dxa"/>
            <w:tcBorders>
              <w:tl2br w:val="nil"/>
              <w:tr2bl w:val="nil"/>
            </w:tcBorders>
            <w:vAlign w:val="center"/>
          </w:tcPr>
          <w:p w14:paraId="1B5437F8">
            <w:pPr>
              <w:numPr>
                <w:ilvl w:val="0"/>
                <w:numId w:val="0"/>
              </w:numPr>
              <w:spacing w:line="360" w:lineRule="auto"/>
              <w:ind w:left="0" w:leftChars="0" w:firstLine="480" w:firstLineChars="20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zh-CN" w:eastAsia="zh-CN"/>
              </w:rPr>
              <w:t>与现有服务管理单位的对接（过渡）方案：主要针对工作对接（</w:t>
            </w:r>
            <w:r>
              <w:rPr>
                <w:rFonts w:hint="eastAsia" w:ascii="仿宋" w:hAnsi="仿宋" w:eastAsia="仿宋" w:cs="仿宋"/>
                <w:bCs/>
                <w:color w:val="auto"/>
                <w:sz w:val="24"/>
                <w:highlight w:val="none"/>
                <w:lang w:val="en-US" w:eastAsia="zh-CN"/>
              </w:rPr>
              <w:t>3分</w:t>
            </w:r>
            <w:r>
              <w:rPr>
                <w:rFonts w:hint="eastAsia" w:ascii="仿宋" w:hAnsi="仿宋" w:eastAsia="仿宋" w:cs="仿宋"/>
                <w:bCs/>
                <w:color w:val="auto"/>
                <w:sz w:val="24"/>
                <w:highlight w:val="none"/>
                <w:lang w:val="zh-CN" w:eastAsia="zh-CN"/>
              </w:rPr>
              <w:t>）、新老工作人员交替安排等（</w:t>
            </w:r>
            <w:r>
              <w:rPr>
                <w:rFonts w:hint="eastAsia" w:ascii="仿宋" w:hAnsi="仿宋" w:eastAsia="仿宋" w:cs="仿宋"/>
                <w:bCs/>
                <w:color w:val="auto"/>
                <w:sz w:val="24"/>
                <w:highlight w:val="none"/>
                <w:lang w:val="en-US" w:eastAsia="zh-CN"/>
              </w:rPr>
              <w:t>3分</w:t>
            </w:r>
            <w:r>
              <w:rPr>
                <w:rFonts w:hint="eastAsia" w:ascii="仿宋" w:hAnsi="仿宋" w:eastAsia="仿宋" w:cs="仿宋"/>
                <w:bCs/>
                <w:color w:val="auto"/>
                <w:sz w:val="24"/>
                <w:highlight w:val="none"/>
                <w:lang w:val="zh-CN" w:eastAsia="zh-CN"/>
              </w:rPr>
              <w:t>）。</w:t>
            </w:r>
            <w:r>
              <w:rPr>
                <w:rFonts w:hint="eastAsia" w:ascii="仿宋" w:hAnsi="仿宋" w:eastAsia="仿宋" w:cs="仿宋"/>
                <w:b w:val="0"/>
                <w:bCs/>
                <w:color w:val="auto"/>
                <w:sz w:val="24"/>
                <w:highlight w:val="none"/>
                <w:lang w:val="en-US" w:eastAsia="zh-CN"/>
              </w:rPr>
              <w:t>阐述内容不契合项目采购需求的或阐述内容</w:t>
            </w:r>
            <w:r>
              <w:rPr>
                <w:rFonts w:hint="default" w:ascii="仿宋" w:hAnsi="仿宋" w:eastAsia="仿宋" w:cs="仿宋"/>
                <w:b w:val="0"/>
                <w:bCs/>
                <w:color w:val="auto"/>
                <w:sz w:val="24"/>
                <w:highlight w:val="none"/>
                <w:lang w:val="en-US" w:eastAsia="zh-CN"/>
              </w:rPr>
              <w:t>明显具有不可行不合理的每处扣0.5分，扣完为止，</w:t>
            </w:r>
            <w:r>
              <w:rPr>
                <w:rFonts w:hint="eastAsia" w:ascii="仿宋" w:hAnsi="仿宋" w:eastAsia="仿宋" w:cs="仿宋"/>
                <w:b w:val="0"/>
                <w:bCs/>
                <w:color w:val="auto"/>
                <w:sz w:val="24"/>
                <w:highlight w:val="none"/>
              </w:rPr>
              <w:t>未提供不得分。</w:t>
            </w:r>
          </w:p>
        </w:tc>
        <w:tc>
          <w:tcPr>
            <w:tcW w:w="820" w:type="dxa"/>
            <w:tcBorders>
              <w:tl2br w:val="nil"/>
              <w:tr2bl w:val="nil"/>
            </w:tcBorders>
            <w:vAlign w:val="center"/>
          </w:tcPr>
          <w:p w14:paraId="345C457F">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6分</w:t>
            </w:r>
          </w:p>
        </w:tc>
      </w:tr>
      <w:tr w14:paraId="56431C3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42" w:hRule="atLeast"/>
          <w:jc w:val="center"/>
        </w:trPr>
        <w:tc>
          <w:tcPr>
            <w:tcW w:w="698" w:type="dxa"/>
            <w:tcBorders>
              <w:tl2br w:val="nil"/>
              <w:tr2bl w:val="nil"/>
            </w:tcBorders>
            <w:vAlign w:val="center"/>
          </w:tcPr>
          <w:p w14:paraId="7073B56B">
            <w:pPr>
              <w:widowControl/>
              <w:tabs>
                <w:tab w:val="left" w:pos="0"/>
                <w:tab w:val="left" w:pos="993"/>
                <w:tab w:val="left" w:pos="1134"/>
              </w:tabs>
              <w:snapToGrid w:val="0"/>
              <w:spacing w:line="420" w:lineRule="exact"/>
              <w:jc w:val="center"/>
              <w:rPr>
                <w:rFonts w:hint="default" w:ascii="仿宋" w:hAnsi="仿宋" w:eastAsia="仿宋" w:cs="仿宋"/>
                <w:bCs/>
                <w:color w:val="auto"/>
                <w:kern w:val="0"/>
                <w:sz w:val="24"/>
                <w:highlight w:val="none"/>
                <w:lang w:val="en-US" w:eastAsia="zh-CN"/>
              </w:rPr>
            </w:pPr>
            <w:r>
              <w:rPr>
                <w:rFonts w:hint="eastAsia" w:ascii="仿宋" w:hAnsi="仿宋" w:eastAsia="仿宋" w:cs="仿宋"/>
                <w:bCs/>
                <w:color w:val="auto"/>
                <w:kern w:val="0"/>
                <w:sz w:val="24"/>
                <w:highlight w:val="none"/>
                <w:lang w:val="en-US" w:eastAsia="zh-CN"/>
              </w:rPr>
              <w:t>3</w:t>
            </w:r>
          </w:p>
        </w:tc>
        <w:tc>
          <w:tcPr>
            <w:tcW w:w="1389" w:type="dxa"/>
            <w:tcBorders>
              <w:tl2br w:val="nil"/>
              <w:tr2bl w:val="nil"/>
            </w:tcBorders>
            <w:vAlign w:val="center"/>
          </w:tcPr>
          <w:p w14:paraId="18D190E7">
            <w:pPr>
              <w:widowControl/>
              <w:tabs>
                <w:tab w:val="left" w:pos="0"/>
                <w:tab w:val="left" w:pos="993"/>
                <w:tab w:val="left" w:pos="1134"/>
              </w:tabs>
              <w:snapToGrid w:val="0"/>
              <w:spacing w:line="420" w:lineRule="exact"/>
              <w:jc w:val="center"/>
              <w:rPr>
                <w:rFonts w:hint="eastAsia" w:ascii="仿宋" w:hAnsi="仿宋" w:eastAsia="仿宋" w:cs="仿宋"/>
                <w:bCs/>
                <w:color w:val="auto"/>
                <w:sz w:val="24"/>
                <w:highlight w:val="none"/>
                <w:lang w:val="zh-CN" w:eastAsia="zh-CN"/>
              </w:rPr>
            </w:pPr>
            <w:r>
              <w:rPr>
                <w:rFonts w:hint="eastAsia" w:ascii="仿宋" w:hAnsi="仿宋" w:eastAsia="仿宋" w:cs="仿宋"/>
                <w:b/>
                <w:color w:val="auto"/>
                <w:sz w:val="24"/>
                <w:szCs w:val="24"/>
                <w:highlight w:val="none"/>
                <w:lang w:val="en-US" w:eastAsia="zh-CN"/>
              </w:rPr>
              <w:t>人员配备</w:t>
            </w:r>
          </w:p>
        </w:tc>
        <w:tc>
          <w:tcPr>
            <w:tcW w:w="6863" w:type="dxa"/>
            <w:tcBorders>
              <w:tl2br w:val="nil"/>
              <w:tr2bl w:val="nil"/>
            </w:tcBorders>
            <w:vAlign w:val="center"/>
          </w:tcPr>
          <w:p w14:paraId="7B305B65">
            <w:pPr>
              <w:kinsoku w:val="0"/>
              <w:overflowPunct w:val="0"/>
              <w:spacing w:line="480" w:lineRule="exact"/>
              <w:ind w:right="99" w:firstLine="240" w:firstLineChars="100"/>
              <w:rPr>
                <w:rFonts w:hint="eastAsia" w:ascii="仿宋" w:hAnsi="仿宋" w:eastAsia="仿宋" w:cs="仿宋"/>
                <w:b w:val="0"/>
                <w:bCs w:val="0"/>
                <w:color w:val="auto"/>
                <w:sz w:val="24"/>
                <w:highlight w:val="none"/>
                <w:lang w:bidi="zh-CN"/>
              </w:rPr>
            </w:pPr>
            <w:r>
              <w:rPr>
                <w:rFonts w:hint="eastAsia" w:ascii="仿宋" w:hAnsi="仿宋" w:eastAsia="仿宋" w:cs="仿宋"/>
                <w:b w:val="0"/>
                <w:bCs w:val="0"/>
                <w:color w:val="auto"/>
                <w:sz w:val="24"/>
                <w:highlight w:val="none"/>
                <w:lang w:val="en-US" w:bidi="zh-CN"/>
              </w:rPr>
              <w:t>1、</w:t>
            </w:r>
            <w:r>
              <w:rPr>
                <w:rFonts w:hint="eastAsia" w:ascii="仿宋" w:hAnsi="仿宋" w:eastAsia="仿宋" w:cs="仿宋"/>
                <w:b w:val="0"/>
                <w:bCs w:val="0"/>
                <w:color w:val="auto"/>
                <w:sz w:val="24"/>
                <w:highlight w:val="none"/>
                <w:lang w:bidi="zh-CN"/>
              </w:rPr>
              <w:t>拟投入本项目负责人：要求具有本科及以上学历，具有环卫作业项目经理证书且有2年及以上类似作业经验的得</w:t>
            </w:r>
            <w:r>
              <w:rPr>
                <w:rFonts w:hint="eastAsia" w:ascii="仿宋" w:hAnsi="仿宋" w:eastAsia="仿宋" w:cs="仿宋"/>
                <w:b w:val="0"/>
                <w:bCs w:val="0"/>
                <w:color w:val="auto"/>
                <w:sz w:val="24"/>
                <w:highlight w:val="none"/>
                <w:lang w:val="en-US" w:bidi="zh-CN"/>
              </w:rPr>
              <w:t>4</w:t>
            </w:r>
            <w:r>
              <w:rPr>
                <w:rFonts w:hint="eastAsia" w:ascii="仿宋" w:hAnsi="仿宋" w:eastAsia="仿宋" w:cs="仿宋"/>
                <w:b w:val="0"/>
                <w:bCs w:val="0"/>
                <w:color w:val="auto"/>
                <w:sz w:val="24"/>
                <w:highlight w:val="none"/>
                <w:lang w:bidi="zh-CN"/>
              </w:rPr>
              <w:t>分。（提供项目负责人学历证书、学历验证证明、人员证书、作业经验证明、近3个月中任意1个月由投标人缴纳的社保证明。复印件加盖投标人单位公章，否则不予认可。）</w:t>
            </w:r>
          </w:p>
          <w:p w14:paraId="552297CF">
            <w:pPr>
              <w:kinsoku w:val="0"/>
              <w:overflowPunct w:val="0"/>
              <w:spacing w:line="480" w:lineRule="exact"/>
              <w:ind w:right="99" w:firstLine="240" w:firstLineChars="100"/>
              <w:rPr>
                <w:rFonts w:hint="default" w:ascii="仿宋" w:hAnsi="仿宋" w:eastAsia="仿宋" w:cs="仿宋"/>
                <w:bCs/>
                <w:color w:val="auto"/>
                <w:sz w:val="24"/>
                <w:highlight w:val="none"/>
                <w:lang w:val="en-US" w:eastAsia="zh-CN"/>
              </w:rPr>
            </w:pPr>
            <w:r>
              <w:rPr>
                <w:rFonts w:hint="eastAsia" w:ascii="仿宋" w:hAnsi="仿宋" w:eastAsia="仿宋" w:cs="仿宋"/>
                <w:b w:val="0"/>
                <w:bCs w:val="0"/>
                <w:color w:val="auto"/>
                <w:sz w:val="24"/>
                <w:highlight w:val="none"/>
                <w:lang w:val="en-US" w:bidi="zh-CN"/>
              </w:rPr>
              <w:t>2、拟投入本项目人员（项目负责人除外）:具有清洁保洁工程师或城市环卫工程师或垃圾处理管理师证书证书的每人得1分，本项最高得3分。（提供相应人员证书</w:t>
            </w:r>
            <w:r>
              <w:rPr>
                <w:rFonts w:hint="eastAsia" w:ascii="仿宋" w:hAnsi="仿宋" w:eastAsia="仿宋" w:cs="仿宋"/>
                <w:b w:val="0"/>
                <w:bCs w:val="0"/>
                <w:color w:val="auto"/>
                <w:sz w:val="24"/>
                <w:highlight w:val="none"/>
                <w:lang w:val="en-US" w:eastAsia="zh-CN" w:bidi="zh-CN"/>
              </w:rPr>
              <w:t>及</w:t>
            </w:r>
            <w:r>
              <w:rPr>
                <w:rFonts w:hint="eastAsia" w:ascii="仿宋" w:hAnsi="仿宋" w:eastAsia="仿宋" w:cs="仿宋"/>
                <w:b w:val="0"/>
                <w:bCs w:val="0"/>
                <w:color w:val="auto"/>
                <w:sz w:val="24"/>
                <w:highlight w:val="none"/>
                <w:lang w:bidi="zh-CN"/>
              </w:rPr>
              <w:t>近</w:t>
            </w:r>
            <w:r>
              <w:rPr>
                <w:rFonts w:hint="eastAsia" w:ascii="仿宋" w:hAnsi="仿宋" w:eastAsia="仿宋" w:cs="仿宋"/>
                <w:b w:val="0"/>
                <w:bCs w:val="0"/>
                <w:color w:val="auto"/>
                <w:sz w:val="24"/>
                <w:highlight w:val="none"/>
                <w:lang w:val="en-US" w:bidi="zh-CN"/>
              </w:rPr>
              <w:t>3</w:t>
            </w:r>
            <w:r>
              <w:rPr>
                <w:rFonts w:hint="eastAsia" w:ascii="仿宋" w:hAnsi="仿宋" w:eastAsia="仿宋" w:cs="仿宋"/>
                <w:b w:val="0"/>
                <w:bCs w:val="0"/>
                <w:color w:val="auto"/>
                <w:sz w:val="24"/>
                <w:highlight w:val="none"/>
                <w:lang w:bidi="zh-CN"/>
              </w:rPr>
              <w:t>个月中任意1个月由</w:t>
            </w:r>
            <w:r>
              <w:rPr>
                <w:rFonts w:hint="eastAsia" w:ascii="仿宋" w:hAnsi="仿宋" w:eastAsia="仿宋" w:cs="仿宋"/>
                <w:b w:val="0"/>
                <w:bCs w:val="0"/>
                <w:color w:val="auto"/>
                <w:sz w:val="24"/>
                <w:highlight w:val="none"/>
                <w:lang w:val="en-US" w:bidi="zh-CN"/>
              </w:rPr>
              <w:t>投标人</w:t>
            </w:r>
            <w:r>
              <w:rPr>
                <w:rFonts w:hint="eastAsia" w:ascii="仿宋" w:hAnsi="仿宋" w:eastAsia="仿宋" w:cs="仿宋"/>
                <w:b w:val="0"/>
                <w:bCs w:val="0"/>
                <w:color w:val="auto"/>
                <w:sz w:val="24"/>
                <w:highlight w:val="none"/>
                <w:lang w:bidi="zh-CN"/>
              </w:rPr>
              <w:t>缴纳的社保证明</w:t>
            </w:r>
            <w:r>
              <w:rPr>
                <w:rFonts w:hint="eastAsia" w:ascii="仿宋" w:hAnsi="仿宋" w:eastAsia="仿宋" w:cs="仿宋"/>
                <w:b w:val="0"/>
                <w:bCs w:val="0"/>
                <w:color w:val="auto"/>
                <w:sz w:val="24"/>
                <w:highlight w:val="none"/>
                <w:lang w:val="en-US" w:eastAsia="zh-CN" w:bidi="zh-CN"/>
              </w:rPr>
              <w:t>。复印件加盖投标人单位公章，</w:t>
            </w:r>
            <w:r>
              <w:rPr>
                <w:rFonts w:hint="eastAsia" w:ascii="仿宋" w:hAnsi="仿宋" w:eastAsia="仿宋" w:cs="仿宋"/>
                <w:b w:val="0"/>
                <w:bCs w:val="0"/>
                <w:color w:val="auto"/>
                <w:sz w:val="24"/>
                <w:highlight w:val="none"/>
                <w:lang w:val="en-US" w:bidi="zh-CN"/>
              </w:rPr>
              <w:t>否则不予认可</w:t>
            </w:r>
            <w:r>
              <w:rPr>
                <w:rFonts w:hint="eastAsia" w:ascii="仿宋" w:hAnsi="仿宋" w:eastAsia="仿宋" w:cs="仿宋"/>
                <w:b w:val="0"/>
                <w:bCs w:val="0"/>
                <w:color w:val="auto"/>
                <w:sz w:val="24"/>
                <w:highlight w:val="none"/>
                <w:lang w:val="en-US" w:eastAsia="zh-CN" w:bidi="zh-CN"/>
              </w:rPr>
              <w:t>。）</w:t>
            </w:r>
          </w:p>
        </w:tc>
        <w:tc>
          <w:tcPr>
            <w:tcW w:w="820" w:type="dxa"/>
            <w:tcBorders>
              <w:tl2br w:val="nil"/>
              <w:tr2bl w:val="nil"/>
            </w:tcBorders>
            <w:vAlign w:val="center"/>
          </w:tcPr>
          <w:p w14:paraId="3FAB2B72">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7分</w:t>
            </w:r>
          </w:p>
        </w:tc>
      </w:tr>
      <w:tr w14:paraId="48B90AF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42" w:hRule="atLeast"/>
          <w:jc w:val="center"/>
        </w:trPr>
        <w:tc>
          <w:tcPr>
            <w:tcW w:w="698" w:type="dxa"/>
            <w:tcBorders>
              <w:tl2br w:val="nil"/>
              <w:tr2bl w:val="nil"/>
            </w:tcBorders>
            <w:vAlign w:val="center"/>
          </w:tcPr>
          <w:p w14:paraId="0CD5EF29">
            <w:pPr>
              <w:widowControl/>
              <w:tabs>
                <w:tab w:val="left" w:pos="0"/>
                <w:tab w:val="left" w:pos="993"/>
                <w:tab w:val="left" w:pos="1134"/>
              </w:tabs>
              <w:snapToGrid w:val="0"/>
              <w:spacing w:line="420" w:lineRule="exact"/>
              <w:jc w:val="center"/>
              <w:rPr>
                <w:rFonts w:hint="eastAsia" w:ascii="仿宋" w:hAnsi="仿宋" w:eastAsia="仿宋" w:cs="仿宋"/>
                <w:bCs/>
                <w:color w:val="auto"/>
                <w:kern w:val="0"/>
                <w:sz w:val="24"/>
                <w:highlight w:val="none"/>
                <w:lang w:val="en-US" w:eastAsia="zh-CN"/>
              </w:rPr>
            </w:pPr>
            <w:r>
              <w:rPr>
                <w:rFonts w:hint="eastAsia" w:ascii="仿宋" w:hAnsi="仿宋" w:eastAsia="仿宋" w:cs="仿宋"/>
                <w:bCs/>
                <w:color w:val="auto"/>
                <w:kern w:val="0"/>
                <w:sz w:val="24"/>
                <w:highlight w:val="none"/>
                <w:lang w:val="en-US" w:eastAsia="zh-CN"/>
              </w:rPr>
              <w:t>4</w:t>
            </w:r>
          </w:p>
        </w:tc>
        <w:tc>
          <w:tcPr>
            <w:tcW w:w="1389" w:type="dxa"/>
            <w:tcBorders>
              <w:tl2br w:val="nil"/>
              <w:tr2bl w:val="nil"/>
            </w:tcBorders>
            <w:vAlign w:val="center"/>
          </w:tcPr>
          <w:p w14:paraId="395BEA7C">
            <w:pPr>
              <w:tabs>
                <w:tab w:val="left" w:pos="1080"/>
              </w:tabs>
              <w:spacing w:line="420" w:lineRule="exact"/>
              <w:jc w:val="center"/>
              <w:rPr>
                <w:rFonts w:hint="eastAsia" w:ascii="仿宋" w:hAnsi="仿宋" w:eastAsia="仿宋" w:cs="仿宋"/>
                <w:b/>
                <w:color w:val="auto"/>
                <w:kern w:val="0"/>
                <w:sz w:val="24"/>
                <w:highlight w:val="none"/>
              </w:rPr>
            </w:pPr>
            <w:r>
              <w:rPr>
                <w:rFonts w:hint="eastAsia" w:ascii="仿宋" w:hAnsi="仿宋" w:eastAsia="仿宋" w:cs="仿宋"/>
                <w:bCs/>
                <w:color w:val="auto"/>
                <w:sz w:val="24"/>
                <w:highlight w:val="none"/>
                <w:lang w:val="zh-CN" w:eastAsia="zh-CN"/>
              </w:rPr>
              <w:t>管理制度措施</w:t>
            </w:r>
          </w:p>
        </w:tc>
        <w:tc>
          <w:tcPr>
            <w:tcW w:w="6863" w:type="dxa"/>
            <w:tcBorders>
              <w:tl2br w:val="nil"/>
              <w:tr2bl w:val="nil"/>
            </w:tcBorders>
            <w:vAlign w:val="center"/>
          </w:tcPr>
          <w:p w14:paraId="74A89635">
            <w:pPr>
              <w:numPr>
                <w:ilvl w:val="0"/>
                <w:numId w:val="0"/>
              </w:numPr>
              <w:spacing w:line="360" w:lineRule="auto"/>
              <w:ind w:firstLine="240" w:firstLineChars="10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根据投标人提供的管理制度措施评分，包括：</w:t>
            </w:r>
          </w:p>
          <w:p w14:paraId="6B4B3CD6">
            <w:pPr>
              <w:numPr>
                <w:ilvl w:val="0"/>
                <w:numId w:val="0"/>
              </w:numPr>
              <w:spacing w:line="360" w:lineRule="auto"/>
              <w:ind w:firstLine="240" w:firstLineChars="1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lang w:val="zh-CN"/>
              </w:rPr>
              <w:t>质量管理体系（2 分）；质量管理工作的规范性、可溯性及完整性，针对本项目制订具体质量管理考核细则。</w:t>
            </w:r>
          </w:p>
          <w:p w14:paraId="5BB707B9">
            <w:pPr>
              <w:numPr>
                <w:ilvl w:val="0"/>
                <w:numId w:val="0"/>
              </w:numPr>
              <w:spacing w:line="360" w:lineRule="auto"/>
              <w:ind w:firstLine="240" w:firstLineChars="10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lang w:val="zh-CN"/>
              </w:rPr>
              <w:t>组织管理体系（</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lang w:val="zh-CN"/>
              </w:rPr>
              <w:t xml:space="preserve"> 分）；组织管理体系</w:t>
            </w:r>
            <w:r>
              <w:rPr>
                <w:rFonts w:hint="eastAsia" w:ascii="仿宋" w:hAnsi="仿宋" w:eastAsia="仿宋" w:cs="仿宋"/>
                <w:bCs/>
                <w:color w:val="auto"/>
                <w:sz w:val="24"/>
                <w:highlight w:val="none"/>
                <w:lang w:val="en-US" w:eastAsia="zh-CN"/>
              </w:rPr>
              <w:t>完善。</w:t>
            </w:r>
          </w:p>
          <w:p w14:paraId="3C12B516">
            <w:pPr>
              <w:numPr>
                <w:ilvl w:val="0"/>
                <w:numId w:val="0"/>
              </w:numPr>
              <w:spacing w:line="360" w:lineRule="auto"/>
              <w:ind w:firstLine="240" w:firstLineChars="10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3、</w:t>
            </w:r>
            <w:r>
              <w:rPr>
                <w:rFonts w:hint="eastAsia" w:ascii="仿宋" w:hAnsi="仿宋" w:eastAsia="仿宋" w:cs="仿宋"/>
                <w:bCs/>
                <w:color w:val="auto"/>
                <w:sz w:val="24"/>
                <w:highlight w:val="none"/>
                <w:lang w:val="zh-CN"/>
              </w:rPr>
              <w:t>财务管理（</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lang w:val="zh-CN"/>
              </w:rPr>
              <w:t xml:space="preserve"> 分）；财务管理</w:t>
            </w:r>
            <w:r>
              <w:rPr>
                <w:rFonts w:hint="eastAsia" w:ascii="仿宋" w:hAnsi="仿宋" w:eastAsia="仿宋" w:cs="仿宋"/>
                <w:bCs/>
                <w:color w:val="auto"/>
                <w:sz w:val="24"/>
                <w:highlight w:val="none"/>
                <w:lang w:val="en-US" w:eastAsia="zh-CN"/>
              </w:rPr>
              <w:t>制度完善。</w:t>
            </w:r>
          </w:p>
          <w:p w14:paraId="50ADAD0F">
            <w:pPr>
              <w:numPr>
                <w:ilvl w:val="0"/>
                <w:numId w:val="0"/>
              </w:numPr>
              <w:spacing w:line="360" w:lineRule="auto"/>
              <w:ind w:firstLine="240" w:firstLineChars="1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lang w:val="zh-CN"/>
              </w:rPr>
              <w:t>安全生产管理（</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lang w:val="zh-CN"/>
              </w:rPr>
              <w:t xml:space="preserve"> 分）；具有安全生产管理制度、安全管理台帐、安全生产培训记录等。</w:t>
            </w:r>
          </w:p>
          <w:p w14:paraId="3F4C8143">
            <w:pPr>
              <w:numPr>
                <w:ilvl w:val="0"/>
                <w:numId w:val="0"/>
              </w:numPr>
              <w:spacing w:line="360" w:lineRule="auto"/>
              <w:ind w:firstLine="240" w:firstLineChars="1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en-US" w:eastAsia="zh-CN"/>
              </w:rPr>
              <w:t>5、</w:t>
            </w:r>
            <w:r>
              <w:rPr>
                <w:rFonts w:hint="eastAsia" w:ascii="仿宋" w:hAnsi="仿宋" w:eastAsia="仿宋" w:cs="仿宋"/>
                <w:bCs/>
                <w:color w:val="auto"/>
                <w:sz w:val="24"/>
                <w:highlight w:val="none"/>
                <w:lang w:val="zh-CN"/>
              </w:rPr>
              <w:t>职工保障（</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lang w:val="zh-CN"/>
              </w:rPr>
              <w:t xml:space="preserve"> 分）；职工薪资、福利、假期管理体系等职工保障制度完善且符合法律法规规定。</w:t>
            </w:r>
          </w:p>
          <w:p w14:paraId="5C179882">
            <w:pPr>
              <w:numPr>
                <w:ilvl w:val="0"/>
                <w:numId w:val="0"/>
              </w:num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bCs/>
                <w:color w:val="auto"/>
                <w:sz w:val="24"/>
                <w:highlight w:val="none"/>
                <w:lang w:val="en-US" w:eastAsia="zh-CN"/>
              </w:rPr>
              <w:t>1~5阐述内容不契合项目采购需求的或阐述内容</w:t>
            </w:r>
            <w:r>
              <w:rPr>
                <w:rFonts w:hint="default" w:ascii="仿宋" w:hAnsi="仿宋" w:eastAsia="仿宋" w:cs="仿宋"/>
                <w:bCs/>
                <w:color w:val="auto"/>
                <w:sz w:val="24"/>
                <w:highlight w:val="none"/>
                <w:lang w:val="en-US" w:eastAsia="zh-CN"/>
              </w:rPr>
              <w:t>明显具有不可行不合理的每处扣0.5分，扣完为止，</w:t>
            </w:r>
            <w:r>
              <w:rPr>
                <w:rFonts w:hint="eastAsia" w:ascii="仿宋" w:hAnsi="仿宋" w:eastAsia="仿宋" w:cs="仿宋"/>
                <w:bCs/>
                <w:color w:val="auto"/>
                <w:sz w:val="24"/>
                <w:highlight w:val="none"/>
                <w:lang w:val="zh-CN"/>
              </w:rPr>
              <w:t>未提供不得分。</w:t>
            </w:r>
          </w:p>
        </w:tc>
        <w:tc>
          <w:tcPr>
            <w:tcW w:w="820" w:type="dxa"/>
            <w:tcBorders>
              <w:tl2br w:val="nil"/>
              <w:tr2bl w:val="nil"/>
            </w:tcBorders>
            <w:vAlign w:val="center"/>
          </w:tcPr>
          <w:p w14:paraId="04E6264D">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8分</w:t>
            </w:r>
          </w:p>
        </w:tc>
      </w:tr>
      <w:tr w14:paraId="73A52AD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890" w:hRule="atLeast"/>
          <w:jc w:val="center"/>
        </w:trPr>
        <w:tc>
          <w:tcPr>
            <w:tcW w:w="698" w:type="dxa"/>
            <w:tcBorders>
              <w:tl2br w:val="nil"/>
              <w:tr2bl w:val="nil"/>
            </w:tcBorders>
            <w:vAlign w:val="center"/>
          </w:tcPr>
          <w:p w14:paraId="2786F96A">
            <w:pPr>
              <w:widowControl/>
              <w:tabs>
                <w:tab w:val="left" w:pos="0"/>
                <w:tab w:val="left" w:pos="993"/>
                <w:tab w:val="left" w:pos="1134"/>
              </w:tabs>
              <w:snapToGrid w:val="0"/>
              <w:spacing w:line="420" w:lineRule="exact"/>
              <w:jc w:val="center"/>
              <w:rPr>
                <w:rFonts w:hint="eastAsia" w:ascii="仿宋" w:hAnsi="仿宋" w:eastAsia="仿宋" w:cs="仿宋"/>
                <w:bCs/>
                <w:color w:val="auto"/>
                <w:kern w:val="0"/>
                <w:sz w:val="24"/>
                <w:highlight w:val="none"/>
                <w:lang w:val="en-US" w:eastAsia="zh-CN"/>
              </w:rPr>
            </w:pPr>
            <w:r>
              <w:rPr>
                <w:rFonts w:hint="eastAsia" w:ascii="仿宋" w:hAnsi="仿宋" w:eastAsia="仿宋" w:cs="仿宋"/>
                <w:bCs/>
                <w:color w:val="auto"/>
                <w:kern w:val="0"/>
                <w:sz w:val="24"/>
                <w:highlight w:val="none"/>
                <w:lang w:val="en-US" w:eastAsia="zh-CN"/>
              </w:rPr>
              <w:t>5</w:t>
            </w:r>
          </w:p>
        </w:tc>
        <w:tc>
          <w:tcPr>
            <w:tcW w:w="1389" w:type="dxa"/>
            <w:tcBorders>
              <w:tl2br w:val="nil"/>
              <w:tr2bl w:val="nil"/>
            </w:tcBorders>
            <w:vAlign w:val="center"/>
          </w:tcPr>
          <w:p w14:paraId="5ADBA685">
            <w:pPr>
              <w:widowControl/>
              <w:tabs>
                <w:tab w:val="left" w:pos="0"/>
                <w:tab w:val="left" w:pos="993"/>
                <w:tab w:val="left" w:pos="1134"/>
              </w:tabs>
              <w:snapToGrid w:val="0"/>
              <w:spacing w:line="420" w:lineRule="exact"/>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1"/>
                <w:highlight w:val="none"/>
                <w:lang w:val="zh-CN"/>
              </w:rPr>
              <w:t>保洁清运车辆设备</w:t>
            </w:r>
          </w:p>
        </w:tc>
        <w:tc>
          <w:tcPr>
            <w:tcW w:w="6863" w:type="dxa"/>
            <w:tcBorders>
              <w:tl2br w:val="nil"/>
              <w:tr2bl w:val="nil"/>
            </w:tcBorders>
            <w:vAlign w:val="center"/>
          </w:tcPr>
          <w:p w14:paraId="068C4FC1">
            <w:pPr>
              <w:numPr>
                <w:ilvl w:val="0"/>
                <w:numId w:val="0"/>
              </w:numPr>
              <w:spacing w:line="360" w:lineRule="auto"/>
              <w:ind w:firstLine="240" w:firstLineChars="1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为了确保投入车辆清扫、清洁达到道路保洁的最佳效果，对投标人车辆进行评分：车辆必须满足国</w:t>
            </w:r>
            <w:r>
              <w:rPr>
                <w:rFonts w:hint="eastAsia" w:ascii="仿宋" w:hAnsi="仿宋" w:eastAsia="仿宋" w:cs="仿宋"/>
                <w:bCs/>
                <w:color w:val="auto"/>
                <w:sz w:val="24"/>
                <w:highlight w:val="none"/>
                <w:lang w:val="en-US"/>
              </w:rPr>
              <w:t>六</w:t>
            </w:r>
            <w:r>
              <w:rPr>
                <w:rFonts w:hint="eastAsia" w:ascii="仿宋" w:hAnsi="仿宋" w:eastAsia="仿宋" w:cs="仿宋"/>
                <w:bCs/>
                <w:color w:val="auto"/>
                <w:sz w:val="24"/>
                <w:highlight w:val="none"/>
                <w:lang w:val="zh-CN"/>
              </w:rPr>
              <w:t>排放标准（新能源车除外）：</w:t>
            </w:r>
          </w:p>
          <w:p w14:paraId="7055A518">
            <w:pPr>
              <w:numPr>
                <w:ilvl w:val="0"/>
                <w:numId w:val="0"/>
              </w:numPr>
              <w:spacing w:line="360" w:lineRule="auto"/>
              <w:ind w:firstLine="240" w:firstLineChars="1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1、洒水车或清洗车、扫路车或洗扫车数量及核定载质量</w:t>
            </w:r>
            <w:r>
              <w:rPr>
                <w:rFonts w:hint="eastAsia" w:ascii="仿宋" w:hAnsi="仿宋" w:eastAsia="仿宋" w:cs="仿宋"/>
                <w:bCs/>
                <w:color w:val="auto"/>
                <w:sz w:val="24"/>
                <w:highlight w:val="none"/>
                <w:lang w:val="en-US"/>
              </w:rPr>
              <w:t>全部</w:t>
            </w:r>
            <w:r>
              <w:rPr>
                <w:rFonts w:hint="eastAsia" w:ascii="仿宋" w:hAnsi="仿宋" w:eastAsia="仿宋" w:cs="仿宋"/>
                <w:bCs/>
                <w:color w:val="auto"/>
                <w:sz w:val="24"/>
                <w:highlight w:val="none"/>
                <w:lang w:val="zh-CN"/>
              </w:rPr>
              <w:t>符合本项目要求的（洗扫车</w:t>
            </w:r>
            <w:r>
              <w:rPr>
                <w:rFonts w:hint="eastAsia" w:ascii="仿宋" w:hAnsi="仿宋" w:eastAsia="仿宋" w:cs="仿宋"/>
                <w:bCs/>
                <w:color w:val="auto"/>
                <w:sz w:val="24"/>
                <w:highlight w:val="none"/>
                <w:lang w:val="zh-CN" w:eastAsia="zh-CN"/>
              </w:rPr>
              <w:t>（</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lang w:val="zh-CN"/>
              </w:rPr>
              <w:t>扫路车</w:t>
            </w:r>
            <w:r>
              <w:rPr>
                <w:rFonts w:hint="eastAsia" w:ascii="仿宋" w:hAnsi="仿宋" w:eastAsia="仿宋" w:cs="仿宋"/>
                <w:bCs/>
                <w:color w:val="auto"/>
                <w:sz w:val="24"/>
                <w:highlight w:val="none"/>
                <w:lang w:val="zh-CN" w:eastAsia="zh-CN"/>
              </w:rPr>
              <w:t>）、</w:t>
            </w:r>
            <w:r>
              <w:rPr>
                <w:rFonts w:hint="eastAsia" w:ascii="仿宋" w:hAnsi="仿宋" w:eastAsia="仿宋" w:cs="仿宋"/>
                <w:bCs/>
                <w:color w:val="auto"/>
                <w:sz w:val="24"/>
                <w:highlight w:val="none"/>
                <w:lang w:val="zh-CN"/>
              </w:rPr>
              <w:t>洒水车车辆设备中必须</w:t>
            </w:r>
            <w:r>
              <w:rPr>
                <w:rFonts w:hint="eastAsia" w:ascii="仿宋" w:hAnsi="仿宋" w:eastAsia="仿宋" w:cs="仿宋"/>
                <w:bCs/>
                <w:color w:val="auto"/>
                <w:sz w:val="24"/>
                <w:highlight w:val="none"/>
                <w:lang w:val="en-US" w:eastAsia="zh-CN"/>
              </w:rPr>
              <w:t>各</w:t>
            </w:r>
            <w:r>
              <w:rPr>
                <w:rFonts w:hint="eastAsia" w:ascii="仿宋" w:hAnsi="仿宋" w:eastAsia="仿宋" w:cs="仿宋"/>
                <w:bCs/>
                <w:color w:val="auto"/>
                <w:sz w:val="24"/>
                <w:highlight w:val="none"/>
                <w:lang w:val="zh-CN"/>
              </w:rPr>
              <w:t>有1辆为新能源车）得</w:t>
            </w:r>
            <w:r>
              <w:rPr>
                <w:rFonts w:hint="eastAsia" w:ascii="仿宋" w:hAnsi="仿宋" w:eastAsia="仿宋" w:cs="仿宋"/>
                <w:bCs/>
                <w:color w:val="auto"/>
                <w:sz w:val="24"/>
                <w:highlight w:val="none"/>
                <w:lang w:val="en-US" w:eastAsia="zh-CN"/>
              </w:rPr>
              <w:t>6</w:t>
            </w:r>
            <w:r>
              <w:rPr>
                <w:rFonts w:hint="eastAsia" w:ascii="仿宋" w:hAnsi="仿宋" w:eastAsia="仿宋" w:cs="仿宋"/>
                <w:bCs/>
                <w:color w:val="auto"/>
                <w:sz w:val="24"/>
                <w:highlight w:val="none"/>
                <w:lang w:val="zh-CN"/>
              </w:rPr>
              <w:t>分；</w:t>
            </w:r>
          </w:p>
          <w:p w14:paraId="146FC57F">
            <w:pPr>
              <w:numPr>
                <w:ilvl w:val="0"/>
                <w:numId w:val="0"/>
              </w:numPr>
              <w:spacing w:line="360" w:lineRule="auto"/>
              <w:ind w:firstLine="240" w:firstLineChars="100"/>
              <w:rPr>
                <w:rFonts w:hint="default" w:ascii="仿宋" w:hAnsi="仿宋" w:eastAsia="仿宋" w:cs="仿宋"/>
                <w:bCs/>
                <w:color w:val="auto"/>
                <w:sz w:val="24"/>
                <w:highlight w:val="none"/>
                <w:lang w:val="en-US"/>
              </w:rPr>
            </w:pPr>
            <w:r>
              <w:rPr>
                <w:rFonts w:hint="eastAsia" w:ascii="仿宋" w:hAnsi="仿宋" w:eastAsia="仿宋" w:cs="仿宋"/>
                <w:bCs/>
                <w:color w:val="auto"/>
                <w:sz w:val="24"/>
                <w:highlight w:val="none"/>
                <w:lang w:val="zh-CN"/>
              </w:rPr>
              <w:t>2、高压小型油污冲洗车</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lang w:val="zh-CN"/>
              </w:rPr>
              <w:t>路面养护车、</w:t>
            </w:r>
            <w:r>
              <w:rPr>
                <w:rFonts w:hint="eastAsia" w:ascii="仿宋" w:hAnsi="仿宋" w:eastAsia="仿宋" w:cs="仿宋"/>
                <w:bCs/>
                <w:color w:val="auto"/>
                <w:sz w:val="24"/>
                <w:highlight w:val="none"/>
                <w:lang w:val="en-US"/>
              </w:rPr>
              <w:t>小工程车（皮卡）、护栏清洗车数量</w:t>
            </w:r>
            <w:r>
              <w:rPr>
                <w:rFonts w:hint="eastAsia" w:ascii="仿宋" w:hAnsi="仿宋" w:eastAsia="仿宋" w:cs="仿宋"/>
                <w:bCs/>
                <w:color w:val="auto"/>
                <w:sz w:val="24"/>
                <w:highlight w:val="none"/>
                <w:lang w:val="zh-CN"/>
              </w:rPr>
              <w:t>及核定载质量</w:t>
            </w:r>
            <w:r>
              <w:rPr>
                <w:rFonts w:hint="eastAsia" w:ascii="仿宋" w:hAnsi="仿宋" w:eastAsia="仿宋" w:cs="仿宋"/>
                <w:bCs/>
                <w:color w:val="auto"/>
                <w:sz w:val="24"/>
                <w:highlight w:val="none"/>
                <w:lang w:val="en-US"/>
              </w:rPr>
              <w:t>全部</w:t>
            </w:r>
            <w:r>
              <w:rPr>
                <w:rFonts w:hint="eastAsia" w:ascii="仿宋" w:hAnsi="仿宋" w:eastAsia="仿宋" w:cs="仿宋"/>
                <w:bCs/>
                <w:color w:val="auto"/>
                <w:sz w:val="24"/>
                <w:highlight w:val="none"/>
                <w:lang w:val="zh-CN"/>
              </w:rPr>
              <w:t>符合本项目要求的</w:t>
            </w:r>
            <w:r>
              <w:rPr>
                <w:rFonts w:hint="eastAsia" w:ascii="仿宋" w:hAnsi="仿宋" w:eastAsia="仿宋" w:cs="仿宋"/>
                <w:bCs/>
                <w:color w:val="auto"/>
                <w:sz w:val="24"/>
                <w:highlight w:val="none"/>
                <w:lang w:val="en-US"/>
              </w:rPr>
              <w:t>得</w:t>
            </w: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lang w:val="en-US"/>
              </w:rPr>
              <w:t>分；</w:t>
            </w:r>
          </w:p>
          <w:p w14:paraId="69F1E75F">
            <w:pPr>
              <w:numPr>
                <w:ilvl w:val="0"/>
                <w:numId w:val="0"/>
              </w:numPr>
              <w:spacing w:line="360" w:lineRule="auto"/>
              <w:ind w:firstLine="240" w:firstLineChars="1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3、用于本项目的扫路车（或洗扫车）购买时间在202</w:t>
            </w:r>
            <w:r>
              <w:rPr>
                <w:rFonts w:hint="eastAsia" w:ascii="仿宋" w:hAnsi="仿宋" w:eastAsia="仿宋" w:cs="仿宋"/>
                <w:bCs/>
                <w:color w:val="auto"/>
                <w:sz w:val="24"/>
                <w:highlight w:val="none"/>
                <w:lang w:val="en-US"/>
              </w:rPr>
              <w:t>1</w:t>
            </w:r>
            <w:r>
              <w:rPr>
                <w:rFonts w:hint="eastAsia" w:ascii="仿宋" w:hAnsi="仿宋" w:eastAsia="仿宋" w:cs="仿宋"/>
                <w:bCs/>
                <w:color w:val="auto"/>
                <w:sz w:val="24"/>
                <w:highlight w:val="none"/>
                <w:lang w:val="zh-CN"/>
              </w:rPr>
              <w:t>年之后的1辆</w:t>
            </w:r>
            <w:r>
              <w:rPr>
                <w:rFonts w:hint="eastAsia" w:ascii="仿宋" w:hAnsi="仿宋" w:eastAsia="仿宋" w:cs="仿宋"/>
                <w:bCs/>
                <w:color w:val="auto"/>
                <w:sz w:val="24"/>
                <w:highlight w:val="none"/>
                <w:lang w:val="en-US" w:eastAsia="zh-CN"/>
              </w:rPr>
              <w:t>得</w:t>
            </w:r>
            <w:r>
              <w:rPr>
                <w:rFonts w:hint="eastAsia" w:ascii="仿宋" w:hAnsi="仿宋" w:eastAsia="仿宋" w:cs="仿宋"/>
                <w:bCs/>
                <w:color w:val="auto"/>
                <w:sz w:val="24"/>
                <w:highlight w:val="none"/>
                <w:lang w:val="zh-CN"/>
              </w:rPr>
              <w:t>1分，购买时间在202</w:t>
            </w:r>
            <w:r>
              <w:rPr>
                <w:rFonts w:hint="eastAsia" w:ascii="仿宋" w:hAnsi="仿宋" w:eastAsia="仿宋" w:cs="仿宋"/>
                <w:bCs/>
                <w:color w:val="auto"/>
                <w:sz w:val="24"/>
                <w:highlight w:val="none"/>
                <w:lang w:val="en-US"/>
              </w:rPr>
              <w:t>2</w:t>
            </w:r>
            <w:r>
              <w:rPr>
                <w:rFonts w:hint="eastAsia" w:ascii="仿宋" w:hAnsi="仿宋" w:eastAsia="仿宋" w:cs="仿宋"/>
                <w:bCs/>
                <w:color w:val="auto"/>
                <w:sz w:val="24"/>
                <w:highlight w:val="none"/>
                <w:lang w:val="zh-CN"/>
              </w:rPr>
              <w:t>年之后的1辆</w:t>
            </w:r>
            <w:r>
              <w:rPr>
                <w:rFonts w:hint="eastAsia" w:ascii="仿宋" w:hAnsi="仿宋" w:eastAsia="仿宋" w:cs="仿宋"/>
                <w:bCs/>
                <w:color w:val="auto"/>
                <w:sz w:val="24"/>
                <w:highlight w:val="none"/>
                <w:lang w:val="en-US" w:eastAsia="zh-CN"/>
              </w:rPr>
              <w:t>得</w:t>
            </w:r>
            <w:r>
              <w:rPr>
                <w:rFonts w:hint="eastAsia" w:ascii="仿宋" w:hAnsi="仿宋" w:eastAsia="仿宋" w:cs="仿宋"/>
                <w:bCs/>
                <w:color w:val="auto"/>
                <w:sz w:val="24"/>
                <w:highlight w:val="none"/>
                <w:lang w:val="zh-CN"/>
              </w:rPr>
              <w:t>2分，最高得4分；用于本项目的洒水车（或清洗车）购买时间在202</w:t>
            </w:r>
            <w:r>
              <w:rPr>
                <w:rFonts w:hint="eastAsia" w:ascii="仿宋" w:hAnsi="仿宋" w:eastAsia="仿宋" w:cs="仿宋"/>
                <w:bCs/>
                <w:color w:val="auto"/>
                <w:sz w:val="24"/>
                <w:highlight w:val="none"/>
                <w:lang w:val="en-US"/>
              </w:rPr>
              <w:t>1</w:t>
            </w:r>
            <w:r>
              <w:rPr>
                <w:rFonts w:hint="eastAsia" w:ascii="仿宋" w:hAnsi="仿宋" w:eastAsia="仿宋" w:cs="仿宋"/>
                <w:bCs/>
                <w:color w:val="auto"/>
                <w:sz w:val="24"/>
                <w:highlight w:val="none"/>
                <w:lang w:val="zh-CN"/>
              </w:rPr>
              <w:t>年之后的1辆</w:t>
            </w:r>
            <w:r>
              <w:rPr>
                <w:rFonts w:hint="eastAsia" w:ascii="仿宋" w:hAnsi="仿宋" w:eastAsia="仿宋" w:cs="仿宋"/>
                <w:bCs/>
                <w:color w:val="auto"/>
                <w:sz w:val="24"/>
                <w:highlight w:val="none"/>
                <w:lang w:val="en-US" w:eastAsia="zh-CN"/>
              </w:rPr>
              <w:t>得</w:t>
            </w:r>
            <w:r>
              <w:rPr>
                <w:rFonts w:hint="eastAsia" w:ascii="仿宋" w:hAnsi="仿宋" w:eastAsia="仿宋" w:cs="仿宋"/>
                <w:bCs/>
                <w:color w:val="auto"/>
                <w:sz w:val="24"/>
                <w:highlight w:val="none"/>
                <w:lang w:val="zh-CN"/>
              </w:rPr>
              <w:t>1分，购买时间在202</w:t>
            </w:r>
            <w:r>
              <w:rPr>
                <w:rFonts w:hint="eastAsia" w:ascii="仿宋" w:hAnsi="仿宋" w:eastAsia="仿宋" w:cs="仿宋"/>
                <w:bCs/>
                <w:color w:val="auto"/>
                <w:sz w:val="24"/>
                <w:highlight w:val="none"/>
                <w:lang w:val="en-US"/>
              </w:rPr>
              <w:t>2</w:t>
            </w:r>
            <w:r>
              <w:rPr>
                <w:rFonts w:hint="eastAsia" w:ascii="仿宋" w:hAnsi="仿宋" w:eastAsia="仿宋" w:cs="仿宋"/>
                <w:bCs/>
                <w:color w:val="auto"/>
                <w:sz w:val="24"/>
                <w:highlight w:val="none"/>
                <w:lang w:val="zh-CN"/>
              </w:rPr>
              <w:t>年之后的1辆</w:t>
            </w:r>
            <w:r>
              <w:rPr>
                <w:rFonts w:hint="eastAsia" w:ascii="仿宋" w:hAnsi="仿宋" w:eastAsia="仿宋" w:cs="仿宋"/>
                <w:bCs/>
                <w:color w:val="auto"/>
                <w:sz w:val="24"/>
                <w:highlight w:val="none"/>
                <w:lang w:val="en-US" w:eastAsia="zh-CN"/>
              </w:rPr>
              <w:t>得</w:t>
            </w:r>
            <w:r>
              <w:rPr>
                <w:rFonts w:hint="eastAsia" w:ascii="仿宋" w:hAnsi="仿宋" w:eastAsia="仿宋" w:cs="仿宋"/>
                <w:bCs/>
                <w:color w:val="auto"/>
                <w:sz w:val="24"/>
                <w:highlight w:val="none"/>
                <w:lang w:val="zh-CN"/>
              </w:rPr>
              <w:t>2分，最高得4分。</w:t>
            </w:r>
          </w:p>
          <w:p w14:paraId="7B0D7C18">
            <w:pPr>
              <w:numPr>
                <w:ilvl w:val="0"/>
                <w:numId w:val="0"/>
              </w:numPr>
              <w:spacing w:line="360" w:lineRule="auto"/>
              <w:ind w:firstLine="240" w:firstLineChars="100"/>
              <w:rPr>
                <w:rFonts w:hint="eastAsia" w:ascii="仿宋" w:hAnsi="仿宋" w:eastAsia="仿宋" w:cs="仿宋"/>
                <w:b/>
                <w:bCs/>
                <w:color w:val="auto"/>
                <w:sz w:val="24"/>
                <w:highlight w:val="none"/>
                <w:u w:val="single"/>
                <w:lang w:val="en-US" w:eastAsia="zh-CN"/>
              </w:rPr>
            </w:pPr>
            <w:r>
              <w:rPr>
                <w:rFonts w:hint="eastAsia" w:ascii="仿宋" w:hAnsi="仿宋" w:eastAsia="仿宋" w:cs="仿宋"/>
                <w:bCs/>
                <w:color w:val="auto"/>
                <w:sz w:val="24"/>
                <w:highlight w:val="none"/>
                <w:u w:val="single"/>
                <w:lang w:val="zh-CN" w:eastAsia="zh-TW"/>
              </w:rPr>
              <w:t>注：</w:t>
            </w:r>
            <w:r>
              <w:rPr>
                <w:rFonts w:hint="eastAsia" w:ascii="仿宋" w:hAnsi="仿宋" w:eastAsia="仿宋" w:cs="仿宋"/>
                <w:bCs/>
                <w:color w:val="auto"/>
                <w:sz w:val="24"/>
                <w:highlight w:val="none"/>
                <w:u w:val="single"/>
                <w:lang w:val="zh-TW" w:eastAsia="zh-TW"/>
              </w:rPr>
              <w:t>1.</w:t>
            </w:r>
            <w:r>
              <w:rPr>
                <w:rFonts w:hint="eastAsia" w:ascii="仿宋" w:hAnsi="仿宋" w:eastAsia="仿宋" w:cs="仿宋"/>
                <w:bCs/>
                <w:color w:val="auto"/>
                <w:sz w:val="24"/>
                <w:highlight w:val="none"/>
                <w:u w:val="single"/>
                <w:lang w:val="en-US" w:eastAsia="zh-CN"/>
              </w:rPr>
              <w:t>投标人</w:t>
            </w:r>
            <w:r>
              <w:rPr>
                <w:rFonts w:hint="eastAsia" w:ascii="仿宋" w:hAnsi="仿宋" w:eastAsia="仿宋" w:cs="仿宋"/>
                <w:bCs/>
                <w:color w:val="auto"/>
                <w:sz w:val="24"/>
                <w:highlight w:val="none"/>
                <w:u w:val="single"/>
                <w:lang w:val="zh-CN" w:eastAsia="zh-TW"/>
              </w:rPr>
              <w:t>自有车辆设备须提供设备照片、购车发票及车辆行驶证、</w:t>
            </w:r>
            <w:r>
              <w:rPr>
                <w:rFonts w:hint="eastAsia" w:ascii="仿宋" w:hAnsi="仿宋" w:eastAsia="仿宋" w:cs="仿宋"/>
                <w:bCs/>
                <w:color w:val="auto"/>
                <w:sz w:val="24"/>
                <w:highlight w:val="none"/>
                <w:u w:val="single"/>
                <w:lang w:val="en-US" w:eastAsia="zh-CN"/>
              </w:rPr>
              <w:t>交强险、第三方责任险保单</w:t>
            </w:r>
            <w:r>
              <w:rPr>
                <w:rFonts w:hint="eastAsia" w:ascii="仿宋" w:hAnsi="仿宋" w:eastAsia="仿宋" w:cs="仿宋"/>
                <w:bCs/>
                <w:color w:val="auto"/>
                <w:sz w:val="24"/>
                <w:highlight w:val="none"/>
                <w:u w:val="single"/>
                <w:lang w:val="zh-CN" w:eastAsia="zh-TW"/>
              </w:rPr>
              <w:t>[招标公告发布之后新购置的车辆可只提供设备照片、购车发票、</w:t>
            </w:r>
            <w:r>
              <w:rPr>
                <w:rFonts w:hint="eastAsia" w:ascii="仿宋" w:hAnsi="仿宋" w:eastAsia="仿宋" w:cs="仿宋"/>
                <w:bCs/>
                <w:color w:val="auto"/>
                <w:sz w:val="24"/>
                <w:highlight w:val="none"/>
                <w:u w:val="single"/>
                <w:lang w:val="en-US" w:eastAsia="zh-CN"/>
              </w:rPr>
              <w:t>交强险、第三方责任险保单</w:t>
            </w:r>
            <w:r>
              <w:rPr>
                <w:rFonts w:hint="eastAsia" w:ascii="仿宋" w:hAnsi="仿宋" w:eastAsia="仿宋" w:cs="仿宋"/>
                <w:bCs/>
                <w:color w:val="auto"/>
                <w:sz w:val="24"/>
                <w:highlight w:val="none"/>
                <w:u w:val="single"/>
                <w:lang w:val="zh-CN"/>
              </w:rPr>
              <w:t>]</w:t>
            </w:r>
            <w:r>
              <w:rPr>
                <w:rFonts w:hint="eastAsia" w:ascii="仿宋" w:hAnsi="仿宋" w:eastAsia="仿宋" w:cs="仿宋"/>
                <w:bCs/>
                <w:color w:val="auto"/>
                <w:sz w:val="24"/>
                <w:highlight w:val="none"/>
                <w:u w:val="single"/>
                <w:lang w:val="zh-CN" w:eastAsia="zh-TW"/>
              </w:rPr>
              <w:t>；2.</w:t>
            </w:r>
            <w:r>
              <w:rPr>
                <w:rFonts w:hint="eastAsia" w:ascii="仿宋" w:hAnsi="仿宋" w:eastAsia="仿宋" w:cs="仿宋"/>
                <w:bCs/>
                <w:color w:val="auto"/>
                <w:sz w:val="24"/>
                <w:highlight w:val="none"/>
                <w:u w:val="single"/>
                <w:lang w:val="en-US" w:eastAsia="zh-CN"/>
              </w:rPr>
              <w:t>投标人</w:t>
            </w:r>
            <w:r>
              <w:rPr>
                <w:rFonts w:hint="eastAsia" w:ascii="仿宋" w:hAnsi="仿宋" w:eastAsia="仿宋" w:cs="仿宋"/>
                <w:bCs/>
                <w:color w:val="auto"/>
                <w:sz w:val="24"/>
                <w:highlight w:val="none"/>
                <w:u w:val="single"/>
                <w:lang w:val="zh-CN" w:eastAsia="zh-TW"/>
              </w:rPr>
              <w:t>租赁车辆的须提供设备照片、租赁协议</w:t>
            </w:r>
            <w:r>
              <w:rPr>
                <w:rFonts w:hint="eastAsia" w:ascii="仿宋" w:hAnsi="仿宋" w:eastAsia="仿宋" w:cs="仿宋"/>
                <w:bCs/>
                <w:color w:val="auto"/>
                <w:sz w:val="24"/>
                <w:highlight w:val="none"/>
                <w:u w:val="single"/>
                <w:lang w:val="zh-CN"/>
              </w:rPr>
              <w:t>（须体现购买时间，租赁合同中租赁期限截止期不得早于202</w:t>
            </w:r>
            <w:r>
              <w:rPr>
                <w:rFonts w:hint="eastAsia" w:ascii="仿宋" w:hAnsi="仿宋" w:eastAsia="仿宋" w:cs="仿宋"/>
                <w:bCs/>
                <w:color w:val="auto"/>
                <w:sz w:val="24"/>
                <w:highlight w:val="none"/>
                <w:u w:val="single"/>
                <w:lang w:val="en-US"/>
              </w:rPr>
              <w:t>8</w:t>
            </w:r>
            <w:r>
              <w:rPr>
                <w:rFonts w:hint="eastAsia" w:ascii="仿宋" w:hAnsi="仿宋" w:eastAsia="仿宋" w:cs="仿宋"/>
                <w:bCs/>
                <w:color w:val="auto"/>
                <w:sz w:val="24"/>
                <w:highlight w:val="none"/>
                <w:u w:val="single"/>
                <w:lang w:val="zh-CN"/>
              </w:rPr>
              <w:t>年12月31日）</w:t>
            </w:r>
            <w:r>
              <w:rPr>
                <w:rFonts w:hint="eastAsia" w:ascii="仿宋" w:hAnsi="仿宋" w:eastAsia="仿宋" w:cs="仿宋"/>
                <w:bCs/>
                <w:color w:val="auto"/>
                <w:sz w:val="24"/>
                <w:highlight w:val="none"/>
                <w:u w:val="single"/>
                <w:lang w:val="zh-CN" w:eastAsia="zh-TW"/>
              </w:rPr>
              <w:t>及车辆行驶证</w:t>
            </w:r>
            <w:r>
              <w:rPr>
                <w:rFonts w:hint="eastAsia" w:ascii="仿宋" w:hAnsi="仿宋" w:eastAsia="仿宋" w:cs="仿宋"/>
                <w:bCs/>
                <w:color w:val="auto"/>
                <w:sz w:val="24"/>
                <w:highlight w:val="none"/>
                <w:u w:val="single"/>
                <w:lang w:val="zh-CN" w:eastAsia="zh-TW"/>
              </w:rPr>
              <w:t>、</w:t>
            </w:r>
            <w:r>
              <w:rPr>
                <w:rFonts w:hint="eastAsia" w:ascii="仿宋" w:hAnsi="仿宋" w:eastAsia="仿宋" w:cs="仿宋"/>
                <w:bCs/>
                <w:color w:val="auto"/>
                <w:sz w:val="24"/>
                <w:highlight w:val="none"/>
                <w:u w:val="single"/>
                <w:lang w:val="en-US" w:eastAsia="zh-CN"/>
              </w:rPr>
              <w:t>交强险、第三方责任险保单</w:t>
            </w:r>
            <w:r>
              <w:rPr>
                <w:rFonts w:hint="eastAsia" w:ascii="仿宋" w:hAnsi="仿宋" w:eastAsia="仿宋" w:cs="仿宋"/>
                <w:bCs/>
                <w:color w:val="auto"/>
                <w:sz w:val="24"/>
                <w:highlight w:val="none"/>
                <w:u w:val="single"/>
                <w:lang w:val="zh-CN" w:eastAsia="zh-TW"/>
              </w:rPr>
              <w:t>。</w:t>
            </w:r>
          </w:p>
        </w:tc>
        <w:tc>
          <w:tcPr>
            <w:tcW w:w="820" w:type="dxa"/>
            <w:tcBorders>
              <w:tl2br w:val="nil"/>
              <w:tr2bl w:val="nil"/>
            </w:tcBorders>
            <w:vAlign w:val="center"/>
          </w:tcPr>
          <w:p w14:paraId="08DF1D2E">
            <w:pPr>
              <w:widowControl/>
              <w:tabs>
                <w:tab w:val="left" w:pos="0"/>
                <w:tab w:val="left" w:pos="993"/>
                <w:tab w:val="left" w:pos="1134"/>
              </w:tabs>
              <w:snapToGrid w:val="0"/>
              <w:spacing w:line="420" w:lineRule="exact"/>
              <w:jc w:val="center"/>
              <w:rPr>
                <w:rFonts w:hint="default"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18分</w:t>
            </w:r>
          </w:p>
        </w:tc>
      </w:tr>
      <w:tr w14:paraId="6C585EE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698" w:type="dxa"/>
            <w:tcBorders>
              <w:tl2br w:val="nil"/>
              <w:tr2bl w:val="nil"/>
            </w:tcBorders>
            <w:vAlign w:val="center"/>
          </w:tcPr>
          <w:p w14:paraId="4A14E14D">
            <w:pPr>
              <w:widowControl/>
              <w:tabs>
                <w:tab w:val="left" w:pos="0"/>
                <w:tab w:val="left" w:pos="993"/>
                <w:tab w:val="left" w:pos="1134"/>
              </w:tabs>
              <w:snapToGrid w:val="0"/>
              <w:spacing w:line="420" w:lineRule="exact"/>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二</w:t>
            </w:r>
          </w:p>
        </w:tc>
        <w:tc>
          <w:tcPr>
            <w:tcW w:w="8252" w:type="dxa"/>
            <w:gridSpan w:val="2"/>
            <w:tcBorders>
              <w:tl2br w:val="nil"/>
              <w:tr2bl w:val="nil"/>
            </w:tcBorders>
            <w:vAlign w:val="center"/>
          </w:tcPr>
          <w:p w14:paraId="581391D1">
            <w:pPr>
              <w:widowControl/>
              <w:tabs>
                <w:tab w:val="left" w:pos="0"/>
                <w:tab w:val="left" w:pos="993"/>
                <w:tab w:val="left" w:pos="1134"/>
              </w:tabs>
              <w:snapToGrid w:val="0"/>
              <w:jc w:val="center"/>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商务</w:t>
            </w:r>
            <w:r>
              <w:rPr>
                <w:rFonts w:hint="eastAsia" w:ascii="仿宋" w:hAnsi="仿宋" w:eastAsia="仿宋" w:cs="仿宋"/>
                <w:b/>
                <w:color w:val="auto"/>
                <w:kern w:val="0"/>
                <w:sz w:val="24"/>
                <w:highlight w:val="none"/>
                <w:lang w:eastAsia="zh-CN"/>
              </w:rPr>
              <w:t>、</w:t>
            </w:r>
            <w:r>
              <w:rPr>
                <w:rFonts w:hint="eastAsia" w:ascii="仿宋" w:hAnsi="仿宋" w:eastAsia="仿宋" w:cs="仿宋"/>
                <w:b/>
                <w:color w:val="auto"/>
                <w:kern w:val="0"/>
                <w:sz w:val="24"/>
                <w:highlight w:val="none"/>
                <w:lang w:val="en-US" w:eastAsia="zh-CN"/>
              </w:rPr>
              <w:t>资信及其他</w:t>
            </w:r>
            <w:r>
              <w:rPr>
                <w:rFonts w:hint="eastAsia" w:ascii="仿宋" w:hAnsi="仿宋" w:eastAsia="仿宋" w:cs="仿宋"/>
                <w:b/>
                <w:color w:val="auto"/>
                <w:kern w:val="0"/>
                <w:sz w:val="24"/>
                <w:highlight w:val="none"/>
              </w:rPr>
              <w:t>分</w:t>
            </w:r>
          </w:p>
        </w:tc>
        <w:tc>
          <w:tcPr>
            <w:tcW w:w="820" w:type="dxa"/>
            <w:tcBorders>
              <w:tl2br w:val="nil"/>
              <w:tr2bl w:val="nil"/>
            </w:tcBorders>
            <w:vAlign w:val="center"/>
          </w:tcPr>
          <w:p w14:paraId="17E7EAF5">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13分</w:t>
            </w:r>
          </w:p>
        </w:tc>
      </w:tr>
      <w:tr w14:paraId="3D42CAA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698" w:type="dxa"/>
            <w:tcBorders>
              <w:tl2br w:val="nil"/>
              <w:tr2bl w:val="nil"/>
            </w:tcBorders>
            <w:vAlign w:val="center"/>
          </w:tcPr>
          <w:p w14:paraId="723B261D">
            <w:pPr>
              <w:widowControl/>
              <w:tabs>
                <w:tab w:val="left" w:pos="0"/>
                <w:tab w:val="left" w:pos="993"/>
                <w:tab w:val="left" w:pos="1134"/>
              </w:tabs>
              <w:snapToGrid w:val="0"/>
              <w:spacing w:line="420" w:lineRule="exact"/>
              <w:jc w:val="center"/>
              <w:rPr>
                <w:rFonts w:hint="default" w:ascii="仿宋" w:hAnsi="仿宋" w:eastAsia="仿宋" w:cs="仿宋"/>
                <w:bCs/>
                <w:color w:val="auto"/>
                <w:kern w:val="0"/>
                <w:sz w:val="24"/>
                <w:highlight w:val="none"/>
                <w:lang w:val="en-US" w:eastAsia="zh-CN"/>
              </w:rPr>
            </w:pPr>
            <w:r>
              <w:rPr>
                <w:rFonts w:hint="eastAsia" w:ascii="仿宋" w:hAnsi="仿宋" w:eastAsia="仿宋" w:cs="仿宋"/>
                <w:bCs/>
                <w:color w:val="auto"/>
                <w:kern w:val="0"/>
                <w:sz w:val="24"/>
                <w:highlight w:val="none"/>
                <w:lang w:val="en-US" w:eastAsia="zh-CN"/>
              </w:rPr>
              <w:t>6</w:t>
            </w:r>
          </w:p>
        </w:tc>
        <w:tc>
          <w:tcPr>
            <w:tcW w:w="1389" w:type="dxa"/>
            <w:tcBorders>
              <w:tl2br w:val="nil"/>
              <w:tr2bl w:val="nil"/>
            </w:tcBorders>
            <w:vAlign w:val="center"/>
          </w:tcPr>
          <w:p w14:paraId="3CF42735">
            <w:pPr>
              <w:tabs>
                <w:tab w:val="left" w:pos="1080"/>
              </w:tabs>
              <w:spacing w:line="420" w:lineRule="exact"/>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lang w:val="en-US" w:eastAsia="zh-CN"/>
              </w:rPr>
              <w:t>服务承诺</w:t>
            </w:r>
          </w:p>
        </w:tc>
        <w:tc>
          <w:tcPr>
            <w:tcW w:w="6863" w:type="dxa"/>
            <w:tcBorders>
              <w:tl2br w:val="nil"/>
              <w:tr2bl w:val="nil"/>
            </w:tcBorders>
            <w:vAlign w:val="center"/>
          </w:tcPr>
          <w:p w14:paraId="57884F42">
            <w:pPr>
              <w:numPr>
                <w:ilvl w:val="0"/>
                <w:numId w:val="0"/>
              </w:numPr>
              <w:spacing w:line="360" w:lineRule="auto"/>
              <w:ind w:firstLine="240" w:firstLineChars="1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1、办公场所（0-2分）：在投标的服务区范围内设置办公室，提供房屋租赁合同或房屋自有证明，或承诺中标后设立的，均得2分。不提供不得分。</w:t>
            </w:r>
          </w:p>
          <w:p w14:paraId="2B285800">
            <w:pPr>
              <w:numPr>
                <w:ilvl w:val="0"/>
                <w:numId w:val="0"/>
              </w:numPr>
              <w:spacing w:line="360" w:lineRule="auto"/>
              <w:ind w:firstLine="240" w:firstLineChars="100"/>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2、作业车辆停放场所（0-2分）：投标</w:t>
            </w:r>
            <w:r>
              <w:rPr>
                <w:rFonts w:hint="eastAsia" w:ascii="仿宋" w:hAnsi="仿宋" w:eastAsia="仿宋" w:cs="仿宋"/>
                <w:bCs/>
                <w:color w:val="auto"/>
                <w:sz w:val="24"/>
                <w:highlight w:val="none"/>
                <w:lang w:val="en-US" w:eastAsia="zh-CN"/>
              </w:rPr>
              <w:t>人</w:t>
            </w:r>
            <w:r>
              <w:rPr>
                <w:rFonts w:hint="eastAsia" w:ascii="仿宋" w:hAnsi="仿宋" w:eastAsia="仿宋" w:cs="仿宋"/>
                <w:bCs/>
                <w:color w:val="auto"/>
                <w:sz w:val="24"/>
                <w:highlight w:val="none"/>
                <w:lang w:val="zh-CN"/>
              </w:rPr>
              <w:t>在湖州市具有车辆停放场所（供标项内所需全部作业车辆停放），提供意向性租赁协议或停车场所租赁合同或场所自有证明，或承诺中标后设立的，均得2分。不提供不得分。</w:t>
            </w:r>
          </w:p>
          <w:p w14:paraId="76FFBD40">
            <w:pPr>
              <w:numPr>
                <w:ilvl w:val="0"/>
                <w:numId w:val="0"/>
              </w:numPr>
              <w:spacing w:line="360" w:lineRule="auto"/>
              <w:ind w:firstLine="240" w:firstLineChars="100"/>
              <w:rPr>
                <w:rFonts w:hint="eastAsia" w:ascii="仿宋" w:hAnsi="仿宋" w:eastAsia="仿宋" w:cs="仿宋"/>
                <w:b/>
                <w:color w:val="auto"/>
                <w:sz w:val="24"/>
                <w:highlight w:val="none"/>
                <w:u w:val="single"/>
                <w:lang w:val="en-US" w:eastAsia="zh-CN"/>
              </w:rPr>
            </w:pPr>
            <w:r>
              <w:rPr>
                <w:rFonts w:hint="eastAsia" w:ascii="仿宋" w:hAnsi="仿宋" w:eastAsia="仿宋" w:cs="仿宋"/>
                <w:bCs/>
                <w:color w:val="auto"/>
                <w:sz w:val="24"/>
                <w:highlight w:val="none"/>
                <w:lang w:val="zh-CN"/>
              </w:rPr>
              <w:t>3、响应时间（0-2分）：成立专业的应急队伍（不少于 10人）在采购人有需求时接到通知（电话、电传等）后30分钟内到现场响应得2分，不响应不得分。</w:t>
            </w:r>
            <w:r>
              <w:rPr>
                <w:rFonts w:hint="eastAsia" w:ascii="仿宋" w:hAnsi="仿宋" w:eastAsia="仿宋" w:cs="仿宋"/>
                <w:bCs/>
                <w:color w:val="auto"/>
                <w:sz w:val="24"/>
                <w:highlight w:val="none"/>
                <w:lang w:val="en-US" w:eastAsia="zh-CN"/>
              </w:rPr>
              <w:t>提供承诺函。不提供不得分。</w:t>
            </w:r>
          </w:p>
        </w:tc>
        <w:tc>
          <w:tcPr>
            <w:tcW w:w="820" w:type="dxa"/>
            <w:tcBorders>
              <w:tl2br w:val="nil"/>
              <w:tr2bl w:val="nil"/>
            </w:tcBorders>
            <w:vAlign w:val="center"/>
          </w:tcPr>
          <w:p w14:paraId="45D8B7DD">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6分</w:t>
            </w:r>
          </w:p>
        </w:tc>
      </w:tr>
      <w:tr w14:paraId="0970961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698" w:type="dxa"/>
            <w:tcBorders>
              <w:tl2br w:val="nil"/>
              <w:tr2bl w:val="nil"/>
            </w:tcBorders>
            <w:vAlign w:val="center"/>
          </w:tcPr>
          <w:p w14:paraId="0E430E96">
            <w:pPr>
              <w:widowControl/>
              <w:tabs>
                <w:tab w:val="left" w:pos="0"/>
                <w:tab w:val="left" w:pos="993"/>
                <w:tab w:val="left" w:pos="1134"/>
              </w:tabs>
              <w:snapToGrid w:val="0"/>
              <w:spacing w:line="420" w:lineRule="exact"/>
              <w:jc w:val="center"/>
              <w:rPr>
                <w:rFonts w:hint="default" w:ascii="仿宋" w:hAnsi="仿宋" w:eastAsia="仿宋" w:cs="仿宋"/>
                <w:bCs/>
                <w:color w:val="auto"/>
                <w:kern w:val="0"/>
                <w:sz w:val="24"/>
                <w:highlight w:val="none"/>
                <w:lang w:val="en-US" w:eastAsia="zh-CN"/>
              </w:rPr>
            </w:pPr>
            <w:r>
              <w:rPr>
                <w:rFonts w:hint="eastAsia" w:ascii="仿宋" w:hAnsi="仿宋" w:eastAsia="仿宋" w:cs="仿宋"/>
                <w:bCs/>
                <w:color w:val="auto"/>
                <w:kern w:val="0"/>
                <w:sz w:val="24"/>
                <w:highlight w:val="none"/>
                <w:lang w:val="en-US" w:eastAsia="zh-CN"/>
              </w:rPr>
              <w:t>7</w:t>
            </w:r>
          </w:p>
        </w:tc>
        <w:tc>
          <w:tcPr>
            <w:tcW w:w="1389" w:type="dxa"/>
            <w:tcBorders>
              <w:tl2br w:val="nil"/>
              <w:tr2bl w:val="nil"/>
            </w:tcBorders>
            <w:vAlign w:val="center"/>
          </w:tcPr>
          <w:p w14:paraId="5ECA4FC1">
            <w:pPr>
              <w:tabs>
                <w:tab w:val="left" w:pos="1080"/>
              </w:tabs>
              <w:spacing w:line="42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sz w:val="24"/>
                <w:szCs w:val="21"/>
                <w:highlight w:val="none"/>
              </w:rPr>
              <w:t>员工培训</w:t>
            </w:r>
          </w:p>
        </w:tc>
        <w:tc>
          <w:tcPr>
            <w:tcW w:w="6863" w:type="dxa"/>
            <w:tcBorders>
              <w:tl2br w:val="nil"/>
              <w:tr2bl w:val="nil"/>
            </w:tcBorders>
            <w:vAlign w:val="center"/>
          </w:tcPr>
          <w:p w14:paraId="1F78A5F6">
            <w:pPr>
              <w:spacing w:line="360" w:lineRule="auto"/>
              <w:ind w:firstLine="480" w:firstLineChars="200"/>
              <w:rPr>
                <w:rFonts w:hint="eastAsia" w:ascii="仿宋" w:hAnsi="仿宋" w:eastAsia="仿宋" w:cs="仿宋"/>
                <w:b/>
                <w:color w:val="auto"/>
                <w:sz w:val="24"/>
                <w:szCs w:val="21"/>
                <w:highlight w:val="none"/>
                <w:lang w:val="zh-CN" w:bidi="zh-CN"/>
              </w:rPr>
            </w:pPr>
            <w:r>
              <w:rPr>
                <w:rFonts w:hint="eastAsia" w:ascii="仿宋" w:hAnsi="仿宋" w:eastAsia="仿宋" w:cs="仿宋"/>
                <w:b w:val="0"/>
                <w:bCs/>
                <w:color w:val="auto"/>
                <w:kern w:val="0"/>
                <w:sz w:val="24"/>
                <w:highlight w:val="none"/>
              </w:rPr>
              <w:t>根据可行的员工训练或培训措施等方面打分（2 分）</w:t>
            </w:r>
            <w:r>
              <w:rPr>
                <w:rFonts w:hint="eastAsia" w:ascii="仿宋" w:hAnsi="仿宋" w:eastAsia="仿宋" w:cs="仿宋"/>
                <w:b w:val="0"/>
                <w:bCs/>
                <w:color w:val="auto"/>
                <w:kern w:val="0"/>
                <w:sz w:val="24"/>
                <w:highlight w:val="none"/>
                <w:lang w:eastAsia="zh-CN"/>
              </w:rPr>
              <w:t>：</w:t>
            </w:r>
            <w:r>
              <w:rPr>
                <w:rFonts w:hint="eastAsia" w:ascii="仿宋" w:hAnsi="仿宋" w:eastAsia="仿宋" w:cs="仿宋"/>
                <w:b w:val="0"/>
                <w:bCs/>
                <w:color w:val="auto"/>
                <w:kern w:val="0"/>
                <w:sz w:val="24"/>
                <w:highlight w:val="none"/>
                <w:lang w:val="en-US" w:eastAsia="zh-CN"/>
              </w:rPr>
              <w:t>包括</w:t>
            </w:r>
            <w:r>
              <w:rPr>
                <w:rFonts w:hint="eastAsia" w:ascii="仿宋" w:hAnsi="仿宋" w:eastAsia="仿宋" w:cs="仿宋"/>
                <w:b w:val="0"/>
                <w:bCs/>
                <w:color w:val="auto"/>
                <w:kern w:val="0"/>
                <w:sz w:val="24"/>
                <w:highlight w:val="none"/>
              </w:rPr>
              <w:t>员工上岗培训，定期开展安全生产培训，每年不少于一次</w:t>
            </w:r>
            <w:r>
              <w:rPr>
                <w:rFonts w:hint="eastAsia" w:ascii="仿宋" w:hAnsi="仿宋" w:eastAsia="仿宋" w:cs="仿宋"/>
                <w:b w:val="0"/>
                <w:bCs/>
                <w:color w:val="auto"/>
                <w:kern w:val="0"/>
                <w:sz w:val="24"/>
                <w:highlight w:val="none"/>
                <w:lang w:val="en-US" w:eastAsia="zh-CN"/>
              </w:rPr>
              <w:t>等</w:t>
            </w:r>
            <w:r>
              <w:rPr>
                <w:rFonts w:hint="eastAsia" w:ascii="仿宋" w:hAnsi="仿宋" w:eastAsia="仿宋" w:cs="仿宋"/>
                <w:b w:val="0"/>
                <w:bCs/>
                <w:color w:val="auto"/>
                <w:kern w:val="0"/>
                <w:sz w:val="24"/>
                <w:highlight w:val="none"/>
              </w:rPr>
              <w:t>。</w:t>
            </w:r>
            <w:r>
              <w:rPr>
                <w:rFonts w:hint="eastAsia" w:ascii="仿宋" w:hAnsi="仿宋" w:eastAsia="仿宋" w:cs="仿宋"/>
                <w:b w:val="0"/>
                <w:bCs/>
                <w:color w:val="auto"/>
                <w:sz w:val="24"/>
                <w:highlight w:val="none"/>
                <w:lang w:val="en-US" w:eastAsia="zh-CN"/>
              </w:rPr>
              <w:t>阐述内容不契合项目采购需求的或阐述内容</w:t>
            </w:r>
            <w:r>
              <w:rPr>
                <w:rFonts w:hint="default" w:ascii="仿宋" w:hAnsi="仿宋" w:eastAsia="仿宋" w:cs="仿宋"/>
                <w:b w:val="0"/>
                <w:bCs/>
                <w:color w:val="auto"/>
                <w:sz w:val="24"/>
                <w:highlight w:val="none"/>
                <w:lang w:val="en-US" w:eastAsia="zh-CN"/>
              </w:rPr>
              <w:t>明显具有不可行不合理的每处扣0.5分，扣完为止，</w:t>
            </w:r>
            <w:r>
              <w:rPr>
                <w:rFonts w:hint="eastAsia" w:ascii="仿宋" w:hAnsi="仿宋" w:eastAsia="仿宋" w:cs="仿宋"/>
                <w:b w:val="0"/>
                <w:bCs/>
                <w:color w:val="auto"/>
                <w:sz w:val="24"/>
                <w:highlight w:val="none"/>
                <w:lang w:val="zh-CN"/>
              </w:rPr>
              <w:t>未提供不得分。</w:t>
            </w:r>
          </w:p>
        </w:tc>
        <w:tc>
          <w:tcPr>
            <w:tcW w:w="820" w:type="dxa"/>
            <w:tcBorders>
              <w:tl2br w:val="nil"/>
              <w:tr2bl w:val="nil"/>
            </w:tcBorders>
            <w:vAlign w:val="center"/>
          </w:tcPr>
          <w:p w14:paraId="14E77F2B">
            <w:pPr>
              <w:widowControl/>
              <w:tabs>
                <w:tab w:val="left" w:pos="0"/>
                <w:tab w:val="left" w:pos="993"/>
                <w:tab w:val="left" w:pos="1134"/>
              </w:tabs>
              <w:snapToGrid w:val="0"/>
              <w:spacing w:line="420" w:lineRule="exact"/>
              <w:jc w:val="center"/>
              <w:rPr>
                <w:rFonts w:hint="default"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2分</w:t>
            </w:r>
          </w:p>
        </w:tc>
      </w:tr>
      <w:tr w14:paraId="4BECCFB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698" w:type="dxa"/>
            <w:tcBorders>
              <w:tl2br w:val="nil"/>
              <w:tr2bl w:val="nil"/>
            </w:tcBorders>
            <w:vAlign w:val="center"/>
          </w:tcPr>
          <w:p w14:paraId="5EB8970B">
            <w:pPr>
              <w:widowControl/>
              <w:tabs>
                <w:tab w:val="left" w:pos="0"/>
                <w:tab w:val="left" w:pos="993"/>
                <w:tab w:val="left" w:pos="1134"/>
              </w:tabs>
              <w:snapToGrid w:val="0"/>
              <w:spacing w:line="420" w:lineRule="exact"/>
              <w:jc w:val="center"/>
              <w:rPr>
                <w:rFonts w:hint="eastAsia" w:ascii="仿宋" w:hAnsi="仿宋" w:eastAsia="仿宋" w:cs="仿宋"/>
                <w:bCs/>
                <w:color w:val="auto"/>
                <w:kern w:val="0"/>
                <w:sz w:val="24"/>
                <w:highlight w:val="none"/>
                <w:lang w:eastAsia="zh-CN"/>
              </w:rPr>
            </w:pPr>
            <w:r>
              <w:rPr>
                <w:rFonts w:hint="eastAsia" w:ascii="仿宋" w:hAnsi="仿宋" w:eastAsia="仿宋" w:cs="仿宋"/>
                <w:bCs/>
                <w:color w:val="auto"/>
                <w:kern w:val="0"/>
                <w:sz w:val="24"/>
                <w:highlight w:val="none"/>
                <w:lang w:val="en-US" w:eastAsia="zh-CN"/>
              </w:rPr>
              <w:t>8</w:t>
            </w:r>
          </w:p>
        </w:tc>
        <w:tc>
          <w:tcPr>
            <w:tcW w:w="1389" w:type="dxa"/>
            <w:tcBorders>
              <w:tl2br w:val="nil"/>
              <w:tr2bl w:val="nil"/>
            </w:tcBorders>
            <w:vAlign w:val="center"/>
          </w:tcPr>
          <w:p w14:paraId="5F5BFF10">
            <w:pPr>
              <w:pStyle w:val="13"/>
              <w:spacing w:line="340" w:lineRule="atLeast"/>
              <w:jc w:val="center"/>
              <w:rPr>
                <w:rFonts w:hint="eastAsia" w:ascii="仿宋" w:hAnsi="仿宋" w:eastAsia="仿宋" w:cs="仿宋"/>
                <w:b/>
                <w:color w:val="auto"/>
                <w:kern w:val="0"/>
                <w:sz w:val="24"/>
                <w:highlight w:val="none"/>
              </w:rPr>
            </w:pPr>
            <w:r>
              <w:rPr>
                <w:rFonts w:hint="eastAsia" w:ascii="仿宋" w:hAnsi="仿宋" w:eastAsia="仿宋" w:cs="仿宋"/>
                <w:b/>
                <w:color w:val="auto"/>
                <w:sz w:val="24"/>
                <w:szCs w:val="24"/>
                <w:highlight w:val="none"/>
              </w:rPr>
              <w:t>企业业绩</w:t>
            </w:r>
          </w:p>
        </w:tc>
        <w:tc>
          <w:tcPr>
            <w:tcW w:w="6863" w:type="dxa"/>
            <w:tcBorders>
              <w:tl2br w:val="nil"/>
              <w:tr2bl w:val="nil"/>
            </w:tcBorders>
            <w:vAlign w:val="center"/>
          </w:tcPr>
          <w:p w14:paraId="207763C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投标人</w:t>
            </w:r>
            <w:r>
              <w:rPr>
                <w:rFonts w:hint="eastAsia" w:ascii="仿宋" w:hAnsi="仿宋" w:eastAsia="仿宋" w:cs="仿宋"/>
                <w:color w:val="auto"/>
                <w:sz w:val="24"/>
                <w:highlight w:val="none"/>
              </w:rPr>
              <w:t>自20</w:t>
            </w: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rPr>
              <w:t>年1月1日以来</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以合同签订时间为准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承接</w:t>
            </w:r>
            <w:r>
              <w:rPr>
                <w:rFonts w:hint="eastAsia" w:ascii="仿宋" w:hAnsi="仿宋" w:eastAsia="仿宋" w:cs="仿宋"/>
                <w:color w:val="auto"/>
                <w:sz w:val="24"/>
                <w:highlight w:val="none"/>
                <w:lang w:val="en-US" w:eastAsia="zh-CN"/>
              </w:rPr>
              <w:t>类似</w:t>
            </w:r>
            <w:r>
              <w:rPr>
                <w:rFonts w:hint="eastAsia" w:ascii="仿宋" w:hAnsi="仿宋" w:eastAsia="仿宋" w:cs="仿宋"/>
                <w:color w:val="auto"/>
                <w:sz w:val="24"/>
                <w:highlight w:val="none"/>
              </w:rPr>
              <w:t>项目</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每提供一个</w:t>
            </w:r>
            <w:r>
              <w:rPr>
                <w:rFonts w:hint="eastAsia" w:ascii="仿宋" w:hAnsi="仿宋" w:eastAsia="仿宋" w:cs="仿宋"/>
                <w:color w:val="auto"/>
                <w:sz w:val="24"/>
                <w:highlight w:val="none"/>
                <w:lang w:val="en-US" w:eastAsia="zh-CN"/>
              </w:rPr>
              <w:t>业绩</w:t>
            </w:r>
            <w:r>
              <w:rPr>
                <w:rFonts w:hint="eastAsia" w:ascii="仿宋" w:hAnsi="仿宋" w:eastAsia="仿宋" w:cs="仿宋"/>
                <w:color w:val="auto"/>
                <w:sz w:val="24"/>
                <w:highlight w:val="none"/>
              </w:rPr>
              <w:t>得</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分；最高</w:t>
            </w:r>
            <w:r>
              <w:rPr>
                <w:rFonts w:hint="eastAsia" w:ascii="仿宋" w:hAnsi="仿宋" w:eastAsia="仿宋" w:cs="仿宋"/>
                <w:color w:val="auto"/>
                <w:sz w:val="24"/>
                <w:highlight w:val="none"/>
                <w:lang w:val="en-US" w:eastAsia="zh-CN"/>
              </w:rPr>
              <w:t>得2</w:t>
            </w:r>
            <w:r>
              <w:rPr>
                <w:rFonts w:hint="eastAsia" w:ascii="仿宋" w:hAnsi="仿宋" w:eastAsia="仿宋" w:cs="仿宋"/>
                <w:color w:val="auto"/>
                <w:sz w:val="24"/>
                <w:highlight w:val="none"/>
              </w:rPr>
              <w:t>分。</w:t>
            </w:r>
          </w:p>
          <w:p w14:paraId="2E0445AD">
            <w:pPr>
              <w:spacing w:line="360" w:lineRule="auto"/>
              <w:ind w:firstLine="241" w:firstLineChars="100"/>
              <w:rPr>
                <w:rFonts w:hint="eastAsia" w:ascii="仿宋" w:hAnsi="仿宋" w:eastAsia="仿宋" w:cs="仿宋"/>
                <w:color w:val="auto"/>
                <w:sz w:val="24"/>
                <w:highlight w:val="none"/>
              </w:rPr>
            </w:pPr>
            <w:r>
              <w:rPr>
                <w:rFonts w:hint="eastAsia" w:ascii="仿宋" w:hAnsi="仿宋" w:eastAsia="仿宋" w:cs="仿宋"/>
                <w:b/>
                <w:bCs/>
                <w:color w:val="auto"/>
                <w:sz w:val="24"/>
                <w:highlight w:val="none"/>
                <w:u w:val="single"/>
                <w:lang w:val="en-US" w:eastAsia="zh-CN"/>
              </w:rPr>
              <w:t>注：</w:t>
            </w:r>
            <w:r>
              <w:rPr>
                <w:rFonts w:hint="eastAsia" w:ascii="仿宋" w:hAnsi="仿宋" w:eastAsia="仿宋" w:cs="仿宋"/>
                <w:b/>
                <w:bCs/>
                <w:color w:val="auto"/>
                <w:sz w:val="24"/>
                <w:highlight w:val="none"/>
                <w:u w:val="single"/>
              </w:rPr>
              <w:t>提供</w:t>
            </w:r>
            <w:r>
              <w:rPr>
                <w:rFonts w:hint="eastAsia" w:ascii="仿宋" w:hAnsi="仿宋" w:eastAsia="仿宋" w:cs="仿宋"/>
                <w:b/>
                <w:bCs/>
                <w:color w:val="auto"/>
                <w:sz w:val="24"/>
                <w:highlight w:val="none"/>
                <w:u w:val="single"/>
                <w:lang w:val="en-US" w:eastAsia="zh-CN"/>
              </w:rPr>
              <w:t>项目</w:t>
            </w:r>
            <w:r>
              <w:rPr>
                <w:rFonts w:hint="eastAsia" w:ascii="仿宋" w:hAnsi="仿宋" w:eastAsia="仿宋" w:cs="仿宋"/>
                <w:b/>
                <w:bCs/>
                <w:color w:val="auto"/>
                <w:sz w:val="24"/>
                <w:highlight w:val="none"/>
                <w:u w:val="single"/>
              </w:rPr>
              <w:t>合同及中标（成交）通知书</w:t>
            </w:r>
            <w:r>
              <w:rPr>
                <w:rFonts w:hint="eastAsia" w:ascii="仿宋" w:hAnsi="仿宋" w:eastAsia="仿宋" w:cs="仿宋"/>
                <w:b/>
                <w:bCs/>
                <w:color w:val="auto"/>
                <w:sz w:val="24"/>
                <w:highlight w:val="none"/>
                <w:u w:val="single"/>
                <w:lang w:eastAsia="zh-CN"/>
              </w:rPr>
              <w:t>，</w:t>
            </w:r>
            <w:r>
              <w:rPr>
                <w:rFonts w:hint="eastAsia" w:ascii="仿宋" w:hAnsi="仿宋" w:eastAsia="仿宋" w:cs="仿宋"/>
                <w:b/>
                <w:bCs/>
                <w:color w:val="auto"/>
                <w:sz w:val="24"/>
                <w:highlight w:val="none"/>
                <w:u w:val="single"/>
              </w:rPr>
              <w:t>复印件加盖</w:t>
            </w:r>
            <w:r>
              <w:rPr>
                <w:rFonts w:hint="eastAsia" w:ascii="仿宋" w:hAnsi="仿宋" w:eastAsia="仿宋" w:cs="仿宋"/>
                <w:b/>
                <w:bCs/>
                <w:color w:val="auto"/>
                <w:sz w:val="24"/>
                <w:highlight w:val="none"/>
                <w:u w:val="single"/>
                <w:lang w:val="en-US" w:eastAsia="zh-CN"/>
              </w:rPr>
              <w:t>投标人单位</w:t>
            </w:r>
            <w:r>
              <w:rPr>
                <w:rFonts w:hint="eastAsia" w:ascii="仿宋" w:hAnsi="仿宋" w:eastAsia="仿宋" w:cs="仿宋"/>
                <w:b/>
                <w:bCs/>
                <w:color w:val="auto"/>
                <w:sz w:val="24"/>
                <w:highlight w:val="none"/>
                <w:u w:val="single"/>
              </w:rPr>
              <w:t>公章，</w:t>
            </w:r>
            <w:r>
              <w:rPr>
                <w:rFonts w:hint="eastAsia" w:ascii="仿宋" w:hAnsi="仿宋" w:eastAsia="仿宋" w:cs="仿宋"/>
                <w:b/>
                <w:bCs/>
                <w:color w:val="auto"/>
                <w:sz w:val="24"/>
                <w:highlight w:val="none"/>
                <w:u w:val="single"/>
                <w:lang w:val="en-US" w:eastAsia="zh-CN"/>
              </w:rPr>
              <w:t>否则</w:t>
            </w:r>
            <w:r>
              <w:rPr>
                <w:rFonts w:hint="eastAsia" w:ascii="仿宋" w:hAnsi="仿宋" w:eastAsia="仿宋" w:cs="仿宋"/>
                <w:b/>
                <w:bCs/>
                <w:color w:val="auto"/>
                <w:sz w:val="24"/>
                <w:highlight w:val="none"/>
                <w:u w:val="single"/>
              </w:rPr>
              <w:t>不得分。</w:t>
            </w:r>
          </w:p>
        </w:tc>
        <w:tc>
          <w:tcPr>
            <w:tcW w:w="820" w:type="dxa"/>
            <w:tcBorders>
              <w:tl2br w:val="nil"/>
              <w:tr2bl w:val="nil"/>
            </w:tcBorders>
            <w:vAlign w:val="center"/>
          </w:tcPr>
          <w:p w14:paraId="223DFA42">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2分</w:t>
            </w:r>
          </w:p>
        </w:tc>
      </w:tr>
      <w:tr w14:paraId="7B5E5D0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698" w:type="dxa"/>
            <w:tcBorders>
              <w:tl2br w:val="nil"/>
              <w:tr2bl w:val="nil"/>
            </w:tcBorders>
            <w:vAlign w:val="center"/>
          </w:tcPr>
          <w:p w14:paraId="4302FA12">
            <w:pPr>
              <w:widowControl/>
              <w:tabs>
                <w:tab w:val="left" w:pos="0"/>
                <w:tab w:val="left" w:pos="993"/>
                <w:tab w:val="left" w:pos="1134"/>
              </w:tabs>
              <w:snapToGrid w:val="0"/>
              <w:spacing w:line="420" w:lineRule="exact"/>
              <w:jc w:val="center"/>
              <w:rPr>
                <w:rFonts w:hint="eastAsia" w:ascii="仿宋" w:hAnsi="仿宋" w:eastAsia="仿宋" w:cs="仿宋"/>
                <w:bCs/>
                <w:color w:val="auto"/>
                <w:kern w:val="0"/>
                <w:sz w:val="24"/>
                <w:highlight w:val="none"/>
                <w:lang w:eastAsia="zh-CN"/>
              </w:rPr>
            </w:pPr>
            <w:r>
              <w:rPr>
                <w:rFonts w:hint="eastAsia" w:ascii="仿宋" w:hAnsi="仿宋" w:eastAsia="仿宋" w:cs="仿宋"/>
                <w:bCs/>
                <w:color w:val="auto"/>
                <w:kern w:val="0"/>
                <w:sz w:val="24"/>
                <w:highlight w:val="none"/>
                <w:lang w:val="en-US" w:eastAsia="zh-CN"/>
              </w:rPr>
              <w:t>9</w:t>
            </w:r>
          </w:p>
        </w:tc>
        <w:tc>
          <w:tcPr>
            <w:tcW w:w="1389" w:type="dxa"/>
            <w:tcBorders>
              <w:tl2br w:val="nil"/>
              <w:tr2bl w:val="nil"/>
            </w:tcBorders>
            <w:vAlign w:val="center"/>
          </w:tcPr>
          <w:p w14:paraId="7380018B">
            <w:pPr>
              <w:pStyle w:val="13"/>
              <w:spacing w:line="340" w:lineRule="atLeast"/>
              <w:jc w:val="center"/>
              <w:rPr>
                <w:rFonts w:hint="eastAsia" w:ascii="仿宋" w:hAnsi="仿宋" w:eastAsia="仿宋" w:cs="仿宋"/>
                <w:b/>
                <w:color w:val="auto"/>
                <w:kern w:val="0"/>
                <w:sz w:val="24"/>
                <w:highlight w:val="none"/>
              </w:rPr>
            </w:pPr>
            <w:r>
              <w:rPr>
                <w:rFonts w:hint="eastAsia" w:ascii="仿宋" w:hAnsi="仿宋" w:eastAsia="仿宋" w:cs="仿宋"/>
                <w:b/>
                <w:bCs/>
                <w:color w:val="auto"/>
                <w:sz w:val="24"/>
                <w:szCs w:val="24"/>
                <w:highlight w:val="none"/>
              </w:rPr>
              <w:t>企业认证</w:t>
            </w:r>
          </w:p>
        </w:tc>
        <w:tc>
          <w:tcPr>
            <w:tcW w:w="6863" w:type="dxa"/>
            <w:tcBorders>
              <w:tl2br w:val="nil"/>
              <w:tr2bl w:val="nil"/>
            </w:tcBorders>
            <w:vAlign w:val="center"/>
          </w:tcPr>
          <w:p w14:paraId="74934CF0">
            <w:pPr>
              <w:widowControl/>
              <w:tabs>
                <w:tab w:val="left" w:pos="0"/>
                <w:tab w:val="left" w:pos="993"/>
                <w:tab w:val="left" w:pos="1134"/>
              </w:tabs>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投标人</w:t>
            </w:r>
            <w:r>
              <w:rPr>
                <w:rFonts w:hint="eastAsia" w:ascii="仿宋" w:hAnsi="仿宋" w:eastAsia="仿宋" w:cs="仿宋"/>
                <w:color w:val="auto"/>
                <w:kern w:val="0"/>
                <w:sz w:val="24"/>
                <w:highlight w:val="none"/>
              </w:rPr>
              <w:t>具有国家认证认可监督管理委员会批准认可的认证机构颁发的，且在有效期内的环境管理体系认证、职业健康安全管理体认证、质量管理体系认证证书的</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每提供 1 个得 </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 xml:space="preserve"> 分，最高得 </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 xml:space="preserve"> 分。</w:t>
            </w:r>
          </w:p>
          <w:p w14:paraId="4204A685">
            <w:pPr>
              <w:widowControl/>
              <w:tabs>
                <w:tab w:val="left" w:pos="0"/>
                <w:tab w:val="left" w:pos="993"/>
                <w:tab w:val="left" w:pos="1134"/>
              </w:tabs>
              <w:snapToGrid w:val="0"/>
              <w:spacing w:line="360" w:lineRule="auto"/>
              <w:ind w:firstLine="241" w:firstLineChars="100"/>
              <w:jc w:val="left"/>
              <w:rPr>
                <w:rFonts w:hint="eastAsia" w:ascii="仿宋" w:hAnsi="仿宋" w:eastAsia="仿宋" w:cs="仿宋"/>
                <w:color w:val="auto"/>
                <w:kern w:val="0"/>
                <w:sz w:val="24"/>
                <w:highlight w:val="none"/>
              </w:rPr>
            </w:pPr>
            <w:r>
              <w:rPr>
                <w:rFonts w:hint="eastAsia" w:ascii="仿宋" w:hAnsi="仿宋" w:eastAsia="仿宋" w:cs="仿宋"/>
                <w:b/>
                <w:bCs/>
                <w:color w:val="auto"/>
                <w:sz w:val="24"/>
                <w:highlight w:val="none"/>
                <w:u w:val="single"/>
                <w:lang w:val="en-US" w:eastAsia="zh-CN"/>
              </w:rPr>
              <w:t>注：</w:t>
            </w:r>
            <w:r>
              <w:rPr>
                <w:rFonts w:hint="eastAsia" w:ascii="仿宋" w:hAnsi="仿宋" w:eastAsia="仿宋" w:cs="仿宋"/>
                <w:b/>
                <w:bCs/>
                <w:color w:val="auto"/>
                <w:sz w:val="24"/>
                <w:highlight w:val="none"/>
                <w:u w:val="single"/>
              </w:rPr>
              <w:t>提供证书</w:t>
            </w:r>
            <w:r>
              <w:rPr>
                <w:rFonts w:hint="eastAsia" w:ascii="仿宋" w:hAnsi="仿宋" w:eastAsia="仿宋" w:cs="仿宋"/>
                <w:b/>
                <w:bCs/>
                <w:color w:val="auto"/>
                <w:sz w:val="24"/>
                <w:highlight w:val="none"/>
                <w:u w:val="single"/>
                <w:lang w:val="en-US" w:eastAsia="zh-CN"/>
              </w:rPr>
              <w:t>复印件或</w:t>
            </w:r>
            <w:r>
              <w:rPr>
                <w:rFonts w:hint="eastAsia" w:ascii="仿宋" w:hAnsi="仿宋" w:eastAsia="仿宋" w:cs="仿宋"/>
                <w:b/>
                <w:bCs/>
                <w:color w:val="auto"/>
                <w:sz w:val="24"/>
                <w:highlight w:val="none"/>
                <w:u w:val="single"/>
              </w:rPr>
              <w:t>扫描件及全国认证认可信息公共服务平台网站截图</w:t>
            </w:r>
            <w:r>
              <w:rPr>
                <w:rFonts w:hint="eastAsia" w:ascii="仿宋" w:hAnsi="仿宋" w:eastAsia="仿宋" w:cs="仿宋"/>
                <w:b/>
                <w:bCs/>
                <w:color w:val="auto"/>
                <w:sz w:val="24"/>
                <w:highlight w:val="none"/>
                <w:u w:val="single"/>
                <w:lang w:eastAsia="zh-CN"/>
              </w:rPr>
              <w:t>（</w:t>
            </w:r>
            <w:r>
              <w:rPr>
                <w:rFonts w:hint="eastAsia" w:ascii="仿宋" w:hAnsi="仿宋" w:eastAsia="仿宋" w:cs="仿宋"/>
                <w:b/>
                <w:bCs/>
                <w:color w:val="auto"/>
                <w:sz w:val="24"/>
                <w:highlight w:val="none"/>
                <w:u w:val="single"/>
              </w:rPr>
              <w:t>http://cx.cnca.cn</w:t>
            </w:r>
            <w:r>
              <w:rPr>
                <w:rFonts w:hint="eastAsia" w:ascii="仿宋" w:hAnsi="仿宋" w:eastAsia="仿宋" w:cs="仿宋"/>
                <w:b/>
                <w:bCs/>
                <w:color w:val="auto"/>
                <w:sz w:val="24"/>
                <w:highlight w:val="none"/>
                <w:u w:val="single"/>
                <w:lang w:eastAsia="zh-CN"/>
              </w:rPr>
              <w:t>），</w:t>
            </w:r>
            <w:r>
              <w:rPr>
                <w:rFonts w:hint="eastAsia" w:ascii="仿宋" w:hAnsi="仿宋" w:eastAsia="仿宋" w:cs="仿宋"/>
                <w:b/>
                <w:bCs/>
                <w:color w:val="auto"/>
                <w:sz w:val="24"/>
                <w:highlight w:val="none"/>
                <w:u w:val="single"/>
              </w:rPr>
              <w:t>加盖</w:t>
            </w:r>
            <w:r>
              <w:rPr>
                <w:rFonts w:hint="eastAsia" w:ascii="仿宋" w:hAnsi="仿宋" w:eastAsia="仿宋" w:cs="仿宋"/>
                <w:b/>
                <w:bCs/>
                <w:color w:val="auto"/>
                <w:sz w:val="24"/>
                <w:highlight w:val="none"/>
                <w:u w:val="single"/>
                <w:lang w:val="en-US" w:eastAsia="zh-CN"/>
              </w:rPr>
              <w:t>投标人单位</w:t>
            </w:r>
            <w:r>
              <w:rPr>
                <w:rFonts w:hint="eastAsia" w:ascii="仿宋" w:hAnsi="仿宋" w:eastAsia="仿宋" w:cs="仿宋"/>
                <w:b/>
                <w:bCs/>
                <w:color w:val="auto"/>
                <w:sz w:val="24"/>
                <w:highlight w:val="none"/>
                <w:u w:val="single"/>
              </w:rPr>
              <w:t>公章，不提供不得分。</w:t>
            </w:r>
          </w:p>
        </w:tc>
        <w:tc>
          <w:tcPr>
            <w:tcW w:w="820" w:type="dxa"/>
            <w:tcBorders>
              <w:tl2br w:val="nil"/>
              <w:tr2bl w:val="nil"/>
            </w:tcBorders>
            <w:vAlign w:val="center"/>
          </w:tcPr>
          <w:p w14:paraId="7E26A7C4">
            <w:pPr>
              <w:widowControl/>
              <w:tabs>
                <w:tab w:val="left" w:pos="0"/>
                <w:tab w:val="left" w:pos="993"/>
                <w:tab w:val="left" w:pos="1134"/>
              </w:tabs>
              <w:snapToGrid w:val="0"/>
              <w:spacing w:line="42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3分</w:t>
            </w:r>
          </w:p>
        </w:tc>
      </w:tr>
    </w:tbl>
    <w:p w14:paraId="22D362FF">
      <w:pPr>
        <w:pStyle w:val="4"/>
        <w:keepNext w:val="0"/>
        <w:pageBreakBefore/>
        <w:numPr>
          <w:ilvl w:val="0"/>
          <w:numId w:val="8"/>
        </w:numPr>
        <w:spacing w:line="360" w:lineRule="auto"/>
        <w:jc w:val="center"/>
        <w:rPr>
          <w:rFonts w:hint="eastAsia" w:ascii="仿宋" w:hAnsi="仿宋" w:eastAsia="仿宋" w:cs="仿宋"/>
          <w:color w:val="auto"/>
          <w:sz w:val="32"/>
          <w:highlight w:val="none"/>
          <w:lang w:val="en-US" w:eastAsia="zh-CN"/>
        </w:rPr>
      </w:pPr>
      <w:r>
        <w:rPr>
          <w:rFonts w:hint="eastAsia" w:ascii="仿宋" w:hAnsi="仿宋" w:eastAsia="仿宋" w:cs="仿宋"/>
          <w:color w:val="auto"/>
          <w:sz w:val="32"/>
          <w:highlight w:val="none"/>
          <w:lang w:val="en-US" w:eastAsia="zh-CN"/>
        </w:rPr>
        <w:t xml:space="preserve"> 合同主要条款</w:t>
      </w:r>
    </w:p>
    <w:p w14:paraId="297356BF">
      <w:pPr>
        <w:keepNext w:val="0"/>
        <w:keepLines w:val="0"/>
        <w:pageBreakBefore w:val="0"/>
        <w:kinsoku/>
        <w:wordWrap/>
        <w:overflowPunct/>
        <w:topLinePunct w:val="0"/>
        <w:autoSpaceDE/>
        <w:autoSpaceDN/>
        <w:bidi w:val="0"/>
        <w:spacing w:line="460" w:lineRule="exact"/>
        <w:jc w:val="center"/>
        <w:textAlignment w:val="auto"/>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浙江省政府采购合同范本</w:t>
      </w:r>
    </w:p>
    <w:p w14:paraId="109C87E1">
      <w:pPr>
        <w:keepNext w:val="0"/>
        <w:keepLines w:val="0"/>
        <w:pageBreakBefore w:val="0"/>
        <w:kinsoku/>
        <w:wordWrap/>
        <w:overflowPunct/>
        <w:topLinePunct w:val="0"/>
        <w:autoSpaceDE/>
        <w:autoSpaceDN/>
        <w:bidi w:val="0"/>
        <w:spacing w:line="460" w:lineRule="exact"/>
        <w:jc w:val="center"/>
        <w:textAlignment w:val="auto"/>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（以最终合同为准）</w:t>
      </w:r>
    </w:p>
    <w:p w14:paraId="42712CCC">
      <w:pPr>
        <w:spacing w:line="360" w:lineRule="auto"/>
        <w:rPr>
          <w:rFonts w:hint="eastAsia" w:ascii="仿宋" w:hAnsi="仿宋" w:eastAsia="仿宋" w:cs="仿宋"/>
          <w:b/>
          <w:bCs/>
          <w:color w:val="auto"/>
          <w:sz w:val="24"/>
          <w:highlight w:val="none"/>
        </w:rPr>
      </w:pPr>
    </w:p>
    <w:p w14:paraId="098D25C9">
      <w:pPr>
        <w:spacing w:line="360" w:lineRule="auto"/>
        <w:jc w:val="left"/>
        <w:rPr>
          <w:rFonts w:ascii="微软雅黑" w:hAnsi="微软雅黑" w:eastAsia="微软雅黑" w:cs="微软雅黑"/>
          <w:b w:val="0"/>
          <w:bCs w:val="0"/>
          <w:color w:val="auto"/>
          <w:spacing w:val="0"/>
          <w:sz w:val="24"/>
          <w:szCs w:val="24"/>
          <w:highlight w:val="none"/>
        </w:rPr>
      </w:pPr>
      <w:r>
        <w:rPr>
          <w:rFonts w:hint="eastAsia" w:ascii="仿宋" w:hAnsi="仿宋" w:eastAsia="仿宋"/>
          <w:color w:val="auto"/>
          <w:sz w:val="24"/>
          <w:szCs w:val="24"/>
          <w:highlight w:val="none"/>
        </w:rPr>
        <w:t>财政审批编号：</w:t>
      </w:r>
      <w:r>
        <w:rPr>
          <w:rFonts w:hint="eastAsia" w:ascii="仿宋" w:hAnsi="仿宋" w:eastAsia="仿宋"/>
          <w:color w:val="auto"/>
          <w:w w:val="90"/>
          <w:sz w:val="24"/>
          <w:szCs w:val="24"/>
          <w:highlight w:val="none"/>
        </w:rPr>
        <w:t>临[202</w:t>
      </w:r>
      <w:r>
        <w:rPr>
          <w:rFonts w:hint="eastAsia" w:ascii="仿宋" w:hAnsi="仿宋" w:eastAsia="仿宋"/>
          <w:color w:val="auto"/>
          <w:w w:val="90"/>
          <w:sz w:val="24"/>
          <w:szCs w:val="24"/>
          <w:highlight w:val="none"/>
          <w:lang w:val="en-US" w:eastAsia="zh-CN"/>
        </w:rPr>
        <w:t>5</w:t>
      </w:r>
      <w:r>
        <w:rPr>
          <w:rFonts w:hint="eastAsia" w:ascii="仿宋" w:hAnsi="仿宋" w:eastAsia="仿宋"/>
          <w:color w:val="auto"/>
          <w:w w:val="90"/>
          <w:sz w:val="24"/>
          <w:szCs w:val="24"/>
          <w:highlight w:val="none"/>
        </w:rPr>
        <w:t>]</w:t>
      </w:r>
      <w:r>
        <w:rPr>
          <w:rFonts w:hint="eastAsia" w:ascii="仿宋" w:hAnsi="仿宋" w:eastAsia="仿宋"/>
          <w:color w:val="auto"/>
          <w:w w:val="90"/>
          <w:sz w:val="24"/>
          <w:szCs w:val="24"/>
          <w:highlight w:val="none"/>
          <w:lang w:val="en-US" w:eastAsia="zh-CN"/>
        </w:rPr>
        <w:t>1586</w:t>
      </w:r>
      <w:r>
        <w:rPr>
          <w:rFonts w:hint="eastAsia" w:ascii="仿宋" w:hAnsi="仿宋" w:eastAsia="仿宋"/>
          <w:color w:val="auto"/>
          <w:w w:val="90"/>
          <w:sz w:val="24"/>
          <w:szCs w:val="24"/>
          <w:highlight w:val="none"/>
        </w:rPr>
        <w:t>号</w:t>
      </w:r>
      <w:r>
        <w:rPr>
          <w:rFonts w:hint="eastAsia" w:ascii="仿宋" w:hAnsi="仿宋" w:eastAsia="仿宋"/>
          <w:color w:val="auto"/>
          <w:w w:val="90"/>
          <w:sz w:val="24"/>
          <w:szCs w:val="24"/>
          <w:highlight w:val="none"/>
          <w:lang w:eastAsia="zh-CN"/>
        </w:rPr>
        <w:t>、</w:t>
      </w:r>
      <w:r>
        <w:rPr>
          <w:rFonts w:hint="eastAsia" w:ascii="仿宋" w:hAnsi="仿宋" w:eastAsia="仿宋"/>
          <w:color w:val="auto"/>
          <w:w w:val="90"/>
          <w:sz w:val="24"/>
          <w:szCs w:val="24"/>
          <w:highlight w:val="none"/>
          <w:lang w:val="en-US" w:eastAsia="zh-CN"/>
        </w:rPr>
        <w:t>1587号、1588号</w:t>
      </w:r>
      <w:r>
        <w:rPr>
          <w:rFonts w:hint="eastAsia" w:ascii="仿宋" w:hAnsi="仿宋" w:eastAsia="仿宋"/>
          <w:color w:val="auto"/>
          <w:sz w:val="24"/>
          <w:szCs w:val="24"/>
          <w:highlight w:val="none"/>
        </w:rPr>
        <w:t xml:space="preserve"> 招标文件编号: </w:t>
      </w:r>
      <w:r>
        <w:rPr>
          <w:rFonts w:hint="default" w:ascii="仿宋" w:hAnsi="仿宋" w:eastAsia="仿宋" w:cs="仿宋"/>
          <w:color w:val="auto"/>
          <w:sz w:val="24"/>
          <w:highlight w:val="none"/>
          <w:lang w:val="en-US" w:eastAsia="zh-CN"/>
        </w:rPr>
        <w:t>XCXHZ-2025-0</w:t>
      </w:r>
      <w:r>
        <w:rPr>
          <w:rFonts w:hint="eastAsia" w:ascii="仿宋" w:hAnsi="仿宋" w:eastAsia="仿宋" w:cs="仿宋"/>
          <w:color w:val="auto"/>
          <w:sz w:val="24"/>
          <w:highlight w:val="none"/>
          <w:lang w:val="en-US" w:eastAsia="zh-CN"/>
        </w:rPr>
        <w:t>15</w:t>
      </w:r>
      <w:r>
        <w:rPr>
          <w:rFonts w:hint="default" w:ascii="仿宋" w:hAnsi="仿宋" w:eastAsia="仿宋" w:cs="仿宋"/>
          <w:color w:val="auto"/>
          <w:sz w:val="24"/>
          <w:highlight w:val="none"/>
          <w:lang w:val="en-US" w:eastAsia="zh-CN"/>
        </w:rPr>
        <w:t>（CG）</w:t>
      </w:r>
      <w:r>
        <w:rPr>
          <w:rFonts w:hint="eastAsia" w:ascii="仿宋" w:hAnsi="仿宋" w:eastAsia="仿宋"/>
          <w:color w:val="auto"/>
          <w:sz w:val="24"/>
          <w:szCs w:val="24"/>
          <w:highlight w:val="none"/>
          <w:lang w:val="en-US" w:eastAsia="zh-CN"/>
        </w:rPr>
        <w:t xml:space="preserve">  </w:t>
      </w:r>
      <w:r>
        <w:rPr>
          <w:rFonts w:hint="eastAsia" w:ascii="微软雅黑" w:hAnsi="微软雅黑" w:eastAsia="微软雅黑" w:cs="微软雅黑"/>
          <w:b w:val="0"/>
          <w:bCs w:val="0"/>
          <w:color w:val="auto"/>
          <w:spacing w:val="0"/>
          <w:sz w:val="24"/>
          <w:szCs w:val="24"/>
          <w:highlight w:val="none"/>
          <w:lang w:val="en-US" w:eastAsia="zh-CN"/>
        </w:rPr>
        <w:t xml:space="preserve">         </w:t>
      </w:r>
    </w:p>
    <w:p w14:paraId="106BDFCE">
      <w:pPr>
        <w:spacing w:line="360" w:lineRule="auto"/>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1.定义</w:t>
      </w:r>
    </w:p>
    <w:p w14:paraId="7993A69F">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本合同中的下列术语应解释为：</w:t>
      </w:r>
    </w:p>
    <w:p w14:paraId="4F5937A0">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1.1“合同”系指供需双方签署的、合同格式中载明的供需双方所达成的协议，包括所有的附件、附录和构成合同的所有文件；</w:t>
      </w:r>
    </w:p>
    <w:p w14:paraId="11DBAC8B">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1.2“合同价”系指根据合同规定，采购人在供应商完全履行合同义务后应付给的价格；</w:t>
      </w:r>
    </w:p>
    <w:p w14:paraId="4699C81B">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1.3“货物”系指供应商根据合同规定向采购人提供的一切货物、质量保证书和其他技术资料及技术参数；</w:t>
      </w:r>
    </w:p>
    <w:p w14:paraId="192020E7">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1.4“服务”系指根据合同规定供应商承担与供货有关的辅助服务，如运输、装卸、安装、保险以及其他的服务，例如安装、调试提供技术援助、培训和其他类似的义务；</w:t>
      </w:r>
    </w:p>
    <w:p w14:paraId="4E3FCBA3">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1.5“采购人”系指</w:t>
      </w:r>
      <w:r>
        <w:rPr>
          <w:rFonts w:hint="eastAsia" w:ascii="仿宋" w:hAnsi="仿宋" w:eastAsia="仿宋"/>
          <w:bCs/>
          <w:color w:val="auto"/>
          <w:sz w:val="24"/>
          <w:szCs w:val="24"/>
          <w:highlight w:val="none"/>
        </w:rPr>
        <w:t>具体使用货物和接受服务的使用单位；</w:t>
      </w:r>
    </w:p>
    <w:p w14:paraId="5BEDF38C">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1.6“供应商”系指根据合同规定提供采购项目货物和服务的具有法人资格的公司、企业或实体；</w:t>
      </w:r>
    </w:p>
    <w:p w14:paraId="615B5E21">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1.7“财政审批编号”系指市财政局审批编号。</w:t>
      </w:r>
    </w:p>
    <w:p w14:paraId="2AB99982">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2.合同项目与内容</w:t>
      </w:r>
    </w:p>
    <w:p w14:paraId="16054DFE">
      <w:pPr>
        <w:spacing w:line="440" w:lineRule="exact"/>
        <w:ind w:firstLine="840" w:firstLineChars="350"/>
        <w:rPr>
          <w:rFonts w:ascii="仿宋" w:hAnsi="仿宋" w:eastAsia="仿宋"/>
          <w:color w:val="auto"/>
          <w:sz w:val="24"/>
          <w:szCs w:val="24"/>
          <w:highlight w:val="none"/>
          <w:u w:val="single"/>
        </w:rPr>
      </w:pPr>
      <w:r>
        <w:rPr>
          <w:rFonts w:hint="eastAsia" w:ascii="仿宋" w:hAnsi="仿宋" w:eastAsia="仿宋"/>
          <w:color w:val="auto"/>
          <w:sz w:val="24"/>
          <w:szCs w:val="24"/>
          <w:highlight w:val="none"/>
          <w:u w:val="single"/>
        </w:rPr>
        <w:t>湖州南太湖新区西区、104国道、杨家埠等区域环卫作业一体化服务项目（202</w:t>
      </w:r>
      <w:r>
        <w:rPr>
          <w:rFonts w:hint="eastAsia" w:ascii="仿宋" w:hAnsi="仿宋" w:eastAsia="仿宋"/>
          <w:color w:val="auto"/>
          <w:sz w:val="24"/>
          <w:szCs w:val="24"/>
          <w:highlight w:val="none"/>
          <w:u w:val="single"/>
          <w:lang w:val="en-US" w:eastAsia="zh-CN"/>
        </w:rPr>
        <w:t>5</w:t>
      </w:r>
      <w:r>
        <w:rPr>
          <w:rFonts w:hint="eastAsia" w:ascii="仿宋" w:hAnsi="仿宋" w:eastAsia="仿宋"/>
          <w:color w:val="auto"/>
          <w:sz w:val="24"/>
          <w:szCs w:val="24"/>
          <w:highlight w:val="none"/>
          <w:u w:val="single"/>
        </w:rPr>
        <w:t>-202</w:t>
      </w:r>
      <w:r>
        <w:rPr>
          <w:rFonts w:hint="eastAsia" w:ascii="仿宋" w:hAnsi="仿宋" w:eastAsia="仿宋"/>
          <w:color w:val="auto"/>
          <w:sz w:val="24"/>
          <w:szCs w:val="24"/>
          <w:highlight w:val="none"/>
          <w:u w:val="single"/>
          <w:lang w:val="en-US" w:eastAsia="zh-CN"/>
        </w:rPr>
        <w:t>7</w:t>
      </w:r>
      <w:r>
        <w:rPr>
          <w:rFonts w:hint="eastAsia" w:ascii="仿宋" w:hAnsi="仿宋" w:eastAsia="仿宋"/>
          <w:color w:val="auto"/>
          <w:sz w:val="24"/>
          <w:szCs w:val="24"/>
          <w:highlight w:val="none"/>
          <w:u w:val="single"/>
        </w:rPr>
        <w:t>年度）</w:t>
      </w:r>
    </w:p>
    <w:p w14:paraId="31D7EF1B">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3.服务时间与服务地点</w:t>
      </w:r>
    </w:p>
    <w:p w14:paraId="2C655445">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服务时间：详见招标文件要求；</w:t>
      </w:r>
    </w:p>
    <w:p w14:paraId="28B94F91">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服务地点：由采购单位指定。</w:t>
      </w:r>
    </w:p>
    <w:p w14:paraId="44DBECAA">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4.签署合同的要求</w:t>
      </w:r>
    </w:p>
    <w:p w14:paraId="07148C5F">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4.1、供应商必须按照投标文件和询标过程中承诺的条款以及中标通知书中规定的时间、地点与采购人签订合同；</w:t>
      </w:r>
    </w:p>
    <w:p w14:paraId="68ACA350">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4.</w:t>
      </w:r>
      <w:r>
        <w:rPr>
          <w:rFonts w:ascii="仿宋" w:hAnsi="仿宋" w:eastAsia="仿宋"/>
          <w:bCs/>
          <w:color w:val="auto"/>
          <w:sz w:val="24"/>
          <w:szCs w:val="24"/>
          <w:highlight w:val="none"/>
        </w:rPr>
        <w:t>2</w:t>
      </w:r>
      <w:r>
        <w:rPr>
          <w:rFonts w:hint="eastAsia" w:ascii="仿宋" w:hAnsi="仿宋" w:eastAsia="仿宋"/>
          <w:bCs/>
          <w:color w:val="auto"/>
          <w:sz w:val="24"/>
          <w:szCs w:val="24"/>
          <w:highlight w:val="none"/>
        </w:rPr>
        <w:t>、所签订的合同内容不得对招标文件和供应商的投标文件作实质性修改；</w:t>
      </w:r>
    </w:p>
    <w:p w14:paraId="36AA3736">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4.</w:t>
      </w:r>
      <w:r>
        <w:rPr>
          <w:rFonts w:ascii="仿宋" w:hAnsi="仿宋" w:eastAsia="仿宋"/>
          <w:bCs/>
          <w:color w:val="auto"/>
          <w:sz w:val="24"/>
          <w:szCs w:val="24"/>
          <w:highlight w:val="none"/>
        </w:rPr>
        <w:t>3</w:t>
      </w:r>
      <w:r>
        <w:rPr>
          <w:rFonts w:hint="eastAsia" w:ascii="仿宋" w:hAnsi="仿宋" w:eastAsia="仿宋"/>
          <w:bCs/>
          <w:color w:val="auto"/>
          <w:sz w:val="24"/>
          <w:szCs w:val="24"/>
          <w:highlight w:val="none"/>
        </w:rPr>
        <w:t>、采购人不得向供应商提出任何不合理的要求，作为签订合同的条件，不得与供应商私下订立背离合同实质性内容的协议；</w:t>
      </w:r>
    </w:p>
    <w:p w14:paraId="7087A278">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4.</w:t>
      </w:r>
      <w:r>
        <w:rPr>
          <w:rFonts w:ascii="仿宋" w:hAnsi="仿宋" w:eastAsia="仿宋"/>
          <w:bCs/>
          <w:color w:val="auto"/>
          <w:sz w:val="24"/>
          <w:szCs w:val="24"/>
          <w:highlight w:val="none"/>
        </w:rPr>
        <w:t>4</w:t>
      </w:r>
      <w:r>
        <w:rPr>
          <w:rFonts w:hint="eastAsia" w:ascii="仿宋" w:hAnsi="仿宋" w:eastAsia="仿宋"/>
          <w:bCs/>
          <w:color w:val="auto"/>
          <w:sz w:val="24"/>
          <w:szCs w:val="24"/>
          <w:highlight w:val="none"/>
        </w:rPr>
        <w:t>、自采购合同签订之日起 7个工作日内，将采购合同副本 2份送本项目招标代理机构、同级人民政府财政部门备案。</w:t>
      </w:r>
    </w:p>
    <w:p w14:paraId="3C845154">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5.技术规范</w:t>
      </w:r>
    </w:p>
    <w:p w14:paraId="666918BD">
      <w:pPr>
        <w:spacing w:line="440" w:lineRule="exact"/>
        <w:ind w:firstLine="480" w:firstLineChars="200"/>
        <w:rPr>
          <w:rFonts w:ascii="仿宋" w:hAnsi="仿宋" w:eastAsia="仿宋"/>
          <w:color w:val="auto"/>
          <w:sz w:val="24"/>
          <w:szCs w:val="24"/>
          <w:highlight w:val="none"/>
          <w:lang w:val="zh-CN"/>
        </w:rPr>
      </w:pPr>
      <w:r>
        <w:rPr>
          <w:rFonts w:hint="eastAsia" w:ascii="仿宋" w:hAnsi="仿宋" w:eastAsia="仿宋"/>
          <w:color w:val="auto"/>
          <w:sz w:val="24"/>
          <w:szCs w:val="24"/>
          <w:highlight w:val="none"/>
          <w:lang w:val="zh-CN"/>
        </w:rPr>
        <w:t>本合同执行国家及本省、市现行项目实施及验收规范及有关条例、实施办法等。</w:t>
      </w:r>
    </w:p>
    <w:p w14:paraId="1A8424E4">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提供和交付的服务技术规范应与招标文件规定的技术规范相一致。</w:t>
      </w:r>
    </w:p>
    <w:p w14:paraId="34C65FEB">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6.知识产权</w:t>
      </w:r>
    </w:p>
    <w:p w14:paraId="4549FDF9">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供应商保证所提供的服务及货物均不存在知识产权纠纷。供应商应保证采购人在使用时不受第三方提出侵犯其专利权、商标权等知识产权的诉讼。</w:t>
      </w:r>
    </w:p>
    <w:p w14:paraId="44A6F12E">
      <w:pPr>
        <w:spacing w:line="440" w:lineRule="exact"/>
        <w:rPr>
          <w:rFonts w:ascii="华文仿宋" w:hAnsi="华文仿宋" w:eastAsia="华文仿宋"/>
          <w:b/>
          <w:bCs/>
          <w:color w:val="auto"/>
          <w:sz w:val="24"/>
          <w:szCs w:val="24"/>
          <w:highlight w:val="none"/>
        </w:rPr>
      </w:pPr>
      <w:r>
        <w:rPr>
          <w:rFonts w:hint="eastAsia" w:ascii="华文仿宋" w:hAnsi="华文仿宋" w:eastAsia="华文仿宋"/>
          <w:b/>
          <w:bCs/>
          <w:color w:val="auto"/>
          <w:sz w:val="24"/>
          <w:szCs w:val="24"/>
          <w:highlight w:val="none"/>
        </w:rPr>
        <w:t>7.工作考核及付款方式</w:t>
      </w:r>
    </w:p>
    <w:p w14:paraId="3DB92CF6">
      <w:pPr>
        <w:numPr>
          <w:ilvl w:val="255"/>
          <w:numId w:val="0"/>
        </w:num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付款方式：（1）合同生效以及具备实施条件后7个工作日内支付年合同价款的</w:t>
      </w:r>
      <w:r>
        <w:rPr>
          <w:rFonts w:hint="eastAsia" w:ascii="仿宋" w:hAnsi="仿宋" w:eastAsia="仿宋"/>
          <w:color w:val="auto"/>
          <w:sz w:val="24"/>
          <w:szCs w:val="24"/>
          <w:highlight w:val="none"/>
          <w:lang w:val="en-US" w:eastAsia="zh-CN"/>
        </w:rPr>
        <w:t>2</w:t>
      </w:r>
      <w:r>
        <w:rPr>
          <w:rFonts w:hint="eastAsia" w:ascii="仿宋" w:hAnsi="仿宋" w:eastAsia="仿宋"/>
          <w:color w:val="auto"/>
          <w:sz w:val="24"/>
          <w:szCs w:val="24"/>
          <w:highlight w:val="none"/>
        </w:rPr>
        <w:t>0%作为预付款；（2）根据管理考核办法扣除考核金后按季度拨付服务费，当季承包金于次季第一个月15日（遇节假顺延）支付（预付款在第一次付款时扣回）。（3）采购人在向供应商支付预付款之前，有权要求供应商向采购人提供与预付款金额相对应的担保措施，担保措施可以是银行、保险公司等金融机构出具的预付教保函或其他担保措施。在签订合同时，供应商明确表示无需预付款或者主动要求降低预付款比例的，采购单位可不适用前述规定。由供应商签订合同代表手抄并签字，手写文字上加盖供应商公章。供应商确认，不需支付预付款。（由供应商签订合同代表手抄并签字，手写文字上加盖供应商公章）。</w:t>
      </w:r>
    </w:p>
    <w:p w14:paraId="46DE2CC6">
      <w:pPr>
        <w:spacing w:line="440" w:lineRule="exact"/>
        <w:rPr>
          <w:rFonts w:ascii="仿宋" w:hAnsi="仿宋" w:eastAsia="仿宋"/>
          <w:color w:val="auto"/>
          <w:sz w:val="24"/>
          <w:szCs w:val="24"/>
          <w:highlight w:val="none"/>
        </w:rPr>
      </w:pPr>
      <w:r>
        <w:rPr>
          <w:rFonts w:hint="eastAsia" w:ascii="仿宋" w:hAnsi="仿宋" w:eastAsia="仿宋"/>
          <w:b/>
          <w:bCs/>
          <w:color w:val="auto"/>
          <w:sz w:val="24"/>
          <w:szCs w:val="24"/>
          <w:highlight w:val="none"/>
        </w:rPr>
        <w:t>8.支付</w:t>
      </w:r>
      <w:r>
        <w:rPr>
          <w:rFonts w:hint="eastAsia" w:ascii="仿宋" w:hAnsi="仿宋" w:eastAsia="仿宋"/>
          <w:color w:val="auto"/>
          <w:sz w:val="24"/>
          <w:szCs w:val="24"/>
          <w:highlight w:val="none"/>
        </w:rPr>
        <w:t>：支付应使用人民币；</w:t>
      </w:r>
    </w:p>
    <w:p w14:paraId="40580F50">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9.技术服务</w:t>
      </w:r>
    </w:p>
    <w:p w14:paraId="245F9741">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供应商应负责安排采购人相关人员进行操作、维修的培训。具体时间及培训内容在投标时由供应商提出建议；</w:t>
      </w:r>
    </w:p>
    <w:p w14:paraId="43DE914D">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10.售后服务及承诺</w:t>
      </w:r>
    </w:p>
    <w:p w14:paraId="62AE0480">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10.1供应商应明确承诺售后服务各项内容和措施，提供详细的服务地点、联系人、电话等有关资料；</w:t>
      </w:r>
    </w:p>
    <w:p w14:paraId="3B301E9A">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10.2</w:t>
      </w:r>
      <w:r>
        <w:rPr>
          <w:rFonts w:hint="eastAsia" w:ascii="仿宋" w:hAnsi="仿宋" w:eastAsia="仿宋"/>
          <w:b/>
          <w:bCs/>
          <w:color w:val="auto"/>
          <w:sz w:val="24"/>
          <w:szCs w:val="24"/>
          <w:highlight w:val="none"/>
        </w:rPr>
        <w:t>服务期：详见招标文件要求</w:t>
      </w:r>
      <w:r>
        <w:rPr>
          <w:rFonts w:hint="eastAsia" w:ascii="仿宋" w:hAnsi="仿宋" w:eastAsia="仿宋"/>
          <w:bCs/>
          <w:color w:val="auto"/>
          <w:sz w:val="24"/>
          <w:szCs w:val="24"/>
          <w:highlight w:val="none"/>
        </w:rPr>
        <w:t>。在服务期内，因服务质量所发生的一切费用均由供应商承担；</w:t>
      </w:r>
    </w:p>
    <w:p w14:paraId="5F5F3FB4">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11.履约保证及后续服务</w:t>
      </w:r>
    </w:p>
    <w:p w14:paraId="201BD618">
      <w:pPr>
        <w:spacing w:line="440" w:lineRule="exact"/>
        <w:ind w:firstLine="482" w:firstLineChars="200"/>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1</w:t>
      </w:r>
      <w:r>
        <w:rPr>
          <w:rFonts w:ascii="仿宋" w:hAnsi="仿宋" w:eastAsia="仿宋"/>
          <w:b/>
          <w:bCs/>
          <w:color w:val="auto"/>
          <w:sz w:val="24"/>
          <w:szCs w:val="24"/>
          <w:highlight w:val="none"/>
        </w:rPr>
        <w:t xml:space="preserve">1.1 </w:t>
      </w:r>
      <w:r>
        <w:rPr>
          <w:rFonts w:hint="eastAsia" w:ascii="仿宋" w:hAnsi="仿宋" w:eastAsia="仿宋"/>
          <w:b/>
          <w:bCs/>
          <w:color w:val="auto"/>
          <w:sz w:val="24"/>
          <w:szCs w:val="24"/>
          <w:highlight w:val="none"/>
        </w:rPr>
        <w:t>供应商应在签订本合同之日起</w:t>
      </w:r>
      <w:r>
        <w:rPr>
          <w:rFonts w:ascii="仿宋" w:hAnsi="仿宋" w:eastAsia="仿宋"/>
          <w:b/>
          <w:bCs/>
          <w:color w:val="auto"/>
          <w:sz w:val="24"/>
          <w:szCs w:val="24"/>
          <w:highlight w:val="none"/>
        </w:rPr>
        <w:t>x</w:t>
      </w:r>
      <w:r>
        <w:rPr>
          <w:rFonts w:hint="eastAsia" w:ascii="仿宋" w:hAnsi="仿宋" w:eastAsia="仿宋"/>
          <w:b/>
          <w:bCs/>
          <w:color w:val="auto"/>
          <w:sz w:val="24"/>
          <w:szCs w:val="24"/>
          <w:highlight w:val="none"/>
        </w:rPr>
        <w:t>日内提供履约保证金</w:t>
      </w:r>
      <w:r>
        <w:rPr>
          <w:rFonts w:ascii="仿宋" w:hAnsi="仿宋" w:eastAsia="仿宋"/>
          <w:b/>
          <w:bCs/>
          <w:color w:val="auto"/>
          <w:sz w:val="24"/>
          <w:szCs w:val="24"/>
          <w:highlight w:val="none"/>
        </w:rPr>
        <w:t>x</w:t>
      </w:r>
      <w:r>
        <w:rPr>
          <w:rFonts w:hint="eastAsia" w:ascii="仿宋" w:hAnsi="仿宋" w:eastAsia="仿宋"/>
          <w:b/>
          <w:bCs/>
          <w:color w:val="auto"/>
          <w:sz w:val="24"/>
          <w:szCs w:val="24"/>
          <w:highlight w:val="none"/>
        </w:rPr>
        <w:t>元，提供由银行、保险公司出具保函形式提交履约保证金。</w:t>
      </w:r>
    </w:p>
    <w:p w14:paraId="7CD531F1">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11.</w:t>
      </w:r>
      <w:r>
        <w:rPr>
          <w:rFonts w:ascii="仿宋" w:hAnsi="仿宋" w:eastAsia="仿宋"/>
          <w:bCs/>
          <w:color w:val="auto"/>
          <w:sz w:val="24"/>
          <w:szCs w:val="24"/>
          <w:highlight w:val="none"/>
        </w:rPr>
        <w:t>2</w:t>
      </w:r>
      <w:r>
        <w:rPr>
          <w:rFonts w:hint="eastAsia" w:ascii="仿宋" w:hAnsi="仿宋" w:eastAsia="仿宋"/>
          <w:bCs/>
          <w:color w:val="auto"/>
          <w:sz w:val="24"/>
          <w:szCs w:val="24"/>
          <w:highlight w:val="none"/>
        </w:rPr>
        <w:t xml:space="preserve"> 供应商应按招标文件规定的服务标准向采购人提供服务。</w:t>
      </w:r>
    </w:p>
    <w:p w14:paraId="40159F95">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11.</w:t>
      </w:r>
      <w:r>
        <w:rPr>
          <w:rFonts w:ascii="仿宋" w:hAnsi="仿宋" w:eastAsia="仿宋"/>
          <w:bCs/>
          <w:color w:val="auto"/>
          <w:sz w:val="24"/>
          <w:szCs w:val="24"/>
          <w:highlight w:val="none"/>
        </w:rPr>
        <w:t>3</w:t>
      </w:r>
      <w:r>
        <w:rPr>
          <w:rFonts w:hint="eastAsia" w:ascii="仿宋" w:hAnsi="仿宋" w:eastAsia="仿宋"/>
          <w:bCs/>
          <w:color w:val="auto"/>
          <w:sz w:val="24"/>
          <w:szCs w:val="24"/>
          <w:highlight w:val="none"/>
        </w:rPr>
        <w:t xml:space="preserve"> 如采购人检查发现供应商提供的服务服务不符合标准要求，供应商应立即进行整改，直到符合要求为止。采购人可根据考核标准中扣除供应商因检查不合格而应该扣罚的款项（扣罚款项在签订合同时明确）。</w:t>
      </w:r>
    </w:p>
    <w:p w14:paraId="77145D13">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11.</w:t>
      </w:r>
      <w:r>
        <w:rPr>
          <w:rFonts w:ascii="仿宋" w:hAnsi="仿宋" w:eastAsia="仿宋"/>
          <w:bCs/>
          <w:color w:val="auto"/>
          <w:sz w:val="24"/>
          <w:szCs w:val="24"/>
          <w:highlight w:val="none"/>
        </w:rPr>
        <w:t>4</w:t>
      </w:r>
      <w:r>
        <w:rPr>
          <w:rFonts w:hint="eastAsia" w:ascii="仿宋" w:hAnsi="仿宋" w:eastAsia="仿宋"/>
          <w:bCs/>
          <w:color w:val="auto"/>
          <w:sz w:val="24"/>
          <w:szCs w:val="24"/>
          <w:highlight w:val="none"/>
        </w:rPr>
        <w:t xml:space="preserve"> 供应商提供的服务人员不符合本合同约定的数额，供应商应当自接到采购人通知之日起2日内予以补足，采购人有权按照缺岗天数及缺岗人数扣除相应的履约保证金。</w:t>
      </w:r>
    </w:p>
    <w:p w14:paraId="70BF94EF">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11.</w:t>
      </w:r>
      <w:r>
        <w:rPr>
          <w:rFonts w:ascii="仿宋" w:hAnsi="仿宋" w:eastAsia="仿宋"/>
          <w:bCs/>
          <w:color w:val="auto"/>
          <w:sz w:val="24"/>
          <w:szCs w:val="24"/>
          <w:highlight w:val="none"/>
        </w:rPr>
        <w:t>5</w:t>
      </w:r>
      <w:r>
        <w:rPr>
          <w:rFonts w:hint="eastAsia" w:ascii="仿宋" w:hAnsi="仿宋" w:eastAsia="仿宋"/>
          <w:bCs/>
          <w:color w:val="auto"/>
          <w:sz w:val="24"/>
          <w:szCs w:val="24"/>
          <w:highlight w:val="none"/>
        </w:rPr>
        <w:t xml:space="preserve"> 由于供应商服务人员原因在服务工作中给采购人的设施、材料造成损失，供应商应负责赔偿。</w:t>
      </w:r>
    </w:p>
    <w:p w14:paraId="44A0D184">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11.</w:t>
      </w:r>
      <w:r>
        <w:rPr>
          <w:rFonts w:ascii="仿宋" w:hAnsi="仿宋" w:eastAsia="仿宋"/>
          <w:bCs/>
          <w:color w:val="auto"/>
          <w:sz w:val="24"/>
          <w:szCs w:val="24"/>
          <w:highlight w:val="none"/>
        </w:rPr>
        <w:t>6</w:t>
      </w:r>
      <w:r>
        <w:rPr>
          <w:rFonts w:hint="eastAsia" w:ascii="仿宋" w:hAnsi="仿宋" w:eastAsia="仿宋"/>
          <w:bCs/>
          <w:color w:val="auto"/>
          <w:sz w:val="24"/>
          <w:szCs w:val="24"/>
          <w:highlight w:val="none"/>
        </w:rPr>
        <w:t xml:space="preserve"> 在使用过程中发生问题，供应商在接到采购人通知后在    小时内到达采购人现场。</w:t>
      </w:r>
    </w:p>
    <w:p w14:paraId="41EBF751">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11.</w:t>
      </w:r>
      <w:r>
        <w:rPr>
          <w:rFonts w:ascii="仿宋" w:hAnsi="仿宋" w:eastAsia="仿宋"/>
          <w:bCs/>
          <w:color w:val="auto"/>
          <w:sz w:val="24"/>
          <w:szCs w:val="24"/>
          <w:highlight w:val="none"/>
        </w:rPr>
        <w:t>7</w:t>
      </w:r>
      <w:r>
        <w:rPr>
          <w:rFonts w:hint="eastAsia" w:ascii="仿宋" w:hAnsi="仿宋" w:eastAsia="仿宋"/>
          <w:bCs/>
          <w:color w:val="auto"/>
          <w:sz w:val="24"/>
          <w:szCs w:val="24"/>
          <w:highlight w:val="none"/>
        </w:rPr>
        <w:t xml:space="preserve"> 在服务质量保证期内，供应商应对出现的服务质量及安全问题负责处理解决并承担一切费用。</w:t>
      </w:r>
    </w:p>
    <w:p w14:paraId="13155D0D">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w:t>
      </w:r>
      <w:r>
        <w:rPr>
          <w:rFonts w:ascii="仿宋" w:hAnsi="仿宋" w:eastAsia="仿宋"/>
          <w:bCs/>
          <w:color w:val="auto"/>
          <w:sz w:val="24"/>
          <w:szCs w:val="24"/>
          <w:highlight w:val="none"/>
        </w:rPr>
        <w:t xml:space="preserve">1.8 </w:t>
      </w:r>
      <w:r>
        <w:rPr>
          <w:rFonts w:hint="eastAsia" w:ascii="仿宋" w:hAnsi="仿宋" w:eastAsia="仿宋"/>
          <w:bCs/>
          <w:color w:val="auto"/>
          <w:sz w:val="24"/>
          <w:szCs w:val="24"/>
          <w:highlight w:val="none"/>
        </w:rPr>
        <w:t>在本合同履行完毕后，采购人扣除供应商在履约过程中产生的本合同涉及的相关赔偿金额后，在</w:t>
      </w:r>
      <w:r>
        <w:rPr>
          <w:rFonts w:ascii="仿宋" w:hAnsi="仿宋" w:eastAsia="仿宋"/>
          <w:bCs/>
          <w:color w:val="auto"/>
          <w:sz w:val="24"/>
          <w:szCs w:val="24"/>
          <w:highlight w:val="none"/>
        </w:rPr>
        <w:t>x</w:t>
      </w:r>
      <w:r>
        <w:rPr>
          <w:rFonts w:hint="eastAsia" w:ascii="仿宋" w:hAnsi="仿宋" w:eastAsia="仿宋"/>
          <w:bCs/>
          <w:color w:val="auto"/>
          <w:sz w:val="24"/>
          <w:szCs w:val="24"/>
          <w:highlight w:val="none"/>
        </w:rPr>
        <w:t>日内将剩余履约保证金退还至供应商。</w:t>
      </w:r>
    </w:p>
    <w:p w14:paraId="19BB70EA">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12.违约责任</w:t>
      </w:r>
    </w:p>
    <w:p w14:paraId="5A886BF6">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12.1 采购人无正当理由拒收接受服务的，采购人向供应商偿付合同款项百分之五作为违约金。</w:t>
      </w:r>
    </w:p>
    <w:p w14:paraId="404DAC96">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12.2 采购人无故逾期验收和办理款项支付手续的,采购人应按逾期付款总额每日万分之五向供应商支付违约金。</w:t>
      </w:r>
    </w:p>
    <w:p w14:paraId="40E3FFAA">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12.3 供应商不按约定提供服务的，每日向采购人支付千分之六违约金。逾期提供服务超过约定日期10个工作日的，采购人可解除本合同。供应商因逾期提供服务或因其他违约行为导致采购人解除合同的，供应商应向采购人支付合同总值5%的违约金，如造成采购人损失超过违约金的，超出部分由供应商继续承担赔偿责任。</w:t>
      </w:r>
    </w:p>
    <w:p w14:paraId="4FA185F1">
      <w:pPr>
        <w:spacing w:line="440" w:lineRule="exact"/>
        <w:ind w:firstLine="480" w:firstLineChars="200"/>
        <w:rPr>
          <w:rFonts w:ascii="仿宋" w:hAnsi="仿宋" w:eastAsia="仿宋"/>
          <w:bCs/>
          <w:color w:val="auto"/>
          <w:sz w:val="24"/>
          <w:szCs w:val="24"/>
          <w:highlight w:val="none"/>
        </w:rPr>
      </w:pPr>
      <w:r>
        <w:rPr>
          <w:rFonts w:ascii="仿宋" w:hAnsi="仿宋" w:eastAsia="仿宋"/>
          <w:bCs/>
          <w:color w:val="auto"/>
          <w:sz w:val="24"/>
          <w:szCs w:val="24"/>
          <w:highlight w:val="none"/>
        </w:rPr>
        <w:t>12.4</w:t>
      </w:r>
      <w:r>
        <w:rPr>
          <w:rFonts w:hint="eastAsia" w:ascii="仿宋" w:hAnsi="仿宋" w:eastAsia="仿宋"/>
          <w:color w:val="auto"/>
          <w:sz w:val="24"/>
          <w:szCs w:val="24"/>
          <w:highlight w:val="none"/>
        </w:rPr>
        <w:t>如供应商提供的服务或与服务相关的物品存在知识产权纠纷而导致本合同无法继续履行，在采购人发函要求解决相关知识产权问题后</w:t>
      </w:r>
      <w:r>
        <w:rPr>
          <w:rFonts w:ascii="仿宋" w:hAnsi="仿宋" w:eastAsia="仿宋"/>
          <w:color w:val="auto"/>
          <w:sz w:val="24"/>
          <w:szCs w:val="24"/>
          <w:highlight w:val="none"/>
        </w:rPr>
        <w:t>x</w:t>
      </w:r>
      <w:r>
        <w:rPr>
          <w:rFonts w:hint="eastAsia" w:ascii="仿宋" w:hAnsi="仿宋" w:eastAsia="仿宋"/>
          <w:color w:val="auto"/>
          <w:sz w:val="24"/>
          <w:szCs w:val="24"/>
          <w:highlight w:val="none"/>
        </w:rPr>
        <w:t>日内仍未解决的，则采购人有权单方终止本合同的履行，并要求供应商承担相应赔偿责任。</w:t>
      </w:r>
    </w:p>
    <w:p w14:paraId="38CD7502">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13.不可抗力事件处理</w:t>
      </w:r>
    </w:p>
    <w:p w14:paraId="3F5A1DBF">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13.1 在合同有效期内，任何一方因不可抗力事件导致不能履行合同，则合同履行期可延长，其延长期与不可抗力影响期相同。</w:t>
      </w:r>
    </w:p>
    <w:p w14:paraId="74FACFED">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13.2 不可抗力事件发生后，应立即通知对方，并寄送有关权威机构出具的证明。</w:t>
      </w:r>
    </w:p>
    <w:p w14:paraId="2BC781F3">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13.3 不可抗力事件延续120天以上，双方应通过友好协商，确定是否继续履行合同。</w:t>
      </w:r>
    </w:p>
    <w:p w14:paraId="67AA292D">
      <w:pPr>
        <w:spacing w:line="440" w:lineRule="exact"/>
        <w:rPr>
          <w:rFonts w:ascii="仿宋" w:hAnsi="仿宋" w:eastAsia="仿宋"/>
          <w:bCs/>
          <w:color w:val="auto"/>
          <w:sz w:val="24"/>
          <w:szCs w:val="24"/>
          <w:highlight w:val="none"/>
        </w:rPr>
      </w:pPr>
      <w:r>
        <w:rPr>
          <w:rFonts w:hint="eastAsia" w:ascii="仿宋" w:hAnsi="仿宋" w:eastAsia="仿宋"/>
          <w:b/>
          <w:bCs/>
          <w:color w:val="auto"/>
          <w:sz w:val="24"/>
          <w:szCs w:val="24"/>
          <w:highlight w:val="none"/>
        </w:rPr>
        <w:t>14.争议解决</w:t>
      </w:r>
    </w:p>
    <w:p w14:paraId="516624A4">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14.1在执行本合同中所发生的或与本合同有关的一切争端，合同双方应通过友好协商解决，经过协商仍不能解决，双方选择通过下列第</w:t>
      </w:r>
      <w:r>
        <w:rPr>
          <w:rFonts w:ascii="仿宋" w:hAnsi="仿宋" w:eastAsia="仿宋"/>
          <w:color w:val="auto"/>
          <w:sz w:val="24"/>
          <w:szCs w:val="24"/>
          <w:highlight w:val="none"/>
        </w:rPr>
        <w:t>x</w:t>
      </w:r>
      <w:r>
        <w:rPr>
          <w:rFonts w:hint="eastAsia" w:ascii="仿宋" w:hAnsi="仿宋" w:eastAsia="仿宋"/>
          <w:color w:val="auto"/>
          <w:sz w:val="24"/>
          <w:szCs w:val="24"/>
          <w:highlight w:val="none"/>
        </w:rPr>
        <w:t>种方式解决：</w:t>
      </w:r>
    </w:p>
    <w:p w14:paraId="518A3DB1">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（1）将争端提交湖州仲裁委员会仲裁</w:t>
      </w:r>
    </w:p>
    <w:p w14:paraId="6C8F9981">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（2）直接向采购人所在地有管辖权的人民法院起诉。</w:t>
      </w:r>
    </w:p>
    <w:p w14:paraId="7110AF82">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14.</w:t>
      </w:r>
      <w:r>
        <w:rPr>
          <w:rFonts w:ascii="仿宋" w:hAnsi="仿宋" w:eastAsia="仿宋"/>
          <w:color w:val="auto"/>
          <w:sz w:val="24"/>
          <w:szCs w:val="24"/>
          <w:highlight w:val="none"/>
        </w:rPr>
        <w:t>2</w:t>
      </w:r>
      <w:r>
        <w:rPr>
          <w:rFonts w:hint="eastAsia" w:ascii="仿宋" w:hAnsi="仿宋" w:eastAsia="仿宋"/>
          <w:color w:val="auto"/>
          <w:sz w:val="24"/>
          <w:szCs w:val="24"/>
          <w:highlight w:val="none"/>
        </w:rPr>
        <w:t>仲裁费用或诉讼费用应由败诉方负担。</w:t>
      </w:r>
    </w:p>
    <w:p w14:paraId="57ADE1D5">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14.</w:t>
      </w:r>
      <w:r>
        <w:rPr>
          <w:rFonts w:ascii="仿宋" w:hAnsi="仿宋" w:eastAsia="仿宋"/>
          <w:color w:val="auto"/>
          <w:sz w:val="24"/>
          <w:szCs w:val="24"/>
          <w:highlight w:val="none"/>
        </w:rPr>
        <w:t>3</w:t>
      </w:r>
      <w:r>
        <w:rPr>
          <w:rFonts w:hint="eastAsia" w:ascii="仿宋" w:hAnsi="仿宋" w:eastAsia="仿宋"/>
          <w:color w:val="auto"/>
          <w:sz w:val="24"/>
          <w:szCs w:val="24"/>
          <w:highlight w:val="none"/>
        </w:rPr>
        <w:t>在仲裁或诉讼期间，除进行仲裁或诉讼的部分外，本合同其它部分应继续执行。</w:t>
      </w:r>
    </w:p>
    <w:p w14:paraId="0973C209">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15.转让或分包</w:t>
      </w:r>
    </w:p>
    <w:p w14:paraId="40C85271">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15.1本合同范围的服务，应由供应商提供，不得转让他人供应；</w:t>
      </w:r>
    </w:p>
    <w:p w14:paraId="69C7DE8C">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15.2除非得到采购人的书面同意后，供应商可以将其中部分依法分包给他人供应和实施。采购人有绝对权力阻止分包。虽然采购人之前未有阻止分包，采购人仍有权在任何时候拒绝任何分包人，有权要求任何分包人脱离本货物的供应和服务，并不承担任何赔偿责任。</w:t>
      </w:r>
    </w:p>
    <w:p w14:paraId="6D941DA4">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15.3本合同全部或部分的分包不能减轻供应商承担的责任，供应商仍须将分包人的任何行动、错误或疏忽当作是自己完成的并负全责；</w:t>
      </w:r>
    </w:p>
    <w:p w14:paraId="11B67809">
      <w:pPr>
        <w:spacing w:line="440" w:lineRule="exact"/>
        <w:ind w:firstLine="480" w:firstLineChars="200"/>
        <w:rPr>
          <w:rFonts w:ascii="仿宋" w:hAnsi="仿宋" w:eastAsia="仿宋"/>
          <w:color w:val="auto"/>
          <w:sz w:val="24"/>
          <w:szCs w:val="24"/>
          <w:highlight w:val="none"/>
        </w:rPr>
      </w:pPr>
      <w:r>
        <w:rPr>
          <w:rFonts w:ascii="仿宋" w:hAnsi="仿宋" w:eastAsia="仿宋"/>
          <w:color w:val="auto"/>
          <w:sz w:val="24"/>
          <w:szCs w:val="24"/>
          <w:highlight w:val="none"/>
        </w:rPr>
        <w:t>15</w:t>
      </w:r>
      <w:r>
        <w:rPr>
          <w:rFonts w:hint="eastAsia" w:ascii="仿宋" w:hAnsi="仿宋" w:eastAsia="仿宋"/>
          <w:color w:val="auto"/>
          <w:sz w:val="24"/>
          <w:szCs w:val="24"/>
          <w:highlight w:val="none"/>
        </w:rPr>
        <w:t>.4在任何分包合同中，须注明分包人按分包合同的范围履行，在供应商按本合同的履行终止时（不论任何原因），亦同时一并终止；</w:t>
      </w:r>
    </w:p>
    <w:p w14:paraId="0A04958A">
      <w:pPr>
        <w:spacing w:line="44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15.5如有转让和未经采购人同意的分包行为，采购人有权给予终止合同。</w:t>
      </w:r>
    </w:p>
    <w:p w14:paraId="7F664791">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16.适用法律</w:t>
      </w:r>
    </w:p>
    <w:p w14:paraId="5C1C9AFB">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color w:val="auto"/>
          <w:sz w:val="24"/>
          <w:szCs w:val="24"/>
          <w:highlight w:val="none"/>
        </w:rPr>
        <w:t>合同适用法律有《中华人民共和国政府采购法》、《中华人民共和国民法典》、《中华人民共和国产品质量法》和浙江省有关条例等。</w:t>
      </w:r>
    </w:p>
    <w:p w14:paraId="03CE0D13">
      <w:pPr>
        <w:spacing w:line="440" w:lineRule="exact"/>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17.合同生效及其他</w:t>
      </w:r>
    </w:p>
    <w:p w14:paraId="0C6C948B">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17.1本合同经双方法人及法定代表人签字盖章生效；</w:t>
      </w:r>
    </w:p>
    <w:p w14:paraId="1DB94F95">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17.2本合同一式五份，供应商、采购人各执两份；采购代理机构一份。</w:t>
      </w:r>
    </w:p>
    <w:p w14:paraId="6121EC9C">
      <w:pPr>
        <w:spacing w:line="440" w:lineRule="exact"/>
        <w:ind w:firstLine="482" w:firstLineChars="200"/>
        <w:rPr>
          <w:rFonts w:ascii="仿宋" w:hAnsi="仿宋" w:eastAsia="仿宋"/>
          <w:b/>
          <w:bCs/>
          <w:color w:val="auto"/>
          <w:sz w:val="24"/>
          <w:szCs w:val="24"/>
          <w:highlight w:val="none"/>
        </w:rPr>
      </w:pPr>
    </w:p>
    <w:p w14:paraId="3ED4988F">
      <w:pPr>
        <w:spacing w:line="440" w:lineRule="exact"/>
        <w:ind w:firstLine="480" w:firstLineChars="200"/>
        <w:rPr>
          <w:rFonts w:ascii="仿宋" w:hAnsi="仿宋" w:eastAsia="仿宋"/>
          <w:bCs/>
          <w:color w:val="auto"/>
          <w:sz w:val="24"/>
          <w:szCs w:val="24"/>
          <w:highlight w:val="none"/>
        </w:rPr>
      </w:pPr>
    </w:p>
    <w:p w14:paraId="61A8BFE3">
      <w:pPr>
        <w:spacing w:line="440" w:lineRule="exact"/>
        <w:ind w:firstLine="480" w:firstLineChars="200"/>
        <w:rPr>
          <w:rFonts w:ascii="仿宋" w:hAnsi="仿宋" w:eastAsia="仿宋"/>
          <w:bCs/>
          <w:color w:val="auto"/>
          <w:sz w:val="24"/>
          <w:szCs w:val="24"/>
          <w:highlight w:val="none"/>
        </w:rPr>
      </w:pPr>
    </w:p>
    <w:p w14:paraId="19B85571">
      <w:pPr>
        <w:spacing w:line="440" w:lineRule="exact"/>
        <w:ind w:firstLine="480" w:firstLineChars="200"/>
        <w:rPr>
          <w:rFonts w:ascii="仿宋" w:hAnsi="仿宋" w:eastAsia="仿宋"/>
          <w:bCs/>
          <w:color w:val="auto"/>
          <w:sz w:val="24"/>
          <w:szCs w:val="24"/>
          <w:highlight w:val="none"/>
        </w:rPr>
      </w:pPr>
    </w:p>
    <w:p w14:paraId="1F624658">
      <w:pPr>
        <w:spacing w:line="440" w:lineRule="exact"/>
        <w:ind w:firstLine="480" w:firstLineChars="200"/>
        <w:rPr>
          <w:rFonts w:ascii="仿宋" w:hAnsi="仿宋" w:eastAsia="仿宋"/>
          <w:bCs/>
          <w:color w:val="auto"/>
          <w:sz w:val="24"/>
          <w:szCs w:val="24"/>
          <w:highlight w:val="none"/>
        </w:rPr>
      </w:pPr>
    </w:p>
    <w:p w14:paraId="4239A42C">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 xml:space="preserve">采购人：                                   供应商： </w:t>
      </w:r>
    </w:p>
    <w:p w14:paraId="4072AA0A">
      <w:pPr>
        <w:spacing w:line="440" w:lineRule="exact"/>
        <w:ind w:firstLine="480" w:firstLineChars="200"/>
        <w:rPr>
          <w:rFonts w:ascii="仿宋" w:hAnsi="仿宋" w:eastAsia="仿宋"/>
          <w:bCs/>
          <w:color w:val="auto"/>
          <w:sz w:val="24"/>
          <w:szCs w:val="24"/>
          <w:highlight w:val="none"/>
        </w:rPr>
      </w:pPr>
    </w:p>
    <w:p w14:paraId="2C63D237">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 xml:space="preserve">地址：                                   地址： </w:t>
      </w:r>
    </w:p>
    <w:p w14:paraId="38860D25">
      <w:pPr>
        <w:spacing w:line="440" w:lineRule="exact"/>
        <w:ind w:firstLine="480" w:firstLineChars="200"/>
        <w:rPr>
          <w:rFonts w:ascii="仿宋" w:hAnsi="仿宋" w:eastAsia="仿宋"/>
          <w:bCs/>
          <w:color w:val="auto"/>
          <w:sz w:val="24"/>
          <w:szCs w:val="24"/>
          <w:highlight w:val="none"/>
        </w:rPr>
      </w:pPr>
    </w:p>
    <w:p w14:paraId="03417587">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法定（或授权）代表人：            法定（或授权）代表人：</w:t>
      </w:r>
    </w:p>
    <w:p w14:paraId="0C9CF1B8">
      <w:pPr>
        <w:spacing w:line="440" w:lineRule="exact"/>
        <w:ind w:firstLine="480" w:firstLineChars="200"/>
        <w:rPr>
          <w:rFonts w:ascii="仿宋" w:hAnsi="仿宋" w:eastAsia="仿宋"/>
          <w:bCs/>
          <w:color w:val="auto"/>
          <w:sz w:val="24"/>
          <w:szCs w:val="24"/>
          <w:highlight w:val="none"/>
        </w:rPr>
      </w:pPr>
    </w:p>
    <w:p w14:paraId="3FD5826D">
      <w:pPr>
        <w:spacing w:line="440" w:lineRule="exact"/>
        <w:ind w:firstLine="480" w:firstLineChars="200"/>
        <w:rPr>
          <w:rFonts w:ascii="仿宋" w:hAnsi="仿宋" w:eastAsia="仿宋"/>
          <w:bCs/>
          <w:color w:val="auto"/>
          <w:sz w:val="24"/>
          <w:szCs w:val="24"/>
          <w:highlight w:val="none"/>
        </w:rPr>
      </w:pPr>
      <w:r>
        <w:rPr>
          <w:rFonts w:hint="eastAsia" w:ascii="仿宋" w:hAnsi="仿宋" w:eastAsia="仿宋"/>
          <w:bCs/>
          <w:color w:val="auto"/>
          <w:sz w:val="24"/>
          <w:szCs w:val="24"/>
          <w:highlight w:val="none"/>
        </w:rPr>
        <w:t>签字日期：   年  月  日          签字日期：   年  月  日</w:t>
      </w:r>
    </w:p>
    <w:p w14:paraId="078596B5">
      <w:pPr>
        <w:spacing w:line="440" w:lineRule="exact"/>
        <w:ind w:firstLine="482" w:firstLineChars="200"/>
        <w:rPr>
          <w:rFonts w:ascii="仿宋" w:hAnsi="仿宋" w:eastAsia="仿宋"/>
          <w:color w:val="auto"/>
          <w:sz w:val="24"/>
          <w:szCs w:val="24"/>
          <w:highlight w:val="none"/>
        </w:rPr>
      </w:pPr>
      <w:r>
        <w:rPr>
          <w:rFonts w:ascii="仿宋" w:hAnsi="仿宋" w:eastAsia="仿宋"/>
          <w:b/>
          <w:bCs/>
          <w:color w:val="auto"/>
          <w:sz w:val="24"/>
          <w:szCs w:val="24"/>
          <w:highlight w:val="none"/>
        </w:rPr>
        <w:t> </w:t>
      </w:r>
    </w:p>
    <w:p w14:paraId="78856C98">
      <w:pPr>
        <w:tabs>
          <w:tab w:val="left" w:pos="1440"/>
        </w:tabs>
        <w:spacing w:line="480" w:lineRule="exact"/>
        <w:rPr>
          <w:rFonts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注：本合同仅作示范文本，具体以双方签定的正式合同为准，合同内容不得违背本招标文件实质性要求。</w:t>
      </w:r>
    </w:p>
    <w:p w14:paraId="61B5634D">
      <w:pPr>
        <w:spacing w:line="480" w:lineRule="exact"/>
        <w:rPr>
          <w:color w:val="auto"/>
          <w:sz w:val="24"/>
          <w:szCs w:val="24"/>
          <w:highlight w:val="none"/>
        </w:rPr>
      </w:pPr>
    </w:p>
    <w:p w14:paraId="1CE522FC">
      <w:pPr>
        <w:spacing w:line="400" w:lineRule="exact"/>
        <w:rPr>
          <w:rFonts w:hint="eastAsia" w:ascii="仿宋" w:hAnsi="仿宋" w:eastAsia="仿宋" w:cs="仿宋"/>
          <w:color w:val="auto"/>
          <w:highlight w:val="none"/>
        </w:rPr>
      </w:pPr>
    </w:p>
    <w:p w14:paraId="6F065C8F">
      <w:pPr>
        <w:pStyle w:val="11"/>
        <w:rPr>
          <w:rFonts w:hint="eastAsia" w:ascii="仿宋" w:hAnsi="仿宋" w:eastAsia="仿宋" w:cs="仿宋"/>
          <w:color w:val="auto"/>
          <w:highlight w:val="none"/>
        </w:rPr>
      </w:pPr>
    </w:p>
    <w:p w14:paraId="5D174468">
      <w:pPr>
        <w:pStyle w:val="11"/>
        <w:rPr>
          <w:rFonts w:hint="eastAsia" w:ascii="仿宋" w:hAnsi="仿宋" w:eastAsia="仿宋" w:cs="仿宋"/>
          <w:color w:val="auto"/>
          <w:highlight w:val="none"/>
        </w:rPr>
      </w:pPr>
    </w:p>
    <w:p w14:paraId="55D10E8E">
      <w:pPr>
        <w:pStyle w:val="11"/>
        <w:rPr>
          <w:rFonts w:hint="eastAsia" w:ascii="仿宋" w:hAnsi="仿宋" w:eastAsia="仿宋" w:cs="仿宋"/>
          <w:color w:val="auto"/>
          <w:highlight w:val="none"/>
        </w:rPr>
      </w:pPr>
    </w:p>
    <w:p w14:paraId="6AD5ACB5">
      <w:pPr>
        <w:pStyle w:val="11"/>
        <w:rPr>
          <w:rFonts w:hint="eastAsia" w:ascii="仿宋" w:hAnsi="仿宋" w:eastAsia="仿宋" w:cs="仿宋"/>
          <w:color w:val="auto"/>
          <w:highlight w:val="none"/>
        </w:rPr>
      </w:pPr>
    </w:p>
    <w:p w14:paraId="77A42921">
      <w:pPr>
        <w:pStyle w:val="11"/>
        <w:rPr>
          <w:rFonts w:hint="eastAsia" w:ascii="仿宋" w:hAnsi="仿宋" w:eastAsia="仿宋" w:cs="仿宋"/>
          <w:color w:val="auto"/>
          <w:highlight w:val="none"/>
        </w:rPr>
      </w:pPr>
    </w:p>
    <w:p w14:paraId="46C3BD65">
      <w:pPr>
        <w:pStyle w:val="11"/>
        <w:rPr>
          <w:rFonts w:hint="eastAsia" w:ascii="仿宋" w:hAnsi="仿宋" w:eastAsia="仿宋" w:cs="仿宋"/>
          <w:color w:val="auto"/>
          <w:highlight w:val="none"/>
        </w:rPr>
      </w:pPr>
    </w:p>
    <w:p w14:paraId="63E7C735">
      <w:pPr>
        <w:pStyle w:val="11"/>
        <w:rPr>
          <w:rFonts w:hint="eastAsia" w:ascii="仿宋" w:hAnsi="仿宋" w:eastAsia="仿宋" w:cs="仿宋"/>
          <w:color w:val="auto"/>
          <w:highlight w:val="none"/>
        </w:rPr>
      </w:pPr>
    </w:p>
    <w:p w14:paraId="3785590E">
      <w:pPr>
        <w:pStyle w:val="11"/>
        <w:rPr>
          <w:rFonts w:hint="eastAsia" w:ascii="仿宋" w:hAnsi="仿宋" w:eastAsia="仿宋" w:cs="仿宋"/>
          <w:color w:val="auto"/>
          <w:highlight w:val="none"/>
        </w:rPr>
      </w:pPr>
    </w:p>
    <w:p w14:paraId="3C4047AC">
      <w:pPr>
        <w:pStyle w:val="11"/>
        <w:rPr>
          <w:rFonts w:hint="eastAsia" w:ascii="仿宋" w:hAnsi="仿宋" w:eastAsia="仿宋" w:cs="仿宋"/>
          <w:color w:val="auto"/>
          <w:highlight w:val="none"/>
        </w:rPr>
      </w:pPr>
    </w:p>
    <w:p w14:paraId="6CC8DB5A">
      <w:pPr>
        <w:pStyle w:val="11"/>
        <w:rPr>
          <w:rFonts w:hint="eastAsia" w:ascii="仿宋" w:hAnsi="仿宋" w:eastAsia="仿宋" w:cs="仿宋"/>
          <w:color w:val="auto"/>
          <w:highlight w:val="none"/>
        </w:rPr>
      </w:pPr>
    </w:p>
    <w:p w14:paraId="3EF44C86">
      <w:pPr>
        <w:pStyle w:val="11"/>
        <w:rPr>
          <w:rFonts w:hint="eastAsia" w:ascii="仿宋" w:hAnsi="仿宋" w:eastAsia="仿宋" w:cs="仿宋"/>
          <w:color w:val="auto"/>
          <w:highlight w:val="none"/>
        </w:rPr>
      </w:pPr>
    </w:p>
    <w:p w14:paraId="4C40EB40">
      <w:pPr>
        <w:pStyle w:val="11"/>
        <w:rPr>
          <w:rFonts w:hint="eastAsia" w:ascii="仿宋" w:hAnsi="仿宋" w:eastAsia="仿宋" w:cs="仿宋"/>
          <w:color w:val="auto"/>
          <w:highlight w:val="none"/>
        </w:rPr>
      </w:pPr>
    </w:p>
    <w:p w14:paraId="45EAD408">
      <w:pPr>
        <w:pStyle w:val="11"/>
        <w:rPr>
          <w:rFonts w:hint="eastAsia" w:ascii="仿宋" w:hAnsi="仿宋" w:eastAsia="仿宋" w:cs="仿宋"/>
          <w:color w:val="auto"/>
          <w:highlight w:val="none"/>
        </w:rPr>
      </w:pPr>
    </w:p>
    <w:p w14:paraId="63D62BBC">
      <w:pPr>
        <w:spacing w:line="300" w:lineRule="exact"/>
        <w:jc w:val="left"/>
        <w:rPr>
          <w:rFonts w:hint="eastAsia" w:ascii="仿宋" w:hAnsi="仿宋" w:eastAsia="仿宋" w:cs="仿宋"/>
          <w:b/>
          <w:bCs/>
          <w:snapToGrid w:val="0"/>
          <w:color w:val="auto"/>
          <w:highlight w:val="none"/>
        </w:rPr>
      </w:pPr>
    </w:p>
    <w:p w14:paraId="7AD6E863">
      <w:pPr>
        <w:spacing w:line="300" w:lineRule="exact"/>
        <w:jc w:val="left"/>
        <w:rPr>
          <w:rFonts w:hint="eastAsia" w:ascii="仿宋" w:hAnsi="仿宋" w:eastAsia="仿宋" w:cs="仿宋"/>
          <w:snapToGrid w:val="0"/>
          <w:color w:val="auto"/>
          <w:highlight w:val="none"/>
        </w:rPr>
      </w:pPr>
      <w:r>
        <w:rPr>
          <w:rFonts w:hint="eastAsia" w:ascii="仿宋" w:hAnsi="仿宋" w:eastAsia="仿宋" w:cs="仿宋"/>
          <w:b/>
          <w:bCs/>
          <w:snapToGrid w:val="0"/>
          <w:color w:val="auto"/>
          <w:highlight w:val="none"/>
        </w:rPr>
        <w:t>附件1</w:t>
      </w:r>
    </w:p>
    <w:p w14:paraId="114D0D7F">
      <w:pPr>
        <w:pStyle w:val="6"/>
        <w:tabs>
          <w:tab w:val="left" w:pos="709"/>
          <w:tab w:val="clear" w:pos="720"/>
        </w:tabs>
        <w:spacing w:line="400" w:lineRule="exact"/>
        <w:rPr>
          <w:rFonts w:hint="eastAsia" w:ascii="仿宋" w:hAnsi="仿宋" w:eastAsia="仿宋" w:cs="仿宋"/>
          <w:color w:val="auto"/>
          <w:sz w:val="24"/>
          <w:szCs w:val="24"/>
          <w:highlight w:val="none"/>
        </w:rPr>
      </w:pPr>
      <w:bookmarkStart w:id="6" w:name="_Toc395033570"/>
      <w:r>
        <w:rPr>
          <w:rFonts w:hint="eastAsia" w:ascii="仿宋" w:hAnsi="仿宋" w:eastAsia="仿宋" w:cs="仿宋"/>
          <w:color w:val="auto"/>
          <w:sz w:val="24"/>
          <w:szCs w:val="24"/>
          <w:highlight w:val="none"/>
        </w:rPr>
        <w:t>廉政合同</w:t>
      </w:r>
      <w:bookmarkEnd w:id="6"/>
    </w:p>
    <w:p w14:paraId="1E36BCBE">
      <w:pPr>
        <w:spacing w:line="400" w:lineRule="exact"/>
        <w:ind w:right="11"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根据有关廉政建设的规定，为做好项目建设中的党风廉政建设，保证工程建设高效优质，保证建设资金的安全和有效使用以及投资效益，</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的项目法人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（以下简称甲方）与承包人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（以下简称乙方），特订立如下合同。</w:t>
      </w:r>
    </w:p>
    <w:p w14:paraId="1483C35F">
      <w:pPr>
        <w:numPr>
          <w:ilvl w:val="0"/>
          <w:numId w:val="9"/>
        </w:numPr>
        <w:tabs>
          <w:tab w:val="left" w:pos="0"/>
        </w:tabs>
        <w:spacing w:line="400" w:lineRule="exact"/>
        <w:ind w:left="0" w:right="11" w:firstLine="410" w:firstLineChars="17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甲乙双方的权利和义务</w:t>
      </w:r>
    </w:p>
    <w:p w14:paraId="0F31AAE6">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严格遵守党和国家有关法律法规的有关规定。</w:t>
      </w:r>
    </w:p>
    <w:p w14:paraId="2D0E28C3">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严格执行</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的合同文件，自觉按合同办事。</w:t>
      </w:r>
    </w:p>
    <w:p w14:paraId="115B96BF">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双方的业务活动坚持公开、公正、诚信、透明的原则（除法律认定的商业机密和合同文件另有规定之外），不得损害国家和集体利益，违反工程建设管理规章制度。</w:t>
      </w:r>
    </w:p>
    <w:p w14:paraId="22710AD9">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建立健全廉政制度，开展廉政教育，设立廉政告示牌，公布举报电话，监督并认真查处违法违纪行为。</w:t>
      </w:r>
    </w:p>
    <w:p w14:paraId="570D1090">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发现对方在业务活动中有违反廉政规定的行为，有及时提醒对方纠正的权利和义务。</w:t>
      </w:r>
    </w:p>
    <w:p w14:paraId="17BEA20F">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发现对方严重违反本合同义务条款的行为，有向其上级有关部门举报、建议给予处分并要求告知处理结果的权利。</w:t>
      </w:r>
    </w:p>
    <w:p w14:paraId="5A84687A">
      <w:pPr>
        <w:numPr>
          <w:ilvl w:val="0"/>
          <w:numId w:val="9"/>
        </w:numPr>
        <w:tabs>
          <w:tab w:val="left" w:pos="0"/>
        </w:tabs>
        <w:spacing w:line="400" w:lineRule="exact"/>
        <w:ind w:left="0" w:right="11" w:firstLine="410" w:firstLineChars="17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甲方的义务</w:t>
      </w:r>
    </w:p>
    <w:p w14:paraId="53628A52">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甲方及其工作人员不得索要和接受乙方的礼金、有价证券和贵重物品，不得在乙方报销任何由甲方或个人支付的费用等。</w:t>
      </w:r>
    </w:p>
    <w:p w14:paraId="38077268">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甲方工作人员不得参加乙方安排的超标准宴请和娱乐活动；不得接受乙方提供的通讯工具、交通工具和高档办公用品等。</w:t>
      </w:r>
    </w:p>
    <w:p w14:paraId="33761935">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甲方及其工作人员不得要求或者接受乙方为其住房装修、婚丧嫁娶活动、配偶子女的工作安排以及出国出境、旅游等提供方便等。</w:t>
      </w:r>
    </w:p>
    <w:p w14:paraId="70630B5C">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甲方工作人员的配偶、子女不得从事与甲方工程有关的材料设备供应、工程分包、劳务等经济活动。</w:t>
      </w:r>
    </w:p>
    <w:p w14:paraId="0C60EDD5">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甲方及其工作人员不得以任何理由向乙方推荐分包单位，不得要求乙方购买合同规定外的材料和设备。</w:t>
      </w:r>
    </w:p>
    <w:p w14:paraId="5CB27505">
      <w:pPr>
        <w:numPr>
          <w:ilvl w:val="0"/>
          <w:numId w:val="9"/>
        </w:numPr>
        <w:tabs>
          <w:tab w:val="left" w:pos="0"/>
        </w:tabs>
        <w:spacing w:line="400" w:lineRule="exact"/>
        <w:ind w:left="0" w:right="11" w:firstLine="410" w:firstLineChars="17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乙方义务</w:t>
      </w:r>
    </w:p>
    <w:p w14:paraId="23C51899">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乙方不得以任何理由向甲方及其工作人员行贿或馈赠礼金、有价证券、贵重礼品。</w:t>
      </w:r>
    </w:p>
    <w:p w14:paraId="2CB5B7D4">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乙方不得以任何名义向甲方及其工作人员报销应由甲方单位或个人支付的任何费用。</w:t>
      </w:r>
    </w:p>
    <w:p w14:paraId="5FDD76B6">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乙方不得以任何理由安排甲方及其工作人员参加超标准宴请及娱乐活动。</w:t>
      </w:r>
    </w:p>
    <w:p w14:paraId="54486D4F">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乙方不得为甲方单位或个人购置或提供通讯工具、交通工具和高档办公用品等。</w:t>
      </w:r>
    </w:p>
    <w:p w14:paraId="04C9B2F0">
      <w:pPr>
        <w:numPr>
          <w:ilvl w:val="0"/>
          <w:numId w:val="9"/>
        </w:numPr>
        <w:tabs>
          <w:tab w:val="left" w:pos="0"/>
        </w:tabs>
        <w:spacing w:line="400" w:lineRule="exact"/>
        <w:ind w:left="0" w:right="11" w:firstLine="410" w:firstLineChars="17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违约责任</w:t>
      </w:r>
    </w:p>
    <w:p w14:paraId="17B80C16">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甲方及其工作人员违反本合同第一、二条，按管理权限，依据有关规定，给予党纪、政纪或组织处理；涉嫌犯罪的移交司法机关追究刑事责任；给乙方单位造成经济损失的，应予以赔偿。</w:t>
      </w:r>
    </w:p>
    <w:p w14:paraId="589C29BA">
      <w:pPr>
        <w:numPr>
          <w:ilvl w:val="0"/>
          <w:numId w:val="10"/>
        </w:numPr>
        <w:tabs>
          <w:tab w:val="left" w:pos="0"/>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及其工作人员违反本合同第一、三条，按管理权限，依据有关规定，给予党纪、政纪或组织处理；给甲方单位造成经济损失的，应予以赔偿；情节严重的，甲方建议工程建设主管部门给予乙方一至三年内不得进入其主管的工程建设市场的处罚。</w:t>
      </w:r>
    </w:p>
    <w:p w14:paraId="60100202">
      <w:pPr>
        <w:numPr>
          <w:ilvl w:val="0"/>
          <w:numId w:val="9"/>
        </w:numPr>
        <w:tabs>
          <w:tab w:val="left" w:pos="0"/>
        </w:tabs>
        <w:spacing w:line="400" w:lineRule="exact"/>
        <w:ind w:left="0" w:right="11" w:firstLine="410" w:firstLineChars="17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双方约定：</w:t>
      </w:r>
    </w:p>
    <w:p w14:paraId="3856C1E9">
      <w:pPr>
        <w:spacing w:line="400" w:lineRule="exact"/>
        <w:ind w:right="11"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本合同由双方或双方上级单位的纪检监察机关负责监督。由甲方或甲方上级单位的纪检监察机关约请乙方或乙方上级单位的纪检监察机关对本合同履行情况进行检查，提出本合同规定范围内的裁定意见。</w:t>
      </w:r>
    </w:p>
    <w:p w14:paraId="3895E286">
      <w:pPr>
        <w:numPr>
          <w:ilvl w:val="0"/>
          <w:numId w:val="9"/>
        </w:numPr>
        <w:tabs>
          <w:tab w:val="left" w:pos="0"/>
        </w:tabs>
        <w:spacing w:line="400" w:lineRule="exact"/>
        <w:ind w:left="0" w:right="11" w:firstLine="408" w:firstLineChars="17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本合同有效期为甲乙双方签署之日起至该项目竣工验收后止。</w:t>
      </w:r>
    </w:p>
    <w:p w14:paraId="732FC208">
      <w:pPr>
        <w:numPr>
          <w:ilvl w:val="0"/>
          <w:numId w:val="9"/>
        </w:numPr>
        <w:tabs>
          <w:tab w:val="left" w:pos="0"/>
        </w:tabs>
        <w:spacing w:line="400" w:lineRule="exact"/>
        <w:ind w:left="0" w:right="11" w:firstLine="408" w:firstLineChars="17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本合同作为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工程施工合同的附件，与施工合同具有同等的法律效力，经合同双方签署立即生效。</w:t>
      </w:r>
    </w:p>
    <w:p w14:paraId="52BB4C09">
      <w:pPr>
        <w:numPr>
          <w:ilvl w:val="0"/>
          <w:numId w:val="9"/>
        </w:numPr>
        <w:tabs>
          <w:tab w:val="left" w:pos="0"/>
        </w:tabs>
        <w:spacing w:line="400" w:lineRule="exact"/>
        <w:ind w:left="0" w:right="11" w:firstLine="410" w:firstLineChars="170"/>
        <w:rPr>
          <w:rFonts w:hint="eastAsia" w:ascii="仿宋" w:hAnsi="仿宋" w:eastAsia="仿宋" w:cs="仿宋"/>
          <w:color w:val="auto"/>
          <w:sz w:val="24"/>
          <w:highlight w:val="none"/>
        </w:rPr>
      </w:pPr>
      <w:r>
        <w:rPr>
          <w:rFonts w:hint="eastAsia" w:ascii="仿宋" w:hAnsi="仿宋" w:eastAsia="仿宋" w:cs="仿宋"/>
          <w:b/>
          <w:color w:val="auto"/>
          <w:sz w:val="24"/>
          <w:highlight w:val="none"/>
        </w:rPr>
        <w:t>本合同甲乙双方各执一份，送交双方监督单位一份。</w:t>
      </w:r>
    </w:p>
    <w:p w14:paraId="4A36325F">
      <w:pPr>
        <w:tabs>
          <w:tab w:val="left" w:pos="0"/>
        </w:tabs>
        <w:spacing w:line="400" w:lineRule="exact"/>
        <w:ind w:right="11"/>
        <w:rPr>
          <w:rFonts w:hint="eastAsia" w:ascii="仿宋" w:hAnsi="仿宋" w:eastAsia="仿宋" w:cs="仿宋"/>
          <w:b/>
          <w:color w:val="auto"/>
          <w:sz w:val="24"/>
          <w:highlight w:val="none"/>
        </w:rPr>
      </w:pPr>
    </w:p>
    <w:p w14:paraId="23AB64E8">
      <w:pPr>
        <w:spacing w:line="40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招标</w:t>
      </w:r>
      <w:r>
        <w:rPr>
          <w:rFonts w:hint="eastAsia" w:ascii="仿宋" w:hAnsi="仿宋" w:eastAsia="仿宋" w:cs="仿宋"/>
          <w:color w:val="auto"/>
          <w:sz w:val="24"/>
          <w:highlight w:val="none"/>
        </w:rPr>
        <w:t xml:space="preserve">人(公章)：                              </w:t>
      </w:r>
      <w:r>
        <w:rPr>
          <w:rFonts w:hint="eastAsia" w:ascii="仿宋" w:hAnsi="仿宋" w:eastAsia="仿宋" w:cs="仿宋"/>
          <w:color w:val="auto"/>
          <w:sz w:val="24"/>
          <w:highlight w:val="none"/>
          <w:lang w:eastAsia="zh-CN"/>
        </w:rPr>
        <w:t>中标</w:t>
      </w:r>
      <w:r>
        <w:rPr>
          <w:rFonts w:hint="eastAsia" w:ascii="仿宋" w:hAnsi="仿宋" w:eastAsia="仿宋" w:cs="仿宋"/>
          <w:color w:val="auto"/>
          <w:sz w:val="24"/>
          <w:highlight w:val="none"/>
        </w:rPr>
        <w:t>人(公章)：                 </w:t>
      </w:r>
    </w:p>
    <w:p w14:paraId="4B758157">
      <w:pPr>
        <w:spacing w:line="40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2DEF92C1">
      <w:pPr>
        <w:spacing w:line="40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法定代表人或其委托代理人（签字）：      法定代表人或其委托代理人（签字）： </w:t>
      </w:r>
    </w:p>
    <w:p w14:paraId="2E7EB114">
      <w:pPr>
        <w:spacing w:line="400" w:lineRule="exact"/>
        <w:jc w:val="left"/>
        <w:rPr>
          <w:rFonts w:hint="eastAsia" w:ascii="宋体" w:hAnsi="宋体" w:cs="宋体"/>
          <w:color w:val="auto"/>
          <w:sz w:val="24"/>
          <w:highlight w:val="none"/>
        </w:rPr>
      </w:pPr>
      <w:r>
        <w:rPr>
          <w:rFonts w:hint="eastAsia" w:ascii="仿宋" w:hAnsi="仿宋" w:eastAsia="仿宋" w:cs="仿宋"/>
          <w:color w:val="auto"/>
          <w:sz w:val="24"/>
          <w:highlight w:val="none"/>
        </w:rPr>
        <w:t>      日期：</w:t>
      </w:r>
      <w:r>
        <w:rPr>
          <w:rFonts w:hint="eastAsia" w:ascii="宋体" w:hAnsi="宋体" w:cs="宋体"/>
          <w:color w:val="auto"/>
          <w:sz w:val="24"/>
          <w:highlight w:val="none"/>
        </w:rPr>
        <w:t xml:space="preserve">                              </w:t>
      </w:r>
      <w:r>
        <w:rPr>
          <w:rFonts w:hint="eastAsia" w:ascii="仿宋" w:hAnsi="仿宋" w:eastAsia="仿宋" w:cs="仿宋"/>
          <w:color w:val="auto"/>
          <w:sz w:val="24"/>
          <w:highlight w:val="none"/>
        </w:rPr>
        <w:t>日期：</w:t>
      </w:r>
      <w:r>
        <w:rPr>
          <w:rFonts w:hint="eastAsia" w:ascii="宋体" w:hAnsi="宋体" w:cs="宋体"/>
          <w:color w:val="auto"/>
          <w:sz w:val="24"/>
          <w:highlight w:val="none"/>
        </w:rPr>
        <w:t xml:space="preserve"> </w:t>
      </w:r>
    </w:p>
    <w:p w14:paraId="21F688E2">
      <w:pPr>
        <w:pStyle w:val="3"/>
        <w:spacing w:after="0" w:line="480" w:lineRule="exact"/>
        <w:ind w:firstLine="280"/>
        <w:rPr>
          <w:color w:val="auto"/>
          <w:szCs w:val="28"/>
          <w:highlight w:val="none"/>
        </w:rPr>
      </w:pPr>
    </w:p>
    <w:p w14:paraId="23101F73">
      <w:pPr>
        <w:pStyle w:val="4"/>
        <w:keepNext w:val="0"/>
        <w:pageBreakBefore/>
        <w:spacing w:line="360" w:lineRule="auto"/>
        <w:jc w:val="center"/>
        <w:rPr>
          <w:rFonts w:hint="eastAsia" w:ascii="仿宋" w:hAnsi="仿宋" w:eastAsia="仿宋" w:cs="仿宋"/>
          <w:color w:val="auto"/>
          <w:sz w:val="32"/>
          <w:highlight w:val="none"/>
          <w:lang w:val="en-US" w:eastAsia="zh-CN"/>
        </w:rPr>
      </w:pPr>
      <w:r>
        <w:rPr>
          <w:rFonts w:hint="eastAsia" w:ascii="仿宋" w:hAnsi="仿宋" w:eastAsia="仿宋" w:cs="仿宋"/>
          <w:color w:val="auto"/>
          <w:sz w:val="32"/>
          <w:highlight w:val="none"/>
          <w:lang w:val="en-US" w:eastAsia="zh-CN"/>
        </w:rPr>
        <w:t>第六章 投标格式</w:t>
      </w:r>
    </w:p>
    <w:p w14:paraId="616813FC">
      <w:pPr>
        <w:pStyle w:val="31"/>
        <w:rPr>
          <w:rFonts w:hint="eastAsia" w:ascii="仿宋" w:hAnsi="仿宋" w:eastAsia="仿宋" w:cs="仿宋"/>
          <w:color w:val="auto"/>
          <w:sz w:val="28"/>
          <w:szCs w:val="28"/>
          <w:highlight w:val="none"/>
        </w:rPr>
      </w:pPr>
    </w:p>
    <w:p w14:paraId="12810EC2">
      <w:pPr>
        <w:snapToGrid w:val="0"/>
        <w:spacing w:before="50" w:after="50" w:line="360" w:lineRule="auto"/>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1、资格文件目录（具体参考第三章投标人须知“投标文件的组成”）</w:t>
      </w:r>
    </w:p>
    <w:p w14:paraId="267F5D6D">
      <w:pPr>
        <w:snapToGrid w:val="0"/>
        <w:spacing w:before="50" w:after="50" w:line="360" w:lineRule="auto"/>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w:t>
      </w:r>
    </w:p>
    <w:p w14:paraId="56CD2F7C">
      <w:pPr>
        <w:snapToGrid w:val="0"/>
        <w:spacing w:before="50" w:after="50" w:line="360" w:lineRule="auto"/>
        <w:rPr>
          <w:rFonts w:hint="eastAsia" w:ascii="仿宋" w:hAnsi="仿宋" w:eastAsia="仿宋" w:cs="仿宋"/>
          <w:color w:val="auto"/>
          <w:sz w:val="24"/>
          <w:szCs w:val="28"/>
          <w:highlight w:val="none"/>
        </w:rPr>
      </w:pPr>
    </w:p>
    <w:p w14:paraId="031231CC">
      <w:pPr>
        <w:snapToGrid w:val="0"/>
        <w:spacing w:before="50" w:after="50" w:line="360" w:lineRule="auto"/>
        <w:rPr>
          <w:rFonts w:hint="eastAsia" w:ascii="仿宋" w:hAnsi="仿宋" w:eastAsia="仿宋" w:cs="仿宋"/>
          <w:color w:val="auto"/>
          <w:szCs w:val="28"/>
          <w:highlight w:val="none"/>
        </w:rPr>
      </w:pPr>
    </w:p>
    <w:p w14:paraId="6755890C">
      <w:pPr>
        <w:snapToGrid w:val="0"/>
        <w:spacing w:before="50" w:after="50" w:line="360" w:lineRule="auto"/>
        <w:rPr>
          <w:rFonts w:hint="eastAsia" w:ascii="仿宋" w:hAnsi="仿宋" w:eastAsia="仿宋" w:cs="仿宋"/>
          <w:color w:val="auto"/>
          <w:sz w:val="24"/>
          <w:szCs w:val="28"/>
          <w:highlight w:val="none"/>
        </w:rPr>
      </w:pPr>
      <w:r>
        <w:rPr>
          <w:rFonts w:hint="eastAsia" w:ascii="仿宋" w:hAnsi="仿宋" w:eastAsia="仿宋" w:cs="仿宋"/>
          <w:color w:val="auto"/>
          <w:szCs w:val="28"/>
          <w:highlight w:val="none"/>
        </w:rPr>
        <w:t>2、</w:t>
      </w:r>
      <w:r>
        <w:rPr>
          <w:rFonts w:hint="eastAsia" w:ascii="仿宋" w:hAnsi="仿宋" w:eastAsia="仿宋" w:cs="仿宋"/>
          <w:color w:val="auto"/>
          <w:sz w:val="24"/>
          <w:szCs w:val="28"/>
          <w:highlight w:val="none"/>
        </w:rPr>
        <w:t>技术、商务、资信及其他文件目录（具体参考第三章投标人须知“投标文件的组成”）</w:t>
      </w:r>
    </w:p>
    <w:p w14:paraId="37168DF2">
      <w:pPr>
        <w:snapToGrid w:val="0"/>
        <w:spacing w:before="50" w:after="50" w:line="360" w:lineRule="auto"/>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w:t>
      </w:r>
    </w:p>
    <w:p w14:paraId="61A9F655">
      <w:pPr>
        <w:snapToGrid w:val="0"/>
        <w:spacing w:before="50" w:after="50" w:line="360" w:lineRule="auto"/>
        <w:rPr>
          <w:rFonts w:hint="eastAsia" w:ascii="仿宋" w:hAnsi="仿宋" w:eastAsia="仿宋" w:cs="仿宋"/>
          <w:color w:val="auto"/>
          <w:szCs w:val="28"/>
          <w:highlight w:val="none"/>
        </w:rPr>
      </w:pPr>
    </w:p>
    <w:p w14:paraId="4CE87FE1">
      <w:pPr>
        <w:snapToGrid w:val="0"/>
        <w:spacing w:before="50" w:after="50" w:line="360" w:lineRule="auto"/>
        <w:rPr>
          <w:rFonts w:hint="eastAsia" w:ascii="仿宋" w:hAnsi="仿宋" w:eastAsia="仿宋" w:cs="仿宋"/>
          <w:color w:val="auto"/>
          <w:szCs w:val="28"/>
          <w:highlight w:val="none"/>
        </w:rPr>
      </w:pPr>
    </w:p>
    <w:p w14:paraId="4DC9ACF5">
      <w:pPr>
        <w:snapToGrid w:val="0"/>
        <w:spacing w:before="50" w:after="50" w:line="360" w:lineRule="auto"/>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3、报价文件目录（具体参考第三章投标人须知“投标文件的组成”）</w:t>
      </w:r>
    </w:p>
    <w:p w14:paraId="44DABFD6">
      <w:pPr>
        <w:snapToGrid w:val="0"/>
        <w:spacing w:before="50" w:after="50" w:line="360" w:lineRule="auto"/>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w:t>
      </w:r>
    </w:p>
    <w:p w14:paraId="5C5A3411">
      <w:pPr>
        <w:snapToGrid w:val="0"/>
        <w:spacing w:before="50" w:afterLines="50" w:line="360" w:lineRule="auto"/>
        <w:jc w:val="left"/>
        <w:rPr>
          <w:rFonts w:hint="eastAsia" w:ascii="仿宋" w:hAnsi="仿宋" w:eastAsia="仿宋" w:cs="仿宋"/>
          <w:color w:val="auto"/>
          <w:szCs w:val="28"/>
          <w:highlight w:val="none"/>
        </w:rPr>
      </w:pPr>
    </w:p>
    <w:p w14:paraId="7797E5AD">
      <w:pPr>
        <w:snapToGrid w:val="0"/>
        <w:spacing w:before="50" w:afterLines="50" w:line="360" w:lineRule="auto"/>
        <w:jc w:val="left"/>
        <w:rPr>
          <w:rFonts w:hint="eastAsia" w:ascii="仿宋" w:hAnsi="仿宋" w:eastAsia="仿宋" w:cs="仿宋"/>
          <w:color w:val="auto"/>
          <w:szCs w:val="28"/>
          <w:highlight w:val="none"/>
        </w:rPr>
      </w:pPr>
    </w:p>
    <w:p w14:paraId="73E7E2E8">
      <w:pPr>
        <w:snapToGrid w:val="0"/>
        <w:spacing w:before="50" w:afterLines="5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（本章仅提供部分标准通用表格，具体格式内容请参照本投标文件中对投标文件编制要求）</w:t>
      </w:r>
    </w:p>
    <w:p w14:paraId="4AADC013">
      <w:pPr>
        <w:pStyle w:val="12"/>
        <w:ind w:left="0"/>
        <w:rPr>
          <w:rFonts w:hint="eastAsia" w:ascii="仿宋" w:hAnsi="仿宋" w:eastAsia="仿宋" w:cs="仿宋"/>
          <w:color w:val="auto"/>
          <w:highlight w:val="none"/>
        </w:rPr>
      </w:pPr>
    </w:p>
    <w:p w14:paraId="76B050BC">
      <w:pPr>
        <w:pStyle w:val="12"/>
        <w:ind w:left="0"/>
        <w:rPr>
          <w:rFonts w:hint="eastAsia" w:ascii="仿宋" w:hAnsi="仿宋" w:eastAsia="仿宋" w:cs="仿宋"/>
          <w:color w:val="auto"/>
          <w:highlight w:val="none"/>
        </w:rPr>
      </w:pPr>
    </w:p>
    <w:p w14:paraId="5DBC8F8E">
      <w:pPr>
        <w:pStyle w:val="12"/>
        <w:ind w:left="0"/>
        <w:rPr>
          <w:rFonts w:hint="eastAsia" w:ascii="仿宋" w:hAnsi="仿宋" w:eastAsia="仿宋" w:cs="仿宋"/>
          <w:color w:val="auto"/>
          <w:highlight w:val="none"/>
        </w:rPr>
      </w:pPr>
    </w:p>
    <w:p w14:paraId="09A6E54F">
      <w:pPr>
        <w:pStyle w:val="12"/>
        <w:ind w:left="0"/>
        <w:rPr>
          <w:rFonts w:hint="eastAsia" w:ascii="仿宋" w:hAnsi="仿宋" w:eastAsia="仿宋" w:cs="仿宋"/>
          <w:color w:val="auto"/>
          <w:highlight w:val="none"/>
        </w:rPr>
      </w:pPr>
    </w:p>
    <w:p w14:paraId="7CADAD48">
      <w:pPr>
        <w:pStyle w:val="12"/>
        <w:ind w:left="0"/>
        <w:rPr>
          <w:rFonts w:hint="eastAsia" w:ascii="仿宋" w:hAnsi="仿宋" w:eastAsia="仿宋" w:cs="仿宋"/>
          <w:color w:val="auto"/>
          <w:highlight w:val="none"/>
        </w:rPr>
      </w:pPr>
    </w:p>
    <w:p w14:paraId="30513B56">
      <w:pPr>
        <w:pStyle w:val="12"/>
        <w:ind w:left="0"/>
        <w:rPr>
          <w:rFonts w:hint="eastAsia" w:ascii="仿宋" w:hAnsi="仿宋" w:eastAsia="仿宋" w:cs="仿宋"/>
          <w:color w:val="auto"/>
          <w:highlight w:val="none"/>
        </w:rPr>
      </w:pPr>
    </w:p>
    <w:p w14:paraId="786362DB">
      <w:pPr>
        <w:pStyle w:val="12"/>
        <w:ind w:left="0"/>
        <w:rPr>
          <w:rFonts w:hint="eastAsia" w:ascii="仿宋" w:hAnsi="仿宋" w:eastAsia="仿宋" w:cs="仿宋"/>
          <w:color w:val="auto"/>
          <w:highlight w:val="none"/>
        </w:rPr>
      </w:pPr>
    </w:p>
    <w:p w14:paraId="617D4544">
      <w:pPr>
        <w:pStyle w:val="12"/>
        <w:ind w:left="0"/>
        <w:rPr>
          <w:rFonts w:hint="eastAsia" w:ascii="仿宋" w:hAnsi="仿宋" w:eastAsia="仿宋" w:cs="仿宋"/>
          <w:color w:val="auto"/>
          <w:highlight w:val="none"/>
        </w:rPr>
      </w:pPr>
    </w:p>
    <w:p w14:paraId="6860A7E1">
      <w:pPr>
        <w:pStyle w:val="12"/>
        <w:ind w:left="0"/>
        <w:rPr>
          <w:rFonts w:hint="eastAsia" w:ascii="仿宋" w:hAnsi="仿宋" w:eastAsia="仿宋" w:cs="仿宋"/>
          <w:color w:val="auto"/>
          <w:highlight w:val="none"/>
        </w:rPr>
      </w:pPr>
    </w:p>
    <w:p w14:paraId="53FA6F98">
      <w:pPr>
        <w:pStyle w:val="12"/>
        <w:ind w:left="0"/>
        <w:rPr>
          <w:rFonts w:hint="eastAsia" w:ascii="仿宋" w:hAnsi="仿宋" w:eastAsia="仿宋" w:cs="仿宋"/>
          <w:color w:val="auto"/>
          <w:highlight w:val="none"/>
        </w:rPr>
      </w:pPr>
    </w:p>
    <w:p w14:paraId="680940A0">
      <w:pPr>
        <w:pStyle w:val="12"/>
        <w:ind w:left="0"/>
        <w:rPr>
          <w:rFonts w:hint="eastAsia" w:ascii="仿宋" w:hAnsi="仿宋" w:eastAsia="仿宋" w:cs="仿宋"/>
          <w:color w:val="auto"/>
          <w:highlight w:val="none"/>
        </w:rPr>
      </w:pPr>
    </w:p>
    <w:p w14:paraId="7E5CC177">
      <w:pPr>
        <w:pStyle w:val="12"/>
        <w:ind w:left="0"/>
        <w:rPr>
          <w:rFonts w:hint="eastAsia" w:ascii="仿宋" w:hAnsi="仿宋" w:eastAsia="仿宋" w:cs="仿宋"/>
          <w:color w:val="auto"/>
          <w:highlight w:val="none"/>
        </w:rPr>
      </w:pPr>
    </w:p>
    <w:p w14:paraId="1B77EDB0">
      <w:pPr>
        <w:pStyle w:val="12"/>
        <w:ind w:left="0"/>
        <w:rPr>
          <w:rFonts w:hint="eastAsia" w:ascii="仿宋" w:hAnsi="仿宋" w:eastAsia="仿宋" w:cs="仿宋"/>
          <w:color w:val="auto"/>
          <w:highlight w:val="none"/>
        </w:rPr>
      </w:pPr>
    </w:p>
    <w:p w14:paraId="04555077">
      <w:pPr>
        <w:pStyle w:val="12"/>
        <w:ind w:left="0"/>
        <w:rPr>
          <w:rFonts w:hint="eastAsia" w:ascii="仿宋" w:hAnsi="仿宋" w:eastAsia="仿宋" w:cs="仿宋"/>
          <w:color w:val="auto"/>
          <w:highlight w:val="none"/>
        </w:rPr>
      </w:pPr>
    </w:p>
    <w:p w14:paraId="4EFC7B32">
      <w:pPr>
        <w:pStyle w:val="12"/>
        <w:ind w:left="0"/>
        <w:rPr>
          <w:rFonts w:hint="eastAsia" w:ascii="仿宋" w:hAnsi="仿宋" w:eastAsia="仿宋" w:cs="仿宋"/>
          <w:color w:val="auto"/>
          <w:highlight w:val="none"/>
        </w:rPr>
      </w:pPr>
    </w:p>
    <w:p w14:paraId="39250100">
      <w:pPr>
        <w:snapToGrid w:val="0"/>
        <w:spacing w:beforeLines="50" w:after="50" w:line="400" w:lineRule="exact"/>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1.</w:t>
      </w:r>
      <w:r>
        <w:rPr>
          <w:rFonts w:hint="eastAsia" w:ascii="仿宋" w:hAnsi="仿宋" w:eastAsia="仿宋" w:cs="仿宋"/>
          <w:b/>
          <w:color w:val="auto"/>
          <w:sz w:val="28"/>
          <w:szCs w:val="28"/>
          <w:highlight w:val="none"/>
        </w:rPr>
        <w:t>法定代表人有效身份证明书</w:t>
      </w:r>
    </w:p>
    <w:p w14:paraId="568BD05E">
      <w:pPr>
        <w:pStyle w:val="12"/>
        <w:rPr>
          <w:rFonts w:hint="eastAsia" w:ascii="仿宋" w:hAnsi="仿宋" w:eastAsia="仿宋" w:cs="仿宋"/>
          <w:color w:val="auto"/>
          <w:highlight w:val="none"/>
        </w:rPr>
      </w:pPr>
    </w:p>
    <w:p w14:paraId="27054A82">
      <w:pPr>
        <w:spacing w:line="500" w:lineRule="exact"/>
        <w:ind w:firstLine="360" w:firstLineChars="1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u w:val="single"/>
        </w:rPr>
        <w:t>（姓名）</w:t>
      </w:r>
      <w:r>
        <w:rPr>
          <w:rFonts w:hint="eastAsia" w:ascii="仿宋" w:hAnsi="仿宋" w:eastAsia="仿宋" w:cs="仿宋"/>
          <w:color w:val="auto"/>
          <w:kern w:val="0"/>
          <w:sz w:val="24"/>
          <w:highlight w:val="none"/>
        </w:rPr>
        <w:t>是</w:t>
      </w:r>
      <w:r>
        <w:rPr>
          <w:rFonts w:hint="eastAsia" w:ascii="仿宋" w:hAnsi="仿宋" w:eastAsia="仿宋" w:cs="仿宋"/>
          <w:color w:val="auto"/>
          <w:kern w:val="0"/>
          <w:sz w:val="24"/>
          <w:highlight w:val="none"/>
          <w:u w:val="single"/>
        </w:rPr>
        <w:t>（投标人全称）</w:t>
      </w:r>
      <w:r>
        <w:rPr>
          <w:rFonts w:hint="eastAsia" w:ascii="仿宋" w:hAnsi="仿宋" w:eastAsia="仿宋" w:cs="仿宋"/>
          <w:color w:val="auto"/>
          <w:kern w:val="0"/>
          <w:sz w:val="24"/>
          <w:highlight w:val="none"/>
        </w:rPr>
        <w:t>的法定代表人，身份证号码为 ______________。</w:t>
      </w:r>
    </w:p>
    <w:p w14:paraId="5E384557">
      <w:pPr>
        <w:spacing w:line="5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特此证明。</w:t>
      </w:r>
    </w:p>
    <w:p w14:paraId="385A6A47">
      <w:pPr>
        <w:spacing w:line="500" w:lineRule="exact"/>
        <w:jc w:val="left"/>
        <w:rPr>
          <w:rFonts w:hint="eastAsia" w:ascii="仿宋" w:hAnsi="仿宋" w:eastAsia="仿宋" w:cs="仿宋"/>
          <w:color w:val="auto"/>
          <w:kern w:val="0"/>
          <w:sz w:val="24"/>
          <w:highlight w:val="none"/>
        </w:rPr>
      </w:pPr>
    </w:p>
    <w:p w14:paraId="0ADD99D2">
      <w:pPr>
        <w:spacing w:line="500" w:lineRule="exact"/>
        <w:jc w:val="left"/>
        <w:rPr>
          <w:rFonts w:hint="eastAsia" w:ascii="仿宋" w:hAnsi="仿宋" w:eastAsia="仿宋" w:cs="仿宋"/>
          <w:color w:val="auto"/>
          <w:kern w:val="0"/>
          <w:sz w:val="24"/>
          <w:highlight w:val="none"/>
        </w:rPr>
      </w:pPr>
    </w:p>
    <w:p w14:paraId="45DEFAA2">
      <w:pPr>
        <w:spacing w:line="5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投标人：（盖章）</w:t>
      </w:r>
    </w:p>
    <w:p w14:paraId="5C69BAC0">
      <w:pPr>
        <w:spacing w:line="500" w:lineRule="exact"/>
        <w:jc w:val="left"/>
        <w:rPr>
          <w:rFonts w:hint="eastAsia" w:ascii="仿宋" w:hAnsi="仿宋" w:eastAsia="仿宋" w:cs="仿宋"/>
          <w:color w:val="auto"/>
          <w:kern w:val="0"/>
          <w:sz w:val="24"/>
          <w:highlight w:val="none"/>
        </w:rPr>
      </w:pPr>
    </w:p>
    <w:p w14:paraId="26F2FDC5">
      <w:pPr>
        <w:spacing w:line="5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法定代表人（签名或盖章）：</w:t>
      </w:r>
    </w:p>
    <w:p w14:paraId="15A4BF41">
      <w:pPr>
        <w:spacing w:line="500" w:lineRule="exact"/>
        <w:jc w:val="left"/>
        <w:rPr>
          <w:rFonts w:hint="eastAsia" w:ascii="仿宋" w:hAnsi="仿宋" w:eastAsia="仿宋" w:cs="仿宋"/>
          <w:color w:val="auto"/>
          <w:kern w:val="0"/>
          <w:sz w:val="24"/>
          <w:highlight w:val="none"/>
        </w:rPr>
      </w:pPr>
    </w:p>
    <w:p w14:paraId="74A748D5">
      <w:pPr>
        <w:spacing w:line="5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日期：      年   月   日</w:t>
      </w:r>
    </w:p>
    <w:p w14:paraId="7D1C0EE5">
      <w:pPr>
        <w:spacing w:line="5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p w14:paraId="71AD64A9">
      <w:pPr>
        <w:spacing w:line="500" w:lineRule="exact"/>
        <w:jc w:val="center"/>
        <w:rPr>
          <w:rFonts w:hint="eastAsia" w:ascii="仿宋" w:hAnsi="仿宋" w:eastAsia="仿宋" w:cs="仿宋"/>
          <w:color w:val="auto"/>
          <w:kern w:val="0"/>
          <w:sz w:val="24"/>
          <w:highlight w:val="none"/>
        </w:rPr>
      </w:pPr>
    </w:p>
    <w:p w14:paraId="301C61B6">
      <w:pPr>
        <w:spacing w:line="500" w:lineRule="exact"/>
        <w:jc w:val="center"/>
        <w:rPr>
          <w:rFonts w:hint="eastAsia" w:ascii="仿宋" w:hAnsi="仿宋" w:eastAsia="仿宋" w:cs="仿宋"/>
          <w:color w:val="auto"/>
          <w:kern w:val="0"/>
          <w:sz w:val="24"/>
          <w:highlight w:val="none"/>
        </w:rPr>
      </w:pPr>
    </w:p>
    <w:p w14:paraId="3E02ADDE">
      <w:pPr>
        <w:spacing w:line="500" w:lineRule="exact"/>
        <w:jc w:val="center"/>
        <w:rPr>
          <w:rFonts w:hint="eastAsia" w:ascii="仿宋" w:hAnsi="仿宋" w:eastAsia="仿宋" w:cs="仿宋"/>
          <w:color w:val="auto"/>
          <w:kern w:val="0"/>
          <w:sz w:val="24"/>
          <w:highlight w:val="none"/>
        </w:rPr>
      </w:pPr>
    </w:p>
    <w:p w14:paraId="55DD2D2B">
      <w:pPr>
        <w:spacing w:line="5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有效身份证明复印件粘贴处</w:t>
      </w:r>
    </w:p>
    <w:p w14:paraId="42B40629">
      <w:pPr>
        <w:spacing w:line="500" w:lineRule="exact"/>
        <w:jc w:val="center"/>
        <w:rPr>
          <w:rFonts w:hint="eastAsia" w:ascii="仿宋" w:hAnsi="仿宋" w:eastAsia="仿宋" w:cs="仿宋"/>
          <w:color w:val="auto"/>
          <w:kern w:val="0"/>
          <w:sz w:val="24"/>
          <w:highlight w:val="none"/>
        </w:rPr>
      </w:pPr>
    </w:p>
    <w:p w14:paraId="29BC5DDA">
      <w:pPr>
        <w:jc w:val="center"/>
        <w:rPr>
          <w:rFonts w:hint="eastAsia" w:ascii="仿宋" w:hAnsi="仿宋" w:eastAsia="仿宋" w:cs="仿宋"/>
          <w:color w:val="auto"/>
          <w:kern w:val="0"/>
          <w:sz w:val="24"/>
          <w:highlight w:val="none"/>
        </w:rPr>
      </w:pPr>
    </w:p>
    <w:p w14:paraId="63C18FA4">
      <w:pPr>
        <w:pStyle w:val="12"/>
        <w:rPr>
          <w:rFonts w:hint="eastAsia" w:ascii="仿宋" w:hAnsi="仿宋" w:eastAsia="仿宋" w:cs="仿宋"/>
          <w:color w:val="auto"/>
          <w:highlight w:val="none"/>
        </w:rPr>
      </w:pPr>
    </w:p>
    <w:p w14:paraId="3302BD6B">
      <w:pPr>
        <w:pStyle w:val="12"/>
        <w:rPr>
          <w:rFonts w:hint="eastAsia" w:ascii="仿宋" w:hAnsi="仿宋" w:eastAsia="仿宋" w:cs="仿宋"/>
          <w:color w:val="auto"/>
          <w:highlight w:val="none"/>
        </w:rPr>
      </w:pPr>
    </w:p>
    <w:p w14:paraId="4C3FEB7F">
      <w:pPr>
        <w:pStyle w:val="12"/>
        <w:rPr>
          <w:rFonts w:hint="eastAsia" w:ascii="仿宋" w:hAnsi="仿宋" w:eastAsia="仿宋" w:cs="仿宋"/>
          <w:color w:val="auto"/>
          <w:highlight w:val="none"/>
        </w:rPr>
      </w:pPr>
    </w:p>
    <w:p w14:paraId="346F0E7E">
      <w:pPr>
        <w:pStyle w:val="12"/>
        <w:rPr>
          <w:rFonts w:hint="eastAsia" w:ascii="仿宋" w:hAnsi="仿宋" w:eastAsia="仿宋" w:cs="仿宋"/>
          <w:color w:val="auto"/>
          <w:highlight w:val="none"/>
        </w:rPr>
      </w:pPr>
    </w:p>
    <w:p w14:paraId="2F50E273">
      <w:pPr>
        <w:pStyle w:val="12"/>
        <w:rPr>
          <w:rFonts w:hint="eastAsia" w:ascii="仿宋" w:hAnsi="仿宋" w:eastAsia="仿宋" w:cs="仿宋"/>
          <w:color w:val="auto"/>
          <w:highlight w:val="none"/>
        </w:rPr>
      </w:pPr>
    </w:p>
    <w:p w14:paraId="059B0C1F">
      <w:pPr>
        <w:pStyle w:val="12"/>
        <w:rPr>
          <w:rFonts w:hint="eastAsia" w:ascii="仿宋" w:hAnsi="仿宋" w:eastAsia="仿宋" w:cs="仿宋"/>
          <w:color w:val="auto"/>
          <w:highlight w:val="none"/>
        </w:rPr>
      </w:pPr>
    </w:p>
    <w:p w14:paraId="24A99C03">
      <w:pPr>
        <w:pStyle w:val="12"/>
        <w:rPr>
          <w:rFonts w:hint="eastAsia" w:ascii="仿宋" w:hAnsi="仿宋" w:eastAsia="仿宋" w:cs="仿宋"/>
          <w:color w:val="auto"/>
          <w:highlight w:val="none"/>
        </w:rPr>
      </w:pPr>
    </w:p>
    <w:p w14:paraId="51B2A9D2">
      <w:pPr>
        <w:pStyle w:val="12"/>
        <w:rPr>
          <w:rFonts w:hint="eastAsia" w:ascii="仿宋" w:hAnsi="仿宋" w:eastAsia="仿宋" w:cs="仿宋"/>
          <w:color w:val="auto"/>
          <w:highlight w:val="none"/>
        </w:rPr>
      </w:pPr>
    </w:p>
    <w:p w14:paraId="100F27F7">
      <w:pPr>
        <w:pStyle w:val="12"/>
        <w:rPr>
          <w:rFonts w:hint="eastAsia" w:ascii="仿宋" w:hAnsi="仿宋" w:eastAsia="仿宋" w:cs="仿宋"/>
          <w:color w:val="auto"/>
          <w:highlight w:val="none"/>
        </w:rPr>
      </w:pPr>
    </w:p>
    <w:p w14:paraId="7D26224F">
      <w:pPr>
        <w:pStyle w:val="12"/>
        <w:rPr>
          <w:rFonts w:hint="eastAsia" w:ascii="仿宋" w:hAnsi="仿宋" w:eastAsia="仿宋" w:cs="仿宋"/>
          <w:color w:val="auto"/>
          <w:highlight w:val="none"/>
        </w:rPr>
      </w:pPr>
    </w:p>
    <w:p w14:paraId="622F8723">
      <w:pPr>
        <w:pStyle w:val="12"/>
        <w:rPr>
          <w:rFonts w:hint="eastAsia" w:ascii="仿宋" w:hAnsi="仿宋" w:eastAsia="仿宋" w:cs="仿宋"/>
          <w:color w:val="auto"/>
          <w:highlight w:val="none"/>
        </w:rPr>
      </w:pPr>
    </w:p>
    <w:p w14:paraId="0CC4F9A3">
      <w:pPr>
        <w:pStyle w:val="12"/>
        <w:rPr>
          <w:rFonts w:hint="eastAsia" w:ascii="仿宋" w:hAnsi="仿宋" w:eastAsia="仿宋" w:cs="仿宋"/>
          <w:color w:val="auto"/>
          <w:highlight w:val="none"/>
        </w:rPr>
      </w:pPr>
    </w:p>
    <w:p w14:paraId="45D495E2">
      <w:pPr>
        <w:pStyle w:val="12"/>
        <w:rPr>
          <w:rFonts w:hint="eastAsia" w:ascii="仿宋" w:hAnsi="仿宋" w:eastAsia="仿宋" w:cs="仿宋"/>
          <w:color w:val="auto"/>
          <w:highlight w:val="none"/>
        </w:rPr>
      </w:pPr>
    </w:p>
    <w:p w14:paraId="1D22CB75">
      <w:pPr>
        <w:pStyle w:val="12"/>
        <w:rPr>
          <w:rFonts w:hint="eastAsia" w:ascii="仿宋" w:hAnsi="仿宋" w:eastAsia="仿宋" w:cs="仿宋"/>
          <w:color w:val="auto"/>
          <w:highlight w:val="none"/>
        </w:rPr>
      </w:pPr>
    </w:p>
    <w:p w14:paraId="22C30FEB">
      <w:pPr>
        <w:snapToGrid w:val="0"/>
        <w:spacing w:beforeLines="50" w:after="50" w:line="400" w:lineRule="exact"/>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2.</w:t>
      </w:r>
      <w:r>
        <w:rPr>
          <w:rFonts w:hint="eastAsia" w:ascii="仿宋" w:hAnsi="仿宋" w:eastAsia="仿宋" w:cs="仿宋"/>
          <w:b/>
          <w:color w:val="auto"/>
          <w:sz w:val="28"/>
          <w:szCs w:val="28"/>
          <w:highlight w:val="none"/>
        </w:rPr>
        <w:t>法定代表人授权委托书</w:t>
      </w:r>
    </w:p>
    <w:p w14:paraId="17806E54">
      <w:pPr>
        <w:snapToGrid w:val="0"/>
        <w:spacing w:beforeLines="50" w:after="50" w:line="400" w:lineRule="exact"/>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rPr>
        <w:t xml:space="preserve"> （采购人名称）</w:t>
      </w:r>
      <w:r>
        <w:rPr>
          <w:rFonts w:hint="eastAsia" w:ascii="仿宋" w:hAnsi="仿宋" w:eastAsia="仿宋" w:cs="仿宋"/>
          <w:color w:val="auto"/>
          <w:sz w:val="24"/>
          <w:highlight w:val="none"/>
        </w:rPr>
        <w:t>：</w:t>
      </w:r>
    </w:p>
    <w:p w14:paraId="6E91C1E5">
      <w:pPr>
        <w:snapToGrid w:val="0"/>
        <w:spacing w:beforeLines="50" w:after="50" w:line="460" w:lineRule="exact"/>
        <w:ind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我 </w:t>
      </w:r>
      <w:r>
        <w:rPr>
          <w:rFonts w:hint="eastAsia" w:ascii="仿宋" w:hAnsi="仿宋" w:eastAsia="仿宋" w:cs="仿宋"/>
          <w:color w:val="auto"/>
          <w:sz w:val="24"/>
          <w:highlight w:val="none"/>
          <w:u w:val="single"/>
        </w:rPr>
        <w:t>（姓名）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（投标人名称）</w:t>
      </w:r>
      <w:r>
        <w:rPr>
          <w:rFonts w:hint="eastAsia" w:ascii="仿宋" w:hAnsi="仿宋" w:eastAsia="仿宋" w:cs="仿宋"/>
          <w:color w:val="auto"/>
          <w:sz w:val="24"/>
          <w:highlight w:val="none"/>
        </w:rPr>
        <w:t>的法定代表人，现授权委托本单位</w:t>
      </w:r>
      <w:r>
        <w:rPr>
          <w:rFonts w:hint="eastAsia" w:ascii="仿宋" w:hAnsi="仿宋" w:eastAsia="仿宋" w:cs="仿宋"/>
          <w:color w:val="auto"/>
          <w:sz w:val="24"/>
          <w:highlight w:val="none"/>
          <w:u w:val="single"/>
        </w:rPr>
        <w:t xml:space="preserve"> （姓名）</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rPr>
        <w:t>___________________</w:t>
      </w:r>
      <w:r>
        <w:rPr>
          <w:rFonts w:hint="eastAsia" w:ascii="仿宋" w:hAnsi="仿宋" w:eastAsia="仿宋" w:cs="仿宋"/>
          <w:color w:val="auto"/>
          <w:sz w:val="24"/>
          <w:highlight w:val="none"/>
        </w:rPr>
        <w:t>项目的招标活动，并代表我方全权办理针对上述项目的投标、签约等具体事务和签署相关文件。</w:t>
      </w:r>
    </w:p>
    <w:p w14:paraId="7AD39E60">
      <w:pPr>
        <w:snapToGrid w:val="0"/>
        <w:spacing w:beforeLines="50" w:after="50"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我方对授权代理人的签名事项负全部责任。</w:t>
      </w:r>
    </w:p>
    <w:p w14:paraId="553A3266">
      <w:pPr>
        <w:snapToGrid w:val="0"/>
        <w:spacing w:beforeLines="50" w:after="50" w:line="460" w:lineRule="exact"/>
        <w:ind w:firstLine="482"/>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在撤销授权的书面通知以前，本授权书一直有效。授权代理人在授权书有效期内签署的所有文件不因授权的撤销而失效。</w:t>
      </w:r>
    </w:p>
    <w:p w14:paraId="3CFCD891">
      <w:pPr>
        <w:snapToGrid w:val="0"/>
        <w:spacing w:beforeLines="50" w:after="50" w:line="400"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授权代理人无转委托权，特此委托。</w:t>
      </w:r>
    </w:p>
    <w:p w14:paraId="699F85B5">
      <w:pPr>
        <w:snapToGrid w:val="0"/>
        <w:spacing w:beforeLines="50" w:after="50" w:line="400" w:lineRule="exact"/>
        <w:rPr>
          <w:rFonts w:hint="eastAsia" w:ascii="仿宋" w:hAnsi="仿宋" w:eastAsia="仿宋" w:cs="仿宋"/>
          <w:color w:val="auto"/>
          <w:sz w:val="24"/>
          <w:highlight w:val="none"/>
        </w:rPr>
      </w:pPr>
    </w:p>
    <w:p w14:paraId="77575F27">
      <w:pPr>
        <w:snapToGrid w:val="0"/>
        <w:spacing w:beforeLines="50" w:after="50" w:line="40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授权代理人签名：         法定代表人签名：</w:t>
      </w:r>
    </w:p>
    <w:p w14:paraId="2CDC4560">
      <w:pPr>
        <w:snapToGrid w:val="0"/>
        <w:spacing w:beforeLines="50" w:after="50" w:line="400" w:lineRule="exact"/>
        <w:rPr>
          <w:rFonts w:hint="eastAsia" w:ascii="仿宋" w:hAnsi="仿宋" w:eastAsia="仿宋" w:cs="仿宋"/>
          <w:color w:val="auto"/>
          <w:sz w:val="24"/>
          <w:highlight w:val="none"/>
          <w:u w:val="single"/>
        </w:rPr>
      </w:pPr>
    </w:p>
    <w:p w14:paraId="110C387E">
      <w:pPr>
        <w:snapToGrid w:val="0"/>
        <w:spacing w:beforeLines="50" w:after="50" w:line="40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职务：                   职务：</w:t>
      </w:r>
    </w:p>
    <w:p w14:paraId="40AAD28C">
      <w:pPr>
        <w:snapToGrid w:val="0"/>
        <w:spacing w:beforeLines="50" w:after="50" w:line="400" w:lineRule="exact"/>
        <w:ind w:firstLine="960" w:firstLineChars="400"/>
        <w:rPr>
          <w:rFonts w:hint="eastAsia" w:ascii="仿宋" w:hAnsi="仿宋" w:eastAsia="仿宋" w:cs="仿宋"/>
          <w:color w:val="auto"/>
          <w:sz w:val="24"/>
          <w:highlight w:val="none"/>
        </w:rPr>
      </w:pPr>
    </w:p>
    <w:p w14:paraId="3BE47F73">
      <w:pPr>
        <w:snapToGrid w:val="0"/>
        <w:spacing w:beforeLines="50" w:after="50"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授权代理人身份证号码：</w:t>
      </w:r>
    </w:p>
    <w:p w14:paraId="06F104B1">
      <w:pPr>
        <w:snapToGrid w:val="0"/>
        <w:spacing w:beforeLines="50" w:after="50" w:line="400" w:lineRule="exact"/>
        <w:rPr>
          <w:rFonts w:hint="eastAsia" w:ascii="仿宋" w:hAnsi="仿宋" w:eastAsia="仿宋" w:cs="仿宋"/>
          <w:color w:val="auto"/>
          <w:sz w:val="24"/>
          <w:highlight w:val="none"/>
        </w:rPr>
      </w:pPr>
    </w:p>
    <w:p w14:paraId="0DE52A3F">
      <w:pPr>
        <w:snapToGrid w:val="0"/>
        <w:spacing w:beforeLines="50" w:after="50"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投标人公章：</w:t>
      </w:r>
    </w:p>
    <w:p w14:paraId="769201FA">
      <w:pPr>
        <w:snapToGrid w:val="0"/>
        <w:spacing w:beforeLines="50" w:after="50"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年    月    日</w:t>
      </w:r>
    </w:p>
    <w:p w14:paraId="013725B3">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p w14:paraId="72F02951">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授权代理人有效身份证明复印件粘贴处</w:t>
      </w:r>
    </w:p>
    <w:p w14:paraId="0B474ACD">
      <w:pPr>
        <w:jc w:val="center"/>
        <w:rPr>
          <w:rFonts w:hint="eastAsia" w:ascii="仿宋" w:hAnsi="仿宋" w:eastAsia="仿宋" w:cs="仿宋"/>
          <w:color w:val="auto"/>
          <w:kern w:val="0"/>
          <w:sz w:val="28"/>
          <w:szCs w:val="28"/>
          <w:highlight w:val="none"/>
        </w:rPr>
      </w:pPr>
    </w:p>
    <w:p w14:paraId="61DFC85A">
      <w:pPr>
        <w:pStyle w:val="31"/>
        <w:rPr>
          <w:rFonts w:hint="eastAsia" w:ascii="仿宋" w:hAnsi="仿宋" w:eastAsia="仿宋" w:cs="仿宋"/>
          <w:color w:val="auto"/>
          <w:highlight w:val="none"/>
        </w:rPr>
      </w:pPr>
    </w:p>
    <w:p w14:paraId="1DE48827">
      <w:pPr>
        <w:rPr>
          <w:rFonts w:hint="eastAsia"/>
          <w:color w:val="auto"/>
          <w:highlight w:val="none"/>
        </w:rPr>
      </w:pPr>
    </w:p>
    <w:p w14:paraId="30F64B99">
      <w:pPr>
        <w:pStyle w:val="31"/>
        <w:rPr>
          <w:rFonts w:hint="eastAsia" w:ascii="仿宋" w:hAnsi="仿宋" w:eastAsia="仿宋" w:cs="仿宋"/>
          <w:color w:val="auto"/>
          <w:highlight w:val="none"/>
        </w:rPr>
      </w:pPr>
    </w:p>
    <w:p w14:paraId="435B078C">
      <w:pPr>
        <w:pStyle w:val="31"/>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附：</w:t>
      </w:r>
    </w:p>
    <w:p w14:paraId="371FFEED">
      <w:pPr>
        <w:pStyle w:val="31"/>
        <w:rPr>
          <w:rFonts w:hint="eastAsia" w:ascii="仿宋" w:hAnsi="仿宋" w:eastAsia="仿宋" w:cs="仿宋"/>
          <w:color w:val="auto"/>
          <w:highlight w:val="none"/>
        </w:rPr>
      </w:pPr>
    </w:p>
    <w:p w14:paraId="462B81BB">
      <w:pPr>
        <w:snapToGrid w:val="0"/>
        <w:spacing w:line="560" w:lineRule="exact"/>
        <w:jc w:val="center"/>
        <w:rPr>
          <w:rFonts w:hint="eastAsia" w:ascii="仿宋" w:hAnsi="仿宋" w:eastAsia="仿宋" w:cs="仿宋"/>
          <w:color w:val="auto"/>
          <w:highlight w:val="none"/>
        </w:rPr>
      </w:pPr>
      <w:r>
        <w:rPr>
          <w:rFonts w:hint="eastAsia" w:ascii="仿宋" w:hAnsi="仿宋" w:eastAsia="仿宋" w:cs="仿宋"/>
          <w:color w:val="auto"/>
          <w:sz w:val="24"/>
          <w:highlight w:val="none"/>
          <w:lang w:eastAsia="zh-CN"/>
        </w:rPr>
        <w:t>授权委托人</w:t>
      </w:r>
      <w:r>
        <w:rPr>
          <w:rFonts w:hint="eastAsia" w:ascii="仿宋" w:hAnsi="仿宋" w:eastAsia="仿宋" w:cs="仿宋"/>
          <w:color w:val="auto"/>
          <w:sz w:val="24"/>
          <w:highlight w:val="none"/>
        </w:rPr>
        <w:t>最近1个月个人社保缴纳证明文件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复印件加盖投标单位公章</w:t>
      </w:r>
      <w:r>
        <w:rPr>
          <w:rFonts w:hint="eastAsia" w:ascii="仿宋" w:hAnsi="仿宋" w:eastAsia="仿宋" w:cs="仿宋"/>
          <w:color w:val="auto"/>
          <w:sz w:val="24"/>
          <w:highlight w:val="none"/>
          <w:lang w:eastAsia="zh-CN"/>
        </w:rPr>
        <w:t>）</w:t>
      </w:r>
      <w:r>
        <w:rPr>
          <w:rFonts w:hint="eastAsia" w:ascii="仿宋" w:hAnsi="仿宋" w:eastAsia="仿宋" w:cs="仿宋"/>
          <w:color w:val="auto"/>
          <w:highlight w:val="none"/>
        </w:rPr>
        <w:br w:type="page"/>
      </w:r>
    </w:p>
    <w:p w14:paraId="78411F68">
      <w:pPr>
        <w:snapToGrid w:val="0"/>
        <w:spacing w:line="560" w:lineRule="exact"/>
        <w:jc w:val="center"/>
        <w:outlineLvl w:val="1"/>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3.</w:t>
      </w:r>
      <w:r>
        <w:rPr>
          <w:rFonts w:hint="eastAsia" w:ascii="仿宋" w:hAnsi="仿宋" w:eastAsia="仿宋" w:cs="仿宋"/>
          <w:b/>
          <w:color w:val="auto"/>
          <w:sz w:val="28"/>
          <w:szCs w:val="28"/>
          <w:highlight w:val="none"/>
        </w:rPr>
        <w:t>承诺书</w:t>
      </w:r>
    </w:p>
    <w:p w14:paraId="0FC4205B">
      <w:pPr>
        <w:snapToGrid w:val="0"/>
        <w:spacing w:line="560" w:lineRule="exact"/>
        <w:jc w:val="center"/>
        <w:rPr>
          <w:rFonts w:ascii="仿宋" w:hAnsi="仿宋" w:eastAsia="仿宋" w:cs="仿宋"/>
          <w:b/>
          <w:color w:val="auto"/>
          <w:sz w:val="28"/>
          <w:szCs w:val="28"/>
          <w:highlight w:val="none"/>
        </w:rPr>
      </w:pPr>
    </w:p>
    <w:p w14:paraId="486FA416">
      <w:pPr>
        <w:tabs>
          <w:tab w:val="left" w:pos="1650"/>
        </w:tabs>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（供应商）</w:t>
      </w:r>
      <w:r>
        <w:rPr>
          <w:rFonts w:hint="eastAsia" w:ascii="仿宋" w:hAnsi="仿宋" w:eastAsia="仿宋" w:cs="仿宋"/>
          <w:color w:val="auto"/>
          <w:sz w:val="24"/>
          <w:highlight w:val="none"/>
        </w:rPr>
        <w:t>现参加</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政府采购活动，郑重承诺如下：</w:t>
      </w:r>
    </w:p>
    <w:p w14:paraId="407D3540">
      <w:pPr>
        <w:tabs>
          <w:tab w:val="left" w:pos="1650"/>
        </w:tabs>
        <w:jc w:val="left"/>
        <w:rPr>
          <w:rFonts w:ascii="仿宋" w:hAnsi="仿宋" w:eastAsia="仿宋" w:cs="仿宋"/>
          <w:color w:val="auto"/>
          <w:sz w:val="24"/>
          <w:highlight w:val="none"/>
          <w:u w:val="single"/>
        </w:rPr>
      </w:pPr>
    </w:p>
    <w:p w14:paraId="62D386C9">
      <w:pPr>
        <w:tabs>
          <w:tab w:val="left" w:pos="1650"/>
        </w:tabs>
        <w:spacing w:line="6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符合参与政府采购活动的资格条件并且没有税收缴纳、社会保障等方面的失信记录。且在投标时间截止前未被“信用中国”（www.creditchina.gov.cn）、“中国政府采购网”（www.ccgp.gov.cn）等列入失信被执行人、重大税收违法案件当事人名单、政府采购严重违法失信行为记录名单。</w:t>
      </w:r>
    </w:p>
    <w:p w14:paraId="7166E5C9">
      <w:pPr>
        <w:pStyle w:val="9"/>
        <w:rPr>
          <w:rFonts w:ascii="仿宋" w:hAnsi="仿宋" w:eastAsia="仿宋" w:cs="仿宋"/>
          <w:b/>
          <w:color w:val="auto"/>
          <w:sz w:val="28"/>
          <w:szCs w:val="28"/>
          <w:highlight w:val="none"/>
        </w:rPr>
      </w:pPr>
    </w:p>
    <w:p w14:paraId="50AD974F">
      <w:pPr>
        <w:rPr>
          <w:rFonts w:ascii="仿宋" w:hAnsi="仿宋" w:eastAsia="仿宋" w:cs="仿宋"/>
          <w:b/>
          <w:color w:val="auto"/>
          <w:sz w:val="28"/>
          <w:szCs w:val="28"/>
          <w:highlight w:val="none"/>
        </w:rPr>
      </w:pPr>
    </w:p>
    <w:p w14:paraId="4F44DA30">
      <w:pPr>
        <w:pStyle w:val="9"/>
        <w:rPr>
          <w:rFonts w:ascii="仿宋" w:hAnsi="仿宋" w:eastAsia="仿宋" w:cs="仿宋"/>
          <w:b/>
          <w:color w:val="auto"/>
          <w:sz w:val="28"/>
          <w:szCs w:val="28"/>
          <w:highlight w:val="none"/>
        </w:rPr>
      </w:pPr>
    </w:p>
    <w:p w14:paraId="77BEFB16">
      <w:pPr>
        <w:rPr>
          <w:rFonts w:ascii="仿宋" w:hAnsi="仿宋" w:eastAsia="仿宋" w:cs="仿宋"/>
          <w:b/>
          <w:color w:val="auto"/>
          <w:sz w:val="28"/>
          <w:szCs w:val="28"/>
          <w:highlight w:val="none"/>
        </w:rPr>
      </w:pPr>
    </w:p>
    <w:p w14:paraId="1D4A36C8">
      <w:pPr>
        <w:pStyle w:val="9"/>
        <w:rPr>
          <w:rFonts w:ascii="仿宋" w:hAnsi="仿宋" w:eastAsia="仿宋" w:cs="仿宋"/>
          <w:b/>
          <w:color w:val="auto"/>
          <w:sz w:val="28"/>
          <w:szCs w:val="28"/>
          <w:highlight w:val="none"/>
        </w:rPr>
      </w:pPr>
    </w:p>
    <w:p w14:paraId="22F8CAFC">
      <w:pPr>
        <w:rPr>
          <w:rFonts w:ascii="仿宋" w:hAnsi="仿宋" w:eastAsia="仿宋" w:cs="仿宋"/>
          <w:b/>
          <w:color w:val="auto"/>
          <w:sz w:val="28"/>
          <w:szCs w:val="28"/>
          <w:highlight w:val="none"/>
        </w:rPr>
      </w:pPr>
    </w:p>
    <w:p w14:paraId="3E3B2677">
      <w:pPr>
        <w:pStyle w:val="9"/>
        <w:rPr>
          <w:rFonts w:ascii="仿宋" w:hAnsi="仿宋" w:eastAsia="仿宋" w:cs="仿宋"/>
          <w:b/>
          <w:color w:val="auto"/>
          <w:sz w:val="28"/>
          <w:szCs w:val="28"/>
          <w:highlight w:val="none"/>
        </w:rPr>
      </w:pPr>
    </w:p>
    <w:p w14:paraId="5E69D3C5">
      <w:pPr>
        <w:pStyle w:val="39"/>
        <w:spacing w:before="0" w:beforeAutospacing="0" w:after="0" w:afterAutospacing="0" w:line="560" w:lineRule="exact"/>
        <w:ind w:firstLine="3240" w:firstLineChars="1350"/>
        <w:rPr>
          <w:rFonts w:ascii="仿宋" w:hAnsi="仿宋" w:eastAsia="仿宋" w:cs="仿宋"/>
          <w:color w:val="auto"/>
          <w:kern w:val="2"/>
          <w:highlight w:val="none"/>
        </w:rPr>
      </w:pPr>
      <w:r>
        <w:rPr>
          <w:rFonts w:hint="eastAsia" w:ascii="仿宋" w:hAnsi="仿宋" w:eastAsia="仿宋" w:cs="仿宋"/>
          <w:color w:val="auto"/>
          <w:kern w:val="2"/>
          <w:highlight w:val="none"/>
        </w:rPr>
        <w:t>承诺单位/个人（盖章/签名）</w:t>
      </w:r>
    </w:p>
    <w:p w14:paraId="6A875D3B">
      <w:pPr>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时间：20**年*月*日</w:t>
      </w:r>
    </w:p>
    <w:p w14:paraId="53B16905">
      <w:pPr>
        <w:pStyle w:val="8"/>
        <w:rPr>
          <w:rFonts w:hint="eastAsia" w:ascii="仿宋" w:hAnsi="仿宋" w:eastAsia="仿宋" w:cs="仿宋"/>
          <w:color w:val="auto"/>
          <w:sz w:val="24"/>
          <w:highlight w:val="none"/>
        </w:rPr>
      </w:pPr>
    </w:p>
    <w:p w14:paraId="0D8D6E7F">
      <w:pPr>
        <w:pStyle w:val="11"/>
        <w:rPr>
          <w:rFonts w:hint="eastAsia" w:ascii="仿宋" w:hAnsi="仿宋" w:eastAsia="仿宋" w:cs="仿宋"/>
          <w:color w:val="auto"/>
          <w:sz w:val="24"/>
          <w:highlight w:val="none"/>
        </w:rPr>
      </w:pPr>
    </w:p>
    <w:p w14:paraId="4A6EF7FC">
      <w:pPr>
        <w:pStyle w:val="8"/>
        <w:rPr>
          <w:rFonts w:hint="eastAsia" w:ascii="仿宋" w:hAnsi="仿宋" w:eastAsia="仿宋" w:cs="仿宋"/>
          <w:color w:val="auto"/>
          <w:sz w:val="24"/>
          <w:highlight w:val="none"/>
        </w:rPr>
      </w:pPr>
    </w:p>
    <w:p w14:paraId="268197A7">
      <w:pPr>
        <w:pStyle w:val="11"/>
        <w:rPr>
          <w:rFonts w:hint="eastAsia" w:ascii="仿宋" w:hAnsi="仿宋" w:eastAsia="仿宋" w:cs="仿宋"/>
          <w:color w:val="auto"/>
          <w:sz w:val="24"/>
          <w:highlight w:val="none"/>
        </w:rPr>
      </w:pPr>
    </w:p>
    <w:p w14:paraId="64D6B6DC">
      <w:pPr>
        <w:pStyle w:val="8"/>
        <w:rPr>
          <w:rFonts w:hint="eastAsia" w:ascii="仿宋" w:hAnsi="仿宋" w:eastAsia="仿宋" w:cs="仿宋"/>
          <w:color w:val="auto"/>
          <w:sz w:val="24"/>
          <w:highlight w:val="none"/>
        </w:rPr>
      </w:pPr>
    </w:p>
    <w:p w14:paraId="12E76301">
      <w:pPr>
        <w:pStyle w:val="11"/>
        <w:rPr>
          <w:rFonts w:hint="eastAsia" w:ascii="仿宋" w:hAnsi="仿宋" w:eastAsia="仿宋" w:cs="仿宋"/>
          <w:color w:val="auto"/>
          <w:sz w:val="24"/>
          <w:highlight w:val="none"/>
        </w:rPr>
      </w:pPr>
    </w:p>
    <w:p w14:paraId="018976AC">
      <w:pPr>
        <w:pStyle w:val="8"/>
        <w:rPr>
          <w:rFonts w:hint="eastAsia" w:ascii="仿宋" w:hAnsi="仿宋" w:eastAsia="仿宋" w:cs="仿宋"/>
          <w:color w:val="auto"/>
          <w:sz w:val="24"/>
          <w:highlight w:val="none"/>
        </w:rPr>
      </w:pPr>
    </w:p>
    <w:p w14:paraId="7D89CDEA">
      <w:pPr>
        <w:pStyle w:val="11"/>
        <w:rPr>
          <w:rFonts w:hint="eastAsia" w:ascii="仿宋" w:hAnsi="仿宋" w:eastAsia="仿宋" w:cs="仿宋"/>
          <w:color w:val="auto"/>
          <w:sz w:val="24"/>
          <w:highlight w:val="none"/>
        </w:rPr>
      </w:pPr>
    </w:p>
    <w:p w14:paraId="427DAEF4">
      <w:pPr>
        <w:pStyle w:val="8"/>
        <w:rPr>
          <w:rFonts w:hint="eastAsia" w:ascii="仿宋" w:hAnsi="仿宋" w:eastAsia="仿宋" w:cs="仿宋"/>
          <w:color w:val="auto"/>
          <w:sz w:val="24"/>
          <w:highlight w:val="none"/>
        </w:rPr>
      </w:pPr>
    </w:p>
    <w:p w14:paraId="39474D1E">
      <w:pPr>
        <w:pStyle w:val="11"/>
        <w:rPr>
          <w:rFonts w:hint="eastAsia" w:ascii="仿宋" w:hAnsi="仿宋" w:eastAsia="仿宋" w:cs="仿宋"/>
          <w:color w:val="auto"/>
          <w:sz w:val="24"/>
          <w:highlight w:val="none"/>
        </w:rPr>
      </w:pPr>
    </w:p>
    <w:p w14:paraId="26827161">
      <w:pPr>
        <w:pStyle w:val="8"/>
        <w:rPr>
          <w:rFonts w:hint="eastAsia" w:ascii="仿宋" w:hAnsi="仿宋" w:eastAsia="仿宋" w:cs="仿宋"/>
          <w:color w:val="auto"/>
          <w:sz w:val="24"/>
          <w:highlight w:val="none"/>
        </w:rPr>
      </w:pPr>
    </w:p>
    <w:p w14:paraId="543CEBD8">
      <w:pPr>
        <w:pStyle w:val="11"/>
        <w:rPr>
          <w:rFonts w:hint="eastAsia" w:ascii="仿宋" w:hAnsi="仿宋" w:eastAsia="仿宋" w:cs="仿宋"/>
          <w:color w:val="auto"/>
          <w:sz w:val="24"/>
          <w:highlight w:val="none"/>
        </w:rPr>
      </w:pPr>
    </w:p>
    <w:p w14:paraId="58348481">
      <w:pPr>
        <w:pStyle w:val="8"/>
        <w:rPr>
          <w:rFonts w:hint="eastAsia" w:ascii="仿宋" w:hAnsi="仿宋" w:eastAsia="仿宋" w:cs="仿宋"/>
          <w:color w:val="auto"/>
          <w:sz w:val="24"/>
          <w:highlight w:val="none"/>
        </w:rPr>
      </w:pPr>
    </w:p>
    <w:p w14:paraId="6B2A0800">
      <w:pPr>
        <w:pStyle w:val="11"/>
        <w:rPr>
          <w:rFonts w:hint="eastAsia" w:ascii="仿宋" w:hAnsi="仿宋" w:eastAsia="仿宋" w:cs="仿宋"/>
          <w:color w:val="auto"/>
          <w:sz w:val="24"/>
          <w:highlight w:val="none"/>
        </w:rPr>
      </w:pPr>
    </w:p>
    <w:p w14:paraId="51F64E4D">
      <w:pPr>
        <w:pStyle w:val="8"/>
        <w:rPr>
          <w:color w:val="auto"/>
          <w:highlight w:val="none"/>
        </w:rPr>
      </w:pPr>
    </w:p>
    <w:p w14:paraId="1D3A58EF">
      <w:pPr>
        <w:pStyle w:val="22"/>
        <w:ind w:firstLine="2797" w:firstLineChars="995"/>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4.</w:t>
      </w:r>
      <w:r>
        <w:rPr>
          <w:rFonts w:hint="eastAsia" w:ascii="仿宋" w:hAnsi="仿宋" w:eastAsia="仿宋" w:cs="仿宋"/>
          <w:b/>
          <w:color w:val="auto"/>
          <w:sz w:val="28"/>
          <w:szCs w:val="28"/>
          <w:highlight w:val="none"/>
        </w:rPr>
        <w:t>信用承诺书</w:t>
      </w:r>
    </w:p>
    <w:p w14:paraId="440C950A">
      <w:pPr>
        <w:pStyle w:val="22"/>
        <w:ind w:firstLine="562"/>
        <w:jc w:val="center"/>
        <w:rPr>
          <w:rFonts w:hint="eastAsia" w:ascii="仿宋" w:hAnsi="仿宋" w:eastAsia="仿宋" w:cs="仿宋"/>
          <w:b/>
          <w:bCs/>
          <w:color w:val="auto"/>
          <w:sz w:val="28"/>
          <w:szCs w:val="28"/>
          <w:highlight w:val="none"/>
        </w:rPr>
      </w:pPr>
    </w:p>
    <w:p w14:paraId="7857CA43">
      <w:pPr>
        <w:tabs>
          <w:tab w:val="left" w:pos="1650"/>
        </w:tabs>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（投标人）</w:t>
      </w:r>
      <w:r>
        <w:rPr>
          <w:rFonts w:hint="eastAsia" w:ascii="仿宋" w:hAnsi="仿宋" w:eastAsia="仿宋" w:cs="仿宋"/>
          <w:color w:val="auto"/>
          <w:sz w:val="24"/>
          <w:highlight w:val="none"/>
        </w:rPr>
        <w:t>现参加</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政府采购活动，郑重承诺如下：</w:t>
      </w:r>
    </w:p>
    <w:p w14:paraId="3158F667">
      <w:pPr>
        <w:tabs>
          <w:tab w:val="left" w:pos="1650"/>
        </w:tabs>
        <w:spacing w:line="560" w:lineRule="exact"/>
        <w:ind w:firstLine="630"/>
        <w:rPr>
          <w:rFonts w:hint="eastAsia" w:ascii="仿宋" w:hAnsi="仿宋" w:eastAsia="仿宋" w:cs="仿宋"/>
          <w:color w:val="auto"/>
          <w:sz w:val="24"/>
          <w:highlight w:val="none"/>
        </w:rPr>
      </w:pPr>
      <w:r>
        <w:rPr>
          <w:rFonts w:hint="eastAsia" w:ascii="仿宋" w:hAnsi="仿宋" w:eastAsia="仿宋" w:cs="仿宋"/>
          <w:color w:val="auto"/>
          <w:sz w:val="24"/>
          <w:highlight w:val="none"/>
        </w:rPr>
        <w:t>对所提供的资料合法性、真实性、准确性和有效性负责；</w:t>
      </w:r>
    </w:p>
    <w:p w14:paraId="7ABC782F">
      <w:pPr>
        <w:tabs>
          <w:tab w:val="left" w:pos="1650"/>
        </w:tabs>
        <w:spacing w:line="560" w:lineRule="exact"/>
        <w:ind w:firstLine="630"/>
        <w:rPr>
          <w:rFonts w:hint="eastAsia" w:ascii="仿宋" w:hAnsi="仿宋" w:eastAsia="仿宋" w:cs="仿宋"/>
          <w:color w:val="auto"/>
          <w:sz w:val="24"/>
          <w:highlight w:val="none"/>
        </w:rPr>
      </w:pPr>
      <w:r>
        <w:rPr>
          <w:rFonts w:hint="eastAsia" w:ascii="仿宋" w:hAnsi="仿宋" w:eastAsia="仿宋" w:cs="仿宋"/>
          <w:color w:val="auto"/>
          <w:sz w:val="24"/>
          <w:highlight w:val="none"/>
        </w:rPr>
        <w:t>严格按照国家法律、法规和规章，依法开展相关经济活动，全面履行应尽的责任和义务；</w:t>
      </w:r>
    </w:p>
    <w:p w14:paraId="73DA5635">
      <w:pPr>
        <w:tabs>
          <w:tab w:val="left" w:pos="1650"/>
        </w:tabs>
        <w:spacing w:line="560" w:lineRule="exact"/>
        <w:ind w:firstLine="630"/>
        <w:rPr>
          <w:rFonts w:hint="eastAsia" w:ascii="仿宋" w:hAnsi="仿宋" w:eastAsia="仿宋" w:cs="仿宋"/>
          <w:color w:val="auto"/>
          <w:sz w:val="24"/>
          <w:highlight w:val="none"/>
        </w:rPr>
      </w:pPr>
      <w:r>
        <w:rPr>
          <w:rFonts w:hint="eastAsia" w:ascii="仿宋" w:hAnsi="仿宋" w:eastAsia="仿宋" w:cs="仿宋"/>
          <w:color w:val="auto"/>
          <w:sz w:val="24"/>
          <w:highlight w:val="none"/>
        </w:rPr>
        <w:t>加强自我约束、自我规范、自我管理，不制假售假、不虚假宣传、不违约毁约、不恶意逃债、不偷税漏税，诚信依法经营；</w:t>
      </w:r>
    </w:p>
    <w:p w14:paraId="666F9A0B">
      <w:pPr>
        <w:tabs>
          <w:tab w:val="left" w:pos="1650"/>
        </w:tabs>
        <w:spacing w:line="560" w:lineRule="exact"/>
        <w:ind w:firstLine="630"/>
        <w:rPr>
          <w:rFonts w:hint="eastAsia" w:ascii="仿宋" w:hAnsi="仿宋" w:eastAsia="仿宋" w:cs="仿宋"/>
          <w:color w:val="auto"/>
          <w:sz w:val="24"/>
          <w:highlight w:val="none"/>
        </w:rPr>
      </w:pPr>
      <w:r>
        <w:rPr>
          <w:rFonts w:hint="eastAsia" w:ascii="仿宋" w:hAnsi="仿宋" w:eastAsia="仿宋" w:cs="仿宋"/>
          <w:color w:val="auto"/>
          <w:sz w:val="24"/>
          <w:highlight w:val="none"/>
        </w:rPr>
        <w:t>自愿接受行政主管部门的依法检查、违背承诺约定将自愿承担违约责任，并接受法律法规和相关部门规章制度的惩戒和约束；</w:t>
      </w:r>
    </w:p>
    <w:p w14:paraId="36DE1C4B">
      <w:pPr>
        <w:tabs>
          <w:tab w:val="left" w:pos="1650"/>
        </w:tabs>
        <w:spacing w:line="560" w:lineRule="exact"/>
        <w:ind w:firstLine="63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175C3983">
      <w:pPr>
        <w:tabs>
          <w:tab w:val="left" w:pos="1650"/>
        </w:tabs>
        <w:spacing w:line="560" w:lineRule="exact"/>
        <w:rPr>
          <w:rFonts w:hint="eastAsia" w:ascii="仿宋" w:hAnsi="仿宋" w:eastAsia="仿宋" w:cs="仿宋"/>
          <w:color w:val="auto"/>
          <w:sz w:val="24"/>
          <w:highlight w:val="none"/>
          <w:u w:val="single"/>
        </w:rPr>
      </w:pPr>
    </w:p>
    <w:p w14:paraId="65A80C2B">
      <w:pPr>
        <w:tabs>
          <w:tab w:val="left" w:pos="1650"/>
        </w:tabs>
        <w:spacing w:line="560" w:lineRule="exact"/>
        <w:rPr>
          <w:rFonts w:hint="eastAsia" w:ascii="仿宋" w:hAnsi="仿宋" w:eastAsia="仿宋" w:cs="仿宋"/>
          <w:color w:val="auto"/>
          <w:sz w:val="24"/>
          <w:highlight w:val="none"/>
          <w:u w:val="single"/>
        </w:rPr>
      </w:pPr>
    </w:p>
    <w:p w14:paraId="4074EBA6">
      <w:pPr>
        <w:pStyle w:val="39"/>
        <w:spacing w:before="0" w:beforeAutospacing="0" w:after="0" w:afterAutospacing="0" w:line="560" w:lineRule="exact"/>
        <w:ind w:firstLine="600" w:firstLineChars="250"/>
        <w:rPr>
          <w:rFonts w:hint="eastAsia" w:ascii="仿宋" w:hAnsi="仿宋" w:eastAsia="仿宋" w:cs="仿宋"/>
          <w:color w:val="auto"/>
          <w:spacing w:val="-7"/>
          <w:highlight w:val="none"/>
        </w:rPr>
      </w:pPr>
      <w:r>
        <w:rPr>
          <w:rFonts w:hint="eastAsia" w:ascii="仿宋" w:hAnsi="仿宋" w:eastAsia="仿宋" w:cs="仿宋"/>
          <w:color w:val="auto"/>
          <w:kern w:val="2"/>
          <w:highlight w:val="none"/>
        </w:rPr>
        <w:t>统一社会信用代码：</w:t>
      </w:r>
    </w:p>
    <w:p w14:paraId="20C48B6D">
      <w:pPr>
        <w:pStyle w:val="39"/>
        <w:spacing w:before="0" w:beforeAutospacing="0" w:after="0" w:afterAutospacing="0" w:line="560" w:lineRule="exact"/>
        <w:rPr>
          <w:rFonts w:hint="eastAsia" w:ascii="仿宋" w:hAnsi="仿宋" w:eastAsia="仿宋" w:cs="仿宋"/>
          <w:color w:val="auto"/>
          <w:highlight w:val="none"/>
        </w:rPr>
      </w:pPr>
    </w:p>
    <w:p w14:paraId="19147AFA">
      <w:pPr>
        <w:pStyle w:val="39"/>
        <w:spacing w:before="0" w:beforeAutospacing="0" w:after="0" w:afterAutospacing="0" w:line="560" w:lineRule="exact"/>
        <w:ind w:firstLine="3240" w:firstLineChars="1350"/>
        <w:rPr>
          <w:rFonts w:hint="eastAsia" w:ascii="仿宋" w:hAnsi="仿宋" w:eastAsia="仿宋" w:cs="仿宋"/>
          <w:color w:val="auto"/>
          <w:kern w:val="2"/>
          <w:highlight w:val="none"/>
        </w:rPr>
      </w:pPr>
      <w:r>
        <w:rPr>
          <w:rFonts w:hint="eastAsia" w:ascii="仿宋" w:hAnsi="仿宋" w:eastAsia="仿宋" w:cs="仿宋"/>
          <w:color w:val="auto"/>
          <w:kern w:val="2"/>
          <w:highlight w:val="none"/>
        </w:rPr>
        <w:t>承诺单位/个人（盖章/签名）</w:t>
      </w:r>
    </w:p>
    <w:p w14:paraId="2B52B2F2">
      <w:pPr>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时间：20**年*月*日</w:t>
      </w:r>
    </w:p>
    <w:p w14:paraId="62C7295E">
      <w:pPr>
        <w:pStyle w:val="12"/>
        <w:rPr>
          <w:rFonts w:hint="eastAsia" w:ascii="仿宋" w:hAnsi="仿宋" w:eastAsia="仿宋" w:cs="仿宋"/>
          <w:color w:val="auto"/>
          <w:highlight w:val="none"/>
        </w:rPr>
      </w:pPr>
    </w:p>
    <w:p w14:paraId="77155C8F">
      <w:pPr>
        <w:pStyle w:val="12"/>
        <w:rPr>
          <w:rFonts w:hint="eastAsia" w:ascii="仿宋" w:hAnsi="仿宋" w:eastAsia="仿宋" w:cs="仿宋"/>
          <w:color w:val="auto"/>
          <w:highlight w:val="none"/>
        </w:rPr>
      </w:pPr>
    </w:p>
    <w:p w14:paraId="372B512A">
      <w:pPr>
        <w:pStyle w:val="12"/>
        <w:rPr>
          <w:rFonts w:hint="eastAsia" w:ascii="仿宋" w:hAnsi="仿宋" w:eastAsia="仿宋" w:cs="仿宋"/>
          <w:color w:val="auto"/>
          <w:highlight w:val="none"/>
        </w:rPr>
      </w:pPr>
    </w:p>
    <w:p w14:paraId="3D251C41">
      <w:pPr>
        <w:pStyle w:val="12"/>
        <w:rPr>
          <w:rFonts w:hint="eastAsia" w:ascii="仿宋" w:hAnsi="仿宋" w:eastAsia="仿宋" w:cs="仿宋"/>
          <w:color w:val="auto"/>
          <w:highlight w:val="none"/>
        </w:rPr>
      </w:pPr>
    </w:p>
    <w:p w14:paraId="3E7D368F">
      <w:pPr>
        <w:pStyle w:val="12"/>
        <w:rPr>
          <w:rFonts w:hint="eastAsia" w:ascii="仿宋" w:hAnsi="仿宋" w:eastAsia="仿宋" w:cs="仿宋"/>
          <w:color w:val="auto"/>
          <w:highlight w:val="none"/>
        </w:rPr>
      </w:pPr>
    </w:p>
    <w:p w14:paraId="63A3FBC7">
      <w:pPr>
        <w:pStyle w:val="12"/>
        <w:rPr>
          <w:rFonts w:hint="eastAsia" w:ascii="仿宋" w:hAnsi="仿宋" w:eastAsia="仿宋" w:cs="仿宋"/>
          <w:color w:val="auto"/>
          <w:highlight w:val="none"/>
        </w:rPr>
      </w:pPr>
    </w:p>
    <w:p w14:paraId="285189E5">
      <w:pPr>
        <w:pStyle w:val="12"/>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152B2A0C">
      <w:pPr>
        <w:autoSpaceDE w:val="0"/>
        <w:autoSpaceDN w:val="0"/>
        <w:jc w:val="both"/>
        <w:rPr>
          <w:rFonts w:hint="eastAsia" w:ascii="仿宋" w:hAnsi="仿宋" w:eastAsia="仿宋" w:cs="仿宋"/>
          <w:b/>
          <w:color w:val="auto"/>
          <w:spacing w:val="6"/>
          <w:sz w:val="32"/>
          <w:szCs w:val="32"/>
          <w:highlight w:val="none"/>
        </w:rPr>
      </w:pPr>
    </w:p>
    <w:p w14:paraId="3397B819">
      <w:pPr>
        <w:spacing w:line="360" w:lineRule="auto"/>
        <w:jc w:val="center"/>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5.</w:t>
      </w:r>
      <w:r>
        <w:rPr>
          <w:rFonts w:hint="eastAsia" w:ascii="仿宋" w:hAnsi="仿宋" w:eastAsia="仿宋" w:cs="仿宋"/>
          <w:b/>
          <w:bCs/>
          <w:color w:val="auto"/>
          <w:sz w:val="28"/>
          <w:szCs w:val="28"/>
          <w:highlight w:val="none"/>
        </w:rPr>
        <w:t>中小企业声明函（工程、 服务）</w:t>
      </w:r>
    </w:p>
    <w:p w14:paraId="4744578B">
      <w:pPr>
        <w:spacing w:line="560" w:lineRule="exact"/>
        <w:ind w:firstLine="720" w:firstLineChars="3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本公司（联合体）郑重声明，根据《政府采购促进中小企业发展管理办法》（财库﹝2020﹞46 号）的规定，本公司 （联合体）参加</w:t>
      </w:r>
      <w:r>
        <w:rPr>
          <w:rFonts w:hint="eastAsia" w:ascii="仿宋" w:hAnsi="仿宋" w:eastAsia="仿宋" w:cs="仿宋"/>
          <w:color w:val="auto"/>
          <w:sz w:val="24"/>
          <w:highlight w:val="none"/>
          <w:u w:val="single"/>
        </w:rPr>
        <w:t xml:space="preserve"> （ 单位名称 ） </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rPr>
        <w:t>（ 项目名称 ）</w:t>
      </w:r>
      <w:r>
        <w:rPr>
          <w:rFonts w:hint="eastAsia" w:ascii="仿宋" w:hAnsi="仿宋" w:eastAsia="仿宋" w:cs="仿宋"/>
          <w:color w:val="auto"/>
          <w:sz w:val="24"/>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3CFDE528">
      <w:pPr>
        <w:spacing w:line="560" w:lineRule="exact"/>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 </w:t>
      </w:r>
      <w:r>
        <w:rPr>
          <w:rFonts w:hint="eastAsia" w:ascii="仿宋" w:hAnsi="仿宋" w:eastAsia="仿宋" w:cs="仿宋"/>
          <w:color w:val="auto"/>
          <w:sz w:val="24"/>
          <w:highlight w:val="none"/>
          <w:u w:val="single"/>
        </w:rPr>
        <w:t xml:space="preserve">（ 标的名称 ） </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 采购文件中明确的所属行业 ）</w:t>
      </w:r>
      <w:r>
        <w:rPr>
          <w:rFonts w:hint="eastAsia" w:ascii="仿宋" w:hAnsi="仿宋" w:eastAsia="仿宋" w:cs="仿宋"/>
          <w:color w:val="auto"/>
          <w:sz w:val="24"/>
          <w:highlight w:val="none"/>
        </w:rPr>
        <w:t xml:space="preserve"> ； 承建（承接）企业为</w:t>
      </w:r>
      <w:r>
        <w:rPr>
          <w:rFonts w:hint="eastAsia" w:ascii="仿宋" w:hAnsi="仿宋" w:eastAsia="仿宋" w:cs="仿宋"/>
          <w:color w:val="auto"/>
          <w:sz w:val="24"/>
          <w:highlight w:val="none"/>
          <w:u w:val="single"/>
        </w:rPr>
        <w:t xml:space="preserve"> （ 企业名称） </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 、小型企业 、微型企业 ） </w:t>
      </w:r>
      <w:r>
        <w:rPr>
          <w:rFonts w:hint="eastAsia" w:ascii="仿宋" w:hAnsi="仿宋" w:eastAsia="仿宋" w:cs="仿宋"/>
          <w:color w:val="auto"/>
          <w:sz w:val="24"/>
          <w:highlight w:val="none"/>
        </w:rPr>
        <w:t xml:space="preserve">； </w:t>
      </w:r>
    </w:p>
    <w:p w14:paraId="2B16B0A2">
      <w:pPr>
        <w:spacing w:line="560" w:lineRule="exact"/>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 </w:t>
      </w:r>
      <w:r>
        <w:rPr>
          <w:rFonts w:hint="eastAsia" w:ascii="仿宋" w:hAnsi="仿宋" w:eastAsia="仿宋" w:cs="仿宋"/>
          <w:color w:val="auto"/>
          <w:sz w:val="24"/>
          <w:highlight w:val="none"/>
          <w:u w:val="single"/>
        </w:rPr>
        <w:t xml:space="preserve">（ 标的名称 ） </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 采购文件中明确的所属行业 ）</w:t>
      </w:r>
      <w:r>
        <w:rPr>
          <w:rFonts w:hint="eastAsia" w:ascii="仿宋" w:hAnsi="仿宋" w:eastAsia="仿宋" w:cs="仿宋"/>
          <w:color w:val="auto"/>
          <w:sz w:val="24"/>
          <w:highlight w:val="none"/>
        </w:rPr>
        <w:t xml:space="preserve"> ； 承建（承接）企业为</w:t>
      </w:r>
      <w:r>
        <w:rPr>
          <w:rFonts w:hint="eastAsia" w:ascii="仿宋" w:hAnsi="仿宋" w:eastAsia="仿宋" w:cs="仿宋"/>
          <w:color w:val="auto"/>
          <w:sz w:val="24"/>
          <w:highlight w:val="none"/>
          <w:u w:val="single"/>
        </w:rPr>
        <w:t xml:space="preserve"> （ 企业名称） </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 、小型企业 、微型企业 ） </w:t>
      </w:r>
      <w:r>
        <w:rPr>
          <w:rFonts w:hint="eastAsia" w:ascii="仿宋" w:hAnsi="仿宋" w:eastAsia="仿宋" w:cs="仿宋"/>
          <w:color w:val="auto"/>
          <w:sz w:val="24"/>
          <w:highlight w:val="none"/>
        </w:rPr>
        <w:t>；</w:t>
      </w:r>
    </w:p>
    <w:p w14:paraId="16A29786">
      <w:pPr>
        <w:spacing w:line="560" w:lineRule="exact"/>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6EA428E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以上企业，不属于大企业的分支机构，不存在控股股东为大企业的情形，也不存在与大企业的负责人为同一人的情形。 本企业对上述声明内容的真实性负责。如有虚假，将依法承担相应责任。 </w:t>
      </w:r>
    </w:p>
    <w:p w14:paraId="79297E68">
      <w:pPr>
        <w:tabs>
          <w:tab w:val="left" w:pos="2996"/>
        </w:tabs>
        <w:spacing w:line="600" w:lineRule="exact"/>
        <w:ind w:firstLine="480" w:firstLineChars="200"/>
        <w:rPr>
          <w:rFonts w:hint="eastAsia" w:ascii="仿宋" w:hAnsi="仿宋" w:eastAsia="仿宋" w:cs="仿宋"/>
          <w:color w:val="auto"/>
          <w:sz w:val="24"/>
          <w:highlight w:val="none"/>
        </w:rPr>
      </w:pPr>
    </w:p>
    <w:p w14:paraId="0149A8A5">
      <w:pPr>
        <w:tabs>
          <w:tab w:val="left" w:pos="2996"/>
        </w:tabs>
        <w:spacing w:line="600" w:lineRule="exact"/>
        <w:ind w:firstLine="480" w:firstLineChars="200"/>
        <w:rPr>
          <w:rFonts w:hint="eastAsia" w:ascii="仿宋" w:hAnsi="仿宋" w:eastAsia="仿宋" w:cs="仿宋"/>
          <w:color w:val="auto"/>
          <w:sz w:val="24"/>
          <w:highlight w:val="none"/>
        </w:rPr>
      </w:pPr>
    </w:p>
    <w:p w14:paraId="29A4161F">
      <w:pPr>
        <w:tabs>
          <w:tab w:val="left" w:pos="2996"/>
        </w:tabs>
        <w:spacing w:line="600" w:lineRule="exact"/>
        <w:ind w:firstLine="480" w:firstLineChars="20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供应商名称（盖章）：</w:t>
      </w:r>
    </w:p>
    <w:p w14:paraId="0D989E35">
      <w:pPr>
        <w:tabs>
          <w:tab w:val="left" w:pos="2996"/>
        </w:tabs>
        <w:spacing w:line="600" w:lineRule="exact"/>
        <w:ind w:firstLine="480" w:firstLineChars="20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339C6476">
      <w:pPr>
        <w:snapToGrid w:val="0"/>
        <w:spacing w:before="50" w:after="50" w:line="360" w:lineRule="auto"/>
        <w:jc w:val="center"/>
        <w:rPr>
          <w:rFonts w:hint="eastAsia" w:ascii="仿宋" w:hAnsi="仿宋" w:eastAsia="仿宋" w:cs="仿宋"/>
          <w:b/>
          <w:color w:val="auto"/>
          <w:sz w:val="28"/>
          <w:szCs w:val="28"/>
          <w:highlight w:val="none"/>
        </w:rPr>
      </w:pPr>
    </w:p>
    <w:p w14:paraId="43683D73">
      <w:pPr>
        <w:pStyle w:val="40"/>
        <w:ind w:firstLine="241"/>
        <w:rPr>
          <w:rFonts w:hint="eastAsia" w:ascii="仿宋" w:hAnsi="仿宋" w:eastAsia="仿宋" w:cs="仿宋"/>
          <w:color w:val="auto"/>
          <w:highlight w:val="none"/>
        </w:rPr>
      </w:pPr>
    </w:p>
    <w:p w14:paraId="20BDE4DF">
      <w:pPr>
        <w:pStyle w:val="40"/>
        <w:ind w:firstLine="0" w:firstLineChars="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val="en-US" w:eastAsia="zh-CN"/>
        </w:rPr>
        <w:t xml:space="preserve">      </w:t>
      </w:r>
    </w:p>
    <w:p w14:paraId="17EBE21E">
      <w:pPr>
        <w:keepNext w:val="0"/>
        <w:keepLines w:val="0"/>
        <w:widowControl/>
        <w:suppressLineNumbers w:val="0"/>
        <w:jc w:val="left"/>
        <w:rPr>
          <w:rFonts w:hint="eastAsia" w:ascii="仿宋" w:hAnsi="仿宋" w:eastAsia="仿宋" w:cs="仿宋"/>
          <w:color w:val="auto"/>
          <w:kern w:val="0"/>
          <w:sz w:val="18"/>
          <w:szCs w:val="18"/>
          <w:highlight w:val="none"/>
          <w:lang w:val="en-US" w:eastAsia="zh-CN" w:bidi="ar"/>
        </w:rPr>
      </w:pPr>
      <w:r>
        <w:rPr>
          <w:rFonts w:hint="eastAsia" w:ascii="仿宋" w:hAnsi="仿宋" w:eastAsia="仿宋" w:cs="仿宋"/>
          <w:color w:val="auto"/>
          <w:kern w:val="0"/>
          <w:sz w:val="11"/>
          <w:szCs w:val="11"/>
          <w:highlight w:val="none"/>
          <w:lang w:val="en-US" w:eastAsia="zh-CN" w:bidi="ar"/>
        </w:rPr>
        <w:t>1</w:t>
      </w:r>
      <w:r>
        <w:rPr>
          <w:rFonts w:hint="eastAsia" w:ascii="仿宋" w:hAnsi="仿宋" w:eastAsia="仿宋" w:cs="仿宋"/>
          <w:color w:val="auto"/>
          <w:kern w:val="0"/>
          <w:sz w:val="18"/>
          <w:szCs w:val="18"/>
          <w:highlight w:val="none"/>
          <w:lang w:val="en-US" w:eastAsia="zh-CN" w:bidi="ar"/>
        </w:rPr>
        <w:t>从业人员、营业收入、资产总额填报上一年度数据，无上一年度数据的新成立企业可不填报。</w:t>
      </w:r>
    </w:p>
    <w:p w14:paraId="0EFF8082">
      <w:pPr>
        <w:spacing w:line="520" w:lineRule="exact"/>
        <w:ind w:firstLine="482" w:firstLineChars="200"/>
        <w:rPr>
          <w:rFonts w:hint="default" w:ascii="仿宋" w:hAnsi="仿宋" w:eastAsia="仿宋" w:cs="仿宋"/>
          <w:b/>
          <w:color w:val="auto"/>
          <w:sz w:val="24"/>
          <w:szCs w:val="24"/>
          <w:highlight w:val="none"/>
          <w:lang w:val="en-US"/>
        </w:rPr>
      </w:pPr>
      <w:r>
        <w:rPr>
          <w:rFonts w:hint="eastAsia" w:ascii="仿宋" w:hAnsi="仿宋" w:eastAsia="仿宋" w:cs="仿宋"/>
          <w:b/>
          <w:color w:val="auto"/>
          <w:sz w:val="24"/>
          <w:szCs w:val="24"/>
          <w:highlight w:val="none"/>
          <w:lang w:val="en-US" w:eastAsia="zh-CN"/>
        </w:rPr>
        <w:t>本项目采购</w:t>
      </w:r>
      <w:r>
        <w:rPr>
          <w:rFonts w:hint="eastAsia" w:ascii="仿宋" w:hAnsi="仿宋" w:eastAsia="仿宋" w:cs="仿宋"/>
          <w:b/>
          <w:color w:val="auto"/>
          <w:sz w:val="24"/>
          <w:szCs w:val="24"/>
          <w:highlight w:val="none"/>
        </w:rPr>
        <w:t>文件中明确的所属行业</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lang w:val="en-US" w:eastAsia="zh-CN"/>
        </w:rPr>
        <w:t>其他未列明行业</w:t>
      </w:r>
    </w:p>
    <w:p w14:paraId="7082ED07">
      <w:pPr>
        <w:snapToGrid w:val="0"/>
        <w:spacing w:before="50" w:after="50" w:line="360" w:lineRule="auto"/>
        <w:jc w:val="both"/>
        <w:outlineLvl w:val="1"/>
        <w:rPr>
          <w:rFonts w:hint="eastAsia" w:ascii="仿宋" w:hAnsi="仿宋" w:eastAsia="仿宋" w:cs="仿宋"/>
          <w:b/>
          <w:color w:val="auto"/>
          <w:sz w:val="28"/>
          <w:szCs w:val="28"/>
          <w:highlight w:val="none"/>
        </w:rPr>
      </w:pPr>
    </w:p>
    <w:p w14:paraId="782A6BA2">
      <w:pPr>
        <w:pStyle w:val="22"/>
        <w:ind w:left="0" w:leftChars="0" w:firstLine="0" w:firstLineChars="0"/>
        <w:jc w:val="center"/>
        <w:outlineLvl w:val="1"/>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6.分包意向协议</w:t>
      </w:r>
    </w:p>
    <w:p w14:paraId="253F8878">
      <w:pPr>
        <w:spacing w:line="50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（中标后以分包方式履行合同的，提供分包意向协议；采购人不同意分包或者供应商中标后不以分包方式履行合同的，则不需要提供。）</w:t>
      </w:r>
    </w:p>
    <w:p w14:paraId="445A71E8">
      <w:pPr>
        <w:spacing w:line="5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（供应商名称）</w:t>
      </w:r>
      <w:r>
        <w:rPr>
          <w:rFonts w:hint="eastAsia" w:ascii="仿宋" w:hAnsi="仿宋" w:eastAsia="仿宋" w:cs="仿宋"/>
          <w:color w:val="auto"/>
          <w:sz w:val="24"/>
          <w:highlight w:val="none"/>
        </w:rPr>
        <w:t>若成为</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项目</w:t>
      </w:r>
      <w:r>
        <w:rPr>
          <w:rFonts w:hint="eastAsia" w:ascii="仿宋" w:hAnsi="仿宋" w:eastAsia="仿宋" w:cs="仿宋"/>
          <w:color w:val="auto"/>
          <w:sz w:val="24"/>
          <w:highlight w:val="none"/>
        </w:rPr>
        <w:t>编号：</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】的中标供应商，将依法采取分包方式履行合同。</w:t>
      </w:r>
      <w:r>
        <w:rPr>
          <w:rFonts w:hint="eastAsia" w:ascii="仿宋" w:hAnsi="仿宋" w:eastAsia="仿宋" w:cs="仿宋"/>
          <w:color w:val="auto"/>
          <w:sz w:val="24"/>
          <w:highlight w:val="none"/>
          <w:u w:val="single"/>
        </w:rPr>
        <w:t>（供应商名称）</w:t>
      </w:r>
      <w:r>
        <w:rPr>
          <w:rFonts w:hint="eastAsia" w:ascii="仿宋" w:hAnsi="仿宋" w:eastAsia="仿宋" w:cs="仿宋"/>
          <w:color w:val="auto"/>
          <w:sz w:val="24"/>
          <w:highlight w:val="none"/>
        </w:rPr>
        <w:t>与</w:t>
      </w:r>
      <w:r>
        <w:rPr>
          <w:rFonts w:hint="eastAsia" w:ascii="仿宋" w:hAnsi="仿宋" w:eastAsia="仿宋" w:cs="仿宋"/>
          <w:color w:val="auto"/>
          <w:sz w:val="24"/>
          <w:highlight w:val="none"/>
          <w:u w:val="single"/>
        </w:rPr>
        <w:t>（所有分包供应商名称）</w:t>
      </w:r>
      <w:r>
        <w:rPr>
          <w:rFonts w:hint="eastAsia" w:ascii="仿宋" w:hAnsi="仿宋" w:eastAsia="仿宋" w:cs="仿宋"/>
          <w:color w:val="auto"/>
          <w:sz w:val="24"/>
          <w:highlight w:val="none"/>
        </w:rPr>
        <w:t>达成分包意向协议。</w:t>
      </w:r>
    </w:p>
    <w:p w14:paraId="5FAE83EF">
      <w:pPr>
        <w:spacing w:line="5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一、分包标的及数量</w:t>
      </w:r>
    </w:p>
    <w:p w14:paraId="35E9DD4B">
      <w:pPr>
        <w:spacing w:line="5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（供应商名称）</w:t>
      </w:r>
      <w:r>
        <w:rPr>
          <w:rFonts w:hint="eastAsia" w:ascii="仿宋" w:hAnsi="仿宋" w:eastAsia="仿宋" w:cs="仿宋"/>
          <w:color w:val="auto"/>
          <w:sz w:val="24"/>
          <w:highlight w:val="none"/>
        </w:rPr>
        <w:t>将</w:t>
      </w:r>
      <w:r>
        <w:rPr>
          <w:rFonts w:hint="eastAsia" w:ascii="仿宋" w:hAnsi="仿宋" w:eastAsia="仿宋" w:cs="仿宋"/>
          <w:color w:val="auto"/>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sz w:val="24"/>
          <w:highlight w:val="none"/>
          <w:u w:val="single"/>
        </w:rPr>
        <w:t>（某分包供应商名称）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（某分包供应商名称）</w:t>
      </w:r>
      <w:r>
        <w:rPr>
          <w:rFonts w:hint="eastAsia" w:ascii="仿宋" w:hAnsi="仿宋" w:eastAsia="仿宋" w:cs="仿宋"/>
          <w:color w:val="auto"/>
          <w:sz w:val="24"/>
          <w:highlight w:val="none"/>
        </w:rPr>
        <w:t>，具备承担</w:t>
      </w:r>
      <w:r>
        <w:rPr>
          <w:rFonts w:hint="eastAsia" w:ascii="仿宋" w:hAnsi="仿宋" w:eastAsia="仿宋" w:cs="仿宋"/>
          <w:color w:val="auto"/>
          <w:sz w:val="24"/>
          <w:highlight w:val="none"/>
          <w:u w:val="single"/>
        </w:rPr>
        <w:t>XX工作内容</w:t>
      </w:r>
      <w:r>
        <w:rPr>
          <w:rFonts w:hint="eastAsia" w:ascii="仿宋" w:hAnsi="仿宋" w:eastAsia="仿宋" w:cs="仿宋"/>
          <w:color w:val="auto"/>
          <w:sz w:val="24"/>
          <w:highlight w:val="none"/>
        </w:rPr>
        <w:t>相应资质条件且不得再次分包；</w:t>
      </w:r>
    </w:p>
    <w:p w14:paraId="60D5DED1">
      <w:pPr>
        <w:spacing w:line="5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646A8987">
      <w:pPr>
        <w:spacing w:line="5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二、分包工作履行期限、地点、方式</w:t>
      </w:r>
    </w:p>
    <w:p w14:paraId="5F98F84A">
      <w:pPr>
        <w:spacing w:line="5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三、质量</w:t>
      </w:r>
    </w:p>
    <w:p w14:paraId="39EDFC34">
      <w:pPr>
        <w:spacing w:line="5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四、价款或者报酬</w:t>
      </w:r>
    </w:p>
    <w:p w14:paraId="3415C7D1">
      <w:pPr>
        <w:spacing w:line="5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五、违约责任</w:t>
      </w:r>
    </w:p>
    <w:p w14:paraId="418D1D17">
      <w:pPr>
        <w:spacing w:line="5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六、争议解决的办法</w:t>
      </w:r>
    </w:p>
    <w:p w14:paraId="02522788">
      <w:pP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七、其他</w:t>
      </w:r>
    </w:p>
    <w:p w14:paraId="18394BAC">
      <w:pP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（分包供应商名称）</w:t>
      </w:r>
      <w:r>
        <w:rPr>
          <w:rFonts w:hint="eastAsia" w:ascii="仿宋" w:hAnsi="仿宋" w:eastAsia="仿宋" w:cs="仿宋"/>
          <w:color w:val="auto"/>
          <w:sz w:val="24"/>
          <w:highlight w:val="none"/>
        </w:rPr>
        <w:t>提供的货物/服务全部由小微企业制造/承接，其合同份额占到合同总金额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%以上。</w:t>
      </w:r>
    </w:p>
    <w:p w14:paraId="232E5709">
      <w:pPr>
        <w:widowControl w:val="0"/>
        <w:spacing w:line="480" w:lineRule="exact"/>
        <w:ind w:firstLine="0"/>
        <w:jc w:val="left"/>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ab/>
      </w:r>
      <w:r>
        <w:rPr>
          <w:rFonts w:hint="eastAsia" w:ascii="仿宋" w:hAnsi="仿宋" w:eastAsia="仿宋" w:cs="仿宋"/>
          <w:color w:val="auto"/>
          <w:kern w:val="2"/>
          <w:sz w:val="24"/>
          <w:szCs w:val="20"/>
          <w:highlight w:val="none"/>
          <w:lang w:val="en-US" w:eastAsia="zh-CN" w:bidi="ar-SA"/>
        </w:rPr>
        <w:tab/>
      </w:r>
      <w:r>
        <w:rPr>
          <w:rFonts w:hint="eastAsia" w:ascii="仿宋" w:hAnsi="仿宋" w:eastAsia="仿宋" w:cs="仿宋"/>
          <w:color w:val="auto"/>
          <w:kern w:val="2"/>
          <w:sz w:val="24"/>
          <w:szCs w:val="20"/>
          <w:highlight w:val="none"/>
          <w:lang w:val="en-US" w:eastAsia="zh-CN" w:bidi="ar-SA"/>
        </w:rPr>
        <w:tab/>
      </w:r>
      <w:r>
        <w:rPr>
          <w:rFonts w:hint="eastAsia" w:ascii="仿宋" w:hAnsi="仿宋" w:eastAsia="仿宋" w:cs="仿宋"/>
          <w:color w:val="auto"/>
          <w:kern w:val="2"/>
          <w:sz w:val="24"/>
          <w:szCs w:val="20"/>
          <w:highlight w:val="none"/>
          <w:lang w:val="en-US" w:eastAsia="zh-CN" w:bidi="ar-SA"/>
        </w:rPr>
        <w:tab/>
      </w:r>
      <w:r>
        <w:rPr>
          <w:rFonts w:hint="eastAsia" w:ascii="仿宋" w:hAnsi="仿宋" w:eastAsia="仿宋" w:cs="仿宋"/>
          <w:color w:val="auto"/>
          <w:kern w:val="2"/>
          <w:sz w:val="24"/>
          <w:szCs w:val="20"/>
          <w:highlight w:val="none"/>
          <w:lang w:val="en-US" w:eastAsia="zh-CN" w:bidi="ar-SA"/>
        </w:rPr>
        <w:tab/>
      </w:r>
      <w:r>
        <w:rPr>
          <w:rFonts w:hint="eastAsia" w:ascii="仿宋" w:hAnsi="仿宋" w:eastAsia="仿宋" w:cs="仿宋"/>
          <w:color w:val="auto"/>
          <w:kern w:val="2"/>
          <w:sz w:val="24"/>
          <w:szCs w:val="20"/>
          <w:highlight w:val="none"/>
          <w:lang w:val="en-US" w:eastAsia="zh-CN" w:bidi="ar-SA"/>
        </w:rPr>
        <w:tab/>
      </w:r>
      <w:r>
        <w:rPr>
          <w:rFonts w:hint="eastAsia" w:ascii="仿宋" w:hAnsi="仿宋" w:eastAsia="仿宋" w:cs="仿宋"/>
          <w:color w:val="auto"/>
          <w:kern w:val="2"/>
          <w:sz w:val="24"/>
          <w:szCs w:val="20"/>
          <w:highlight w:val="none"/>
          <w:lang w:val="en-US" w:eastAsia="zh-CN" w:bidi="ar-SA"/>
        </w:rPr>
        <w:tab/>
      </w:r>
      <w:r>
        <w:rPr>
          <w:rFonts w:hint="eastAsia" w:ascii="仿宋" w:hAnsi="仿宋" w:eastAsia="仿宋" w:cs="仿宋"/>
          <w:color w:val="auto"/>
          <w:kern w:val="2"/>
          <w:sz w:val="24"/>
          <w:szCs w:val="20"/>
          <w:highlight w:val="none"/>
          <w:lang w:val="en-US" w:eastAsia="zh-CN" w:bidi="ar-SA"/>
        </w:rPr>
        <w:tab/>
      </w:r>
      <w:r>
        <w:rPr>
          <w:rFonts w:hint="eastAsia" w:ascii="仿宋" w:hAnsi="仿宋" w:eastAsia="仿宋" w:cs="仿宋"/>
          <w:color w:val="auto"/>
          <w:kern w:val="2"/>
          <w:sz w:val="24"/>
          <w:szCs w:val="20"/>
          <w:highlight w:val="none"/>
          <w:lang w:val="en-US" w:eastAsia="zh-CN" w:bidi="ar-SA"/>
        </w:rPr>
        <w:tab/>
      </w:r>
      <w:r>
        <w:rPr>
          <w:rFonts w:hint="eastAsia" w:ascii="仿宋" w:hAnsi="仿宋" w:eastAsia="仿宋" w:cs="仿宋"/>
          <w:color w:val="auto"/>
          <w:kern w:val="2"/>
          <w:sz w:val="24"/>
          <w:szCs w:val="20"/>
          <w:highlight w:val="none"/>
          <w:lang w:val="en-US" w:eastAsia="zh-CN" w:bidi="ar-SA"/>
        </w:rPr>
        <w:t>法定代表人或授权代表签字：</w:t>
      </w:r>
    </w:p>
    <w:p w14:paraId="363E1FF8">
      <w:pPr>
        <w:widowControl w:val="0"/>
        <w:spacing w:line="480" w:lineRule="exact"/>
        <w:ind w:firstLine="3960" w:firstLineChars="1650"/>
        <w:jc w:val="left"/>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供应商公章：</w:t>
      </w:r>
    </w:p>
    <w:p w14:paraId="37A06888">
      <w:pPr>
        <w:spacing w:line="480" w:lineRule="exact"/>
        <w:ind w:firstLine="3960" w:firstLineChars="1650"/>
        <w:jc w:val="left"/>
        <w:rPr>
          <w:rFonts w:hint="eastAsia" w:ascii="仿宋" w:hAnsi="仿宋" w:eastAsia="仿宋" w:cs="仿宋"/>
          <w:bCs/>
          <w:color w:val="auto"/>
          <w:sz w:val="28"/>
          <w:szCs w:val="28"/>
          <w:highlight w:val="none"/>
        </w:rPr>
      </w:pPr>
      <w:r>
        <w:rPr>
          <w:rFonts w:hint="eastAsia" w:ascii="仿宋" w:hAnsi="仿宋" w:eastAsia="仿宋" w:cs="仿宋"/>
          <w:color w:val="auto"/>
          <w:sz w:val="24"/>
          <w:highlight w:val="none"/>
        </w:rPr>
        <w:t>日期：202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年  月  日</w:t>
      </w:r>
    </w:p>
    <w:p w14:paraId="14BEA004">
      <w:pPr>
        <w:widowControl w:val="0"/>
        <w:spacing w:line="312" w:lineRule="auto"/>
        <w:ind w:firstLine="420"/>
        <w:jc w:val="both"/>
        <w:rPr>
          <w:rFonts w:hint="eastAsia" w:ascii="仿宋" w:hAnsi="仿宋" w:eastAsia="仿宋" w:cs="仿宋"/>
          <w:color w:val="auto"/>
          <w:kern w:val="2"/>
          <w:sz w:val="24"/>
          <w:szCs w:val="24"/>
          <w:highlight w:val="none"/>
          <w:lang w:val="en-US" w:eastAsia="zh-CN" w:bidi="ar-SA"/>
        </w:rPr>
      </w:pPr>
    </w:p>
    <w:p w14:paraId="2D5D1D6A">
      <w:pPr>
        <w:rPr>
          <w:rFonts w:hint="eastAsia" w:ascii="仿宋" w:hAnsi="仿宋" w:eastAsia="仿宋" w:cs="仿宋"/>
          <w:color w:val="auto"/>
          <w:sz w:val="24"/>
          <w:highlight w:val="none"/>
        </w:rPr>
      </w:pPr>
    </w:p>
    <w:p w14:paraId="242B116B">
      <w:pPr>
        <w:widowControl w:val="0"/>
        <w:spacing w:line="312" w:lineRule="auto"/>
        <w:ind w:firstLine="420"/>
        <w:jc w:val="both"/>
        <w:rPr>
          <w:rFonts w:hint="eastAsia" w:ascii="仿宋" w:hAnsi="仿宋" w:eastAsia="仿宋" w:cs="仿宋"/>
          <w:color w:val="auto"/>
          <w:kern w:val="2"/>
          <w:sz w:val="24"/>
          <w:szCs w:val="24"/>
          <w:highlight w:val="none"/>
          <w:lang w:val="en-US" w:eastAsia="zh-CN" w:bidi="ar-SA"/>
        </w:rPr>
      </w:pPr>
    </w:p>
    <w:p w14:paraId="63CBB8C4">
      <w:pPr>
        <w:widowControl w:val="0"/>
        <w:ind w:left="2100" w:leftChars="1000"/>
        <w:jc w:val="both"/>
        <w:rPr>
          <w:rFonts w:hint="eastAsia" w:ascii="仿宋" w:hAnsi="仿宋" w:eastAsia="仿宋" w:cs="仿宋"/>
          <w:color w:val="auto"/>
          <w:kern w:val="2"/>
          <w:sz w:val="24"/>
          <w:szCs w:val="22"/>
          <w:highlight w:val="none"/>
          <w:lang w:val="en-US" w:eastAsia="zh-CN" w:bidi="ar-SA"/>
        </w:rPr>
      </w:pPr>
    </w:p>
    <w:p w14:paraId="7E41A8BE">
      <w:pPr>
        <w:widowControl w:val="0"/>
        <w:ind w:left="2100" w:leftChars="1000"/>
        <w:jc w:val="both"/>
        <w:rPr>
          <w:rFonts w:hint="eastAsia" w:ascii="仿宋" w:hAnsi="仿宋" w:eastAsia="仿宋" w:cs="仿宋"/>
          <w:color w:val="auto"/>
          <w:kern w:val="2"/>
          <w:sz w:val="24"/>
          <w:szCs w:val="22"/>
          <w:highlight w:val="none"/>
          <w:lang w:val="en-US" w:eastAsia="zh-CN" w:bidi="ar-SA"/>
        </w:rPr>
      </w:pPr>
    </w:p>
    <w:p w14:paraId="07101811">
      <w:pPr>
        <w:pStyle w:val="2"/>
        <w:rPr>
          <w:rFonts w:hint="eastAsia"/>
          <w:color w:val="auto"/>
          <w:highlight w:val="none"/>
          <w:lang w:val="en-US" w:eastAsia="zh-CN"/>
        </w:rPr>
      </w:pPr>
    </w:p>
    <w:p w14:paraId="27A14D16">
      <w:pPr>
        <w:widowControl w:val="0"/>
        <w:ind w:left="2100" w:leftChars="1000"/>
        <w:jc w:val="both"/>
        <w:rPr>
          <w:rFonts w:hint="eastAsia" w:ascii="仿宋" w:hAnsi="仿宋" w:eastAsia="仿宋" w:cs="仿宋"/>
          <w:color w:val="auto"/>
          <w:kern w:val="2"/>
          <w:sz w:val="24"/>
          <w:szCs w:val="22"/>
          <w:highlight w:val="none"/>
          <w:lang w:val="en-US" w:eastAsia="zh-CN" w:bidi="ar-SA"/>
        </w:rPr>
      </w:pPr>
    </w:p>
    <w:p w14:paraId="6F80DD92">
      <w:pPr>
        <w:widowControl w:val="0"/>
        <w:ind w:left="2100" w:leftChars="1000"/>
        <w:jc w:val="both"/>
        <w:rPr>
          <w:rFonts w:hint="eastAsia" w:ascii="仿宋" w:hAnsi="仿宋" w:eastAsia="仿宋" w:cs="仿宋"/>
          <w:color w:val="auto"/>
          <w:kern w:val="2"/>
          <w:sz w:val="24"/>
          <w:szCs w:val="22"/>
          <w:highlight w:val="none"/>
          <w:lang w:val="en-US" w:eastAsia="zh-CN" w:bidi="ar-SA"/>
        </w:rPr>
      </w:pPr>
    </w:p>
    <w:p w14:paraId="031BF276">
      <w:pPr>
        <w:widowControl w:val="0"/>
        <w:ind w:left="2100" w:leftChars="1000"/>
        <w:jc w:val="both"/>
        <w:rPr>
          <w:rFonts w:hint="eastAsia" w:ascii="仿宋" w:hAnsi="仿宋" w:eastAsia="仿宋" w:cs="仿宋"/>
          <w:color w:val="auto"/>
          <w:kern w:val="2"/>
          <w:sz w:val="24"/>
          <w:szCs w:val="22"/>
          <w:highlight w:val="none"/>
          <w:lang w:val="en-US" w:eastAsia="zh-CN" w:bidi="ar-SA"/>
        </w:rPr>
      </w:pPr>
    </w:p>
    <w:p w14:paraId="67DAEB35">
      <w:pPr>
        <w:rPr>
          <w:rFonts w:hint="eastAsia" w:ascii="仿宋" w:hAnsi="仿宋" w:eastAsia="仿宋" w:cs="仿宋"/>
          <w:color w:val="auto"/>
          <w:sz w:val="24"/>
          <w:highlight w:val="none"/>
        </w:rPr>
      </w:pPr>
    </w:p>
    <w:p w14:paraId="39B35EDA">
      <w:pPr>
        <w:snapToGrid w:val="0"/>
        <w:spacing w:before="50" w:after="50"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7.</w:t>
      </w:r>
      <w:r>
        <w:rPr>
          <w:rFonts w:hint="eastAsia" w:ascii="仿宋" w:hAnsi="仿宋" w:eastAsia="仿宋" w:cs="仿宋"/>
          <w:b/>
          <w:color w:val="auto"/>
          <w:sz w:val="28"/>
          <w:szCs w:val="28"/>
          <w:highlight w:val="none"/>
        </w:rPr>
        <w:t>监狱企业声明函（如有）</w:t>
      </w:r>
    </w:p>
    <w:p w14:paraId="7FA64D0C">
      <w:pPr>
        <w:pStyle w:val="31"/>
        <w:spacing w:line="46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【非监狱企业的不用提供】</w:t>
      </w:r>
    </w:p>
    <w:p w14:paraId="625C86A9">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本企业郑重声明，根据《关于政府采购支持监狱企业发展有关问题的通知》(财库[2014]68号）的规定，本企业为监狱企业。 </w:t>
      </w:r>
    </w:p>
    <w:p w14:paraId="1347AD64">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根据上述标准，我企业属于监狱企业的理由为: </w:t>
      </w:r>
    </w:p>
    <w:p w14:paraId="2723C650">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本企业为参加</w:t>
      </w:r>
      <w:r>
        <w:rPr>
          <w:rFonts w:hint="eastAsia" w:ascii="仿宋" w:hAnsi="仿宋" w:eastAsia="仿宋" w:cs="仿宋"/>
          <w:color w:val="auto"/>
          <w:highlight w:val="none"/>
          <w:u w:val="single"/>
        </w:rPr>
        <w:t>(项目名称: ) (项目编号: )</w:t>
      </w:r>
      <w:r>
        <w:rPr>
          <w:rFonts w:hint="eastAsia" w:ascii="仿宋" w:hAnsi="仿宋" w:eastAsia="仿宋" w:cs="仿宋"/>
          <w:color w:val="auto"/>
          <w:highlight w:val="none"/>
        </w:rPr>
        <w:t xml:space="preserve">采购活动提供本企业的产品。 </w:t>
      </w:r>
    </w:p>
    <w:p w14:paraId="0C7BE8E0">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本企业对上述声明的真实性负责。如有虚假，将依法承担相应责任。 </w:t>
      </w:r>
    </w:p>
    <w:p w14:paraId="6D32CDDB">
      <w:pPr>
        <w:pStyle w:val="31"/>
        <w:spacing w:line="460" w:lineRule="exact"/>
        <w:ind w:firstLine="480" w:firstLineChars="200"/>
        <w:rPr>
          <w:rFonts w:hint="eastAsia" w:ascii="仿宋" w:hAnsi="仿宋" w:eastAsia="仿宋" w:cs="仿宋"/>
          <w:color w:val="auto"/>
          <w:highlight w:val="none"/>
        </w:rPr>
      </w:pPr>
    </w:p>
    <w:p w14:paraId="4B2C5BC8">
      <w:pPr>
        <w:pStyle w:val="31"/>
        <w:spacing w:line="460" w:lineRule="exact"/>
        <w:ind w:firstLine="480" w:firstLineChars="200"/>
        <w:rPr>
          <w:rFonts w:hint="eastAsia" w:ascii="仿宋" w:hAnsi="仿宋" w:eastAsia="仿宋" w:cs="仿宋"/>
          <w:color w:val="auto"/>
          <w:highlight w:val="none"/>
        </w:rPr>
      </w:pPr>
    </w:p>
    <w:p w14:paraId="2ED8E904">
      <w:pPr>
        <w:pStyle w:val="31"/>
        <w:spacing w:line="460" w:lineRule="exact"/>
        <w:rPr>
          <w:rFonts w:hint="eastAsia" w:ascii="仿宋" w:hAnsi="仿宋" w:eastAsia="仿宋" w:cs="仿宋"/>
          <w:color w:val="auto"/>
          <w:highlight w:val="none"/>
        </w:rPr>
      </w:pPr>
      <w:r>
        <w:rPr>
          <w:rFonts w:hint="eastAsia" w:ascii="仿宋" w:hAnsi="仿宋" w:eastAsia="仿宋" w:cs="仿宋"/>
          <w:color w:val="auto"/>
          <w:highlight w:val="none"/>
        </w:rPr>
        <w:t xml:space="preserve">投标人名称(盖章) : </w:t>
      </w:r>
    </w:p>
    <w:p w14:paraId="3DC7FFC5">
      <w:pPr>
        <w:pStyle w:val="31"/>
        <w:spacing w:line="460" w:lineRule="exact"/>
        <w:rPr>
          <w:rFonts w:hint="eastAsia" w:ascii="仿宋" w:hAnsi="仿宋" w:eastAsia="仿宋" w:cs="仿宋"/>
          <w:color w:val="auto"/>
          <w:highlight w:val="none"/>
        </w:rPr>
      </w:pPr>
    </w:p>
    <w:p w14:paraId="09153073">
      <w:pPr>
        <w:pStyle w:val="31"/>
        <w:spacing w:line="460" w:lineRule="exact"/>
        <w:rPr>
          <w:rFonts w:hint="eastAsia" w:ascii="仿宋" w:hAnsi="仿宋" w:eastAsia="仿宋" w:cs="仿宋"/>
          <w:color w:val="auto"/>
          <w:highlight w:val="none"/>
        </w:rPr>
      </w:pPr>
      <w:r>
        <w:rPr>
          <w:rFonts w:hint="eastAsia" w:ascii="仿宋" w:hAnsi="仿宋" w:eastAsia="仿宋" w:cs="仿宋"/>
          <w:color w:val="auto"/>
          <w:highlight w:val="none"/>
        </w:rPr>
        <w:t xml:space="preserve">日期: 年 月 日 </w:t>
      </w:r>
    </w:p>
    <w:p w14:paraId="1EA475B0">
      <w:pPr>
        <w:pStyle w:val="31"/>
        <w:spacing w:line="460" w:lineRule="exact"/>
        <w:rPr>
          <w:rFonts w:hint="eastAsia" w:ascii="仿宋" w:hAnsi="仿宋" w:eastAsia="仿宋" w:cs="仿宋"/>
          <w:color w:val="auto"/>
          <w:highlight w:val="none"/>
        </w:rPr>
      </w:pPr>
    </w:p>
    <w:p w14:paraId="7E8E0974">
      <w:pPr>
        <w:snapToGrid w:val="0"/>
        <w:spacing w:beforeLines="50" w:after="50"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监狱企业参加政府采购活动时，应当提供由省级以上监狱管理局、戒毒管理局(含新疆生产建设兵团)出具的属于监狱企业的证明文件。</w:t>
      </w:r>
    </w:p>
    <w:p w14:paraId="474794BF">
      <w:pPr>
        <w:snapToGrid w:val="0"/>
        <w:spacing w:beforeLines="50" w:after="50"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723CF1B">
      <w:pPr>
        <w:snapToGrid w:val="0"/>
        <w:spacing w:beforeLines="50" w:after="50" w:line="460" w:lineRule="exact"/>
        <w:ind w:firstLine="480" w:firstLineChars="200"/>
        <w:jc w:val="left"/>
        <w:rPr>
          <w:rFonts w:hint="eastAsia" w:ascii="仿宋" w:hAnsi="仿宋" w:eastAsia="仿宋" w:cs="仿宋"/>
          <w:color w:val="auto"/>
          <w:sz w:val="24"/>
          <w:highlight w:val="none"/>
        </w:rPr>
      </w:pPr>
    </w:p>
    <w:p w14:paraId="35512EDD">
      <w:pPr>
        <w:pStyle w:val="12"/>
        <w:rPr>
          <w:rFonts w:hint="eastAsia" w:ascii="仿宋" w:hAnsi="仿宋" w:eastAsia="仿宋" w:cs="仿宋"/>
          <w:color w:val="auto"/>
          <w:sz w:val="24"/>
          <w:highlight w:val="none"/>
        </w:rPr>
      </w:pPr>
    </w:p>
    <w:p w14:paraId="278E6059">
      <w:pPr>
        <w:pStyle w:val="12"/>
        <w:rPr>
          <w:rFonts w:hint="eastAsia" w:ascii="仿宋" w:hAnsi="仿宋" w:eastAsia="仿宋" w:cs="仿宋"/>
          <w:color w:val="auto"/>
          <w:sz w:val="24"/>
          <w:highlight w:val="none"/>
        </w:rPr>
      </w:pPr>
    </w:p>
    <w:p w14:paraId="2D686092">
      <w:pPr>
        <w:pStyle w:val="12"/>
        <w:rPr>
          <w:rFonts w:hint="eastAsia" w:ascii="仿宋" w:hAnsi="仿宋" w:eastAsia="仿宋" w:cs="仿宋"/>
          <w:color w:val="auto"/>
          <w:sz w:val="24"/>
          <w:highlight w:val="none"/>
        </w:rPr>
      </w:pPr>
    </w:p>
    <w:p w14:paraId="2306E826">
      <w:pPr>
        <w:pStyle w:val="12"/>
        <w:rPr>
          <w:rFonts w:hint="eastAsia" w:ascii="仿宋" w:hAnsi="仿宋" w:eastAsia="仿宋" w:cs="仿宋"/>
          <w:color w:val="auto"/>
          <w:sz w:val="24"/>
          <w:highlight w:val="none"/>
        </w:rPr>
      </w:pPr>
    </w:p>
    <w:p w14:paraId="0FCE7E1E">
      <w:pPr>
        <w:pStyle w:val="12"/>
        <w:rPr>
          <w:rFonts w:hint="eastAsia" w:ascii="仿宋" w:hAnsi="仿宋" w:eastAsia="仿宋" w:cs="仿宋"/>
          <w:color w:val="auto"/>
          <w:sz w:val="24"/>
          <w:highlight w:val="none"/>
        </w:rPr>
      </w:pPr>
    </w:p>
    <w:p w14:paraId="4B59AF01">
      <w:pPr>
        <w:pStyle w:val="12"/>
        <w:rPr>
          <w:rFonts w:hint="eastAsia" w:ascii="仿宋" w:hAnsi="仿宋" w:eastAsia="仿宋" w:cs="仿宋"/>
          <w:color w:val="auto"/>
          <w:sz w:val="24"/>
          <w:highlight w:val="none"/>
        </w:rPr>
      </w:pPr>
    </w:p>
    <w:p w14:paraId="75591AB0">
      <w:pPr>
        <w:pStyle w:val="12"/>
        <w:rPr>
          <w:rFonts w:hint="eastAsia" w:ascii="仿宋" w:hAnsi="仿宋" w:eastAsia="仿宋" w:cs="仿宋"/>
          <w:color w:val="auto"/>
          <w:sz w:val="24"/>
          <w:highlight w:val="none"/>
        </w:rPr>
      </w:pPr>
    </w:p>
    <w:p w14:paraId="4D03AB78">
      <w:pPr>
        <w:pStyle w:val="12"/>
        <w:rPr>
          <w:rFonts w:hint="eastAsia" w:ascii="仿宋" w:hAnsi="仿宋" w:eastAsia="仿宋" w:cs="仿宋"/>
          <w:color w:val="auto"/>
          <w:sz w:val="24"/>
          <w:highlight w:val="none"/>
        </w:rPr>
      </w:pPr>
    </w:p>
    <w:p w14:paraId="07A9562C">
      <w:pPr>
        <w:pStyle w:val="12"/>
        <w:rPr>
          <w:rFonts w:hint="eastAsia" w:ascii="仿宋" w:hAnsi="仿宋" w:eastAsia="仿宋" w:cs="仿宋"/>
          <w:color w:val="auto"/>
          <w:sz w:val="24"/>
          <w:highlight w:val="none"/>
        </w:rPr>
      </w:pPr>
    </w:p>
    <w:p w14:paraId="02AB3C15">
      <w:pPr>
        <w:pStyle w:val="12"/>
        <w:rPr>
          <w:rFonts w:hint="eastAsia" w:ascii="仿宋" w:hAnsi="仿宋" w:eastAsia="仿宋" w:cs="仿宋"/>
          <w:color w:val="auto"/>
          <w:sz w:val="24"/>
          <w:highlight w:val="none"/>
        </w:rPr>
      </w:pPr>
    </w:p>
    <w:p w14:paraId="1809A626">
      <w:pPr>
        <w:pStyle w:val="31"/>
        <w:spacing w:line="460" w:lineRule="exact"/>
        <w:rPr>
          <w:rFonts w:hint="eastAsia" w:ascii="仿宋" w:hAnsi="仿宋" w:eastAsia="仿宋" w:cs="仿宋"/>
          <w:color w:val="auto"/>
          <w:highlight w:val="none"/>
        </w:rPr>
      </w:pPr>
    </w:p>
    <w:p w14:paraId="2065E4D5">
      <w:pPr>
        <w:snapToGrid w:val="0"/>
        <w:spacing w:before="50" w:after="50"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8.</w:t>
      </w:r>
      <w:r>
        <w:rPr>
          <w:rFonts w:hint="eastAsia" w:ascii="仿宋" w:hAnsi="仿宋" w:eastAsia="仿宋" w:cs="仿宋"/>
          <w:b/>
          <w:color w:val="auto"/>
          <w:sz w:val="28"/>
          <w:szCs w:val="28"/>
          <w:highlight w:val="none"/>
        </w:rPr>
        <w:t>残疾人福利性单位声明函（如有）</w:t>
      </w:r>
    </w:p>
    <w:p w14:paraId="74AB226F">
      <w:pPr>
        <w:pStyle w:val="31"/>
        <w:spacing w:line="46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【非残疾人福利性单位不用提供】</w:t>
      </w:r>
    </w:p>
    <w:p w14:paraId="42D54DD0">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本单位郑重声明，根据《财政部民政部中国残疾人联合会关于促进残疾人就业政府采购政策的通知》(财库(2017) 141号)的规定。本单位为符合条件的残疾人福利性单位，且本单位参加</w:t>
      </w:r>
      <w:r>
        <w:rPr>
          <w:rFonts w:hint="eastAsia" w:ascii="仿宋" w:hAnsi="仿宋" w:eastAsia="仿宋" w:cs="仿宋"/>
          <w:color w:val="auto"/>
          <w:highlight w:val="none"/>
          <w:u w:val="single"/>
        </w:rPr>
        <w:t xml:space="preserve"> (采购人名称)</w:t>
      </w:r>
      <w:r>
        <w:rPr>
          <w:rFonts w:hint="eastAsia" w:ascii="仿宋" w:hAnsi="仿宋" w:eastAsia="仿宋" w:cs="仿宋"/>
          <w:color w:val="auto"/>
          <w:highlight w:val="none"/>
        </w:rPr>
        <w:t>单位的</w:t>
      </w:r>
      <w:r>
        <w:rPr>
          <w:rFonts w:hint="eastAsia" w:ascii="仿宋" w:hAnsi="仿宋" w:eastAsia="仿宋" w:cs="仿宋"/>
          <w:color w:val="auto"/>
          <w:highlight w:val="none"/>
          <w:u w:val="single"/>
        </w:rPr>
        <w:t xml:space="preserve"> (项目名称)</w:t>
      </w:r>
      <w:r>
        <w:rPr>
          <w:rFonts w:hint="eastAsia" w:ascii="仿宋" w:hAnsi="仿宋" w:eastAsia="仿宋" w:cs="仿宋"/>
          <w:color w:val="auto"/>
          <w:highlight w:val="none"/>
        </w:rPr>
        <w:t xml:space="preserve">项目采购活动提供本单位制造的货物(由本单位承担工程/提供服务)，成者提供其他残疾人福利性单位制造的货物(不包括使用非残疾人福利性单位往册商标的货物)。 </w:t>
      </w:r>
    </w:p>
    <w:p w14:paraId="0FB18815">
      <w:pPr>
        <w:pStyle w:val="31"/>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本单位对上述声明的真实性负责，如有虚假，将依法承但相应责任。 </w:t>
      </w:r>
    </w:p>
    <w:p w14:paraId="670945BB">
      <w:pPr>
        <w:pStyle w:val="31"/>
        <w:spacing w:line="460" w:lineRule="exact"/>
        <w:ind w:firstLine="480" w:firstLineChars="200"/>
        <w:rPr>
          <w:rFonts w:hint="eastAsia" w:ascii="仿宋" w:hAnsi="仿宋" w:eastAsia="仿宋" w:cs="仿宋"/>
          <w:color w:val="auto"/>
          <w:highlight w:val="none"/>
        </w:rPr>
      </w:pPr>
    </w:p>
    <w:p w14:paraId="21D3618C">
      <w:pPr>
        <w:pStyle w:val="31"/>
        <w:spacing w:line="460" w:lineRule="exact"/>
        <w:rPr>
          <w:rFonts w:hint="eastAsia" w:ascii="仿宋" w:hAnsi="仿宋" w:eastAsia="仿宋" w:cs="仿宋"/>
          <w:color w:val="auto"/>
          <w:highlight w:val="none"/>
        </w:rPr>
      </w:pPr>
      <w:r>
        <w:rPr>
          <w:rFonts w:hint="eastAsia" w:ascii="仿宋" w:hAnsi="仿宋" w:eastAsia="仿宋" w:cs="仿宋"/>
          <w:color w:val="auto"/>
          <w:highlight w:val="none"/>
        </w:rPr>
        <w:t xml:space="preserve">投标人名称(盖章)： </w:t>
      </w:r>
    </w:p>
    <w:p w14:paraId="5024F481">
      <w:pPr>
        <w:pStyle w:val="31"/>
        <w:spacing w:line="460" w:lineRule="exact"/>
        <w:rPr>
          <w:rFonts w:hint="eastAsia" w:ascii="仿宋" w:hAnsi="仿宋" w:eastAsia="仿宋" w:cs="仿宋"/>
          <w:color w:val="auto"/>
          <w:highlight w:val="none"/>
        </w:rPr>
      </w:pPr>
    </w:p>
    <w:p w14:paraId="31CCDFC6">
      <w:pPr>
        <w:snapToGrid w:val="0"/>
        <w:spacing w:beforeLines="50" w:after="50" w:line="4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6E5F3F2A">
      <w:pPr>
        <w:pStyle w:val="3"/>
        <w:rPr>
          <w:rFonts w:hint="eastAsia" w:ascii="仿宋" w:hAnsi="仿宋" w:eastAsia="仿宋" w:cs="仿宋"/>
          <w:color w:val="auto"/>
          <w:sz w:val="24"/>
          <w:highlight w:val="none"/>
        </w:rPr>
      </w:pPr>
    </w:p>
    <w:p w14:paraId="23162763">
      <w:pPr>
        <w:rPr>
          <w:rFonts w:hint="eastAsia" w:ascii="仿宋" w:hAnsi="仿宋" w:eastAsia="仿宋" w:cs="仿宋"/>
          <w:color w:val="auto"/>
          <w:sz w:val="24"/>
          <w:highlight w:val="none"/>
        </w:rPr>
      </w:pPr>
    </w:p>
    <w:p w14:paraId="63FD2F19">
      <w:pPr>
        <w:pStyle w:val="3"/>
        <w:rPr>
          <w:rFonts w:hint="eastAsia" w:ascii="仿宋" w:hAnsi="仿宋" w:eastAsia="仿宋" w:cs="仿宋"/>
          <w:color w:val="auto"/>
          <w:sz w:val="24"/>
          <w:highlight w:val="none"/>
        </w:rPr>
      </w:pPr>
    </w:p>
    <w:p w14:paraId="2935BBFA">
      <w:pPr>
        <w:rPr>
          <w:rFonts w:hint="eastAsia" w:ascii="仿宋" w:hAnsi="仿宋" w:eastAsia="仿宋" w:cs="仿宋"/>
          <w:color w:val="auto"/>
          <w:sz w:val="24"/>
          <w:highlight w:val="none"/>
        </w:rPr>
      </w:pPr>
    </w:p>
    <w:p w14:paraId="3F3A5684">
      <w:pPr>
        <w:pStyle w:val="3"/>
        <w:rPr>
          <w:rFonts w:hint="eastAsia" w:ascii="仿宋" w:hAnsi="仿宋" w:eastAsia="仿宋" w:cs="仿宋"/>
          <w:color w:val="auto"/>
          <w:sz w:val="24"/>
          <w:highlight w:val="none"/>
        </w:rPr>
      </w:pPr>
    </w:p>
    <w:p w14:paraId="5702FABF">
      <w:pPr>
        <w:rPr>
          <w:rFonts w:hint="eastAsia" w:ascii="仿宋" w:hAnsi="仿宋" w:eastAsia="仿宋" w:cs="仿宋"/>
          <w:color w:val="auto"/>
          <w:sz w:val="24"/>
          <w:highlight w:val="none"/>
        </w:rPr>
      </w:pPr>
    </w:p>
    <w:p w14:paraId="78F251E7">
      <w:pPr>
        <w:pStyle w:val="3"/>
        <w:rPr>
          <w:rFonts w:hint="eastAsia" w:ascii="仿宋" w:hAnsi="仿宋" w:eastAsia="仿宋" w:cs="仿宋"/>
          <w:color w:val="auto"/>
          <w:sz w:val="24"/>
          <w:highlight w:val="none"/>
        </w:rPr>
      </w:pPr>
    </w:p>
    <w:p w14:paraId="057EF34E">
      <w:pPr>
        <w:rPr>
          <w:rFonts w:hint="eastAsia" w:ascii="仿宋" w:hAnsi="仿宋" w:eastAsia="仿宋" w:cs="仿宋"/>
          <w:color w:val="auto"/>
          <w:sz w:val="24"/>
          <w:highlight w:val="none"/>
        </w:rPr>
      </w:pPr>
    </w:p>
    <w:p w14:paraId="3FBDAAFF">
      <w:pPr>
        <w:pStyle w:val="3"/>
        <w:rPr>
          <w:rFonts w:hint="eastAsia" w:ascii="仿宋" w:hAnsi="仿宋" w:eastAsia="仿宋" w:cs="仿宋"/>
          <w:color w:val="auto"/>
          <w:sz w:val="24"/>
          <w:highlight w:val="none"/>
        </w:rPr>
      </w:pPr>
    </w:p>
    <w:p w14:paraId="4425FCAF">
      <w:pPr>
        <w:rPr>
          <w:rFonts w:hint="eastAsia" w:ascii="仿宋" w:hAnsi="仿宋" w:eastAsia="仿宋" w:cs="仿宋"/>
          <w:color w:val="auto"/>
          <w:sz w:val="24"/>
          <w:highlight w:val="none"/>
        </w:rPr>
      </w:pPr>
    </w:p>
    <w:p w14:paraId="5E7E96DB">
      <w:pPr>
        <w:pStyle w:val="3"/>
        <w:rPr>
          <w:rFonts w:hint="eastAsia" w:ascii="仿宋" w:hAnsi="仿宋" w:eastAsia="仿宋" w:cs="仿宋"/>
          <w:color w:val="auto"/>
          <w:sz w:val="24"/>
          <w:highlight w:val="none"/>
        </w:rPr>
      </w:pPr>
    </w:p>
    <w:p w14:paraId="1DBDD8AB">
      <w:pPr>
        <w:rPr>
          <w:rFonts w:hint="eastAsia" w:ascii="仿宋" w:hAnsi="仿宋" w:eastAsia="仿宋" w:cs="仿宋"/>
          <w:color w:val="auto"/>
          <w:sz w:val="24"/>
          <w:highlight w:val="none"/>
        </w:rPr>
      </w:pPr>
    </w:p>
    <w:p w14:paraId="005F7EAE">
      <w:pPr>
        <w:pStyle w:val="3"/>
        <w:rPr>
          <w:rFonts w:hint="eastAsia" w:ascii="仿宋" w:hAnsi="仿宋" w:eastAsia="仿宋" w:cs="仿宋"/>
          <w:color w:val="auto"/>
          <w:sz w:val="24"/>
          <w:highlight w:val="none"/>
        </w:rPr>
      </w:pPr>
    </w:p>
    <w:p w14:paraId="74297A3C">
      <w:pPr>
        <w:rPr>
          <w:rFonts w:hint="eastAsia" w:ascii="仿宋" w:hAnsi="仿宋" w:eastAsia="仿宋" w:cs="仿宋"/>
          <w:color w:val="auto"/>
          <w:sz w:val="24"/>
          <w:highlight w:val="none"/>
        </w:rPr>
      </w:pPr>
    </w:p>
    <w:p w14:paraId="7D56491A">
      <w:pPr>
        <w:pStyle w:val="3"/>
        <w:rPr>
          <w:rFonts w:hint="eastAsia" w:ascii="仿宋" w:hAnsi="仿宋" w:eastAsia="仿宋" w:cs="仿宋"/>
          <w:color w:val="auto"/>
          <w:sz w:val="24"/>
          <w:highlight w:val="none"/>
        </w:rPr>
      </w:pPr>
    </w:p>
    <w:p w14:paraId="59796789">
      <w:pPr>
        <w:rPr>
          <w:rFonts w:hint="eastAsia" w:ascii="仿宋" w:hAnsi="仿宋" w:eastAsia="仿宋" w:cs="仿宋"/>
          <w:color w:val="auto"/>
          <w:sz w:val="24"/>
          <w:highlight w:val="none"/>
        </w:rPr>
      </w:pPr>
    </w:p>
    <w:p w14:paraId="167B7BEC">
      <w:pPr>
        <w:pStyle w:val="3"/>
        <w:rPr>
          <w:rFonts w:hint="eastAsia" w:ascii="仿宋" w:hAnsi="仿宋" w:eastAsia="仿宋" w:cs="仿宋"/>
          <w:color w:val="auto"/>
          <w:sz w:val="24"/>
          <w:highlight w:val="none"/>
        </w:rPr>
      </w:pPr>
    </w:p>
    <w:p w14:paraId="1E2B56E6">
      <w:pPr>
        <w:rPr>
          <w:rFonts w:hint="eastAsia" w:ascii="仿宋" w:hAnsi="仿宋" w:eastAsia="仿宋" w:cs="仿宋"/>
          <w:color w:val="auto"/>
          <w:sz w:val="24"/>
          <w:highlight w:val="none"/>
        </w:rPr>
      </w:pPr>
    </w:p>
    <w:p w14:paraId="1BC7AB0C">
      <w:pPr>
        <w:pStyle w:val="3"/>
        <w:rPr>
          <w:rFonts w:hint="eastAsia" w:ascii="仿宋" w:hAnsi="仿宋" w:eastAsia="仿宋" w:cs="仿宋"/>
          <w:color w:val="auto"/>
          <w:sz w:val="24"/>
          <w:highlight w:val="none"/>
        </w:rPr>
      </w:pPr>
    </w:p>
    <w:p w14:paraId="388C7018">
      <w:pPr>
        <w:rPr>
          <w:rFonts w:hint="eastAsia" w:ascii="仿宋" w:hAnsi="仿宋" w:eastAsia="仿宋" w:cs="仿宋"/>
          <w:color w:val="auto"/>
          <w:sz w:val="24"/>
          <w:highlight w:val="none"/>
        </w:rPr>
      </w:pPr>
    </w:p>
    <w:p w14:paraId="3AFD8AD4">
      <w:pPr>
        <w:pStyle w:val="3"/>
        <w:rPr>
          <w:rFonts w:hint="eastAsia"/>
          <w:color w:val="auto"/>
          <w:highlight w:val="none"/>
        </w:rPr>
      </w:pPr>
    </w:p>
    <w:p w14:paraId="393FE2F3">
      <w:pPr>
        <w:pStyle w:val="31"/>
        <w:spacing w:line="460" w:lineRule="exact"/>
        <w:jc w:val="center"/>
        <w:outlineLvl w:val="9"/>
        <w:rPr>
          <w:rFonts w:hint="eastAsia" w:ascii="仿宋" w:hAnsi="仿宋" w:eastAsia="仿宋" w:cs="仿宋"/>
          <w:b/>
          <w:color w:val="auto"/>
          <w:kern w:val="2"/>
          <w:sz w:val="28"/>
          <w:szCs w:val="28"/>
          <w:highlight w:val="none"/>
          <w:lang w:val="en-US" w:eastAsia="zh-CN" w:bidi="ar-SA"/>
        </w:rPr>
      </w:pPr>
    </w:p>
    <w:p w14:paraId="1A112FC0">
      <w:pPr>
        <w:pStyle w:val="31"/>
        <w:numPr>
          <w:ilvl w:val="0"/>
          <w:numId w:val="0"/>
        </w:numPr>
        <w:spacing w:line="460" w:lineRule="exact"/>
        <w:ind w:left="0" w:leftChars="0" w:firstLine="400" w:firstLineChars="0"/>
        <w:jc w:val="center"/>
        <w:outlineLvl w:val="1"/>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9</w:t>
      </w:r>
      <w:r>
        <w:rPr>
          <w:rFonts w:hint="default" w:ascii="仿宋" w:hAnsi="仿宋" w:eastAsia="仿宋" w:cs="仿宋"/>
          <w:b/>
          <w:color w:val="auto"/>
          <w:kern w:val="2"/>
          <w:sz w:val="28"/>
          <w:szCs w:val="28"/>
          <w:highlight w:val="none"/>
          <w:lang w:val="en-US" w:eastAsia="zh-CN" w:bidi="ar-SA"/>
        </w:rPr>
        <w:t>．</w:t>
      </w:r>
      <w:r>
        <w:rPr>
          <w:rFonts w:hint="eastAsia" w:ascii="仿宋" w:hAnsi="仿宋" w:eastAsia="仿宋" w:cs="仿宋"/>
          <w:b/>
          <w:color w:val="auto"/>
          <w:kern w:val="2"/>
          <w:sz w:val="28"/>
          <w:szCs w:val="28"/>
          <w:highlight w:val="none"/>
          <w:lang w:val="en-US" w:eastAsia="zh-CN" w:bidi="ar-SA"/>
        </w:rPr>
        <w:t>投标人自评分索引表</w:t>
      </w:r>
    </w:p>
    <w:p w14:paraId="596D2F4F">
      <w:pPr>
        <w:numPr>
          <w:ilvl w:val="0"/>
          <w:numId w:val="0"/>
        </w:numPr>
        <w:spacing w:line="600" w:lineRule="exact"/>
        <w:ind w:firstLine="240" w:firstLineChars="100"/>
        <w:jc w:val="left"/>
        <w:outlineLvl w:val="9"/>
        <w:rPr>
          <w:rFonts w:hint="eastAsia"/>
          <w:color w:val="auto"/>
          <w:highlight w:val="none"/>
          <w:lang w:val="en-US" w:eastAsia="zh-CN"/>
        </w:rPr>
      </w:pPr>
      <w:r>
        <w:rPr>
          <w:rFonts w:hint="eastAsia" w:ascii="仿宋" w:hAnsi="仿宋" w:eastAsia="仿宋" w:cs="仿宋"/>
          <w:color w:val="auto"/>
          <w:sz w:val="24"/>
          <w:szCs w:val="24"/>
          <w:highlight w:val="none"/>
          <w:lang w:val="en-US" w:eastAsia="zh-CN"/>
        </w:rPr>
        <w:t>项目名称：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标项：</w:t>
      </w:r>
      <w:r>
        <w:rPr>
          <w:rFonts w:hint="eastAsia" w:ascii="仿宋" w:hAnsi="仿宋" w:eastAsia="仿宋" w:cs="仿宋"/>
          <w:color w:val="auto"/>
          <w:sz w:val="24"/>
          <w:szCs w:val="24"/>
          <w:highlight w:val="none"/>
          <w:u w:val="single"/>
          <w:lang w:val="en-US" w:eastAsia="zh-CN"/>
        </w:rPr>
        <w:t xml:space="preserve">    </w:t>
      </w:r>
    </w:p>
    <w:tbl>
      <w:tblPr>
        <w:tblStyle w:val="23"/>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6"/>
        <w:gridCol w:w="2835"/>
        <w:gridCol w:w="1329"/>
        <w:gridCol w:w="2181"/>
      </w:tblGrid>
      <w:tr w14:paraId="5F160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7C578416">
            <w:pPr>
              <w:snapToGrid w:val="0"/>
              <w:spacing w:beforeLines="50" w:after="50"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评分项目</w:t>
            </w:r>
          </w:p>
        </w:tc>
        <w:tc>
          <w:tcPr>
            <w:tcW w:w="2835" w:type="dxa"/>
            <w:vAlign w:val="center"/>
          </w:tcPr>
          <w:p w14:paraId="70D7E346">
            <w:pPr>
              <w:snapToGrid w:val="0"/>
              <w:spacing w:beforeLines="50" w:after="50"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投标文件对应资料</w:t>
            </w:r>
          </w:p>
        </w:tc>
        <w:tc>
          <w:tcPr>
            <w:tcW w:w="1329" w:type="dxa"/>
            <w:vAlign w:val="center"/>
          </w:tcPr>
          <w:p w14:paraId="43437ADD">
            <w:pPr>
              <w:snapToGrid w:val="0"/>
              <w:spacing w:beforeLines="50" w:after="50"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自评分</w:t>
            </w:r>
          </w:p>
        </w:tc>
        <w:tc>
          <w:tcPr>
            <w:tcW w:w="2181" w:type="dxa"/>
            <w:vAlign w:val="center"/>
          </w:tcPr>
          <w:p w14:paraId="5DC3E49C">
            <w:pPr>
              <w:snapToGrid w:val="0"/>
              <w:spacing w:beforeLines="50" w:after="50"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投标文件页码</w:t>
            </w:r>
          </w:p>
        </w:tc>
      </w:tr>
      <w:tr w14:paraId="04C56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5135CD4E">
            <w:pPr>
              <w:snapToGrid w:val="0"/>
              <w:spacing w:beforeLines="50" w:after="50"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对应第四章评</w:t>
            </w:r>
            <w:r>
              <w:rPr>
                <w:rFonts w:hint="eastAsia" w:ascii="仿宋" w:hAnsi="仿宋" w:eastAsia="仿宋" w:cs="仿宋"/>
                <w:color w:val="auto"/>
                <w:sz w:val="24"/>
                <w:highlight w:val="none"/>
                <w:lang w:val="en-US" w:eastAsia="zh-CN"/>
              </w:rPr>
              <w:t>标</w:t>
            </w:r>
            <w:r>
              <w:rPr>
                <w:rFonts w:hint="eastAsia" w:ascii="仿宋" w:hAnsi="仿宋" w:eastAsia="仿宋" w:cs="仿宋"/>
                <w:color w:val="auto"/>
                <w:sz w:val="24"/>
                <w:highlight w:val="none"/>
              </w:rPr>
              <w:t>办法及评分标准（报价除外）</w:t>
            </w:r>
          </w:p>
        </w:tc>
        <w:tc>
          <w:tcPr>
            <w:tcW w:w="2835" w:type="dxa"/>
            <w:vAlign w:val="center"/>
          </w:tcPr>
          <w:p w14:paraId="2E089BF8">
            <w:pPr>
              <w:snapToGrid w:val="0"/>
              <w:spacing w:beforeLines="50" w:after="50" w:line="460" w:lineRule="exact"/>
              <w:jc w:val="center"/>
              <w:rPr>
                <w:rFonts w:hint="eastAsia" w:ascii="仿宋" w:hAnsi="仿宋" w:eastAsia="仿宋" w:cs="仿宋"/>
                <w:color w:val="auto"/>
                <w:sz w:val="24"/>
                <w:highlight w:val="none"/>
              </w:rPr>
            </w:pPr>
          </w:p>
        </w:tc>
        <w:tc>
          <w:tcPr>
            <w:tcW w:w="1329" w:type="dxa"/>
            <w:vAlign w:val="center"/>
          </w:tcPr>
          <w:p w14:paraId="04D1CCFF">
            <w:pPr>
              <w:snapToGrid w:val="0"/>
              <w:spacing w:beforeLines="50" w:after="50" w:line="460" w:lineRule="exact"/>
              <w:jc w:val="center"/>
              <w:rPr>
                <w:rFonts w:hint="eastAsia" w:ascii="仿宋" w:hAnsi="仿宋" w:eastAsia="仿宋" w:cs="仿宋"/>
                <w:color w:val="auto"/>
                <w:sz w:val="24"/>
                <w:highlight w:val="none"/>
              </w:rPr>
            </w:pPr>
          </w:p>
        </w:tc>
        <w:tc>
          <w:tcPr>
            <w:tcW w:w="2181" w:type="dxa"/>
            <w:vAlign w:val="center"/>
          </w:tcPr>
          <w:p w14:paraId="57158009">
            <w:pPr>
              <w:snapToGrid w:val="0"/>
              <w:spacing w:beforeLines="50" w:after="50" w:line="460" w:lineRule="exact"/>
              <w:jc w:val="center"/>
              <w:rPr>
                <w:rFonts w:hint="eastAsia" w:ascii="仿宋" w:hAnsi="仿宋" w:eastAsia="仿宋" w:cs="仿宋"/>
                <w:color w:val="auto"/>
                <w:sz w:val="24"/>
                <w:highlight w:val="none"/>
              </w:rPr>
            </w:pPr>
          </w:p>
        </w:tc>
      </w:tr>
      <w:tr w14:paraId="73477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7198FB4D">
            <w:pPr>
              <w:snapToGrid w:val="0"/>
              <w:spacing w:beforeLines="50" w:after="50"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35" w:type="dxa"/>
            <w:vAlign w:val="center"/>
          </w:tcPr>
          <w:p w14:paraId="32EA18D8">
            <w:pPr>
              <w:snapToGrid w:val="0"/>
              <w:spacing w:beforeLines="50" w:after="50" w:line="460" w:lineRule="exact"/>
              <w:jc w:val="center"/>
              <w:rPr>
                <w:rFonts w:hint="eastAsia" w:ascii="仿宋" w:hAnsi="仿宋" w:eastAsia="仿宋" w:cs="仿宋"/>
                <w:color w:val="auto"/>
                <w:sz w:val="24"/>
                <w:highlight w:val="none"/>
              </w:rPr>
            </w:pPr>
          </w:p>
        </w:tc>
        <w:tc>
          <w:tcPr>
            <w:tcW w:w="1329" w:type="dxa"/>
            <w:vAlign w:val="center"/>
          </w:tcPr>
          <w:p w14:paraId="54233D06">
            <w:pPr>
              <w:snapToGrid w:val="0"/>
              <w:spacing w:beforeLines="50" w:after="50" w:line="460" w:lineRule="exact"/>
              <w:jc w:val="center"/>
              <w:rPr>
                <w:rFonts w:hint="eastAsia" w:ascii="仿宋" w:hAnsi="仿宋" w:eastAsia="仿宋" w:cs="仿宋"/>
                <w:color w:val="auto"/>
                <w:sz w:val="24"/>
                <w:highlight w:val="none"/>
              </w:rPr>
            </w:pPr>
          </w:p>
        </w:tc>
        <w:tc>
          <w:tcPr>
            <w:tcW w:w="2181" w:type="dxa"/>
            <w:vAlign w:val="center"/>
          </w:tcPr>
          <w:p w14:paraId="3A07020E">
            <w:pPr>
              <w:snapToGrid w:val="0"/>
              <w:spacing w:beforeLines="50" w:after="50" w:line="460" w:lineRule="exact"/>
              <w:jc w:val="center"/>
              <w:rPr>
                <w:rFonts w:hint="eastAsia" w:ascii="仿宋" w:hAnsi="仿宋" w:eastAsia="仿宋" w:cs="仿宋"/>
                <w:color w:val="auto"/>
                <w:sz w:val="24"/>
                <w:highlight w:val="none"/>
              </w:rPr>
            </w:pPr>
          </w:p>
        </w:tc>
      </w:tr>
      <w:tr w14:paraId="53C00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3F88B9CE">
            <w:pPr>
              <w:snapToGrid w:val="0"/>
              <w:spacing w:beforeLines="50" w:after="50" w:line="460" w:lineRule="exact"/>
              <w:jc w:val="center"/>
              <w:rPr>
                <w:rFonts w:hint="eastAsia" w:ascii="仿宋" w:hAnsi="仿宋" w:eastAsia="仿宋" w:cs="仿宋"/>
                <w:color w:val="auto"/>
                <w:sz w:val="24"/>
                <w:highlight w:val="none"/>
              </w:rPr>
            </w:pPr>
          </w:p>
        </w:tc>
        <w:tc>
          <w:tcPr>
            <w:tcW w:w="2835" w:type="dxa"/>
            <w:vAlign w:val="center"/>
          </w:tcPr>
          <w:p w14:paraId="34960AB5">
            <w:pPr>
              <w:snapToGrid w:val="0"/>
              <w:spacing w:beforeLines="50" w:after="50" w:line="460" w:lineRule="exact"/>
              <w:jc w:val="center"/>
              <w:rPr>
                <w:rFonts w:hint="eastAsia" w:ascii="仿宋" w:hAnsi="仿宋" w:eastAsia="仿宋" w:cs="仿宋"/>
                <w:color w:val="auto"/>
                <w:sz w:val="24"/>
                <w:highlight w:val="none"/>
              </w:rPr>
            </w:pPr>
          </w:p>
        </w:tc>
        <w:tc>
          <w:tcPr>
            <w:tcW w:w="1329" w:type="dxa"/>
            <w:vAlign w:val="center"/>
          </w:tcPr>
          <w:p w14:paraId="4CDF66AE">
            <w:pPr>
              <w:snapToGrid w:val="0"/>
              <w:spacing w:beforeLines="50" w:after="50" w:line="460" w:lineRule="exact"/>
              <w:jc w:val="center"/>
              <w:rPr>
                <w:rFonts w:hint="eastAsia" w:ascii="仿宋" w:hAnsi="仿宋" w:eastAsia="仿宋" w:cs="仿宋"/>
                <w:color w:val="auto"/>
                <w:sz w:val="24"/>
                <w:highlight w:val="none"/>
              </w:rPr>
            </w:pPr>
          </w:p>
        </w:tc>
        <w:tc>
          <w:tcPr>
            <w:tcW w:w="2181" w:type="dxa"/>
            <w:vAlign w:val="center"/>
          </w:tcPr>
          <w:p w14:paraId="27C85F61">
            <w:pPr>
              <w:snapToGrid w:val="0"/>
              <w:spacing w:beforeLines="50" w:after="50" w:line="460" w:lineRule="exact"/>
              <w:jc w:val="center"/>
              <w:rPr>
                <w:rFonts w:hint="eastAsia" w:ascii="仿宋" w:hAnsi="仿宋" w:eastAsia="仿宋" w:cs="仿宋"/>
                <w:color w:val="auto"/>
                <w:sz w:val="24"/>
                <w:highlight w:val="none"/>
              </w:rPr>
            </w:pPr>
          </w:p>
        </w:tc>
      </w:tr>
      <w:tr w14:paraId="067BF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347687E6">
            <w:pPr>
              <w:snapToGrid w:val="0"/>
              <w:spacing w:beforeLines="50" w:after="50" w:line="460" w:lineRule="exact"/>
              <w:jc w:val="center"/>
              <w:rPr>
                <w:rFonts w:hint="eastAsia" w:ascii="仿宋" w:hAnsi="仿宋" w:eastAsia="仿宋" w:cs="仿宋"/>
                <w:color w:val="auto"/>
                <w:sz w:val="24"/>
                <w:highlight w:val="none"/>
              </w:rPr>
            </w:pPr>
          </w:p>
        </w:tc>
        <w:tc>
          <w:tcPr>
            <w:tcW w:w="2835" w:type="dxa"/>
            <w:vAlign w:val="center"/>
          </w:tcPr>
          <w:p w14:paraId="4C0F6E06">
            <w:pPr>
              <w:snapToGrid w:val="0"/>
              <w:spacing w:beforeLines="50" w:after="50" w:line="460" w:lineRule="exact"/>
              <w:jc w:val="center"/>
              <w:rPr>
                <w:rFonts w:hint="eastAsia" w:ascii="仿宋" w:hAnsi="仿宋" w:eastAsia="仿宋" w:cs="仿宋"/>
                <w:color w:val="auto"/>
                <w:sz w:val="24"/>
                <w:highlight w:val="none"/>
              </w:rPr>
            </w:pPr>
          </w:p>
        </w:tc>
        <w:tc>
          <w:tcPr>
            <w:tcW w:w="1329" w:type="dxa"/>
            <w:vAlign w:val="center"/>
          </w:tcPr>
          <w:p w14:paraId="24841F89">
            <w:pPr>
              <w:snapToGrid w:val="0"/>
              <w:spacing w:beforeLines="50" w:after="50" w:line="460" w:lineRule="exact"/>
              <w:jc w:val="center"/>
              <w:rPr>
                <w:rFonts w:hint="eastAsia" w:ascii="仿宋" w:hAnsi="仿宋" w:eastAsia="仿宋" w:cs="仿宋"/>
                <w:color w:val="auto"/>
                <w:sz w:val="24"/>
                <w:highlight w:val="none"/>
              </w:rPr>
            </w:pPr>
          </w:p>
        </w:tc>
        <w:tc>
          <w:tcPr>
            <w:tcW w:w="2181" w:type="dxa"/>
            <w:vAlign w:val="center"/>
          </w:tcPr>
          <w:p w14:paraId="5100F27A">
            <w:pPr>
              <w:snapToGrid w:val="0"/>
              <w:spacing w:beforeLines="50" w:after="50" w:line="460" w:lineRule="exact"/>
              <w:jc w:val="center"/>
              <w:rPr>
                <w:rFonts w:hint="eastAsia" w:ascii="仿宋" w:hAnsi="仿宋" w:eastAsia="仿宋" w:cs="仿宋"/>
                <w:color w:val="auto"/>
                <w:sz w:val="24"/>
                <w:highlight w:val="none"/>
              </w:rPr>
            </w:pPr>
          </w:p>
        </w:tc>
      </w:tr>
      <w:tr w14:paraId="24739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41D5DC75">
            <w:pPr>
              <w:snapToGrid w:val="0"/>
              <w:spacing w:beforeLines="50" w:after="50" w:line="460" w:lineRule="exact"/>
              <w:jc w:val="center"/>
              <w:rPr>
                <w:rFonts w:hint="eastAsia" w:ascii="仿宋" w:hAnsi="仿宋" w:eastAsia="仿宋" w:cs="仿宋"/>
                <w:color w:val="auto"/>
                <w:sz w:val="24"/>
                <w:highlight w:val="none"/>
              </w:rPr>
            </w:pPr>
          </w:p>
        </w:tc>
        <w:tc>
          <w:tcPr>
            <w:tcW w:w="2835" w:type="dxa"/>
            <w:vAlign w:val="center"/>
          </w:tcPr>
          <w:p w14:paraId="2D2E1B10">
            <w:pPr>
              <w:snapToGrid w:val="0"/>
              <w:spacing w:beforeLines="50" w:after="50" w:line="460" w:lineRule="exact"/>
              <w:jc w:val="center"/>
              <w:rPr>
                <w:rFonts w:hint="eastAsia" w:ascii="仿宋" w:hAnsi="仿宋" w:eastAsia="仿宋" w:cs="仿宋"/>
                <w:color w:val="auto"/>
                <w:sz w:val="24"/>
                <w:highlight w:val="none"/>
              </w:rPr>
            </w:pPr>
          </w:p>
        </w:tc>
        <w:tc>
          <w:tcPr>
            <w:tcW w:w="1329" w:type="dxa"/>
            <w:vAlign w:val="center"/>
          </w:tcPr>
          <w:p w14:paraId="6F2473DC">
            <w:pPr>
              <w:snapToGrid w:val="0"/>
              <w:spacing w:beforeLines="50" w:after="50" w:line="460" w:lineRule="exact"/>
              <w:jc w:val="center"/>
              <w:rPr>
                <w:rFonts w:hint="eastAsia" w:ascii="仿宋" w:hAnsi="仿宋" w:eastAsia="仿宋" w:cs="仿宋"/>
                <w:color w:val="auto"/>
                <w:sz w:val="24"/>
                <w:highlight w:val="none"/>
              </w:rPr>
            </w:pPr>
          </w:p>
        </w:tc>
        <w:tc>
          <w:tcPr>
            <w:tcW w:w="2181" w:type="dxa"/>
            <w:vAlign w:val="center"/>
          </w:tcPr>
          <w:p w14:paraId="7B15F366">
            <w:pPr>
              <w:snapToGrid w:val="0"/>
              <w:spacing w:beforeLines="50" w:after="50" w:line="460" w:lineRule="exact"/>
              <w:jc w:val="center"/>
              <w:rPr>
                <w:rFonts w:hint="eastAsia" w:ascii="仿宋" w:hAnsi="仿宋" w:eastAsia="仿宋" w:cs="仿宋"/>
                <w:color w:val="auto"/>
                <w:sz w:val="24"/>
                <w:highlight w:val="none"/>
              </w:rPr>
            </w:pPr>
          </w:p>
        </w:tc>
      </w:tr>
      <w:tr w14:paraId="52A45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26D1F77E">
            <w:pPr>
              <w:snapToGrid w:val="0"/>
              <w:spacing w:beforeLines="50" w:after="50" w:line="460" w:lineRule="exact"/>
              <w:jc w:val="center"/>
              <w:rPr>
                <w:rFonts w:hint="eastAsia" w:ascii="仿宋" w:hAnsi="仿宋" w:eastAsia="仿宋" w:cs="仿宋"/>
                <w:color w:val="auto"/>
                <w:sz w:val="24"/>
                <w:highlight w:val="none"/>
              </w:rPr>
            </w:pPr>
          </w:p>
        </w:tc>
        <w:tc>
          <w:tcPr>
            <w:tcW w:w="2835" w:type="dxa"/>
            <w:vAlign w:val="center"/>
          </w:tcPr>
          <w:p w14:paraId="5599F5AC">
            <w:pPr>
              <w:snapToGrid w:val="0"/>
              <w:spacing w:beforeLines="50" w:after="50" w:line="460" w:lineRule="exact"/>
              <w:jc w:val="center"/>
              <w:rPr>
                <w:rFonts w:hint="eastAsia" w:ascii="仿宋" w:hAnsi="仿宋" w:eastAsia="仿宋" w:cs="仿宋"/>
                <w:color w:val="auto"/>
                <w:sz w:val="24"/>
                <w:highlight w:val="none"/>
              </w:rPr>
            </w:pPr>
          </w:p>
        </w:tc>
        <w:tc>
          <w:tcPr>
            <w:tcW w:w="1329" w:type="dxa"/>
            <w:vAlign w:val="center"/>
          </w:tcPr>
          <w:p w14:paraId="23AAF407">
            <w:pPr>
              <w:snapToGrid w:val="0"/>
              <w:spacing w:beforeLines="50" w:after="50" w:line="460" w:lineRule="exact"/>
              <w:jc w:val="center"/>
              <w:rPr>
                <w:rFonts w:hint="eastAsia" w:ascii="仿宋" w:hAnsi="仿宋" w:eastAsia="仿宋" w:cs="仿宋"/>
                <w:color w:val="auto"/>
                <w:sz w:val="24"/>
                <w:highlight w:val="none"/>
              </w:rPr>
            </w:pPr>
          </w:p>
        </w:tc>
        <w:tc>
          <w:tcPr>
            <w:tcW w:w="2181" w:type="dxa"/>
            <w:vAlign w:val="center"/>
          </w:tcPr>
          <w:p w14:paraId="07F4B0F5">
            <w:pPr>
              <w:snapToGrid w:val="0"/>
              <w:spacing w:beforeLines="50" w:after="50" w:line="460" w:lineRule="exact"/>
              <w:jc w:val="center"/>
              <w:rPr>
                <w:rFonts w:hint="eastAsia" w:ascii="仿宋" w:hAnsi="仿宋" w:eastAsia="仿宋" w:cs="仿宋"/>
                <w:color w:val="auto"/>
                <w:sz w:val="24"/>
                <w:highlight w:val="none"/>
              </w:rPr>
            </w:pPr>
          </w:p>
        </w:tc>
      </w:tr>
    </w:tbl>
    <w:p w14:paraId="1FCC861E">
      <w:pPr>
        <w:snapToGrid w:val="0"/>
        <w:spacing w:beforeLines="50" w:after="50" w:line="460" w:lineRule="exact"/>
        <w:jc w:val="left"/>
        <w:rPr>
          <w:rFonts w:hint="eastAsia" w:ascii="仿宋" w:hAnsi="仿宋" w:eastAsia="仿宋" w:cs="仿宋"/>
          <w:color w:val="auto"/>
          <w:sz w:val="24"/>
          <w:highlight w:val="none"/>
        </w:rPr>
      </w:pPr>
    </w:p>
    <w:p w14:paraId="172F03EE">
      <w:pPr>
        <w:snapToGrid w:val="0"/>
        <w:spacing w:beforeLines="50" w:after="50" w:line="460" w:lineRule="exact"/>
        <w:jc w:val="left"/>
        <w:rPr>
          <w:rFonts w:hint="eastAsia" w:ascii="仿宋" w:hAnsi="仿宋" w:eastAsia="仿宋" w:cs="仿宋"/>
          <w:color w:val="auto"/>
          <w:sz w:val="24"/>
          <w:highlight w:val="none"/>
        </w:rPr>
      </w:pPr>
    </w:p>
    <w:p w14:paraId="24E53F42">
      <w:pPr>
        <w:snapToGrid w:val="0"/>
        <w:spacing w:before="120" w:beforeLines="5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供应商名称（公章）：                             </w:t>
      </w:r>
    </w:p>
    <w:p w14:paraId="4A0E519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w:t>
      </w:r>
      <w:r>
        <w:rPr>
          <w:rFonts w:hint="eastAsia" w:ascii="仿宋" w:hAnsi="仿宋" w:eastAsia="仿宋" w:cs="仿宋"/>
          <w:color w:val="auto"/>
          <w:sz w:val="24"/>
          <w:highlight w:val="none"/>
          <w:lang w:eastAsia="zh-CN"/>
        </w:rPr>
        <w:t>字</w:t>
      </w:r>
      <w:r>
        <w:rPr>
          <w:rFonts w:hint="eastAsia" w:ascii="仿宋" w:hAnsi="仿宋" w:eastAsia="仿宋" w:cs="仿宋"/>
          <w:color w:val="auto"/>
          <w:sz w:val="24"/>
          <w:highlight w:val="none"/>
        </w:rPr>
        <w:t xml:space="preserve">或盖章：  </w:t>
      </w:r>
    </w:p>
    <w:p w14:paraId="57CCCB82">
      <w:pPr>
        <w:snapToGrid w:val="0"/>
        <w:spacing w:before="120" w:beforeLines="50" w:line="360" w:lineRule="auto"/>
        <w:rPr>
          <w:rFonts w:hint="eastAsia" w:ascii="仿宋" w:hAnsi="仿宋" w:eastAsia="仿宋" w:cs="仿宋"/>
          <w:b/>
          <w:color w:val="auto"/>
          <w:sz w:val="24"/>
          <w:highlight w:val="none"/>
          <w:lang w:val="en-US" w:eastAsia="zh-CN"/>
        </w:rPr>
        <w:sectPr>
          <w:footerReference r:id="rId9" w:type="first"/>
          <w:footerReference r:id="rId8" w:type="default"/>
          <w:pgSz w:w="11906" w:h="16838"/>
          <w:pgMar w:top="1440" w:right="1622" w:bottom="1440" w:left="1287" w:header="851" w:footer="992" w:gutter="0"/>
          <w:pgNumType w:fmt="decimal"/>
          <w:cols w:space="720" w:num="1"/>
          <w:titlePg/>
          <w:docGrid w:linePitch="312" w:charSpace="0"/>
        </w:sectPr>
      </w:pPr>
      <w:r>
        <w:rPr>
          <w:rFonts w:hint="eastAsia" w:ascii="仿宋" w:hAnsi="仿宋" w:eastAsia="仿宋" w:cs="仿宋"/>
          <w:color w:val="auto"/>
          <w:sz w:val="24"/>
          <w:highlight w:val="none"/>
        </w:rPr>
        <w:t xml:space="preserve">日期：    年     月   </w:t>
      </w:r>
    </w:p>
    <w:p w14:paraId="1BBF1CDB">
      <w:pPr>
        <w:pStyle w:val="12"/>
        <w:ind w:left="0"/>
        <w:jc w:val="center"/>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10.项目人员配置一览表</w:t>
      </w:r>
    </w:p>
    <w:p w14:paraId="2BE72DB7">
      <w:pPr>
        <w:numPr>
          <w:ilvl w:val="0"/>
          <w:numId w:val="0"/>
        </w:numPr>
        <w:spacing w:line="600" w:lineRule="exact"/>
        <w:jc w:val="left"/>
        <w:outlineLvl w:val="9"/>
        <w:rPr>
          <w:rFonts w:hint="default" w:ascii="仿宋" w:hAnsi="仿宋" w:eastAsia="仿宋" w:cs="仿宋"/>
          <w:b/>
          <w:bCs/>
          <w:color w:val="auto"/>
          <w:sz w:val="32"/>
          <w:szCs w:val="32"/>
          <w:highlight w:val="none"/>
          <w:u w:val="single"/>
          <w:lang w:val="en-US" w:eastAsia="zh-CN"/>
        </w:rPr>
      </w:pPr>
      <w:r>
        <w:rPr>
          <w:rFonts w:hint="eastAsia" w:ascii="仿宋" w:hAnsi="仿宋" w:eastAsia="仿宋" w:cs="仿宋"/>
          <w:color w:val="auto"/>
          <w:sz w:val="24"/>
          <w:szCs w:val="24"/>
          <w:highlight w:val="none"/>
          <w:lang w:val="en-US" w:eastAsia="zh-CN"/>
        </w:rPr>
        <w:t>项目名称：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标项：</w:t>
      </w:r>
      <w:r>
        <w:rPr>
          <w:rFonts w:hint="eastAsia" w:ascii="仿宋" w:hAnsi="仿宋" w:eastAsia="仿宋" w:cs="仿宋"/>
          <w:color w:val="auto"/>
          <w:sz w:val="24"/>
          <w:szCs w:val="24"/>
          <w:highlight w:val="none"/>
          <w:u w:val="single"/>
          <w:lang w:val="en-US" w:eastAsia="zh-CN"/>
        </w:rPr>
        <w:t xml:space="preserve">    </w:t>
      </w:r>
    </w:p>
    <w:tbl>
      <w:tblPr>
        <w:tblStyle w:val="23"/>
        <w:tblW w:w="9811"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840"/>
        <w:gridCol w:w="1127"/>
        <w:gridCol w:w="1049"/>
        <w:gridCol w:w="1013"/>
        <w:gridCol w:w="980"/>
        <w:gridCol w:w="925"/>
        <w:gridCol w:w="1354"/>
        <w:gridCol w:w="1263"/>
        <w:gridCol w:w="1260"/>
      </w:tblGrid>
      <w:tr w14:paraId="77D1FD91">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898" w:hRule="atLeast"/>
          <w:jc w:val="center"/>
        </w:trPr>
        <w:tc>
          <w:tcPr>
            <w:tcW w:w="840" w:type="dxa"/>
            <w:tcBorders>
              <w:top w:val="single" w:color="auto" w:sz="12" w:space="0"/>
              <w:left w:val="single" w:color="auto" w:sz="12" w:space="0"/>
              <w:bottom w:val="single" w:color="auto" w:sz="4" w:space="0"/>
              <w:right w:val="single" w:color="auto" w:sz="4" w:space="0"/>
            </w:tcBorders>
            <w:noWrap w:val="0"/>
            <w:vAlign w:val="center"/>
          </w:tcPr>
          <w:p w14:paraId="0FDF6AE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127" w:type="dxa"/>
            <w:tcBorders>
              <w:top w:val="single" w:color="auto" w:sz="12" w:space="0"/>
              <w:left w:val="single" w:color="auto" w:sz="4" w:space="0"/>
              <w:bottom w:val="single" w:color="auto" w:sz="4" w:space="0"/>
              <w:right w:val="single" w:color="auto" w:sz="4" w:space="0"/>
            </w:tcBorders>
            <w:noWrap w:val="0"/>
            <w:vAlign w:val="center"/>
          </w:tcPr>
          <w:p w14:paraId="18139B1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1049" w:type="dxa"/>
            <w:tcBorders>
              <w:top w:val="single" w:color="auto" w:sz="12" w:space="0"/>
              <w:left w:val="single" w:color="auto" w:sz="4" w:space="0"/>
              <w:bottom w:val="single" w:color="auto" w:sz="4" w:space="0"/>
              <w:right w:val="single" w:color="auto" w:sz="4" w:space="0"/>
            </w:tcBorders>
            <w:noWrap w:val="0"/>
            <w:vAlign w:val="center"/>
          </w:tcPr>
          <w:p w14:paraId="0D1A512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013" w:type="dxa"/>
            <w:tcBorders>
              <w:top w:val="single" w:color="auto" w:sz="12" w:space="0"/>
              <w:left w:val="single" w:color="auto" w:sz="4" w:space="0"/>
              <w:bottom w:val="single" w:color="auto" w:sz="4" w:space="0"/>
              <w:right w:val="single" w:color="auto" w:sz="4" w:space="0"/>
            </w:tcBorders>
            <w:noWrap w:val="0"/>
            <w:vAlign w:val="center"/>
          </w:tcPr>
          <w:p w14:paraId="58966F7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980" w:type="dxa"/>
            <w:tcBorders>
              <w:top w:val="single" w:color="auto" w:sz="12" w:space="0"/>
              <w:left w:val="single" w:color="auto" w:sz="4" w:space="0"/>
              <w:bottom w:val="single" w:color="auto" w:sz="4" w:space="0"/>
              <w:right w:val="single" w:color="auto" w:sz="4" w:space="0"/>
            </w:tcBorders>
            <w:noWrap w:val="0"/>
            <w:vAlign w:val="center"/>
          </w:tcPr>
          <w:p w14:paraId="3E2A105F">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925" w:type="dxa"/>
            <w:tcBorders>
              <w:top w:val="single" w:color="auto" w:sz="12" w:space="0"/>
              <w:left w:val="single" w:color="auto" w:sz="4" w:space="0"/>
              <w:bottom w:val="single" w:color="auto" w:sz="4" w:space="0"/>
              <w:right w:val="single" w:color="auto" w:sz="4" w:space="0"/>
            </w:tcBorders>
            <w:noWrap w:val="0"/>
            <w:vAlign w:val="center"/>
          </w:tcPr>
          <w:p w14:paraId="7B05361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专业</w:t>
            </w:r>
          </w:p>
        </w:tc>
        <w:tc>
          <w:tcPr>
            <w:tcW w:w="1354" w:type="dxa"/>
            <w:tcBorders>
              <w:top w:val="single" w:color="auto" w:sz="12" w:space="0"/>
              <w:left w:val="single" w:color="auto" w:sz="4" w:space="0"/>
              <w:bottom w:val="single" w:color="auto" w:sz="4" w:space="0"/>
              <w:right w:val="single" w:color="auto" w:sz="4" w:space="0"/>
            </w:tcBorders>
            <w:noWrap w:val="0"/>
            <w:vAlign w:val="center"/>
          </w:tcPr>
          <w:p w14:paraId="5C25AF5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证书及编号</w:t>
            </w:r>
          </w:p>
        </w:tc>
        <w:tc>
          <w:tcPr>
            <w:tcW w:w="1263" w:type="dxa"/>
            <w:tcBorders>
              <w:top w:val="single" w:color="auto" w:sz="12" w:space="0"/>
              <w:left w:val="single" w:color="auto" w:sz="4" w:space="0"/>
              <w:bottom w:val="single" w:color="auto" w:sz="4" w:space="0"/>
              <w:right w:val="single" w:color="auto" w:sz="4" w:space="0"/>
            </w:tcBorders>
            <w:noWrap w:val="0"/>
            <w:vAlign w:val="center"/>
          </w:tcPr>
          <w:p w14:paraId="782BE61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技术职称</w:t>
            </w:r>
          </w:p>
        </w:tc>
        <w:tc>
          <w:tcPr>
            <w:tcW w:w="1260" w:type="dxa"/>
            <w:tcBorders>
              <w:top w:val="single" w:color="auto" w:sz="12" w:space="0"/>
              <w:left w:val="single" w:color="auto" w:sz="4" w:space="0"/>
              <w:bottom w:val="single" w:color="auto" w:sz="4" w:space="0"/>
              <w:right w:val="single" w:color="auto" w:sz="12" w:space="0"/>
            </w:tcBorders>
            <w:noWrap w:val="0"/>
            <w:vAlign w:val="center"/>
          </w:tcPr>
          <w:p w14:paraId="612D5B5F">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拟任职务</w:t>
            </w:r>
          </w:p>
        </w:tc>
      </w:tr>
      <w:tr w14:paraId="458F8D0D">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40BA3758">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2E11416B">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0C72EE65">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454E0140">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00165AC0">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48BD65CC">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5D19A428">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0398F73F">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0A76459D">
            <w:pPr>
              <w:spacing w:line="360" w:lineRule="auto"/>
              <w:jc w:val="center"/>
              <w:rPr>
                <w:rFonts w:hint="eastAsia" w:ascii="仿宋" w:hAnsi="仿宋" w:eastAsia="仿宋" w:cs="仿宋"/>
                <w:color w:val="auto"/>
                <w:sz w:val="24"/>
                <w:highlight w:val="none"/>
              </w:rPr>
            </w:pPr>
          </w:p>
        </w:tc>
      </w:tr>
      <w:tr w14:paraId="28FDEA7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2EBAA4E3">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212DEBE9">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4ABB70F2">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08BD2A92">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7E61FDC7">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45A3E767">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4E6A0AC9">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6D802EE6">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5721B264">
            <w:pPr>
              <w:spacing w:line="360" w:lineRule="auto"/>
              <w:jc w:val="center"/>
              <w:rPr>
                <w:rFonts w:hint="eastAsia" w:ascii="仿宋" w:hAnsi="仿宋" w:eastAsia="仿宋" w:cs="仿宋"/>
                <w:color w:val="auto"/>
                <w:sz w:val="24"/>
                <w:highlight w:val="none"/>
              </w:rPr>
            </w:pPr>
          </w:p>
        </w:tc>
      </w:tr>
      <w:tr w14:paraId="01762916">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634DA754">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1193C293">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2DC28E33">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618AA308">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6FA10599">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002A5D0A">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06F9CB20">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3E384EFD">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684FCAC8">
            <w:pPr>
              <w:spacing w:line="360" w:lineRule="auto"/>
              <w:jc w:val="center"/>
              <w:rPr>
                <w:rFonts w:hint="eastAsia" w:ascii="仿宋" w:hAnsi="仿宋" w:eastAsia="仿宋" w:cs="仿宋"/>
                <w:color w:val="auto"/>
                <w:sz w:val="24"/>
                <w:highlight w:val="none"/>
              </w:rPr>
            </w:pPr>
          </w:p>
        </w:tc>
      </w:tr>
      <w:tr w14:paraId="1EAFB6E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48F03861">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703C307D">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732EF0A5">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0B3CB17C">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624FC9F2">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60B2E6D0">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10C83FFC">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5FBB7346">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4D68EEB7">
            <w:pPr>
              <w:spacing w:line="360" w:lineRule="auto"/>
              <w:jc w:val="center"/>
              <w:rPr>
                <w:rFonts w:hint="eastAsia" w:ascii="仿宋" w:hAnsi="仿宋" w:eastAsia="仿宋" w:cs="仿宋"/>
                <w:color w:val="auto"/>
                <w:sz w:val="24"/>
                <w:highlight w:val="none"/>
              </w:rPr>
            </w:pPr>
          </w:p>
        </w:tc>
      </w:tr>
      <w:tr w14:paraId="7EB5CE5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38550A14">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0674FACB">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65B02E8F">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6B7666EB">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5DC67B84">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0FE4CC2F">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5DFC6778">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3F978660">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56521A56">
            <w:pPr>
              <w:spacing w:line="360" w:lineRule="auto"/>
              <w:jc w:val="center"/>
              <w:rPr>
                <w:rFonts w:hint="eastAsia" w:ascii="仿宋" w:hAnsi="仿宋" w:eastAsia="仿宋" w:cs="仿宋"/>
                <w:color w:val="auto"/>
                <w:sz w:val="24"/>
                <w:highlight w:val="none"/>
              </w:rPr>
            </w:pPr>
          </w:p>
        </w:tc>
      </w:tr>
      <w:tr w14:paraId="5240D0C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03571A92">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180A455E">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2805830F">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2208D16B">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72ABE483">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445D48CA">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36B8A390">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0D7B2D98">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5CED7B00">
            <w:pPr>
              <w:spacing w:line="360" w:lineRule="auto"/>
              <w:jc w:val="center"/>
              <w:rPr>
                <w:rFonts w:hint="eastAsia" w:ascii="仿宋" w:hAnsi="仿宋" w:eastAsia="仿宋" w:cs="仿宋"/>
                <w:color w:val="auto"/>
                <w:sz w:val="24"/>
                <w:highlight w:val="none"/>
              </w:rPr>
            </w:pPr>
          </w:p>
        </w:tc>
      </w:tr>
      <w:tr w14:paraId="3B510130">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0E14ABA3">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38725922">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6F2BA5BF">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7B1CE20E">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61B51B9A">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267B67E5">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16B03B98">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1C028F4E">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2A33BFCE">
            <w:pPr>
              <w:spacing w:line="360" w:lineRule="auto"/>
              <w:jc w:val="center"/>
              <w:rPr>
                <w:rFonts w:hint="eastAsia" w:ascii="仿宋" w:hAnsi="仿宋" w:eastAsia="仿宋" w:cs="仿宋"/>
                <w:color w:val="auto"/>
                <w:sz w:val="24"/>
                <w:highlight w:val="none"/>
              </w:rPr>
            </w:pPr>
          </w:p>
        </w:tc>
      </w:tr>
      <w:tr w14:paraId="010202CB">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12A6ADE7">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0D88CA38">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66122C0D">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26D7B442">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6253B2CD">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5D8CC14C">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209BEEC7">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1ACA063E">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47702EEE">
            <w:pPr>
              <w:spacing w:line="360" w:lineRule="auto"/>
              <w:jc w:val="center"/>
              <w:rPr>
                <w:rFonts w:hint="eastAsia" w:ascii="仿宋" w:hAnsi="仿宋" w:eastAsia="仿宋" w:cs="仿宋"/>
                <w:color w:val="auto"/>
                <w:sz w:val="24"/>
                <w:highlight w:val="none"/>
              </w:rPr>
            </w:pPr>
          </w:p>
        </w:tc>
      </w:tr>
      <w:tr w14:paraId="2F60895E">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73F8610C">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35503E51">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480F15AA">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738784B6">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25D30D89">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46601908">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2810412F">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7EFFDA1D">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1D76AD8A">
            <w:pPr>
              <w:spacing w:line="360" w:lineRule="auto"/>
              <w:jc w:val="center"/>
              <w:rPr>
                <w:rFonts w:hint="eastAsia" w:ascii="仿宋" w:hAnsi="仿宋" w:eastAsia="仿宋" w:cs="仿宋"/>
                <w:color w:val="auto"/>
                <w:sz w:val="24"/>
                <w:highlight w:val="none"/>
              </w:rPr>
            </w:pPr>
          </w:p>
        </w:tc>
      </w:tr>
      <w:tr w14:paraId="5091172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33D14EA4">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39B1240F">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1B37AF75">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5778D728">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27FEA21E">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7DF0F216">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29AB8C48">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6722868A">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00850B11">
            <w:pPr>
              <w:spacing w:line="360" w:lineRule="auto"/>
              <w:jc w:val="center"/>
              <w:rPr>
                <w:rFonts w:hint="eastAsia" w:ascii="仿宋" w:hAnsi="仿宋" w:eastAsia="仿宋" w:cs="仿宋"/>
                <w:color w:val="auto"/>
                <w:sz w:val="24"/>
                <w:highlight w:val="none"/>
              </w:rPr>
            </w:pPr>
          </w:p>
        </w:tc>
      </w:tr>
      <w:tr w14:paraId="7892E519">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840" w:type="dxa"/>
            <w:tcBorders>
              <w:top w:val="single" w:color="auto" w:sz="4" w:space="0"/>
              <w:left w:val="single" w:color="auto" w:sz="12" w:space="0"/>
              <w:bottom w:val="single" w:color="auto" w:sz="4" w:space="0"/>
              <w:right w:val="single" w:color="auto" w:sz="4" w:space="0"/>
            </w:tcBorders>
            <w:noWrap w:val="0"/>
            <w:vAlign w:val="center"/>
          </w:tcPr>
          <w:p w14:paraId="25D6BCB5">
            <w:pPr>
              <w:spacing w:line="360" w:lineRule="auto"/>
              <w:jc w:val="center"/>
              <w:rPr>
                <w:rFonts w:hint="eastAsia"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14:paraId="539A5A8E">
            <w:pPr>
              <w:spacing w:line="360" w:lineRule="auto"/>
              <w:jc w:val="center"/>
              <w:rPr>
                <w:rFonts w:hint="eastAsia" w:ascii="仿宋" w:hAnsi="仿宋" w:eastAsia="仿宋" w:cs="仿宋"/>
                <w:color w:val="auto"/>
                <w:sz w:val="24"/>
                <w:highlight w:val="none"/>
              </w:rPr>
            </w:pPr>
          </w:p>
        </w:tc>
        <w:tc>
          <w:tcPr>
            <w:tcW w:w="1049" w:type="dxa"/>
            <w:tcBorders>
              <w:top w:val="single" w:color="auto" w:sz="4" w:space="0"/>
              <w:left w:val="single" w:color="auto" w:sz="4" w:space="0"/>
              <w:bottom w:val="single" w:color="auto" w:sz="4" w:space="0"/>
              <w:right w:val="single" w:color="auto" w:sz="4" w:space="0"/>
            </w:tcBorders>
            <w:noWrap w:val="0"/>
            <w:vAlign w:val="center"/>
          </w:tcPr>
          <w:p w14:paraId="778627A0">
            <w:pPr>
              <w:spacing w:line="360" w:lineRule="auto"/>
              <w:jc w:val="center"/>
              <w:rPr>
                <w:rFonts w:hint="eastAsia" w:ascii="仿宋" w:hAnsi="仿宋" w:eastAsia="仿宋" w:cs="仿宋"/>
                <w:color w:val="auto"/>
                <w:sz w:val="24"/>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197EEDD2">
            <w:pPr>
              <w:spacing w:line="360" w:lineRule="auto"/>
              <w:jc w:val="center"/>
              <w:rPr>
                <w:rFonts w:hint="eastAsia" w:ascii="仿宋" w:hAnsi="仿宋" w:eastAsia="仿宋" w:cs="仿宋"/>
                <w:color w:val="auto"/>
                <w:sz w:val="24"/>
                <w:highlight w:val="none"/>
              </w:rPr>
            </w:pPr>
          </w:p>
        </w:tc>
        <w:tc>
          <w:tcPr>
            <w:tcW w:w="980" w:type="dxa"/>
            <w:tcBorders>
              <w:top w:val="single" w:color="auto" w:sz="4" w:space="0"/>
              <w:left w:val="single" w:color="auto" w:sz="4" w:space="0"/>
              <w:bottom w:val="single" w:color="auto" w:sz="4" w:space="0"/>
              <w:right w:val="single" w:color="auto" w:sz="4" w:space="0"/>
            </w:tcBorders>
            <w:noWrap w:val="0"/>
            <w:vAlign w:val="center"/>
          </w:tcPr>
          <w:p w14:paraId="3F722C0B">
            <w:pPr>
              <w:spacing w:line="360" w:lineRule="auto"/>
              <w:jc w:val="center"/>
              <w:rPr>
                <w:rFonts w:hint="eastAsia" w:ascii="仿宋" w:hAnsi="仿宋" w:eastAsia="仿宋" w:cs="仿宋"/>
                <w:color w:val="auto"/>
                <w:sz w:val="24"/>
                <w:highlight w:val="none"/>
              </w:rPr>
            </w:pPr>
          </w:p>
        </w:tc>
        <w:tc>
          <w:tcPr>
            <w:tcW w:w="925" w:type="dxa"/>
            <w:tcBorders>
              <w:top w:val="single" w:color="auto" w:sz="4" w:space="0"/>
              <w:left w:val="single" w:color="auto" w:sz="4" w:space="0"/>
              <w:bottom w:val="single" w:color="auto" w:sz="4" w:space="0"/>
              <w:right w:val="single" w:color="auto" w:sz="4" w:space="0"/>
            </w:tcBorders>
            <w:noWrap w:val="0"/>
            <w:vAlign w:val="center"/>
          </w:tcPr>
          <w:p w14:paraId="606E867C">
            <w:pPr>
              <w:spacing w:line="360" w:lineRule="auto"/>
              <w:jc w:val="center"/>
              <w:rPr>
                <w:rFonts w:hint="eastAsia" w:ascii="仿宋" w:hAnsi="仿宋" w:eastAsia="仿宋" w:cs="仿宋"/>
                <w:color w:val="auto"/>
                <w:sz w:val="24"/>
                <w:highlight w:val="none"/>
              </w:rPr>
            </w:pPr>
          </w:p>
        </w:tc>
        <w:tc>
          <w:tcPr>
            <w:tcW w:w="1354" w:type="dxa"/>
            <w:tcBorders>
              <w:top w:val="single" w:color="auto" w:sz="4" w:space="0"/>
              <w:left w:val="single" w:color="auto" w:sz="4" w:space="0"/>
              <w:bottom w:val="single" w:color="auto" w:sz="4" w:space="0"/>
              <w:right w:val="single" w:color="auto" w:sz="4" w:space="0"/>
            </w:tcBorders>
            <w:noWrap w:val="0"/>
            <w:vAlign w:val="top"/>
          </w:tcPr>
          <w:p w14:paraId="350AC66A">
            <w:pPr>
              <w:spacing w:line="360" w:lineRule="auto"/>
              <w:jc w:val="center"/>
              <w:rPr>
                <w:rFonts w:hint="eastAsia" w:ascii="仿宋" w:hAnsi="仿宋" w:eastAsia="仿宋" w:cs="仿宋"/>
                <w:color w:val="auto"/>
                <w:sz w:val="24"/>
                <w:highlight w:val="none"/>
              </w:rPr>
            </w:pPr>
          </w:p>
        </w:tc>
        <w:tc>
          <w:tcPr>
            <w:tcW w:w="1263" w:type="dxa"/>
            <w:tcBorders>
              <w:top w:val="single" w:color="auto" w:sz="4" w:space="0"/>
              <w:left w:val="single" w:color="auto" w:sz="4" w:space="0"/>
              <w:bottom w:val="single" w:color="auto" w:sz="4" w:space="0"/>
              <w:right w:val="single" w:color="auto" w:sz="4" w:space="0"/>
            </w:tcBorders>
            <w:noWrap w:val="0"/>
            <w:vAlign w:val="center"/>
          </w:tcPr>
          <w:p w14:paraId="56FF9970">
            <w:pPr>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12" w:space="0"/>
            </w:tcBorders>
            <w:noWrap w:val="0"/>
            <w:vAlign w:val="center"/>
          </w:tcPr>
          <w:p w14:paraId="019F27F2">
            <w:pPr>
              <w:spacing w:line="360" w:lineRule="auto"/>
              <w:jc w:val="center"/>
              <w:rPr>
                <w:rFonts w:hint="eastAsia" w:ascii="仿宋" w:hAnsi="仿宋" w:eastAsia="仿宋" w:cs="仿宋"/>
                <w:color w:val="auto"/>
                <w:sz w:val="24"/>
                <w:highlight w:val="none"/>
              </w:rPr>
            </w:pPr>
          </w:p>
        </w:tc>
      </w:tr>
    </w:tbl>
    <w:p w14:paraId="653EFF72">
      <w:pPr>
        <w:adjustRightInd w:val="0"/>
        <w:snapToGrid w:val="0"/>
        <w:spacing w:line="360" w:lineRule="auto"/>
        <w:rPr>
          <w:rFonts w:hint="eastAsia" w:ascii="仿宋" w:hAnsi="仿宋" w:eastAsia="仿宋" w:cs="仿宋"/>
          <w:color w:val="auto"/>
          <w:sz w:val="24"/>
          <w:highlight w:val="none"/>
        </w:rPr>
      </w:pPr>
    </w:p>
    <w:p w14:paraId="3959B184">
      <w:pPr>
        <w:snapToGrid w:val="0"/>
        <w:spacing w:beforeLines="50" w:after="50"/>
        <w:jc w:val="left"/>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注：</w:t>
      </w:r>
      <w:r>
        <w:rPr>
          <w:rFonts w:hint="eastAsia" w:ascii="仿宋" w:hAnsi="仿宋" w:eastAsia="仿宋" w:cs="仿宋"/>
          <w:b/>
          <w:color w:val="auto"/>
          <w:sz w:val="24"/>
          <w:highlight w:val="none"/>
        </w:rPr>
        <w:t>此表仅提供了表格形式，投标人应根据需要准备足够数量的表格来填写</w:t>
      </w:r>
      <w:r>
        <w:rPr>
          <w:rFonts w:hint="eastAsia" w:ascii="仿宋" w:hAnsi="仿宋" w:eastAsia="仿宋" w:cs="仿宋"/>
          <w:b/>
          <w:color w:val="auto"/>
          <w:sz w:val="24"/>
          <w:highlight w:val="none"/>
          <w:lang w:eastAsia="zh-CN"/>
        </w:rPr>
        <w:t>。</w:t>
      </w:r>
    </w:p>
    <w:p w14:paraId="0D98CE7D">
      <w:pPr>
        <w:spacing w:line="360" w:lineRule="auto"/>
        <w:rPr>
          <w:rFonts w:hint="eastAsia" w:ascii="仿宋" w:hAnsi="仿宋" w:eastAsia="仿宋" w:cs="仿宋"/>
          <w:color w:val="auto"/>
          <w:sz w:val="24"/>
          <w:highlight w:val="none"/>
        </w:rPr>
      </w:pPr>
    </w:p>
    <w:p w14:paraId="748BCA5C">
      <w:pPr>
        <w:widowControl/>
        <w:jc w:val="left"/>
        <w:rPr>
          <w:rFonts w:hint="eastAsia" w:ascii="仿宋" w:hAnsi="仿宋" w:eastAsia="仿宋" w:cs="仿宋"/>
          <w:color w:val="auto"/>
          <w:kern w:val="0"/>
          <w:sz w:val="24"/>
          <w:highlight w:val="none"/>
        </w:rPr>
      </w:pPr>
    </w:p>
    <w:p w14:paraId="54148EA5">
      <w:pPr>
        <w:snapToGrid w:val="0"/>
        <w:spacing w:before="120" w:beforeLines="5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供应商名称（公章）：                             </w:t>
      </w:r>
    </w:p>
    <w:p w14:paraId="5941532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w:t>
      </w:r>
      <w:r>
        <w:rPr>
          <w:rFonts w:hint="eastAsia" w:ascii="仿宋" w:hAnsi="仿宋" w:eastAsia="仿宋" w:cs="仿宋"/>
          <w:color w:val="auto"/>
          <w:sz w:val="24"/>
          <w:highlight w:val="none"/>
          <w:lang w:eastAsia="zh-CN"/>
        </w:rPr>
        <w:t>字</w:t>
      </w:r>
      <w:r>
        <w:rPr>
          <w:rFonts w:hint="eastAsia" w:ascii="仿宋" w:hAnsi="仿宋" w:eastAsia="仿宋" w:cs="仿宋"/>
          <w:color w:val="auto"/>
          <w:sz w:val="24"/>
          <w:highlight w:val="none"/>
        </w:rPr>
        <w:t xml:space="preserve">或盖章：  </w:t>
      </w:r>
    </w:p>
    <w:p w14:paraId="035DF4AC">
      <w:pPr>
        <w:snapToGrid w:val="0"/>
        <w:spacing w:before="120" w:beforeLines="50" w:line="360" w:lineRule="auto"/>
        <w:rPr>
          <w:rFonts w:hint="eastAsia" w:ascii="仿宋" w:hAnsi="仿宋" w:eastAsia="仿宋" w:cs="仿宋"/>
          <w:b/>
          <w:color w:val="auto"/>
          <w:sz w:val="24"/>
          <w:highlight w:val="none"/>
          <w:lang w:val="en-US" w:eastAsia="zh-CN"/>
        </w:rPr>
        <w:sectPr>
          <w:footerReference r:id="rId11" w:type="first"/>
          <w:footerReference r:id="rId10" w:type="default"/>
          <w:pgSz w:w="11906" w:h="16838"/>
          <w:pgMar w:top="1440" w:right="1622" w:bottom="1440" w:left="1287" w:header="851" w:footer="992" w:gutter="0"/>
          <w:pgNumType w:fmt="decimal"/>
          <w:cols w:space="720" w:num="1"/>
          <w:titlePg/>
          <w:docGrid w:linePitch="312" w:charSpace="0"/>
        </w:sectPr>
      </w:pPr>
      <w:r>
        <w:rPr>
          <w:rFonts w:hint="eastAsia" w:ascii="仿宋" w:hAnsi="仿宋" w:eastAsia="仿宋" w:cs="仿宋"/>
          <w:color w:val="auto"/>
          <w:sz w:val="24"/>
          <w:highlight w:val="none"/>
        </w:rPr>
        <w:t xml:space="preserve">日期：    年     月   </w:t>
      </w:r>
    </w:p>
    <w:p w14:paraId="798214AD">
      <w:pPr>
        <w:pStyle w:val="31"/>
        <w:pageBreakBefore/>
        <w:jc w:val="center"/>
        <w:outlineLvl w:val="1"/>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11.拟投入车辆设备一览表</w:t>
      </w:r>
    </w:p>
    <w:p w14:paraId="1669F2C7">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left"/>
        <w:textAlignment w:val="auto"/>
        <w:outlineLvl w:val="9"/>
        <w:rPr>
          <w:rFonts w:ascii="微软雅黑" w:hAnsi="微软雅黑" w:eastAsia="微软雅黑" w:cs="微软雅黑"/>
          <w:color w:val="auto"/>
          <w:sz w:val="22"/>
          <w:szCs w:val="22"/>
          <w:highlight w:val="none"/>
        </w:rPr>
      </w:pPr>
      <w:r>
        <w:rPr>
          <w:rFonts w:hint="eastAsia" w:ascii="仿宋" w:hAnsi="仿宋" w:eastAsia="仿宋" w:cs="仿宋"/>
          <w:color w:val="auto"/>
          <w:sz w:val="24"/>
          <w:szCs w:val="24"/>
          <w:highlight w:val="none"/>
          <w:lang w:val="en-US" w:eastAsia="zh-CN"/>
        </w:rPr>
        <w:t>项目名称：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标项：</w:t>
      </w:r>
      <w:r>
        <w:rPr>
          <w:rFonts w:hint="eastAsia" w:ascii="仿宋" w:hAnsi="仿宋" w:eastAsia="仿宋" w:cs="仿宋"/>
          <w:color w:val="auto"/>
          <w:sz w:val="24"/>
          <w:szCs w:val="24"/>
          <w:highlight w:val="none"/>
          <w:u w:val="single"/>
          <w:lang w:val="en-US" w:eastAsia="zh-CN"/>
        </w:rPr>
        <w:t xml:space="preserve">    </w:t>
      </w:r>
      <w:r>
        <w:rPr>
          <w:rFonts w:hint="eastAsia" w:ascii="微软雅黑" w:hAnsi="微软雅黑" w:eastAsia="微软雅黑" w:cs="微软雅黑"/>
          <w:color w:val="auto"/>
          <w:sz w:val="22"/>
          <w:szCs w:val="22"/>
          <w:highlight w:val="none"/>
        </w:rPr>
        <w:t xml:space="preserve">                                    </w:t>
      </w:r>
    </w:p>
    <w:tbl>
      <w:tblPr>
        <w:tblStyle w:val="23"/>
        <w:tblW w:w="9523" w:type="dxa"/>
        <w:tblInd w:w="0" w:type="dxa"/>
        <w:tblLayout w:type="fixed"/>
        <w:tblCellMar>
          <w:top w:w="0" w:type="dxa"/>
          <w:left w:w="108" w:type="dxa"/>
          <w:bottom w:w="0" w:type="dxa"/>
          <w:right w:w="108" w:type="dxa"/>
        </w:tblCellMar>
      </w:tblPr>
      <w:tblGrid>
        <w:gridCol w:w="494"/>
        <w:gridCol w:w="1604"/>
        <w:gridCol w:w="855"/>
        <w:gridCol w:w="1381"/>
        <w:gridCol w:w="1154"/>
        <w:gridCol w:w="1262"/>
        <w:gridCol w:w="1080"/>
        <w:gridCol w:w="793"/>
        <w:gridCol w:w="900"/>
      </w:tblGrid>
      <w:tr w14:paraId="70DF2750">
        <w:tblPrEx>
          <w:tblCellMar>
            <w:top w:w="0" w:type="dxa"/>
            <w:left w:w="108" w:type="dxa"/>
            <w:bottom w:w="0" w:type="dxa"/>
            <w:right w:w="108" w:type="dxa"/>
          </w:tblCellMar>
        </w:tblPrEx>
        <w:trPr>
          <w:cantSplit/>
          <w:trHeight w:val="970" w:hRule="atLeast"/>
        </w:trPr>
        <w:tc>
          <w:tcPr>
            <w:tcW w:w="494" w:type="dxa"/>
            <w:tcBorders>
              <w:top w:val="single" w:color="auto" w:sz="12" w:space="0"/>
              <w:left w:val="single" w:color="auto" w:sz="12" w:space="0"/>
              <w:bottom w:val="single" w:color="auto" w:sz="6" w:space="0"/>
              <w:right w:val="single" w:color="auto" w:sz="6" w:space="0"/>
            </w:tcBorders>
            <w:noWrap/>
            <w:vAlign w:val="center"/>
          </w:tcPr>
          <w:p w14:paraId="750B22E5">
            <w:pPr>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序号</w:t>
            </w:r>
          </w:p>
        </w:tc>
        <w:tc>
          <w:tcPr>
            <w:tcW w:w="1604" w:type="dxa"/>
            <w:tcBorders>
              <w:top w:val="single" w:color="auto" w:sz="12" w:space="0"/>
              <w:left w:val="single" w:color="auto" w:sz="6" w:space="0"/>
              <w:bottom w:val="single" w:color="auto" w:sz="6" w:space="0"/>
              <w:right w:val="single" w:color="auto" w:sz="6" w:space="0"/>
            </w:tcBorders>
            <w:noWrap/>
            <w:vAlign w:val="center"/>
          </w:tcPr>
          <w:p w14:paraId="728B2655">
            <w:pPr>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设备名称</w:t>
            </w:r>
          </w:p>
        </w:tc>
        <w:tc>
          <w:tcPr>
            <w:tcW w:w="855" w:type="dxa"/>
            <w:tcBorders>
              <w:top w:val="single" w:color="auto" w:sz="12" w:space="0"/>
              <w:left w:val="single" w:color="auto" w:sz="6" w:space="0"/>
              <w:bottom w:val="single" w:color="auto" w:sz="6" w:space="0"/>
              <w:right w:val="single" w:color="auto" w:sz="4" w:space="0"/>
            </w:tcBorders>
            <w:noWrap/>
            <w:vAlign w:val="center"/>
          </w:tcPr>
          <w:p w14:paraId="7830FB28">
            <w:pPr>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数量</w:t>
            </w:r>
          </w:p>
        </w:tc>
        <w:tc>
          <w:tcPr>
            <w:tcW w:w="1381" w:type="dxa"/>
            <w:tcBorders>
              <w:top w:val="single" w:color="auto" w:sz="12" w:space="0"/>
              <w:left w:val="nil"/>
              <w:bottom w:val="single" w:color="auto" w:sz="6" w:space="0"/>
              <w:right w:val="single" w:color="auto" w:sz="4" w:space="0"/>
            </w:tcBorders>
            <w:noWrap/>
            <w:vAlign w:val="center"/>
          </w:tcPr>
          <w:p w14:paraId="757A7289">
            <w:pPr>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购置时间</w:t>
            </w:r>
          </w:p>
        </w:tc>
        <w:tc>
          <w:tcPr>
            <w:tcW w:w="1154" w:type="dxa"/>
            <w:tcBorders>
              <w:top w:val="single" w:color="auto" w:sz="12" w:space="0"/>
              <w:left w:val="nil"/>
              <w:bottom w:val="single" w:color="auto" w:sz="6" w:space="0"/>
              <w:right w:val="single" w:color="auto" w:sz="6" w:space="0"/>
            </w:tcBorders>
            <w:noWrap/>
            <w:vAlign w:val="center"/>
          </w:tcPr>
          <w:p w14:paraId="17C6261B">
            <w:pPr>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规格型号</w:t>
            </w:r>
          </w:p>
        </w:tc>
        <w:tc>
          <w:tcPr>
            <w:tcW w:w="1262" w:type="dxa"/>
            <w:tcBorders>
              <w:top w:val="single" w:color="auto" w:sz="12" w:space="0"/>
              <w:left w:val="single" w:color="auto" w:sz="6" w:space="0"/>
              <w:bottom w:val="single" w:color="auto" w:sz="6" w:space="0"/>
              <w:right w:val="single" w:color="auto" w:sz="6" w:space="0"/>
            </w:tcBorders>
            <w:noWrap/>
            <w:vAlign w:val="center"/>
          </w:tcPr>
          <w:p w14:paraId="038BF5A5">
            <w:pPr>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总质量、核定载质量</w:t>
            </w:r>
          </w:p>
        </w:tc>
        <w:tc>
          <w:tcPr>
            <w:tcW w:w="1080" w:type="dxa"/>
            <w:tcBorders>
              <w:top w:val="single" w:color="auto" w:sz="12" w:space="0"/>
              <w:left w:val="single" w:color="auto" w:sz="6" w:space="0"/>
              <w:bottom w:val="single" w:color="auto" w:sz="6" w:space="0"/>
              <w:right w:val="single" w:color="auto" w:sz="6" w:space="0"/>
            </w:tcBorders>
            <w:noWrap/>
            <w:vAlign w:val="center"/>
          </w:tcPr>
          <w:p w14:paraId="3BF79DD2">
            <w:pPr>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品牌/产地</w:t>
            </w:r>
          </w:p>
        </w:tc>
        <w:tc>
          <w:tcPr>
            <w:tcW w:w="793" w:type="dxa"/>
            <w:tcBorders>
              <w:top w:val="single" w:color="auto" w:sz="12" w:space="0"/>
              <w:left w:val="single" w:color="auto" w:sz="6" w:space="0"/>
              <w:bottom w:val="single" w:color="auto" w:sz="6" w:space="0"/>
              <w:right w:val="single" w:color="auto" w:sz="12" w:space="0"/>
            </w:tcBorders>
            <w:noWrap/>
            <w:vAlign w:val="center"/>
          </w:tcPr>
          <w:p w14:paraId="14D9398E">
            <w:pPr>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车牌号</w:t>
            </w:r>
          </w:p>
        </w:tc>
        <w:tc>
          <w:tcPr>
            <w:tcW w:w="900" w:type="dxa"/>
            <w:tcBorders>
              <w:top w:val="single" w:color="auto" w:sz="12" w:space="0"/>
              <w:left w:val="single" w:color="auto" w:sz="6" w:space="0"/>
              <w:bottom w:val="single" w:color="auto" w:sz="6" w:space="0"/>
              <w:right w:val="single" w:color="auto" w:sz="12" w:space="0"/>
            </w:tcBorders>
            <w:noWrap/>
            <w:vAlign w:val="center"/>
          </w:tcPr>
          <w:p w14:paraId="7B5F1341">
            <w:pPr>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备注</w:t>
            </w:r>
          </w:p>
        </w:tc>
      </w:tr>
      <w:tr w14:paraId="302CC9D8">
        <w:tblPrEx>
          <w:tblCellMar>
            <w:top w:w="0" w:type="dxa"/>
            <w:left w:w="108" w:type="dxa"/>
            <w:bottom w:w="0" w:type="dxa"/>
            <w:right w:w="108" w:type="dxa"/>
          </w:tblCellMar>
        </w:tblPrEx>
        <w:trPr>
          <w:cantSplit/>
          <w:trHeight w:val="445" w:hRule="atLeast"/>
        </w:trPr>
        <w:tc>
          <w:tcPr>
            <w:tcW w:w="494" w:type="dxa"/>
            <w:tcBorders>
              <w:top w:val="single" w:color="auto" w:sz="6" w:space="0"/>
              <w:left w:val="single" w:color="auto" w:sz="12" w:space="0"/>
              <w:bottom w:val="single" w:color="auto" w:sz="6" w:space="0"/>
              <w:right w:val="single" w:color="auto" w:sz="6" w:space="0"/>
            </w:tcBorders>
            <w:noWrap/>
            <w:vAlign w:val="center"/>
          </w:tcPr>
          <w:p w14:paraId="490B9FE8">
            <w:pPr>
              <w:widowControl/>
              <w:jc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1</w:t>
            </w:r>
          </w:p>
        </w:tc>
        <w:tc>
          <w:tcPr>
            <w:tcW w:w="1604" w:type="dxa"/>
            <w:tcBorders>
              <w:top w:val="single" w:color="auto" w:sz="6" w:space="0"/>
              <w:left w:val="single" w:color="auto" w:sz="6" w:space="0"/>
              <w:bottom w:val="single" w:color="auto" w:sz="6" w:space="0"/>
              <w:right w:val="single" w:color="auto" w:sz="6" w:space="0"/>
            </w:tcBorders>
            <w:noWrap/>
          </w:tcPr>
          <w:p w14:paraId="4795D879">
            <w:pPr>
              <w:widowControl/>
              <w:autoSpaceDE w:val="0"/>
              <w:autoSpaceDN w:val="0"/>
              <w:adjustRightInd w:val="0"/>
              <w:spacing w:line="440" w:lineRule="exact"/>
              <w:jc w:val="center"/>
              <w:textAlignment w:val="bottom"/>
              <w:rPr>
                <w:rFonts w:hint="eastAsia" w:ascii="仿宋" w:hAnsi="仿宋" w:eastAsia="仿宋" w:cs="仿宋"/>
                <w:color w:val="auto"/>
                <w:sz w:val="18"/>
                <w:szCs w:val="18"/>
                <w:highlight w:val="none"/>
              </w:rPr>
            </w:pPr>
          </w:p>
        </w:tc>
        <w:tc>
          <w:tcPr>
            <w:tcW w:w="855" w:type="dxa"/>
            <w:tcBorders>
              <w:top w:val="single" w:color="auto" w:sz="6" w:space="0"/>
              <w:left w:val="single" w:color="auto" w:sz="6" w:space="0"/>
              <w:bottom w:val="single" w:color="auto" w:sz="6" w:space="0"/>
              <w:right w:val="single" w:color="auto" w:sz="4" w:space="0"/>
            </w:tcBorders>
            <w:noWrap/>
            <w:vAlign w:val="center"/>
          </w:tcPr>
          <w:p w14:paraId="38C3DCD8">
            <w:pPr>
              <w:jc w:val="center"/>
              <w:rPr>
                <w:rFonts w:hint="eastAsia" w:ascii="仿宋" w:hAnsi="仿宋" w:eastAsia="仿宋" w:cs="仿宋"/>
                <w:b/>
                <w:bCs/>
                <w:color w:val="auto"/>
                <w:sz w:val="22"/>
                <w:szCs w:val="22"/>
                <w:highlight w:val="none"/>
              </w:rPr>
            </w:pPr>
          </w:p>
        </w:tc>
        <w:tc>
          <w:tcPr>
            <w:tcW w:w="1381" w:type="dxa"/>
            <w:tcBorders>
              <w:top w:val="single" w:color="auto" w:sz="6" w:space="0"/>
              <w:left w:val="nil"/>
              <w:bottom w:val="single" w:color="auto" w:sz="6" w:space="0"/>
              <w:right w:val="single" w:color="auto" w:sz="4" w:space="0"/>
            </w:tcBorders>
            <w:noWrap/>
            <w:vAlign w:val="center"/>
          </w:tcPr>
          <w:p w14:paraId="7BFFA1C6">
            <w:pPr>
              <w:jc w:val="center"/>
              <w:rPr>
                <w:rFonts w:hint="eastAsia" w:ascii="仿宋" w:hAnsi="仿宋" w:eastAsia="仿宋" w:cs="仿宋"/>
                <w:b/>
                <w:bCs/>
                <w:color w:val="auto"/>
                <w:sz w:val="22"/>
                <w:szCs w:val="22"/>
                <w:highlight w:val="none"/>
              </w:rPr>
            </w:pPr>
          </w:p>
        </w:tc>
        <w:tc>
          <w:tcPr>
            <w:tcW w:w="1154" w:type="dxa"/>
            <w:tcBorders>
              <w:top w:val="single" w:color="auto" w:sz="6" w:space="0"/>
              <w:left w:val="nil"/>
              <w:bottom w:val="single" w:color="auto" w:sz="6" w:space="0"/>
              <w:right w:val="single" w:color="auto" w:sz="6" w:space="0"/>
            </w:tcBorders>
            <w:noWrap/>
            <w:vAlign w:val="center"/>
          </w:tcPr>
          <w:p w14:paraId="78D6E565">
            <w:pPr>
              <w:jc w:val="center"/>
              <w:rPr>
                <w:rFonts w:hint="eastAsia" w:ascii="仿宋" w:hAnsi="仿宋" w:eastAsia="仿宋" w:cs="仿宋"/>
                <w:b/>
                <w:bCs/>
                <w:color w:val="auto"/>
                <w:sz w:val="22"/>
                <w:szCs w:val="22"/>
                <w:highlight w:val="none"/>
              </w:rPr>
            </w:pPr>
          </w:p>
        </w:tc>
        <w:tc>
          <w:tcPr>
            <w:tcW w:w="1262" w:type="dxa"/>
            <w:tcBorders>
              <w:top w:val="single" w:color="auto" w:sz="6" w:space="0"/>
              <w:left w:val="single" w:color="auto" w:sz="6" w:space="0"/>
              <w:bottom w:val="single" w:color="auto" w:sz="6" w:space="0"/>
              <w:right w:val="single" w:color="auto" w:sz="6" w:space="0"/>
            </w:tcBorders>
            <w:noWrap/>
            <w:vAlign w:val="center"/>
          </w:tcPr>
          <w:p w14:paraId="26B0640A">
            <w:pPr>
              <w:jc w:val="center"/>
              <w:rPr>
                <w:rFonts w:hint="eastAsia" w:ascii="仿宋" w:hAnsi="仿宋" w:eastAsia="仿宋" w:cs="仿宋"/>
                <w:b/>
                <w:bCs/>
                <w:color w:val="auto"/>
                <w:sz w:val="22"/>
                <w:szCs w:val="22"/>
                <w:highlight w:val="none"/>
              </w:rPr>
            </w:pPr>
          </w:p>
        </w:tc>
        <w:tc>
          <w:tcPr>
            <w:tcW w:w="1080" w:type="dxa"/>
            <w:tcBorders>
              <w:top w:val="single" w:color="auto" w:sz="6" w:space="0"/>
              <w:left w:val="single" w:color="auto" w:sz="6" w:space="0"/>
              <w:bottom w:val="single" w:color="auto" w:sz="6" w:space="0"/>
              <w:right w:val="single" w:color="auto" w:sz="6" w:space="0"/>
            </w:tcBorders>
            <w:noWrap/>
            <w:vAlign w:val="center"/>
          </w:tcPr>
          <w:p w14:paraId="45AD3086">
            <w:pPr>
              <w:jc w:val="center"/>
              <w:rPr>
                <w:rFonts w:hint="eastAsia" w:ascii="仿宋" w:hAnsi="仿宋" w:eastAsia="仿宋" w:cs="仿宋"/>
                <w:b/>
                <w:bCs/>
                <w:color w:val="auto"/>
                <w:sz w:val="22"/>
                <w:szCs w:val="22"/>
                <w:highlight w:val="none"/>
              </w:rPr>
            </w:pPr>
          </w:p>
        </w:tc>
        <w:tc>
          <w:tcPr>
            <w:tcW w:w="793" w:type="dxa"/>
            <w:tcBorders>
              <w:top w:val="single" w:color="auto" w:sz="6" w:space="0"/>
              <w:left w:val="single" w:color="auto" w:sz="6" w:space="0"/>
              <w:bottom w:val="single" w:color="auto" w:sz="6" w:space="0"/>
              <w:right w:val="single" w:color="auto" w:sz="12" w:space="0"/>
            </w:tcBorders>
            <w:noWrap/>
            <w:vAlign w:val="center"/>
          </w:tcPr>
          <w:p w14:paraId="3DDDFFE7">
            <w:pPr>
              <w:jc w:val="center"/>
              <w:rPr>
                <w:rFonts w:hint="eastAsia" w:ascii="仿宋" w:hAnsi="仿宋" w:eastAsia="仿宋" w:cs="仿宋"/>
                <w:color w:val="auto"/>
                <w:sz w:val="22"/>
                <w:szCs w:val="22"/>
                <w:highlight w:val="none"/>
              </w:rPr>
            </w:pPr>
          </w:p>
        </w:tc>
        <w:tc>
          <w:tcPr>
            <w:tcW w:w="900" w:type="dxa"/>
            <w:tcBorders>
              <w:top w:val="single" w:color="auto" w:sz="6" w:space="0"/>
              <w:left w:val="single" w:color="auto" w:sz="6" w:space="0"/>
              <w:bottom w:val="single" w:color="auto" w:sz="6" w:space="0"/>
              <w:right w:val="single" w:color="auto" w:sz="12" w:space="0"/>
            </w:tcBorders>
            <w:noWrap/>
            <w:vAlign w:val="center"/>
          </w:tcPr>
          <w:p w14:paraId="4014720F">
            <w:pPr>
              <w:jc w:val="center"/>
              <w:rPr>
                <w:rFonts w:hint="eastAsia" w:ascii="仿宋" w:hAnsi="仿宋" w:eastAsia="仿宋" w:cs="仿宋"/>
                <w:color w:val="auto"/>
                <w:kern w:val="0"/>
                <w:sz w:val="22"/>
                <w:szCs w:val="22"/>
                <w:highlight w:val="none"/>
              </w:rPr>
            </w:pPr>
          </w:p>
        </w:tc>
      </w:tr>
      <w:tr w14:paraId="7ECE94C2">
        <w:tblPrEx>
          <w:tblCellMar>
            <w:top w:w="0" w:type="dxa"/>
            <w:left w:w="108" w:type="dxa"/>
            <w:bottom w:w="0" w:type="dxa"/>
            <w:right w:w="108" w:type="dxa"/>
          </w:tblCellMar>
        </w:tblPrEx>
        <w:trPr>
          <w:cantSplit/>
          <w:trHeight w:val="577" w:hRule="atLeast"/>
        </w:trPr>
        <w:tc>
          <w:tcPr>
            <w:tcW w:w="494" w:type="dxa"/>
            <w:tcBorders>
              <w:top w:val="single" w:color="auto" w:sz="6" w:space="0"/>
              <w:left w:val="single" w:color="auto" w:sz="12" w:space="0"/>
              <w:bottom w:val="single" w:color="auto" w:sz="6" w:space="0"/>
              <w:right w:val="single" w:color="auto" w:sz="6" w:space="0"/>
            </w:tcBorders>
            <w:noWrap/>
            <w:vAlign w:val="center"/>
          </w:tcPr>
          <w:p w14:paraId="12AD893E">
            <w:pPr>
              <w:widowControl/>
              <w:jc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2</w:t>
            </w:r>
          </w:p>
        </w:tc>
        <w:tc>
          <w:tcPr>
            <w:tcW w:w="1604" w:type="dxa"/>
            <w:tcBorders>
              <w:top w:val="single" w:color="auto" w:sz="6" w:space="0"/>
              <w:left w:val="single" w:color="auto" w:sz="6" w:space="0"/>
              <w:bottom w:val="single" w:color="auto" w:sz="6" w:space="0"/>
              <w:right w:val="single" w:color="auto" w:sz="6" w:space="0"/>
            </w:tcBorders>
            <w:noWrap/>
          </w:tcPr>
          <w:p w14:paraId="796F36C3">
            <w:pPr>
              <w:widowControl/>
              <w:autoSpaceDE w:val="0"/>
              <w:autoSpaceDN w:val="0"/>
              <w:adjustRightInd w:val="0"/>
              <w:spacing w:line="440" w:lineRule="exact"/>
              <w:jc w:val="center"/>
              <w:textAlignment w:val="bottom"/>
              <w:rPr>
                <w:rFonts w:hint="eastAsia" w:ascii="仿宋" w:hAnsi="仿宋" w:eastAsia="仿宋" w:cs="仿宋"/>
                <w:color w:val="auto"/>
                <w:sz w:val="18"/>
                <w:szCs w:val="18"/>
                <w:highlight w:val="none"/>
              </w:rPr>
            </w:pPr>
          </w:p>
        </w:tc>
        <w:tc>
          <w:tcPr>
            <w:tcW w:w="855" w:type="dxa"/>
            <w:tcBorders>
              <w:top w:val="single" w:color="auto" w:sz="6" w:space="0"/>
              <w:left w:val="single" w:color="auto" w:sz="6" w:space="0"/>
              <w:bottom w:val="single" w:color="auto" w:sz="6" w:space="0"/>
              <w:right w:val="single" w:color="auto" w:sz="4" w:space="0"/>
            </w:tcBorders>
            <w:noWrap/>
            <w:vAlign w:val="center"/>
          </w:tcPr>
          <w:p w14:paraId="28CBCE6D">
            <w:pPr>
              <w:jc w:val="center"/>
              <w:rPr>
                <w:rFonts w:hint="eastAsia" w:ascii="仿宋" w:hAnsi="仿宋" w:eastAsia="仿宋" w:cs="仿宋"/>
                <w:b/>
                <w:bCs/>
                <w:color w:val="auto"/>
                <w:sz w:val="22"/>
                <w:szCs w:val="22"/>
                <w:highlight w:val="none"/>
              </w:rPr>
            </w:pPr>
          </w:p>
        </w:tc>
        <w:tc>
          <w:tcPr>
            <w:tcW w:w="1381" w:type="dxa"/>
            <w:tcBorders>
              <w:top w:val="single" w:color="auto" w:sz="6" w:space="0"/>
              <w:left w:val="nil"/>
              <w:bottom w:val="single" w:color="auto" w:sz="6" w:space="0"/>
              <w:right w:val="single" w:color="auto" w:sz="4" w:space="0"/>
            </w:tcBorders>
            <w:noWrap/>
            <w:vAlign w:val="center"/>
          </w:tcPr>
          <w:p w14:paraId="2C3116F7">
            <w:pPr>
              <w:jc w:val="center"/>
              <w:rPr>
                <w:rFonts w:hint="eastAsia" w:ascii="仿宋" w:hAnsi="仿宋" w:eastAsia="仿宋" w:cs="仿宋"/>
                <w:b/>
                <w:bCs/>
                <w:color w:val="auto"/>
                <w:sz w:val="22"/>
                <w:szCs w:val="22"/>
                <w:highlight w:val="none"/>
              </w:rPr>
            </w:pPr>
          </w:p>
        </w:tc>
        <w:tc>
          <w:tcPr>
            <w:tcW w:w="1154" w:type="dxa"/>
            <w:tcBorders>
              <w:top w:val="single" w:color="auto" w:sz="6" w:space="0"/>
              <w:left w:val="nil"/>
              <w:bottom w:val="single" w:color="auto" w:sz="6" w:space="0"/>
              <w:right w:val="single" w:color="auto" w:sz="6" w:space="0"/>
            </w:tcBorders>
            <w:noWrap/>
            <w:vAlign w:val="center"/>
          </w:tcPr>
          <w:p w14:paraId="0F497F6C">
            <w:pPr>
              <w:jc w:val="center"/>
              <w:rPr>
                <w:rFonts w:hint="eastAsia" w:ascii="仿宋" w:hAnsi="仿宋" w:eastAsia="仿宋" w:cs="仿宋"/>
                <w:b/>
                <w:bCs/>
                <w:color w:val="auto"/>
                <w:sz w:val="22"/>
                <w:szCs w:val="22"/>
                <w:highlight w:val="none"/>
              </w:rPr>
            </w:pPr>
          </w:p>
        </w:tc>
        <w:tc>
          <w:tcPr>
            <w:tcW w:w="1262" w:type="dxa"/>
            <w:tcBorders>
              <w:top w:val="single" w:color="auto" w:sz="6" w:space="0"/>
              <w:left w:val="single" w:color="auto" w:sz="6" w:space="0"/>
              <w:bottom w:val="single" w:color="auto" w:sz="6" w:space="0"/>
              <w:right w:val="single" w:color="auto" w:sz="6" w:space="0"/>
            </w:tcBorders>
            <w:noWrap/>
            <w:vAlign w:val="center"/>
          </w:tcPr>
          <w:p w14:paraId="4609AC57">
            <w:pPr>
              <w:jc w:val="center"/>
              <w:rPr>
                <w:rFonts w:hint="eastAsia" w:ascii="仿宋" w:hAnsi="仿宋" w:eastAsia="仿宋" w:cs="仿宋"/>
                <w:b/>
                <w:bCs/>
                <w:color w:val="auto"/>
                <w:sz w:val="22"/>
                <w:szCs w:val="22"/>
                <w:highlight w:val="none"/>
              </w:rPr>
            </w:pPr>
          </w:p>
        </w:tc>
        <w:tc>
          <w:tcPr>
            <w:tcW w:w="1080" w:type="dxa"/>
            <w:tcBorders>
              <w:top w:val="single" w:color="auto" w:sz="6" w:space="0"/>
              <w:left w:val="single" w:color="auto" w:sz="6" w:space="0"/>
              <w:bottom w:val="single" w:color="auto" w:sz="6" w:space="0"/>
              <w:right w:val="single" w:color="auto" w:sz="6" w:space="0"/>
            </w:tcBorders>
            <w:noWrap/>
            <w:vAlign w:val="center"/>
          </w:tcPr>
          <w:p w14:paraId="11E8B985">
            <w:pPr>
              <w:jc w:val="center"/>
              <w:rPr>
                <w:rFonts w:hint="eastAsia" w:ascii="仿宋" w:hAnsi="仿宋" w:eastAsia="仿宋" w:cs="仿宋"/>
                <w:b/>
                <w:bCs/>
                <w:color w:val="auto"/>
                <w:sz w:val="22"/>
                <w:szCs w:val="22"/>
                <w:highlight w:val="none"/>
              </w:rPr>
            </w:pPr>
          </w:p>
        </w:tc>
        <w:tc>
          <w:tcPr>
            <w:tcW w:w="793" w:type="dxa"/>
            <w:tcBorders>
              <w:top w:val="single" w:color="auto" w:sz="6" w:space="0"/>
              <w:left w:val="single" w:color="auto" w:sz="6" w:space="0"/>
              <w:bottom w:val="single" w:color="auto" w:sz="6" w:space="0"/>
              <w:right w:val="single" w:color="auto" w:sz="12" w:space="0"/>
            </w:tcBorders>
            <w:noWrap/>
            <w:vAlign w:val="center"/>
          </w:tcPr>
          <w:p w14:paraId="3F356C35">
            <w:pPr>
              <w:jc w:val="center"/>
              <w:rPr>
                <w:rFonts w:hint="eastAsia" w:ascii="仿宋" w:hAnsi="仿宋" w:eastAsia="仿宋" w:cs="仿宋"/>
                <w:color w:val="auto"/>
                <w:sz w:val="22"/>
                <w:szCs w:val="22"/>
                <w:highlight w:val="none"/>
              </w:rPr>
            </w:pPr>
          </w:p>
        </w:tc>
        <w:tc>
          <w:tcPr>
            <w:tcW w:w="900" w:type="dxa"/>
            <w:tcBorders>
              <w:top w:val="single" w:color="auto" w:sz="6" w:space="0"/>
              <w:left w:val="single" w:color="auto" w:sz="6" w:space="0"/>
              <w:bottom w:val="single" w:color="auto" w:sz="6" w:space="0"/>
              <w:right w:val="single" w:color="auto" w:sz="12" w:space="0"/>
            </w:tcBorders>
            <w:noWrap/>
            <w:vAlign w:val="center"/>
          </w:tcPr>
          <w:p w14:paraId="2B2DD35B">
            <w:pPr>
              <w:jc w:val="center"/>
              <w:rPr>
                <w:rFonts w:hint="eastAsia" w:ascii="仿宋" w:hAnsi="仿宋" w:eastAsia="仿宋" w:cs="仿宋"/>
                <w:color w:val="auto"/>
                <w:sz w:val="22"/>
                <w:szCs w:val="22"/>
                <w:highlight w:val="none"/>
              </w:rPr>
            </w:pPr>
          </w:p>
        </w:tc>
      </w:tr>
      <w:tr w14:paraId="4BAE36D4">
        <w:tblPrEx>
          <w:tblCellMar>
            <w:top w:w="0" w:type="dxa"/>
            <w:left w:w="108" w:type="dxa"/>
            <w:bottom w:w="0" w:type="dxa"/>
            <w:right w:w="108" w:type="dxa"/>
          </w:tblCellMar>
        </w:tblPrEx>
        <w:trPr>
          <w:cantSplit/>
          <w:trHeight w:val="585" w:hRule="atLeast"/>
        </w:trPr>
        <w:tc>
          <w:tcPr>
            <w:tcW w:w="494" w:type="dxa"/>
            <w:tcBorders>
              <w:top w:val="single" w:color="auto" w:sz="6" w:space="0"/>
              <w:left w:val="single" w:color="auto" w:sz="12" w:space="0"/>
              <w:bottom w:val="single" w:color="auto" w:sz="6" w:space="0"/>
              <w:right w:val="single" w:color="auto" w:sz="6" w:space="0"/>
            </w:tcBorders>
            <w:noWrap/>
            <w:vAlign w:val="center"/>
          </w:tcPr>
          <w:p w14:paraId="1A923077">
            <w:pPr>
              <w:widowControl/>
              <w:jc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3</w:t>
            </w:r>
          </w:p>
        </w:tc>
        <w:tc>
          <w:tcPr>
            <w:tcW w:w="1604" w:type="dxa"/>
            <w:tcBorders>
              <w:top w:val="single" w:color="auto" w:sz="6" w:space="0"/>
              <w:left w:val="single" w:color="auto" w:sz="6" w:space="0"/>
              <w:bottom w:val="single" w:color="auto" w:sz="6" w:space="0"/>
              <w:right w:val="single" w:color="auto" w:sz="6" w:space="0"/>
            </w:tcBorders>
            <w:noWrap/>
          </w:tcPr>
          <w:p w14:paraId="782A69B9">
            <w:pPr>
              <w:widowControl/>
              <w:autoSpaceDE w:val="0"/>
              <w:autoSpaceDN w:val="0"/>
              <w:adjustRightInd w:val="0"/>
              <w:spacing w:line="440" w:lineRule="exact"/>
              <w:jc w:val="center"/>
              <w:textAlignment w:val="bottom"/>
              <w:rPr>
                <w:rFonts w:hint="eastAsia" w:ascii="仿宋" w:hAnsi="仿宋" w:eastAsia="仿宋" w:cs="仿宋"/>
                <w:color w:val="auto"/>
                <w:sz w:val="18"/>
                <w:szCs w:val="18"/>
                <w:highlight w:val="none"/>
              </w:rPr>
            </w:pPr>
          </w:p>
        </w:tc>
        <w:tc>
          <w:tcPr>
            <w:tcW w:w="855" w:type="dxa"/>
            <w:tcBorders>
              <w:top w:val="single" w:color="auto" w:sz="6" w:space="0"/>
              <w:left w:val="single" w:color="auto" w:sz="6" w:space="0"/>
              <w:bottom w:val="single" w:color="auto" w:sz="6" w:space="0"/>
              <w:right w:val="single" w:color="auto" w:sz="4" w:space="0"/>
            </w:tcBorders>
            <w:noWrap/>
            <w:vAlign w:val="center"/>
          </w:tcPr>
          <w:p w14:paraId="623369DE">
            <w:pPr>
              <w:jc w:val="center"/>
              <w:rPr>
                <w:rFonts w:hint="eastAsia" w:ascii="仿宋" w:hAnsi="仿宋" w:eastAsia="仿宋" w:cs="仿宋"/>
                <w:b/>
                <w:bCs/>
                <w:color w:val="auto"/>
                <w:sz w:val="22"/>
                <w:szCs w:val="22"/>
                <w:highlight w:val="none"/>
              </w:rPr>
            </w:pPr>
          </w:p>
        </w:tc>
        <w:tc>
          <w:tcPr>
            <w:tcW w:w="1381" w:type="dxa"/>
            <w:tcBorders>
              <w:top w:val="single" w:color="auto" w:sz="6" w:space="0"/>
              <w:left w:val="nil"/>
              <w:bottom w:val="single" w:color="auto" w:sz="6" w:space="0"/>
              <w:right w:val="single" w:color="auto" w:sz="4" w:space="0"/>
            </w:tcBorders>
            <w:noWrap/>
            <w:vAlign w:val="center"/>
          </w:tcPr>
          <w:p w14:paraId="2ABAA88F">
            <w:pPr>
              <w:jc w:val="center"/>
              <w:rPr>
                <w:rFonts w:hint="eastAsia" w:ascii="仿宋" w:hAnsi="仿宋" w:eastAsia="仿宋" w:cs="仿宋"/>
                <w:b/>
                <w:bCs/>
                <w:color w:val="auto"/>
                <w:sz w:val="22"/>
                <w:szCs w:val="22"/>
                <w:highlight w:val="none"/>
              </w:rPr>
            </w:pPr>
          </w:p>
        </w:tc>
        <w:tc>
          <w:tcPr>
            <w:tcW w:w="1154" w:type="dxa"/>
            <w:tcBorders>
              <w:top w:val="single" w:color="auto" w:sz="6" w:space="0"/>
              <w:left w:val="nil"/>
              <w:bottom w:val="single" w:color="auto" w:sz="6" w:space="0"/>
              <w:right w:val="single" w:color="auto" w:sz="6" w:space="0"/>
            </w:tcBorders>
            <w:noWrap/>
            <w:vAlign w:val="center"/>
          </w:tcPr>
          <w:p w14:paraId="1E0371CE">
            <w:pPr>
              <w:jc w:val="center"/>
              <w:rPr>
                <w:rFonts w:hint="eastAsia" w:ascii="仿宋" w:hAnsi="仿宋" w:eastAsia="仿宋" w:cs="仿宋"/>
                <w:b/>
                <w:bCs/>
                <w:color w:val="auto"/>
                <w:sz w:val="22"/>
                <w:szCs w:val="22"/>
                <w:highlight w:val="none"/>
              </w:rPr>
            </w:pPr>
          </w:p>
        </w:tc>
        <w:tc>
          <w:tcPr>
            <w:tcW w:w="1262" w:type="dxa"/>
            <w:tcBorders>
              <w:top w:val="single" w:color="auto" w:sz="6" w:space="0"/>
              <w:left w:val="single" w:color="auto" w:sz="6" w:space="0"/>
              <w:bottom w:val="single" w:color="auto" w:sz="6" w:space="0"/>
              <w:right w:val="single" w:color="auto" w:sz="6" w:space="0"/>
            </w:tcBorders>
            <w:noWrap/>
            <w:vAlign w:val="center"/>
          </w:tcPr>
          <w:p w14:paraId="619CBDA4">
            <w:pPr>
              <w:jc w:val="center"/>
              <w:rPr>
                <w:rFonts w:hint="eastAsia" w:ascii="仿宋" w:hAnsi="仿宋" w:eastAsia="仿宋" w:cs="仿宋"/>
                <w:b/>
                <w:bCs/>
                <w:color w:val="auto"/>
                <w:sz w:val="22"/>
                <w:szCs w:val="22"/>
                <w:highlight w:val="none"/>
              </w:rPr>
            </w:pPr>
          </w:p>
        </w:tc>
        <w:tc>
          <w:tcPr>
            <w:tcW w:w="1080" w:type="dxa"/>
            <w:tcBorders>
              <w:top w:val="single" w:color="auto" w:sz="6" w:space="0"/>
              <w:left w:val="single" w:color="auto" w:sz="6" w:space="0"/>
              <w:bottom w:val="single" w:color="auto" w:sz="6" w:space="0"/>
              <w:right w:val="single" w:color="auto" w:sz="6" w:space="0"/>
            </w:tcBorders>
            <w:noWrap/>
            <w:vAlign w:val="center"/>
          </w:tcPr>
          <w:p w14:paraId="69FB0B81">
            <w:pPr>
              <w:jc w:val="center"/>
              <w:rPr>
                <w:rFonts w:hint="eastAsia" w:ascii="仿宋" w:hAnsi="仿宋" w:eastAsia="仿宋" w:cs="仿宋"/>
                <w:b/>
                <w:bCs/>
                <w:color w:val="auto"/>
                <w:sz w:val="22"/>
                <w:szCs w:val="22"/>
                <w:highlight w:val="none"/>
              </w:rPr>
            </w:pPr>
          </w:p>
        </w:tc>
        <w:tc>
          <w:tcPr>
            <w:tcW w:w="793" w:type="dxa"/>
            <w:tcBorders>
              <w:top w:val="single" w:color="auto" w:sz="6" w:space="0"/>
              <w:left w:val="single" w:color="auto" w:sz="6" w:space="0"/>
              <w:bottom w:val="single" w:color="auto" w:sz="6" w:space="0"/>
              <w:right w:val="single" w:color="auto" w:sz="12" w:space="0"/>
            </w:tcBorders>
            <w:noWrap/>
            <w:vAlign w:val="center"/>
          </w:tcPr>
          <w:p w14:paraId="2A9C7D56">
            <w:pPr>
              <w:jc w:val="center"/>
              <w:rPr>
                <w:rFonts w:hint="eastAsia" w:ascii="仿宋" w:hAnsi="仿宋" w:eastAsia="仿宋" w:cs="仿宋"/>
                <w:color w:val="auto"/>
                <w:sz w:val="22"/>
                <w:szCs w:val="22"/>
                <w:highlight w:val="none"/>
              </w:rPr>
            </w:pPr>
          </w:p>
        </w:tc>
        <w:tc>
          <w:tcPr>
            <w:tcW w:w="900" w:type="dxa"/>
            <w:tcBorders>
              <w:top w:val="single" w:color="auto" w:sz="6" w:space="0"/>
              <w:left w:val="single" w:color="auto" w:sz="6" w:space="0"/>
              <w:bottom w:val="single" w:color="auto" w:sz="6" w:space="0"/>
              <w:right w:val="single" w:color="auto" w:sz="12" w:space="0"/>
            </w:tcBorders>
            <w:noWrap/>
            <w:vAlign w:val="center"/>
          </w:tcPr>
          <w:p w14:paraId="0C1A687E">
            <w:pPr>
              <w:jc w:val="center"/>
              <w:rPr>
                <w:rFonts w:hint="eastAsia" w:ascii="仿宋" w:hAnsi="仿宋" w:eastAsia="仿宋" w:cs="仿宋"/>
                <w:color w:val="auto"/>
                <w:sz w:val="22"/>
                <w:szCs w:val="22"/>
                <w:highlight w:val="none"/>
              </w:rPr>
            </w:pPr>
          </w:p>
        </w:tc>
      </w:tr>
      <w:tr w14:paraId="2B133330">
        <w:tblPrEx>
          <w:tblCellMar>
            <w:top w:w="0" w:type="dxa"/>
            <w:left w:w="108" w:type="dxa"/>
            <w:bottom w:w="0" w:type="dxa"/>
            <w:right w:w="108" w:type="dxa"/>
          </w:tblCellMar>
        </w:tblPrEx>
        <w:trPr>
          <w:cantSplit/>
          <w:trHeight w:val="445" w:hRule="atLeast"/>
        </w:trPr>
        <w:tc>
          <w:tcPr>
            <w:tcW w:w="494" w:type="dxa"/>
            <w:tcBorders>
              <w:top w:val="single" w:color="auto" w:sz="6" w:space="0"/>
              <w:left w:val="single" w:color="auto" w:sz="12" w:space="0"/>
              <w:bottom w:val="single" w:color="auto" w:sz="6" w:space="0"/>
              <w:right w:val="single" w:color="auto" w:sz="6" w:space="0"/>
            </w:tcBorders>
            <w:noWrap/>
            <w:vAlign w:val="center"/>
          </w:tcPr>
          <w:p w14:paraId="3A4000B8">
            <w:pPr>
              <w:widowControl/>
              <w:jc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4</w:t>
            </w:r>
          </w:p>
        </w:tc>
        <w:tc>
          <w:tcPr>
            <w:tcW w:w="1604" w:type="dxa"/>
            <w:tcBorders>
              <w:top w:val="single" w:color="auto" w:sz="6" w:space="0"/>
              <w:left w:val="single" w:color="auto" w:sz="6" w:space="0"/>
              <w:bottom w:val="single" w:color="auto" w:sz="6" w:space="0"/>
              <w:right w:val="single" w:color="auto" w:sz="6" w:space="0"/>
            </w:tcBorders>
            <w:noWrap/>
          </w:tcPr>
          <w:p w14:paraId="6B0A8210">
            <w:pPr>
              <w:widowControl/>
              <w:autoSpaceDE w:val="0"/>
              <w:autoSpaceDN w:val="0"/>
              <w:adjustRightInd w:val="0"/>
              <w:spacing w:line="440" w:lineRule="exact"/>
              <w:jc w:val="center"/>
              <w:textAlignment w:val="bottom"/>
              <w:rPr>
                <w:rFonts w:hint="eastAsia" w:ascii="仿宋" w:hAnsi="仿宋" w:eastAsia="仿宋" w:cs="仿宋"/>
                <w:color w:val="auto"/>
                <w:kern w:val="0"/>
                <w:sz w:val="18"/>
                <w:szCs w:val="18"/>
                <w:highlight w:val="none"/>
              </w:rPr>
            </w:pPr>
          </w:p>
        </w:tc>
        <w:tc>
          <w:tcPr>
            <w:tcW w:w="855" w:type="dxa"/>
            <w:tcBorders>
              <w:top w:val="single" w:color="auto" w:sz="6" w:space="0"/>
              <w:left w:val="single" w:color="auto" w:sz="6" w:space="0"/>
              <w:bottom w:val="single" w:color="auto" w:sz="6" w:space="0"/>
              <w:right w:val="single" w:color="auto" w:sz="4" w:space="0"/>
            </w:tcBorders>
            <w:noWrap/>
            <w:vAlign w:val="center"/>
          </w:tcPr>
          <w:p w14:paraId="1EE97EDB">
            <w:pPr>
              <w:jc w:val="center"/>
              <w:rPr>
                <w:rFonts w:hint="eastAsia" w:ascii="仿宋" w:hAnsi="仿宋" w:eastAsia="仿宋" w:cs="仿宋"/>
                <w:b/>
                <w:bCs/>
                <w:color w:val="auto"/>
                <w:sz w:val="22"/>
                <w:szCs w:val="22"/>
                <w:highlight w:val="none"/>
              </w:rPr>
            </w:pPr>
          </w:p>
        </w:tc>
        <w:tc>
          <w:tcPr>
            <w:tcW w:w="1381" w:type="dxa"/>
            <w:tcBorders>
              <w:top w:val="single" w:color="auto" w:sz="6" w:space="0"/>
              <w:left w:val="nil"/>
              <w:bottom w:val="single" w:color="auto" w:sz="6" w:space="0"/>
              <w:right w:val="single" w:color="auto" w:sz="4" w:space="0"/>
            </w:tcBorders>
            <w:noWrap/>
            <w:vAlign w:val="center"/>
          </w:tcPr>
          <w:p w14:paraId="61A184FB">
            <w:pPr>
              <w:jc w:val="center"/>
              <w:rPr>
                <w:rFonts w:hint="eastAsia" w:ascii="仿宋" w:hAnsi="仿宋" w:eastAsia="仿宋" w:cs="仿宋"/>
                <w:b/>
                <w:bCs/>
                <w:color w:val="auto"/>
                <w:sz w:val="22"/>
                <w:szCs w:val="22"/>
                <w:highlight w:val="none"/>
              </w:rPr>
            </w:pPr>
          </w:p>
        </w:tc>
        <w:tc>
          <w:tcPr>
            <w:tcW w:w="1154" w:type="dxa"/>
            <w:tcBorders>
              <w:top w:val="single" w:color="auto" w:sz="6" w:space="0"/>
              <w:left w:val="nil"/>
              <w:bottom w:val="single" w:color="auto" w:sz="6" w:space="0"/>
              <w:right w:val="single" w:color="auto" w:sz="6" w:space="0"/>
            </w:tcBorders>
            <w:noWrap/>
            <w:vAlign w:val="center"/>
          </w:tcPr>
          <w:p w14:paraId="645B2F75">
            <w:pPr>
              <w:jc w:val="center"/>
              <w:rPr>
                <w:rFonts w:hint="eastAsia" w:ascii="仿宋" w:hAnsi="仿宋" w:eastAsia="仿宋" w:cs="仿宋"/>
                <w:b/>
                <w:bCs/>
                <w:color w:val="auto"/>
                <w:sz w:val="22"/>
                <w:szCs w:val="22"/>
                <w:highlight w:val="none"/>
              </w:rPr>
            </w:pPr>
          </w:p>
        </w:tc>
        <w:tc>
          <w:tcPr>
            <w:tcW w:w="1262" w:type="dxa"/>
            <w:tcBorders>
              <w:top w:val="single" w:color="auto" w:sz="6" w:space="0"/>
              <w:left w:val="single" w:color="auto" w:sz="6" w:space="0"/>
              <w:bottom w:val="single" w:color="auto" w:sz="6" w:space="0"/>
              <w:right w:val="single" w:color="auto" w:sz="6" w:space="0"/>
            </w:tcBorders>
            <w:noWrap/>
            <w:vAlign w:val="center"/>
          </w:tcPr>
          <w:p w14:paraId="1F0C1E98">
            <w:pPr>
              <w:jc w:val="center"/>
              <w:rPr>
                <w:rFonts w:hint="eastAsia" w:ascii="仿宋" w:hAnsi="仿宋" w:eastAsia="仿宋" w:cs="仿宋"/>
                <w:b/>
                <w:bCs/>
                <w:color w:val="auto"/>
                <w:sz w:val="22"/>
                <w:szCs w:val="22"/>
                <w:highlight w:val="none"/>
              </w:rPr>
            </w:pPr>
          </w:p>
        </w:tc>
        <w:tc>
          <w:tcPr>
            <w:tcW w:w="1080" w:type="dxa"/>
            <w:tcBorders>
              <w:top w:val="single" w:color="auto" w:sz="6" w:space="0"/>
              <w:left w:val="single" w:color="auto" w:sz="6" w:space="0"/>
              <w:bottom w:val="single" w:color="auto" w:sz="6" w:space="0"/>
              <w:right w:val="single" w:color="auto" w:sz="6" w:space="0"/>
            </w:tcBorders>
            <w:noWrap/>
            <w:vAlign w:val="center"/>
          </w:tcPr>
          <w:p w14:paraId="7FFD34FA">
            <w:pPr>
              <w:jc w:val="center"/>
              <w:rPr>
                <w:rFonts w:hint="eastAsia" w:ascii="仿宋" w:hAnsi="仿宋" w:eastAsia="仿宋" w:cs="仿宋"/>
                <w:b/>
                <w:bCs/>
                <w:color w:val="auto"/>
                <w:sz w:val="22"/>
                <w:szCs w:val="22"/>
                <w:highlight w:val="none"/>
              </w:rPr>
            </w:pPr>
          </w:p>
        </w:tc>
        <w:tc>
          <w:tcPr>
            <w:tcW w:w="793" w:type="dxa"/>
            <w:tcBorders>
              <w:top w:val="single" w:color="auto" w:sz="6" w:space="0"/>
              <w:left w:val="single" w:color="auto" w:sz="6" w:space="0"/>
              <w:bottom w:val="single" w:color="auto" w:sz="6" w:space="0"/>
              <w:right w:val="single" w:color="auto" w:sz="12" w:space="0"/>
            </w:tcBorders>
            <w:noWrap/>
            <w:vAlign w:val="center"/>
          </w:tcPr>
          <w:p w14:paraId="48B3A34C">
            <w:pPr>
              <w:jc w:val="center"/>
              <w:rPr>
                <w:rFonts w:hint="eastAsia" w:ascii="仿宋" w:hAnsi="仿宋" w:eastAsia="仿宋" w:cs="仿宋"/>
                <w:color w:val="auto"/>
                <w:sz w:val="22"/>
                <w:szCs w:val="22"/>
                <w:highlight w:val="none"/>
              </w:rPr>
            </w:pPr>
          </w:p>
        </w:tc>
        <w:tc>
          <w:tcPr>
            <w:tcW w:w="900" w:type="dxa"/>
            <w:tcBorders>
              <w:top w:val="single" w:color="auto" w:sz="6" w:space="0"/>
              <w:left w:val="single" w:color="auto" w:sz="6" w:space="0"/>
              <w:bottom w:val="single" w:color="auto" w:sz="6" w:space="0"/>
              <w:right w:val="single" w:color="auto" w:sz="12" w:space="0"/>
            </w:tcBorders>
            <w:noWrap/>
            <w:vAlign w:val="center"/>
          </w:tcPr>
          <w:p w14:paraId="602D746B">
            <w:pPr>
              <w:jc w:val="center"/>
              <w:rPr>
                <w:rFonts w:hint="eastAsia" w:ascii="仿宋" w:hAnsi="仿宋" w:eastAsia="仿宋" w:cs="仿宋"/>
                <w:color w:val="auto"/>
                <w:sz w:val="22"/>
                <w:szCs w:val="22"/>
                <w:highlight w:val="none"/>
              </w:rPr>
            </w:pPr>
          </w:p>
        </w:tc>
      </w:tr>
      <w:tr w14:paraId="3F28D00C">
        <w:tblPrEx>
          <w:tblCellMar>
            <w:top w:w="0" w:type="dxa"/>
            <w:left w:w="108" w:type="dxa"/>
            <w:bottom w:w="0" w:type="dxa"/>
            <w:right w:w="108" w:type="dxa"/>
          </w:tblCellMar>
        </w:tblPrEx>
        <w:trPr>
          <w:cantSplit/>
          <w:trHeight w:val="383" w:hRule="atLeast"/>
        </w:trPr>
        <w:tc>
          <w:tcPr>
            <w:tcW w:w="494" w:type="dxa"/>
            <w:tcBorders>
              <w:top w:val="single" w:color="auto" w:sz="6" w:space="0"/>
              <w:left w:val="single" w:color="auto" w:sz="12" w:space="0"/>
              <w:bottom w:val="single" w:color="auto" w:sz="6" w:space="0"/>
              <w:right w:val="single" w:color="auto" w:sz="6" w:space="0"/>
            </w:tcBorders>
            <w:noWrap/>
            <w:vAlign w:val="center"/>
          </w:tcPr>
          <w:p w14:paraId="6E658E8E">
            <w:pPr>
              <w:widowControl/>
              <w:jc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5</w:t>
            </w:r>
          </w:p>
        </w:tc>
        <w:tc>
          <w:tcPr>
            <w:tcW w:w="1604" w:type="dxa"/>
            <w:tcBorders>
              <w:top w:val="single" w:color="auto" w:sz="6" w:space="0"/>
              <w:left w:val="single" w:color="auto" w:sz="6" w:space="0"/>
              <w:bottom w:val="single" w:color="auto" w:sz="6" w:space="0"/>
              <w:right w:val="single" w:color="auto" w:sz="6" w:space="0"/>
            </w:tcBorders>
            <w:noWrap/>
          </w:tcPr>
          <w:p w14:paraId="0E2859C3">
            <w:pPr>
              <w:widowControl/>
              <w:jc w:val="center"/>
              <w:rPr>
                <w:rFonts w:hint="eastAsia" w:ascii="仿宋" w:hAnsi="仿宋" w:eastAsia="仿宋" w:cs="仿宋"/>
                <w:color w:val="auto"/>
                <w:kern w:val="0"/>
                <w:sz w:val="22"/>
                <w:szCs w:val="22"/>
                <w:highlight w:val="none"/>
              </w:rPr>
            </w:pPr>
          </w:p>
        </w:tc>
        <w:tc>
          <w:tcPr>
            <w:tcW w:w="855" w:type="dxa"/>
            <w:tcBorders>
              <w:top w:val="single" w:color="auto" w:sz="6" w:space="0"/>
              <w:left w:val="single" w:color="auto" w:sz="6" w:space="0"/>
              <w:bottom w:val="single" w:color="auto" w:sz="6" w:space="0"/>
              <w:right w:val="single" w:color="auto" w:sz="4" w:space="0"/>
            </w:tcBorders>
            <w:noWrap/>
            <w:vAlign w:val="center"/>
          </w:tcPr>
          <w:p w14:paraId="2099CE57">
            <w:pPr>
              <w:jc w:val="center"/>
              <w:rPr>
                <w:rFonts w:hint="eastAsia" w:ascii="仿宋" w:hAnsi="仿宋" w:eastAsia="仿宋" w:cs="仿宋"/>
                <w:b/>
                <w:bCs/>
                <w:color w:val="auto"/>
                <w:sz w:val="22"/>
                <w:szCs w:val="22"/>
                <w:highlight w:val="none"/>
              </w:rPr>
            </w:pPr>
          </w:p>
        </w:tc>
        <w:tc>
          <w:tcPr>
            <w:tcW w:w="1381" w:type="dxa"/>
            <w:tcBorders>
              <w:top w:val="single" w:color="auto" w:sz="6" w:space="0"/>
              <w:left w:val="nil"/>
              <w:bottom w:val="single" w:color="auto" w:sz="6" w:space="0"/>
              <w:right w:val="single" w:color="auto" w:sz="4" w:space="0"/>
            </w:tcBorders>
            <w:noWrap/>
            <w:vAlign w:val="center"/>
          </w:tcPr>
          <w:p w14:paraId="399F28F4">
            <w:pPr>
              <w:jc w:val="center"/>
              <w:rPr>
                <w:rFonts w:hint="eastAsia" w:ascii="仿宋" w:hAnsi="仿宋" w:eastAsia="仿宋" w:cs="仿宋"/>
                <w:b/>
                <w:bCs/>
                <w:color w:val="auto"/>
                <w:sz w:val="22"/>
                <w:szCs w:val="22"/>
                <w:highlight w:val="none"/>
              </w:rPr>
            </w:pPr>
          </w:p>
        </w:tc>
        <w:tc>
          <w:tcPr>
            <w:tcW w:w="1154" w:type="dxa"/>
            <w:tcBorders>
              <w:top w:val="single" w:color="auto" w:sz="6" w:space="0"/>
              <w:left w:val="nil"/>
              <w:bottom w:val="single" w:color="auto" w:sz="6" w:space="0"/>
              <w:right w:val="single" w:color="auto" w:sz="6" w:space="0"/>
            </w:tcBorders>
            <w:noWrap/>
            <w:vAlign w:val="center"/>
          </w:tcPr>
          <w:p w14:paraId="466C2E9A">
            <w:pPr>
              <w:jc w:val="center"/>
              <w:rPr>
                <w:rFonts w:hint="eastAsia" w:ascii="仿宋" w:hAnsi="仿宋" w:eastAsia="仿宋" w:cs="仿宋"/>
                <w:b/>
                <w:bCs/>
                <w:color w:val="auto"/>
                <w:sz w:val="22"/>
                <w:szCs w:val="22"/>
                <w:highlight w:val="none"/>
              </w:rPr>
            </w:pPr>
          </w:p>
        </w:tc>
        <w:tc>
          <w:tcPr>
            <w:tcW w:w="1262" w:type="dxa"/>
            <w:tcBorders>
              <w:top w:val="single" w:color="auto" w:sz="6" w:space="0"/>
              <w:left w:val="single" w:color="auto" w:sz="6" w:space="0"/>
              <w:bottom w:val="single" w:color="auto" w:sz="6" w:space="0"/>
              <w:right w:val="single" w:color="auto" w:sz="6" w:space="0"/>
            </w:tcBorders>
            <w:noWrap/>
            <w:vAlign w:val="center"/>
          </w:tcPr>
          <w:p w14:paraId="111094D9">
            <w:pPr>
              <w:jc w:val="center"/>
              <w:rPr>
                <w:rFonts w:hint="eastAsia" w:ascii="仿宋" w:hAnsi="仿宋" w:eastAsia="仿宋" w:cs="仿宋"/>
                <w:b/>
                <w:bCs/>
                <w:color w:val="auto"/>
                <w:sz w:val="22"/>
                <w:szCs w:val="22"/>
                <w:highlight w:val="none"/>
              </w:rPr>
            </w:pPr>
          </w:p>
        </w:tc>
        <w:tc>
          <w:tcPr>
            <w:tcW w:w="1080" w:type="dxa"/>
            <w:tcBorders>
              <w:top w:val="single" w:color="auto" w:sz="6" w:space="0"/>
              <w:left w:val="single" w:color="auto" w:sz="6" w:space="0"/>
              <w:bottom w:val="single" w:color="auto" w:sz="6" w:space="0"/>
              <w:right w:val="single" w:color="auto" w:sz="6" w:space="0"/>
            </w:tcBorders>
            <w:noWrap/>
            <w:vAlign w:val="center"/>
          </w:tcPr>
          <w:p w14:paraId="62887967">
            <w:pPr>
              <w:jc w:val="center"/>
              <w:rPr>
                <w:rFonts w:hint="eastAsia" w:ascii="仿宋" w:hAnsi="仿宋" w:eastAsia="仿宋" w:cs="仿宋"/>
                <w:b/>
                <w:bCs/>
                <w:color w:val="auto"/>
                <w:sz w:val="22"/>
                <w:szCs w:val="22"/>
                <w:highlight w:val="none"/>
              </w:rPr>
            </w:pPr>
          </w:p>
        </w:tc>
        <w:tc>
          <w:tcPr>
            <w:tcW w:w="793" w:type="dxa"/>
            <w:tcBorders>
              <w:top w:val="single" w:color="auto" w:sz="6" w:space="0"/>
              <w:left w:val="single" w:color="auto" w:sz="6" w:space="0"/>
              <w:bottom w:val="single" w:color="auto" w:sz="6" w:space="0"/>
              <w:right w:val="single" w:color="auto" w:sz="12" w:space="0"/>
            </w:tcBorders>
            <w:noWrap/>
            <w:vAlign w:val="center"/>
          </w:tcPr>
          <w:p w14:paraId="760669AE">
            <w:pPr>
              <w:jc w:val="center"/>
              <w:rPr>
                <w:rFonts w:hint="eastAsia" w:ascii="仿宋" w:hAnsi="仿宋" w:eastAsia="仿宋" w:cs="仿宋"/>
                <w:color w:val="auto"/>
                <w:sz w:val="22"/>
                <w:szCs w:val="22"/>
                <w:highlight w:val="none"/>
              </w:rPr>
            </w:pPr>
          </w:p>
        </w:tc>
        <w:tc>
          <w:tcPr>
            <w:tcW w:w="900" w:type="dxa"/>
            <w:tcBorders>
              <w:top w:val="single" w:color="auto" w:sz="6" w:space="0"/>
              <w:left w:val="single" w:color="auto" w:sz="6" w:space="0"/>
              <w:bottom w:val="single" w:color="auto" w:sz="6" w:space="0"/>
              <w:right w:val="single" w:color="auto" w:sz="12" w:space="0"/>
            </w:tcBorders>
            <w:noWrap/>
            <w:vAlign w:val="center"/>
          </w:tcPr>
          <w:p w14:paraId="11E21901">
            <w:pPr>
              <w:jc w:val="center"/>
              <w:rPr>
                <w:rFonts w:hint="eastAsia" w:ascii="仿宋" w:hAnsi="仿宋" w:eastAsia="仿宋" w:cs="仿宋"/>
                <w:color w:val="auto"/>
                <w:sz w:val="22"/>
                <w:szCs w:val="22"/>
                <w:highlight w:val="none"/>
              </w:rPr>
            </w:pPr>
          </w:p>
        </w:tc>
      </w:tr>
      <w:tr w14:paraId="26C58412">
        <w:tblPrEx>
          <w:tblCellMar>
            <w:top w:w="0" w:type="dxa"/>
            <w:left w:w="108" w:type="dxa"/>
            <w:bottom w:w="0" w:type="dxa"/>
            <w:right w:w="108" w:type="dxa"/>
          </w:tblCellMar>
        </w:tblPrEx>
        <w:trPr>
          <w:cantSplit/>
          <w:trHeight w:val="383" w:hRule="atLeast"/>
        </w:trPr>
        <w:tc>
          <w:tcPr>
            <w:tcW w:w="494" w:type="dxa"/>
            <w:tcBorders>
              <w:top w:val="single" w:color="auto" w:sz="6" w:space="0"/>
              <w:left w:val="single" w:color="auto" w:sz="12" w:space="0"/>
              <w:bottom w:val="single" w:color="auto" w:sz="6" w:space="0"/>
              <w:right w:val="single" w:color="auto" w:sz="6" w:space="0"/>
            </w:tcBorders>
            <w:noWrap/>
            <w:vAlign w:val="center"/>
          </w:tcPr>
          <w:p w14:paraId="38A65DAD">
            <w:pPr>
              <w:widowControl/>
              <w:jc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6</w:t>
            </w:r>
          </w:p>
        </w:tc>
        <w:tc>
          <w:tcPr>
            <w:tcW w:w="1604" w:type="dxa"/>
            <w:tcBorders>
              <w:top w:val="single" w:color="auto" w:sz="6" w:space="0"/>
              <w:left w:val="single" w:color="auto" w:sz="6" w:space="0"/>
              <w:bottom w:val="single" w:color="auto" w:sz="6" w:space="0"/>
              <w:right w:val="single" w:color="auto" w:sz="6" w:space="0"/>
            </w:tcBorders>
            <w:noWrap/>
          </w:tcPr>
          <w:p w14:paraId="375460E0">
            <w:pPr>
              <w:widowControl/>
              <w:jc w:val="center"/>
              <w:rPr>
                <w:rFonts w:hint="eastAsia" w:ascii="仿宋" w:hAnsi="仿宋" w:eastAsia="仿宋" w:cs="仿宋"/>
                <w:color w:val="auto"/>
                <w:kern w:val="0"/>
                <w:sz w:val="22"/>
                <w:szCs w:val="22"/>
                <w:highlight w:val="none"/>
              </w:rPr>
            </w:pPr>
          </w:p>
        </w:tc>
        <w:tc>
          <w:tcPr>
            <w:tcW w:w="855" w:type="dxa"/>
            <w:tcBorders>
              <w:top w:val="single" w:color="auto" w:sz="6" w:space="0"/>
              <w:left w:val="single" w:color="auto" w:sz="6" w:space="0"/>
              <w:bottom w:val="single" w:color="auto" w:sz="6" w:space="0"/>
              <w:right w:val="single" w:color="auto" w:sz="4" w:space="0"/>
            </w:tcBorders>
            <w:noWrap/>
            <w:vAlign w:val="center"/>
          </w:tcPr>
          <w:p w14:paraId="1290C8E8">
            <w:pPr>
              <w:jc w:val="center"/>
              <w:rPr>
                <w:rFonts w:hint="eastAsia" w:ascii="仿宋" w:hAnsi="仿宋" w:eastAsia="仿宋" w:cs="仿宋"/>
                <w:b/>
                <w:bCs/>
                <w:color w:val="auto"/>
                <w:sz w:val="22"/>
                <w:szCs w:val="22"/>
                <w:highlight w:val="none"/>
              </w:rPr>
            </w:pPr>
          </w:p>
        </w:tc>
        <w:tc>
          <w:tcPr>
            <w:tcW w:w="1381" w:type="dxa"/>
            <w:tcBorders>
              <w:top w:val="single" w:color="auto" w:sz="6" w:space="0"/>
              <w:left w:val="nil"/>
              <w:bottom w:val="single" w:color="auto" w:sz="6" w:space="0"/>
              <w:right w:val="single" w:color="auto" w:sz="4" w:space="0"/>
            </w:tcBorders>
            <w:noWrap/>
            <w:vAlign w:val="center"/>
          </w:tcPr>
          <w:p w14:paraId="6767B323">
            <w:pPr>
              <w:jc w:val="center"/>
              <w:rPr>
                <w:rFonts w:hint="eastAsia" w:ascii="仿宋" w:hAnsi="仿宋" w:eastAsia="仿宋" w:cs="仿宋"/>
                <w:b/>
                <w:bCs/>
                <w:color w:val="auto"/>
                <w:sz w:val="22"/>
                <w:szCs w:val="22"/>
                <w:highlight w:val="none"/>
              </w:rPr>
            </w:pPr>
          </w:p>
        </w:tc>
        <w:tc>
          <w:tcPr>
            <w:tcW w:w="1154" w:type="dxa"/>
            <w:tcBorders>
              <w:top w:val="single" w:color="auto" w:sz="6" w:space="0"/>
              <w:left w:val="nil"/>
              <w:bottom w:val="single" w:color="auto" w:sz="6" w:space="0"/>
              <w:right w:val="single" w:color="auto" w:sz="6" w:space="0"/>
            </w:tcBorders>
            <w:noWrap/>
            <w:vAlign w:val="center"/>
          </w:tcPr>
          <w:p w14:paraId="6AD2D9A5">
            <w:pPr>
              <w:jc w:val="center"/>
              <w:rPr>
                <w:rFonts w:hint="eastAsia" w:ascii="仿宋" w:hAnsi="仿宋" w:eastAsia="仿宋" w:cs="仿宋"/>
                <w:b/>
                <w:bCs/>
                <w:color w:val="auto"/>
                <w:sz w:val="22"/>
                <w:szCs w:val="22"/>
                <w:highlight w:val="none"/>
              </w:rPr>
            </w:pPr>
          </w:p>
        </w:tc>
        <w:tc>
          <w:tcPr>
            <w:tcW w:w="1262" w:type="dxa"/>
            <w:tcBorders>
              <w:top w:val="single" w:color="auto" w:sz="6" w:space="0"/>
              <w:left w:val="single" w:color="auto" w:sz="6" w:space="0"/>
              <w:bottom w:val="single" w:color="auto" w:sz="6" w:space="0"/>
              <w:right w:val="single" w:color="auto" w:sz="6" w:space="0"/>
            </w:tcBorders>
            <w:noWrap/>
            <w:vAlign w:val="center"/>
          </w:tcPr>
          <w:p w14:paraId="6DCBB0F1">
            <w:pPr>
              <w:jc w:val="center"/>
              <w:rPr>
                <w:rFonts w:hint="eastAsia" w:ascii="仿宋" w:hAnsi="仿宋" w:eastAsia="仿宋" w:cs="仿宋"/>
                <w:b/>
                <w:bCs/>
                <w:color w:val="auto"/>
                <w:sz w:val="22"/>
                <w:szCs w:val="22"/>
                <w:highlight w:val="none"/>
              </w:rPr>
            </w:pPr>
          </w:p>
        </w:tc>
        <w:tc>
          <w:tcPr>
            <w:tcW w:w="1080" w:type="dxa"/>
            <w:tcBorders>
              <w:top w:val="single" w:color="auto" w:sz="6" w:space="0"/>
              <w:left w:val="single" w:color="auto" w:sz="6" w:space="0"/>
              <w:bottom w:val="single" w:color="auto" w:sz="6" w:space="0"/>
              <w:right w:val="single" w:color="auto" w:sz="6" w:space="0"/>
            </w:tcBorders>
            <w:noWrap/>
            <w:vAlign w:val="center"/>
          </w:tcPr>
          <w:p w14:paraId="332E1572">
            <w:pPr>
              <w:jc w:val="center"/>
              <w:rPr>
                <w:rFonts w:hint="eastAsia" w:ascii="仿宋" w:hAnsi="仿宋" w:eastAsia="仿宋" w:cs="仿宋"/>
                <w:b/>
                <w:bCs/>
                <w:color w:val="auto"/>
                <w:sz w:val="22"/>
                <w:szCs w:val="22"/>
                <w:highlight w:val="none"/>
              </w:rPr>
            </w:pPr>
          </w:p>
        </w:tc>
        <w:tc>
          <w:tcPr>
            <w:tcW w:w="793" w:type="dxa"/>
            <w:tcBorders>
              <w:top w:val="single" w:color="auto" w:sz="6" w:space="0"/>
              <w:left w:val="single" w:color="auto" w:sz="6" w:space="0"/>
              <w:bottom w:val="single" w:color="auto" w:sz="6" w:space="0"/>
              <w:right w:val="single" w:color="auto" w:sz="12" w:space="0"/>
            </w:tcBorders>
            <w:noWrap/>
            <w:vAlign w:val="center"/>
          </w:tcPr>
          <w:p w14:paraId="06F16789">
            <w:pPr>
              <w:jc w:val="center"/>
              <w:rPr>
                <w:rFonts w:hint="eastAsia" w:ascii="仿宋" w:hAnsi="仿宋" w:eastAsia="仿宋" w:cs="仿宋"/>
                <w:color w:val="auto"/>
                <w:sz w:val="22"/>
                <w:szCs w:val="22"/>
                <w:highlight w:val="none"/>
              </w:rPr>
            </w:pPr>
          </w:p>
        </w:tc>
        <w:tc>
          <w:tcPr>
            <w:tcW w:w="900" w:type="dxa"/>
            <w:tcBorders>
              <w:top w:val="single" w:color="auto" w:sz="6" w:space="0"/>
              <w:left w:val="single" w:color="auto" w:sz="6" w:space="0"/>
              <w:bottom w:val="single" w:color="auto" w:sz="6" w:space="0"/>
              <w:right w:val="single" w:color="auto" w:sz="12" w:space="0"/>
            </w:tcBorders>
            <w:noWrap/>
            <w:vAlign w:val="center"/>
          </w:tcPr>
          <w:p w14:paraId="425F9887">
            <w:pPr>
              <w:jc w:val="center"/>
              <w:rPr>
                <w:rFonts w:hint="eastAsia" w:ascii="仿宋" w:hAnsi="仿宋" w:eastAsia="仿宋" w:cs="仿宋"/>
                <w:color w:val="auto"/>
                <w:sz w:val="22"/>
                <w:szCs w:val="22"/>
                <w:highlight w:val="none"/>
              </w:rPr>
            </w:pPr>
          </w:p>
        </w:tc>
      </w:tr>
      <w:tr w14:paraId="270AC52A">
        <w:tblPrEx>
          <w:tblCellMar>
            <w:top w:w="0" w:type="dxa"/>
            <w:left w:w="108" w:type="dxa"/>
            <w:bottom w:w="0" w:type="dxa"/>
            <w:right w:w="108" w:type="dxa"/>
          </w:tblCellMar>
        </w:tblPrEx>
        <w:trPr>
          <w:cantSplit/>
          <w:trHeight w:val="398" w:hRule="atLeast"/>
        </w:trPr>
        <w:tc>
          <w:tcPr>
            <w:tcW w:w="494" w:type="dxa"/>
            <w:tcBorders>
              <w:top w:val="single" w:color="auto" w:sz="6" w:space="0"/>
              <w:left w:val="single" w:color="auto" w:sz="12" w:space="0"/>
              <w:bottom w:val="single" w:color="auto" w:sz="6" w:space="0"/>
              <w:right w:val="single" w:color="auto" w:sz="6" w:space="0"/>
            </w:tcBorders>
            <w:noWrap/>
            <w:vAlign w:val="center"/>
          </w:tcPr>
          <w:p w14:paraId="63EC90FD">
            <w:pPr>
              <w:widowControl/>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7</w:t>
            </w:r>
          </w:p>
        </w:tc>
        <w:tc>
          <w:tcPr>
            <w:tcW w:w="1604" w:type="dxa"/>
            <w:tcBorders>
              <w:top w:val="single" w:color="auto" w:sz="6" w:space="0"/>
              <w:left w:val="single" w:color="auto" w:sz="6" w:space="0"/>
              <w:bottom w:val="single" w:color="auto" w:sz="6" w:space="0"/>
              <w:right w:val="single" w:color="auto" w:sz="6" w:space="0"/>
            </w:tcBorders>
            <w:noWrap/>
          </w:tcPr>
          <w:p w14:paraId="3C5326A6">
            <w:pPr>
              <w:widowControl/>
              <w:jc w:val="center"/>
              <w:rPr>
                <w:rFonts w:hint="eastAsia" w:ascii="仿宋" w:hAnsi="仿宋" w:eastAsia="仿宋" w:cs="仿宋"/>
                <w:color w:val="auto"/>
                <w:kern w:val="0"/>
                <w:sz w:val="22"/>
                <w:szCs w:val="22"/>
                <w:highlight w:val="none"/>
              </w:rPr>
            </w:pPr>
          </w:p>
        </w:tc>
        <w:tc>
          <w:tcPr>
            <w:tcW w:w="855" w:type="dxa"/>
            <w:tcBorders>
              <w:top w:val="single" w:color="auto" w:sz="6" w:space="0"/>
              <w:left w:val="single" w:color="auto" w:sz="6" w:space="0"/>
              <w:bottom w:val="single" w:color="auto" w:sz="6" w:space="0"/>
              <w:right w:val="single" w:color="auto" w:sz="4" w:space="0"/>
            </w:tcBorders>
            <w:noWrap/>
            <w:vAlign w:val="center"/>
          </w:tcPr>
          <w:p w14:paraId="7236112E">
            <w:pPr>
              <w:jc w:val="center"/>
              <w:rPr>
                <w:rFonts w:hint="eastAsia" w:ascii="仿宋" w:hAnsi="仿宋" w:eastAsia="仿宋" w:cs="仿宋"/>
                <w:b/>
                <w:bCs/>
                <w:color w:val="auto"/>
                <w:sz w:val="22"/>
                <w:szCs w:val="22"/>
                <w:highlight w:val="none"/>
              </w:rPr>
            </w:pPr>
          </w:p>
        </w:tc>
        <w:tc>
          <w:tcPr>
            <w:tcW w:w="1381" w:type="dxa"/>
            <w:tcBorders>
              <w:top w:val="single" w:color="auto" w:sz="6" w:space="0"/>
              <w:left w:val="nil"/>
              <w:bottom w:val="single" w:color="auto" w:sz="6" w:space="0"/>
              <w:right w:val="single" w:color="auto" w:sz="4" w:space="0"/>
            </w:tcBorders>
            <w:noWrap/>
            <w:vAlign w:val="center"/>
          </w:tcPr>
          <w:p w14:paraId="0A423CDE">
            <w:pPr>
              <w:jc w:val="center"/>
              <w:rPr>
                <w:rFonts w:hint="eastAsia" w:ascii="仿宋" w:hAnsi="仿宋" w:eastAsia="仿宋" w:cs="仿宋"/>
                <w:b/>
                <w:bCs/>
                <w:color w:val="auto"/>
                <w:sz w:val="22"/>
                <w:szCs w:val="22"/>
                <w:highlight w:val="none"/>
              </w:rPr>
            </w:pPr>
          </w:p>
        </w:tc>
        <w:tc>
          <w:tcPr>
            <w:tcW w:w="1154" w:type="dxa"/>
            <w:tcBorders>
              <w:top w:val="single" w:color="auto" w:sz="6" w:space="0"/>
              <w:left w:val="nil"/>
              <w:bottom w:val="single" w:color="auto" w:sz="6" w:space="0"/>
              <w:right w:val="single" w:color="auto" w:sz="6" w:space="0"/>
            </w:tcBorders>
            <w:noWrap/>
            <w:vAlign w:val="center"/>
          </w:tcPr>
          <w:p w14:paraId="5C5FAB50">
            <w:pPr>
              <w:jc w:val="center"/>
              <w:rPr>
                <w:rFonts w:hint="eastAsia" w:ascii="仿宋" w:hAnsi="仿宋" w:eastAsia="仿宋" w:cs="仿宋"/>
                <w:b/>
                <w:bCs/>
                <w:color w:val="auto"/>
                <w:sz w:val="22"/>
                <w:szCs w:val="22"/>
                <w:highlight w:val="none"/>
              </w:rPr>
            </w:pPr>
          </w:p>
        </w:tc>
        <w:tc>
          <w:tcPr>
            <w:tcW w:w="1262" w:type="dxa"/>
            <w:tcBorders>
              <w:top w:val="single" w:color="auto" w:sz="6" w:space="0"/>
              <w:left w:val="single" w:color="auto" w:sz="6" w:space="0"/>
              <w:bottom w:val="single" w:color="auto" w:sz="6" w:space="0"/>
              <w:right w:val="single" w:color="auto" w:sz="6" w:space="0"/>
            </w:tcBorders>
            <w:noWrap/>
            <w:vAlign w:val="center"/>
          </w:tcPr>
          <w:p w14:paraId="7D75A7C6">
            <w:pPr>
              <w:jc w:val="center"/>
              <w:rPr>
                <w:rFonts w:hint="eastAsia" w:ascii="仿宋" w:hAnsi="仿宋" w:eastAsia="仿宋" w:cs="仿宋"/>
                <w:b/>
                <w:bCs/>
                <w:color w:val="auto"/>
                <w:sz w:val="22"/>
                <w:szCs w:val="22"/>
                <w:highlight w:val="none"/>
              </w:rPr>
            </w:pPr>
          </w:p>
        </w:tc>
        <w:tc>
          <w:tcPr>
            <w:tcW w:w="1080" w:type="dxa"/>
            <w:tcBorders>
              <w:top w:val="single" w:color="auto" w:sz="6" w:space="0"/>
              <w:left w:val="single" w:color="auto" w:sz="6" w:space="0"/>
              <w:bottom w:val="single" w:color="auto" w:sz="6" w:space="0"/>
              <w:right w:val="single" w:color="auto" w:sz="6" w:space="0"/>
            </w:tcBorders>
            <w:noWrap/>
            <w:vAlign w:val="center"/>
          </w:tcPr>
          <w:p w14:paraId="25DCF864">
            <w:pPr>
              <w:jc w:val="center"/>
              <w:rPr>
                <w:rFonts w:hint="eastAsia" w:ascii="仿宋" w:hAnsi="仿宋" w:eastAsia="仿宋" w:cs="仿宋"/>
                <w:b/>
                <w:bCs/>
                <w:color w:val="auto"/>
                <w:sz w:val="22"/>
                <w:szCs w:val="22"/>
                <w:highlight w:val="none"/>
              </w:rPr>
            </w:pPr>
          </w:p>
        </w:tc>
        <w:tc>
          <w:tcPr>
            <w:tcW w:w="793" w:type="dxa"/>
            <w:tcBorders>
              <w:top w:val="single" w:color="auto" w:sz="6" w:space="0"/>
              <w:left w:val="single" w:color="auto" w:sz="6" w:space="0"/>
              <w:bottom w:val="single" w:color="auto" w:sz="6" w:space="0"/>
              <w:right w:val="single" w:color="auto" w:sz="12" w:space="0"/>
            </w:tcBorders>
            <w:noWrap/>
            <w:vAlign w:val="center"/>
          </w:tcPr>
          <w:p w14:paraId="5BDB1ADB">
            <w:pPr>
              <w:jc w:val="center"/>
              <w:rPr>
                <w:rFonts w:hint="eastAsia" w:ascii="仿宋" w:hAnsi="仿宋" w:eastAsia="仿宋" w:cs="仿宋"/>
                <w:color w:val="auto"/>
                <w:sz w:val="22"/>
                <w:szCs w:val="22"/>
                <w:highlight w:val="none"/>
              </w:rPr>
            </w:pPr>
          </w:p>
        </w:tc>
        <w:tc>
          <w:tcPr>
            <w:tcW w:w="900" w:type="dxa"/>
            <w:tcBorders>
              <w:top w:val="single" w:color="auto" w:sz="6" w:space="0"/>
              <w:left w:val="single" w:color="auto" w:sz="6" w:space="0"/>
              <w:bottom w:val="single" w:color="auto" w:sz="6" w:space="0"/>
              <w:right w:val="single" w:color="auto" w:sz="12" w:space="0"/>
            </w:tcBorders>
            <w:noWrap/>
            <w:vAlign w:val="center"/>
          </w:tcPr>
          <w:p w14:paraId="2AD40EDD">
            <w:pPr>
              <w:jc w:val="center"/>
              <w:rPr>
                <w:rFonts w:hint="eastAsia" w:ascii="仿宋" w:hAnsi="仿宋" w:eastAsia="仿宋" w:cs="仿宋"/>
                <w:color w:val="auto"/>
                <w:sz w:val="22"/>
                <w:szCs w:val="22"/>
                <w:highlight w:val="none"/>
              </w:rPr>
            </w:pPr>
          </w:p>
        </w:tc>
      </w:tr>
    </w:tbl>
    <w:p w14:paraId="72CCF670">
      <w:pPr>
        <w:pStyle w:val="8"/>
        <w:spacing w:line="334" w:lineRule="exact"/>
        <w:ind w:firstLine="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注： </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此表仅提供了表格形式，投标人应根据需要准备足够数量的表格来填写。</w:t>
      </w:r>
    </w:p>
    <w:p w14:paraId="100E3811">
      <w:pPr>
        <w:pStyle w:val="8"/>
        <w:spacing w:line="334" w:lineRule="exact"/>
        <w:ind w:firstLine="0"/>
        <w:jc w:val="left"/>
        <w:rPr>
          <w:rFonts w:ascii="微软雅黑" w:hAnsi="微软雅黑" w:eastAsia="微软雅黑" w:cs="微软雅黑"/>
          <w:color w:val="auto"/>
          <w:sz w:val="22"/>
          <w:szCs w:val="22"/>
          <w:highlight w:val="none"/>
        </w:rPr>
      </w:pP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中标后必须按要求时间全部到位。</w:t>
      </w:r>
    </w:p>
    <w:p w14:paraId="019E89CB">
      <w:pPr>
        <w:adjustRightInd w:val="0"/>
        <w:snapToGrid w:val="0"/>
        <w:spacing w:line="360" w:lineRule="auto"/>
        <w:ind w:left="420" w:leftChars="200" w:firstLine="330" w:firstLineChars="150"/>
        <w:jc w:val="right"/>
        <w:rPr>
          <w:rFonts w:ascii="微软雅黑" w:hAnsi="微软雅黑" w:eastAsia="微软雅黑" w:cs="微软雅黑"/>
          <w:color w:val="auto"/>
          <w:sz w:val="22"/>
          <w:szCs w:val="22"/>
          <w:highlight w:val="none"/>
        </w:rPr>
      </w:pPr>
    </w:p>
    <w:p w14:paraId="054938C3">
      <w:pPr>
        <w:pStyle w:val="11"/>
        <w:rPr>
          <w:rFonts w:hint="eastAsia"/>
          <w:color w:val="auto"/>
          <w:highlight w:val="none"/>
        </w:rPr>
      </w:pPr>
    </w:p>
    <w:p w14:paraId="1DC5BE49">
      <w:pPr>
        <w:spacing w:line="360" w:lineRule="auto"/>
        <w:rPr>
          <w:rFonts w:hint="eastAsia" w:ascii="仿宋" w:hAnsi="仿宋" w:eastAsia="仿宋" w:cs="仿宋"/>
          <w:b/>
          <w:bCs/>
          <w:color w:val="auto"/>
          <w:sz w:val="24"/>
          <w:highlight w:val="none"/>
        </w:rPr>
      </w:pPr>
    </w:p>
    <w:p w14:paraId="0EF81E9B">
      <w:pPr>
        <w:snapToGrid w:val="0"/>
        <w:spacing w:before="120" w:beforeLines="50" w:line="360" w:lineRule="auto"/>
        <w:rPr>
          <w:rFonts w:hint="eastAsia" w:ascii="仿宋" w:hAnsi="仿宋" w:eastAsia="仿宋" w:cs="仿宋"/>
          <w:color w:val="auto"/>
          <w:sz w:val="24"/>
          <w:highlight w:val="none"/>
        </w:rPr>
      </w:pPr>
    </w:p>
    <w:p w14:paraId="62D2F426">
      <w:pPr>
        <w:snapToGrid w:val="0"/>
        <w:spacing w:before="120" w:beforeLines="5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供应商名称（公章）：                             </w:t>
      </w:r>
    </w:p>
    <w:p w14:paraId="6F4BD02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w:t>
      </w:r>
      <w:r>
        <w:rPr>
          <w:rFonts w:hint="eastAsia" w:ascii="仿宋" w:hAnsi="仿宋" w:eastAsia="仿宋" w:cs="仿宋"/>
          <w:color w:val="auto"/>
          <w:sz w:val="24"/>
          <w:highlight w:val="none"/>
          <w:lang w:eastAsia="zh-CN"/>
        </w:rPr>
        <w:t>字</w:t>
      </w:r>
      <w:r>
        <w:rPr>
          <w:rFonts w:hint="eastAsia" w:ascii="仿宋" w:hAnsi="仿宋" w:eastAsia="仿宋" w:cs="仿宋"/>
          <w:color w:val="auto"/>
          <w:sz w:val="24"/>
          <w:highlight w:val="none"/>
        </w:rPr>
        <w:t xml:space="preserve">或盖章：  </w:t>
      </w:r>
    </w:p>
    <w:p w14:paraId="6617AC94">
      <w:pPr>
        <w:snapToGrid w:val="0"/>
        <w:spacing w:before="120" w:beforeLines="50" w:line="360" w:lineRule="auto"/>
        <w:rPr>
          <w:rFonts w:hint="eastAsia" w:ascii="仿宋" w:hAnsi="仿宋" w:eastAsia="仿宋" w:cs="仿宋"/>
          <w:b/>
          <w:color w:val="auto"/>
          <w:sz w:val="24"/>
          <w:highlight w:val="none"/>
        </w:rPr>
        <w:sectPr>
          <w:footerReference r:id="rId13" w:type="first"/>
          <w:footerReference r:id="rId12" w:type="default"/>
          <w:pgSz w:w="11906" w:h="16838"/>
          <w:pgMar w:top="1440" w:right="1622" w:bottom="1440" w:left="1287" w:header="851" w:footer="992" w:gutter="0"/>
          <w:pgNumType w:fmt="decimal"/>
          <w:cols w:space="720" w:num="1"/>
          <w:titlePg/>
          <w:docGrid w:linePitch="312" w:charSpace="0"/>
        </w:sectPr>
      </w:pPr>
      <w:r>
        <w:rPr>
          <w:rFonts w:hint="eastAsia" w:ascii="仿宋" w:hAnsi="仿宋" w:eastAsia="仿宋" w:cs="仿宋"/>
          <w:color w:val="auto"/>
          <w:sz w:val="24"/>
          <w:highlight w:val="none"/>
        </w:rPr>
        <w:t>日期：    年     月    日</w:t>
      </w:r>
    </w:p>
    <w:p w14:paraId="1EDC3547">
      <w:pPr>
        <w:pStyle w:val="31"/>
        <w:pageBreakBefore/>
        <w:jc w:val="center"/>
        <w:outlineLvl w:val="1"/>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12.商务响应表</w:t>
      </w:r>
    </w:p>
    <w:p w14:paraId="53F53CCB">
      <w:pPr>
        <w:spacing w:line="460" w:lineRule="exact"/>
        <w:jc w:val="left"/>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val="en-US" w:eastAsia="zh-CN"/>
        </w:rPr>
        <w:t xml:space="preserve">                                                标项：</w:t>
      </w:r>
      <w:r>
        <w:rPr>
          <w:rFonts w:hint="eastAsia" w:ascii="仿宋" w:hAnsi="仿宋" w:eastAsia="仿宋" w:cs="仿宋"/>
          <w:color w:val="auto"/>
          <w:sz w:val="24"/>
          <w:highlight w:val="none"/>
          <w:u w:val="single"/>
          <w:lang w:val="en-US" w:eastAsia="zh-CN"/>
        </w:rPr>
        <w:t xml:space="preserve">    </w:t>
      </w:r>
    </w:p>
    <w:tbl>
      <w:tblPr>
        <w:tblStyle w:val="23"/>
        <w:tblW w:w="867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554"/>
        <w:gridCol w:w="2177"/>
        <w:gridCol w:w="1905"/>
        <w:gridCol w:w="2042"/>
      </w:tblGrid>
      <w:tr w14:paraId="0CBDC7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554" w:type="dxa"/>
            <w:tcBorders>
              <w:top w:val="single" w:color="auto" w:sz="4" w:space="0"/>
              <w:left w:val="single" w:color="auto" w:sz="4" w:space="0"/>
              <w:bottom w:val="single" w:color="auto" w:sz="4" w:space="0"/>
              <w:right w:val="single" w:color="auto" w:sz="4" w:space="0"/>
            </w:tcBorders>
            <w:noWrap w:val="0"/>
            <w:vAlign w:val="center"/>
          </w:tcPr>
          <w:p w14:paraId="0572864D">
            <w:pPr>
              <w:snapToGrid w:val="0"/>
              <w:spacing w:before="120" w:beforeLines="5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项目</w:t>
            </w:r>
          </w:p>
        </w:tc>
        <w:tc>
          <w:tcPr>
            <w:tcW w:w="2177" w:type="dxa"/>
            <w:tcBorders>
              <w:top w:val="single" w:color="auto" w:sz="4" w:space="0"/>
              <w:left w:val="single" w:color="auto" w:sz="4" w:space="0"/>
              <w:bottom w:val="single" w:color="auto" w:sz="4" w:space="0"/>
              <w:right w:val="single" w:color="auto" w:sz="4" w:space="0"/>
            </w:tcBorders>
            <w:noWrap w:val="0"/>
            <w:vAlign w:val="center"/>
          </w:tcPr>
          <w:p w14:paraId="3E2BE415">
            <w:pPr>
              <w:snapToGrid w:val="0"/>
              <w:spacing w:before="120" w:beforeLines="5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招标文件要求</w:t>
            </w:r>
          </w:p>
        </w:tc>
        <w:tc>
          <w:tcPr>
            <w:tcW w:w="1905" w:type="dxa"/>
            <w:tcBorders>
              <w:top w:val="single" w:color="auto" w:sz="4" w:space="0"/>
              <w:left w:val="single" w:color="auto" w:sz="4" w:space="0"/>
              <w:bottom w:val="single" w:color="auto" w:sz="4" w:space="0"/>
              <w:right w:val="single" w:color="auto" w:sz="4" w:space="0"/>
            </w:tcBorders>
            <w:noWrap w:val="0"/>
            <w:vAlign w:val="center"/>
          </w:tcPr>
          <w:p w14:paraId="128C8E56">
            <w:pPr>
              <w:snapToGrid w:val="0"/>
              <w:spacing w:before="120" w:beforeLines="5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是否响应</w:t>
            </w:r>
          </w:p>
        </w:tc>
        <w:tc>
          <w:tcPr>
            <w:tcW w:w="2042" w:type="dxa"/>
            <w:tcBorders>
              <w:top w:val="single" w:color="auto" w:sz="4" w:space="0"/>
              <w:left w:val="single" w:color="auto" w:sz="4" w:space="0"/>
              <w:bottom w:val="single" w:color="auto" w:sz="4" w:space="0"/>
              <w:right w:val="single" w:color="auto" w:sz="4" w:space="0"/>
            </w:tcBorders>
            <w:noWrap w:val="0"/>
            <w:vAlign w:val="center"/>
          </w:tcPr>
          <w:p w14:paraId="36222F21">
            <w:pPr>
              <w:snapToGrid w:val="0"/>
              <w:spacing w:before="120" w:beforeLines="5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供应商的承诺或说明或优化方案</w:t>
            </w:r>
          </w:p>
        </w:tc>
      </w:tr>
      <w:tr w14:paraId="45D9F4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554" w:type="dxa"/>
            <w:tcBorders>
              <w:top w:val="single" w:color="auto" w:sz="4" w:space="0"/>
              <w:left w:val="single" w:color="auto" w:sz="4" w:space="0"/>
              <w:bottom w:val="single" w:color="auto" w:sz="4" w:space="0"/>
              <w:right w:val="single" w:color="auto" w:sz="4" w:space="0"/>
            </w:tcBorders>
            <w:noWrap w:val="0"/>
            <w:vAlign w:val="center"/>
          </w:tcPr>
          <w:p w14:paraId="496384F4">
            <w:pPr>
              <w:spacing w:line="480" w:lineRule="exact"/>
              <w:jc w:val="center"/>
              <w:rPr>
                <w:rFonts w:hint="default" w:ascii="仿宋" w:hAnsi="仿宋" w:eastAsia="仿宋" w:cs="仿宋"/>
                <w:b w:val="0"/>
                <w:bCs/>
                <w:color w:val="auto"/>
                <w:sz w:val="24"/>
                <w:szCs w:val="20"/>
                <w:highlight w:val="none"/>
                <w:lang w:val="en-US" w:eastAsia="zh-CN"/>
              </w:rPr>
            </w:pPr>
            <w:r>
              <w:rPr>
                <w:rFonts w:hint="eastAsia" w:ascii="仿宋" w:hAnsi="仿宋" w:eastAsia="仿宋" w:cs="仿宋"/>
                <w:color w:val="auto"/>
                <w:sz w:val="24"/>
                <w:highlight w:val="none"/>
              </w:rPr>
              <w:t>服务期</w:t>
            </w:r>
          </w:p>
        </w:tc>
        <w:tc>
          <w:tcPr>
            <w:tcW w:w="2177" w:type="dxa"/>
            <w:tcBorders>
              <w:top w:val="single" w:color="auto" w:sz="4" w:space="0"/>
              <w:left w:val="single" w:color="auto" w:sz="4" w:space="0"/>
              <w:bottom w:val="single" w:color="auto" w:sz="4" w:space="0"/>
              <w:right w:val="single" w:color="auto" w:sz="4" w:space="0"/>
            </w:tcBorders>
            <w:noWrap w:val="0"/>
            <w:vAlign w:val="center"/>
          </w:tcPr>
          <w:p w14:paraId="37B36ED2">
            <w:pPr>
              <w:snapToGrid w:val="0"/>
              <w:jc w:val="center"/>
              <w:rPr>
                <w:rFonts w:hint="eastAsia" w:ascii="仿宋" w:hAnsi="仿宋" w:eastAsia="仿宋" w:cs="仿宋"/>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2A2FEA15">
            <w:pPr>
              <w:snapToGrid w:val="0"/>
              <w:spacing w:before="120" w:beforeLines="50"/>
              <w:jc w:val="center"/>
              <w:rPr>
                <w:rFonts w:hint="eastAsia" w:ascii="仿宋" w:hAnsi="仿宋" w:eastAsia="仿宋" w:cs="仿宋"/>
                <w:color w:val="auto"/>
                <w:sz w:val="24"/>
                <w:szCs w:val="20"/>
                <w:highlight w:val="none"/>
              </w:rPr>
            </w:pPr>
          </w:p>
        </w:tc>
        <w:tc>
          <w:tcPr>
            <w:tcW w:w="2042" w:type="dxa"/>
            <w:tcBorders>
              <w:top w:val="single" w:color="auto" w:sz="4" w:space="0"/>
              <w:left w:val="single" w:color="auto" w:sz="4" w:space="0"/>
              <w:bottom w:val="single" w:color="auto" w:sz="4" w:space="0"/>
              <w:right w:val="single" w:color="auto" w:sz="4" w:space="0"/>
            </w:tcBorders>
            <w:noWrap w:val="0"/>
            <w:vAlign w:val="center"/>
          </w:tcPr>
          <w:p w14:paraId="216B46DA">
            <w:pPr>
              <w:snapToGrid w:val="0"/>
              <w:spacing w:before="120" w:beforeLines="50"/>
              <w:jc w:val="center"/>
              <w:rPr>
                <w:rFonts w:hint="eastAsia" w:ascii="仿宋" w:hAnsi="仿宋" w:eastAsia="仿宋" w:cs="仿宋"/>
                <w:color w:val="auto"/>
                <w:sz w:val="24"/>
                <w:szCs w:val="20"/>
                <w:highlight w:val="none"/>
              </w:rPr>
            </w:pPr>
          </w:p>
        </w:tc>
      </w:tr>
      <w:tr w14:paraId="008841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554" w:type="dxa"/>
            <w:tcBorders>
              <w:top w:val="single" w:color="auto" w:sz="4" w:space="0"/>
              <w:left w:val="single" w:color="auto" w:sz="4" w:space="0"/>
              <w:bottom w:val="single" w:color="auto" w:sz="4" w:space="0"/>
              <w:right w:val="single" w:color="auto" w:sz="4" w:space="0"/>
            </w:tcBorders>
            <w:noWrap w:val="0"/>
            <w:vAlign w:val="center"/>
          </w:tcPr>
          <w:p w14:paraId="55E61D29">
            <w:pPr>
              <w:snapToGrid w:val="0"/>
              <w:jc w:val="center"/>
              <w:rPr>
                <w:rFonts w:hint="default" w:ascii="仿宋" w:hAnsi="仿宋" w:eastAsia="仿宋" w:cs="仿宋"/>
                <w:b w:val="0"/>
                <w:bCs/>
                <w:color w:val="auto"/>
                <w:sz w:val="24"/>
                <w:szCs w:val="20"/>
                <w:highlight w:val="none"/>
                <w:lang w:val="en-US" w:eastAsia="zh-CN"/>
              </w:rPr>
            </w:pPr>
            <w:r>
              <w:rPr>
                <w:rFonts w:hint="eastAsia" w:ascii="仿宋" w:hAnsi="仿宋" w:eastAsia="仿宋" w:cs="仿宋"/>
                <w:color w:val="auto"/>
                <w:sz w:val="24"/>
                <w:highlight w:val="none"/>
                <w:lang w:val="en-US" w:eastAsia="zh-CN"/>
              </w:rPr>
              <w:t>承包方式</w:t>
            </w:r>
          </w:p>
        </w:tc>
        <w:tc>
          <w:tcPr>
            <w:tcW w:w="2177" w:type="dxa"/>
            <w:tcBorders>
              <w:top w:val="single" w:color="auto" w:sz="4" w:space="0"/>
              <w:left w:val="single" w:color="auto" w:sz="4" w:space="0"/>
              <w:bottom w:val="single" w:color="auto" w:sz="4" w:space="0"/>
              <w:right w:val="single" w:color="auto" w:sz="4" w:space="0"/>
            </w:tcBorders>
            <w:noWrap w:val="0"/>
            <w:vAlign w:val="center"/>
          </w:tcPr>
          <w:p w14:paraId="4C094B4A">
            <w:pPr>
              <w:snapToGrid w:val="0"/>
              <w:jc w:val="center"/>
              <w:rPr>
                <w:rFonts w:hint="eastAsia" w:ascii="仿宋" w:hAnsi="仿宋" w:eastAsia="仿宋" w:cs="仿宋"/>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16FE8E3B">
            <w:pPr>
              <w:snapToGrid w:val="0"/>
              <w:spacing w:before="120" w:beforeLines="50"/>
              <w:ind w:left="43"/>
              <w:jc w:val="center"/>
              <w:rPr>
                <w:rFonts w:hint="eastAsia" w:ascii="仿宋" w:hAnsi="仿宋" w:eastAsia="仿宋" w:cs="仿宋"/>
                <w:color w:val="auto"/>
                <w:sz w:val="24"/>
                <w:szCs w:val="20"/>
                <w:highlight w:val="none"/>
              </w:rPr>
            </w:pPr>
          </w:p>
        </w:tc>
        <w:tc>
          <w:tcPr>
            <w:tcW w:w="2042" w:type="dxa"/>
            <w:tcBorders>
              <w:top w:val="single" w:color="auto" w:sz="4" w:space="0"/>
              <w:left w:val="single" w:color="auto" w:sz="4" w:space="0"/>
              <w:bottom w:val="single" w:color="auto" w:sz="4" w:space="0"/>
              <w:right w:val="single" w:color="auto" w:sz="4" w:space="0"/>
            </w:tcBorders>
            <w:noWrap w:val="0"/>
            <w:vAlign w:val="center"/>
          </w:tcPr>
          <w:p w14:paraId="75120D5D">
            <w:pPr>
              <w:snapToGrid w:val="0"/>
              <w:spacing w:before="120" w:beforeLines="50"/>
              <w:ind w:left="43"/>
              <w:jc w:val="center"/>
              <w:rPr>
                <w:rFonts w:hint="eastAsia" w:ascii="仿宋" w:hAnsi="仿宋" w:eastAsia="仿宋" w:cs="仿宋"/>
                <w:color w:val="auto"/>
                <w:sz w:val="24"/>
                <w:szCs w:val="20"/>
                <w:highlight w:val="none"/>
              </w:rPr>
            </w:pPr>
          </w:p>
        </w:tc>
      </w:tr>
      <w:tr w14:paraId="51C684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5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00B2C20">
            <w:pPr>
              <w:snapToGrid w:val="0"/>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履约保证金</w:t>
            </w:r>
          </w:p>
        </w:tc>
        <w:tc>
          <w:tcPr>
            <w:tcW w:w="2177" w:type="dxa"/>
            <w:tcBorders>
              <w:top w:val="single" w:color="auto" w:sz="4" w:space="0"/>
              <w:left w:val="single" w:color="auto" w:sz="4" w:space="0"/>
              <w:bottom w:val="single" w:color="auto" w:sz="4" w:space="0"/>
              <w:right w:val="single" w:color="auto" w:sz="4" w:space="0"/>
            </w:tcBorders>
            <w:noWrap w:val="0"/>
            <w:vAlign w:val="center"/>
          </w:tcPr>
          <w:p w14:paraId="6B806E33">
            <w:pPr>
              <w:snapToGrid w:val="0"/>
              <w:jc w:val="center"/>
              <w:rPr>
                <w:rFonts w:hint="eastAsia" w:ascii="仿宋" w:hAnsi="仿宋" w:eastAsia="仿宋" w:cs="仿宋"/>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6608FB84">
            <w:pPr>
              <w:snapToGrid w:val="0"/>
              <w:spacing w:before="120" w:beforeLines="50"/>
              <w:jc w:val="center"/>
              <w:rPr>
                <w:rFonts w:hint="eastAsia" w:ascii="仿宋" w:hAnsi="仿宋" w:eastAsia="仿宋" w:cs="仿宋"/>
                <w:color w:val="auto"/>
                <w:sz w:val="24"/>
                <w:szCs w:val="20"/>
                <w:highlight w:val="none"/>
              </w:rPr>
            </w:pPr>
          </w:p>
        </w:tc>
        <w:tc>
          <w:tcPr>
            <w:tcW w:w="2042" w:type="dxa"/>
            <w:tcBorders>
              <w:top w:val="single" w:color="auto" w:sz="4" w:space="0"/>
              <w:left w:val="single" w:color="auto" w:sz="4" w:space="0"/>
              <w:bottom w:val="single" w:color="auto" w:sz="4" w:space="0"/>
              <w:right w:val="single" w:color="auto" w:sz="4" w:space="0"/>
            </w:tcBorders>
            <w:noWrap w:val="0"/>
            <w:vAlign w:val="center"/>
          </w:tcPr>
          <w:p w14:paraId="1060A71F">
            <w:pPr>
              <w:snapToGrid w:val="0"/>
              <w:spacing w:before="120" w:beforeLines="50"/>
              <w:jc w:val="center"/>
              <w:rPr>
                <w:rFonts w:hint="eastAsia" w:ascii="仿宋" w:hAnsi="仿宋" w:eastAsia="仿宋" w:cs="仿宋"/>
                <w:color w:val="auto"/>
                <w:sz w:val="24"/>
                <w:szCs w:val="20"/>
                <w:highlight w:val="none"/>
              </w:rPr>
            </w:pPr>
          </w:p>
        </w:tc>
      </w:tr>
      <w:tr w14:paraId="3FC132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5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277BEB2">
            <w:pPr>
              <w:snapToGrid w:val="0"/>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付款</w:t>
            </w:r>
            <w:r>
              <w:rPr>
                <w:rFonts w:hint="eastAsia" w:ascii="仿宋" w:hAnsi="仿宋" w:eastAsia="仿宋" w:cs="仿宋"/>
                <w:color w:val="auto"/>
                <w:sz w:val="24"/>
                <w:highlight w:val="none"/>
                <w:lang w:val="en-US" w:eastAsia="zh-CN"/>
              </w:rPr>
              <w:t>方式</w:t>
            </w:r>
          </w:p>
        </w:tc>
        <w:tc>
          <w:tcPr>
            <w:tcW w:w="2177" w:type="dxa"/>
            <w:tcBorders>
              <w:top w:val="single" w:color="auto" w:sz="4" w:space="0"/>
              <w:left w:val="single" w:color="auto" w:sz="4" w:space="0"/>
              <w:bottom w:val="single" w:color="auto" w:sz="4" w:space="0"/>
              <w:right w:val="single" w:color="auto" w:sz="4" w:space="0"/>
            </w:tcBorders>
            <w:noWrap w:val="0"/>
            <w:vAlign w:val="center"/>
          </w:tcPr>
          <w:p w14:paraId="51EF320B">
            <w:pPr>
              <w:snapToGrid w:val="0"/>
              <w:jc w:val="center"/>
              <w:rPr>
                <w:rFonts w:hint="eastAsia" w:ascii="仿宋" w:hAnsi="仿宋" w:eastAsia="仿宋" w:cs="仿宋"/>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78DBD743">
            <w:pPr>
              <w:snapToGrid w:val="0"/>
              <w:spacing w:before="120" w:beforeLines="50"/>
              <w:jc w:val="center"/>
              <w:rPr>
                <w:rFonts w:hint="eastAsia" w:ascii="仿宋" w:hAnsi="仿宋" w:eastAsia="仿宋" w:cs="仿宋"/>
                <w:color w:val="auto"/>
                <w:sz w:val="24"/>
                <w:szCs w:val="20"/>
                <w:highlight w:val="none"/>
              </w:rPr>
            </w:pPr>
          </w:p>
        </w:tc>
        <w:tc>
          <w:tcPr>
            <w:tcW w:w="2042" w:type="dxa"/>
            <w:tcBorders>
              <w:top w:val="single" w:color="auto" w:sz="4" w:space="0"/>
              <w:left w:val="single" w:color="auto" w:sz="4" w:space="0"/>
              <w:bottom w:val="single" w:color="auto" w:sz="4" w:space="0"/>
              <w:right w:val="single" w:color="auto" w:sz="4" w:space="0"/>
            </w:tcBorders>
            <w:noWrap w:val="0"/>
            <w:vAlign w:val="center"/>
          </w:tcPr>
          <w:p w14:paraId="0C8D90AA">
            <w:pPr>
              <w:snapToGrid w:val="0"/>
              <w:spacing w:before="120" w:beforeLines="50"/>
              <w:jc w:val="center"/>
              <w:rPr>
                <w:rFonts w:hint="eastAsia" w:ascii="仿宋" w:hAnsi="仿宋" w:eastAsia="仿宋" w:cs="仿宋"/>
                <w:color w:val="auto"/>
                <w:sz w:val="24"/>
                <w:szCs w:val="20"/>
                <w:highlight w:val="none"/>
              </w:rPr>
            </w:pPr>
          </w:p>
        </w:tc>
      </w:tr>
      <w:tr w14:paraId="744E46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554" w:type="dxa"/>
            <w:tcBorders>
              <w:top w:val="single" w:color="auto" w:sz="4" w:space="0"/>
              <w:left w:val="single" w:color="auto" w:sz="4" w:space="0"/>
              <w:bottom w:val="single" w:color="auto" w:sz="4" w:space="0"/>
              <w:right w:val="single" w:color="auto" w:sz="4" w:space="0"/>
            </w:tcBorders>
            <w:noWrap w:val="0"/>
            <w:vAlign w:val="center"/>
          </w:tcPr>
          <w:p w14:paraId="110E120F">
            <w:pPr>
              <w:snapToGrid w:val="0"/>
              <w:jc w:val="center"/>
              <w:rPr>
                <w:rFonts w:hint="default" w:ascii="仿宋" w:hAnsi="仿宋" w:eastAsia="仿宋" w:cs="仿宋"/>
                <w:color w:val="auto"/>
                <w:sz w:val="24"/>
                <w:highlight w:val="none"/>
                <w:lang w:val="en-US" w:eastAsia="zh-CN"/>
              </w:rPr>
            </w:pPr>
          </w:p>
        </w:tc>
        <w:tc>
          <w:tcPr>
            <w:tcW w:w="2177" w:type="dxa"/>
            <w:tcBorders>
              <w:top w:val="single" w:color="auto" w:sz="4" w:space="0"/>
              <w:left w:val="single" w:color="auto" w:sz="4" w:space="0"/>
              <w:bottom w:val="single" w:color="auto" w:sz="4" w:space="0"/>
              <w:right w:val="single" w:color="auto" w:sz="4" w:space="0"/>
            </w:tcBorders>
            <w:noWrap w:val="0"/>
            <w:vAlign w:val="center"/>
          </w:tcPr>
          <w:p w14:paraId="76B9567D">
            <w:pPr>
              <w:snapToGrid w:val="0"/>
              <w:jc w:val="center"/>
              <w:rPr>
                <w:rFonts w:hint="eastAsia" w:ascii="仿宋" w:hAnsi="仿宋" w:eastAsia="仿宋" w:cs="仿宋"/>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320CEECC">
            <w:pPr>
              <w:snapToGrid w:val="0"/>
              <w:spacing w:before="120" w:beforeLines="50"/>
              <w:jc w:val="center"/>
              <w:rPr>
                <w:rFonts w:hint="eastAsia" w:ascii="仿宋" w:hAnsi="仿宋" w:eastAsia="仿宋" w:cs="仿宋"/>
                <w:color w:val="auto"/>
                <w:sz w:val="24"/>
                <w:szCs w:val="20"/>
                <w:highlight w:val="none"/>
              </w:rPr>
            </w:pPr>
          </w:p>
        </w:tc>
        <w:tc>
          <w:tcPr>
            <w:tcW w:w="2042" w:type="dxa"/>
            <w:tcBorders>
              <w:top w:val="single" w:color="auto" w:sz="4" w:space="0"/>
              <w:left w:val="single" w:color="auto" w:sz="4" w:space="0"/>
              <w:bottom w:val="single" w:color="auto" w:sz="4" w:space="0"/>
              <w:right w:val="single" w:color="auto" w:sz="4" w:space="0"/>
            </w:tcBorders>
            <w:noWrap w:val="0"/>
            <w:vAlign w:val="center"/>
          </w:tcPr>
          <w:p w14:paraId="561B6080">
            <w:pPr>
              <w:snapToGrid w:val="0"/>
              <w:spacing w:before="120" w:beforeLines="50"/>
              <w:jc w:val="center"/>
              <w:rPr>
                <w:rFonts w:hint="eastAsia" w:ascii="仿宋" w:hAnsi="仿宋" w:eastAsia="仿宋" w:cs="仿宋"/>
                <w:color w:val="auto"/>
                <w:sz w:val="24"/>
                <w:szCs w:val="20"/>
                <w:highlight w:val="none"/>
              </w:rPr>
            </w:pPr>
          </w:p>
        </w:tc>
      </w:tr>
      <w:tr w14:paraId="439349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2" w:hRule="atLeast"/>
        </w:trPr>
        <w:tc>
          <w:tcPr>
            <w:tcW w:w="2554" w:type="dxa"/>
            <w:tcBorders>
              <w:top w:val="single" w:color="auto" w:sz="4" w:space="0"/>
              <w:left w:val="single" w:color="auto" w:sz="4" w:space="0"/>
              <w:bottom w:val="single" w:color="auto" w:sz="4" w:space="0"/>
              <w:right w:val="single" w:color="auto" w:sz="4" w:space="0"/>
            </w:tcBorders>
            <w:noWrap w:val="0"/>
            <w:vAlign w:val="center"/>
          </w:tcPr>
          <w:p w14:paraId="7C884EE3">
            <w:pPr>
              <w:snapToGrid w:val="0"/>
              <w:jc w:val="center"/>
              <w:rPr>
                <w:rFonts w:hint="eastAsia" w:ascii="仿宋" w:hAnsi="仿宋" w:eastAsia="仿宋" w:cs="仿宋"/>
                <w:color w:val="auto"/>
                <w:sz w:val="24"/>
                <w:highlight w:val="none"/>
              </w:rPr>
            </w:pPr>
          </w:p>
        </w:tc>
        <w:tc>
          <w:tcPr>
            <w:tcW w:w="2177" w:type="dxa"/>
            <w:tcBorders>
              <w:top w:val="single" w:color="auto" w:sz="4" w:space="0"/>
              <w:left w:val="single" w:color="auto" w:sz="4" w:space="0"/>
              <w:bottom w:val="single" w:color="auto" w:sz="4" w:space="0"/>
              <w:right w:val="single" w:color="auto" w:sz="4" w:space="0"/>
            </w:tcBorders>
            <w:noWrap w:val="0"/>
            <w:vAlign w:val="center"/>
          </w:tcPr>
          <w:p w14:paraId="5D6DE219">
            <w:pPr>
              <w:snapToGrid w:val="0"/>
              <w:jc w:val="center"/>
              <w:rPr>
                <w:rFonts w:hint="eastAsia" w:ascii="仿宋" w:hAnsi="仿宋" w:eastAsia="仿宋" w:cs="仿宋"/>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790C7872">
            <w:pPr>
              <w:snapToGrid w:val="0"/>
              <w:spacing w:before="120" w:beforeLines="50"/>
              <w:jc w:val="center"/>
              <w:rPr>
                <w:rFonts w:hint="eastAsia" w:ascii="仿宋" w:hAnsi="仿宋" w:eastAsia="仿宋" w:cs="仿宋"/>
                <w:color w:val="auto"/>
                <w:sz w:val="24"/>
                <w:szCs w:val="20"/>
                <w:highlight w:val="none"/>
              </w:rPr>
            </w:pPr>
          </w:p>
        </w:tc>
        <w:tc>
          <w:tcPr>
            <w:tcW w:w="2042" w:type="dxa"/>
            <w:tcBorders>
              <w:top w:val="single" w:color="auto" w:sz="4" w:space="0"/>
              <w:left w:val="single" w:color="auto" w:sz="4" w:space="0"/>
              <w:bottom w:val="single" w:color="auto" w:sz="4" w:space="0"/>
              <w:right w:val="single" w:color="auto" w:sz="4" w:space="0"/>
            </w:tcBorders>
            <w:noWrap w:val="0"/>
            <w:vAlign w:val="center"/>
          </w:tcPr>
          <w:p w14:paraId="021F28C2">
            <w:pPr>
              <w:snapToGrid w:val="0"/>
              <w:spacing w:before="120" w:beforeLines="50"/>
              <w:jc w:val="center"/>
              <w:rPr>
                <w:rFonts w:hint="eastAsia" w:ascii="仿宋" w:hAnsi="仿宋" w:eastAsia="仿宋" w:cs="仿宋"/>
                <w:color w:val="auto"/>
                <w:sz w:val="24"/>
                <w:szCs w:val="20"/>
                <w:highlight w:val="none"/>
              </w:rPr>
            </w:pPr>
          </w:p>
        </w:tc>
      </w:tr>
    </w:tbl>
    <w:p w14:paraId="5C21ABD4">
      <w:pPr>
        <w:pStyle w:val="31"/>
        <w:spacing w:line="460" w:lineRule="exact"/>
        <w:rPr>
          <w:rFonts w:hint="eastAsia" w:ascii="仿宋" w:hAnsi="仿宋" w:eastAsia="仿宋" w:cs="仿宋"/>
          <w:color w:val="auto"/>
          <w:highlight w:val="none"/>
        </w:rPr>
      </w:pPr>
    </w:p>
    <w:p w14:paraId="34639B64">
      <w:pPr>
        <w:snapToGrid w:val="0"/>
        <w:spacing w:before="120" w:beforeLines="5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供应商名称（公章）：                             </w:t>
      </w:r>
    </w:p>
    <w:p w14:paraId="6C28ECF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w:t>
      </w:r>
      <w:r>
        <w:rPr>
          <w:rFonts w:hint="eastAsia" w:ascii="仿宋" w:hAnsi="仿宋" w:eastAsia="仿宋" w:cs="仿宋"/>
          <w:color w:val="auto"/>
          <w:sz w:val="24"/>
          <w:highlight w:val="none"/>
          <w:lang w:eastAsia="zh-CN"/>
        </w:rPr>
        <w:t>字</w:t>
      </w:r>
      <w:r>
        <w:rPr>
          <w:rFonts w:hint="eastAsia" w:ascii="仿宋" w:hAnsi="仿宋" w:eastAsia="仿宋" w:cs="仿宋"/>
          <w:color w:val="auto"/>
          <w:sz w:val="24"/>
          <w:highlight w:val="none"/>
        </w:rPr>
        <w:t xml:space="preserve">或盖章：  </w:t>
      </w:r>
    </w:p>
    <w:p w14:paraId="32C3EBFD">
      <w:pPr>
        <w:snapToGrid w:val="0"/>
        <w:spacing w:before="120" w:beforeLines="50" w:line="360" w:lineRule="auto"/>
        <w:rPr>
          <w:rFonts w:hint="eastAsia" w:ascii="仿宋" w:hAnsi="仿宋" w:eastAsia="仿宋" w:cs="仿宋"/>
          <w:b/>
          <w:color w:val="auto"/>
          <w:sz w:val="24"/>
          <w:highlight w:val="none"/>
        </w:rPr>
        <w:sectPr>
          <w:footerReference r:id="rId15" w:type="first"/>
          <w:footerReference r:id="rId14" w:type="default"/>
          <w:pgSz w:w="11906" w:h="16838"/>
          <w:pgMar w:top="1440" w:right="1622" w:bottom="1440" w:left="1287" w:header="851" w:footer="992" w:gutter="0"/>
          <w:pgNumType w:fmt="decimal"/>
          <w:cols w:space="720" w:num="1"/>
          <w:titlePg/>
          <w:docGrid w:linePitch="312" w:charSpace="0"/>
        </w:sectPr>
      </w:pPr>
      <w:r>
        <w:rPr>
          <w:rFonts w:hint="eastAsia" w:ascii="仿宋" w:hAnsi="仿宋" w:eastAsia="仿宋" w:cs="仿宋"/>
          <w:color w:val="auto"/>
          <w:sz w:val="24"/>
          <w:highlight w:val="none"/>
        </w:rPr>
        <w:t>日期：    年     月    日</w:t>
      </w:r>
    </w:p>
    <w:p w14:paraId="370A38DF">
      <w:pPr>
        <w:rPr>
          <w:rFonts w:hint="eastAsia" w:ascii="仿宋" w:hAnsi="仿宋" w:eastAsia="仿宋" w:cs="仿宋"/>
          <w:b w:val="0"/>
          <w:bCs/>
          <w:color w:val="auto"/>
          <w:sz w:val="28"/>
          <w:szCs w:val="28"/>
          <w:highlight w:val="none"/>
        </w:rPr>
      </w:pPr>
    </w:p>
    <w:p w14:paraId="58413C3E">
      <w:pPr>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13.</w:t>
      </w:r>
      <w:r>
        <w:rPr>
          <w:rFonts w:hint="eastAsia" w:ascii="仿宋" w:hAnsi="仿宋" w:eastAsia="仿宋" w:cs="仿宋"/>
          <w:b/>
          <w:color w:val="auto"/>
          <w:sz w:val="28"/>
          <w:szCs w:val="28"/>
          <w:highlight w:val="none"/>
        </w:rPr>
        <w:t>企业业绩</w:t>
      </w:r>
    </w:p>
    <w:p w14:paraId="7287D78F">
      <w:pPr>
        <w:spacing w:line="460" w:lineRule="exact"/>
        <w:jc w:val="left"/>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val="en-US" w:eastAsia="zh-CN"/>
        </w:rPr>
        <w:t xml:space="preserve">                                                标项：</w:t>
      </w:r>
      <w:r>
        <w:rPr>
          <w:rFonts w:hint="eastAsia" w:ascii="仿宋" w:hAnsi="仿宋" w:eastAsia="仿宋" w:cs="仿宋"/>
          <w:color w:val="auto"/>
          <w:sz w:val="24"/>
          <w:highlight w:val="none"/>
          <w:u w:val="single"/>
          <w:lang w:val="en-US" w:eastAsia="zh-CN"/>
        </w:rPr>
        <w:t xml:space="preserve">    </w:t>
      </w:r>
    </w:p>
    <w:tbl>
      <w:tblPr>
        <w:tblStyle w:val="23"/>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532"/>
        <w:gridCol w:w="1161"/>
        <w:gridCol w:w="1418"/>
        <w:gridCol w:w="1159"/>
        <w:gridCol w:w="1246"/>
        <w:gridCol w:w="1246"/>
      </w:tblGrid>
      <w:tr w14:paraId="1A6DF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7B054BD5">
            <w:pPr>
              <w:snapToGrid w:val="0"/>
              <w:spacing w:beforeLines="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532" w:type="dxa"/>
            <w:vAlign w:val="center"/>
          </w:tcPr>
          <w:p w14:paraId="1B2A0756">
            <w:pPr>
              <w:snapToGrid w:val="0"/>
              <w:spacing w:beforeLines="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1161" w:type="dxa"/>
            <w:vAlign w:val="center"/>
          </w:tcPr>
          <w:p w14:paraId="7B5C3D54">
            <w:pPr>
              <w:snapToGrid w:val="0"/>
              <w:spacing w:beforeLines="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使用方</w:t>
            </w:r>
          </w:p>
        </w:tc>
        <w:tc>
          <w:tcPr>
            <w:tcW w:w="1418" w:type="dxa"/>
            <w:vAlign w:val="center"/>
          </w:tcPr>
          <w:p w14:paraId="156748B8">
            <w:pPr>
              <w:snapToGrid w:val="0"/>
              <w:spacing w:beforeLines="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合同金额（元）</w:t>
            </w:r>
          </w:p>
        </w:tc>
        <w:tc>
          <w:tcPr>
            <w:tcW w:w="1159" w:type="dxa"/>
            <w:vAlign w:val="center"/>
          </w:tcPr>
          <w:p w14:paraId="52F68E87">
            <w:pPr>
              <w:snapToGrid w:val="0"/>
              <w:spacing w:beforeLines="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签订</w:t>
            </w:r>
          </w:p>
          <w:p w14:paraId="2C331F8E">
            <w:pPr>
              <w:snapToGrid w:val="0"/>
              <w:spacing w:beforeLines="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时间</w:t>
            </w:r>
          </w:p>
        </w:tc>
        <w:tc>
          <w:tcPr>
            <w:tcW w:w="1246" w:type="dxa"/>
            <w:vAlign w:val="center"/>
          </w:tcPr>
          <w:p w14:paraId="6E8BBB62">
            <w:pPr>
              <w:snapToGrid w:val="0"/>
              <w:spacing w:beforeLines="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使用方联系人</w:t>
            </w:r>
          </w:p>
        </w:tc>
        <w:tc>
          <w:tcPr>
            <w:tcW w:w="1246" w:type="dxa"/>
            <w:vAlign w:val="center"/>
          </w:tcPr>
          <w:p w14:paraId="7FFD140C">
            <w:pPr>
              <w:snapToGrid w:val="0"/>
              <w:spacing w:beforeLines="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联系</w:t>
            </w:r>
          </w:p>
          <w:p w14:paraId="6EE65B32">
            <w:pPr>
              <w:snapToGrid w:val="0"/>
              <w:spacing w:beforeLines="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方式</w:t>
            </w:r>
          </w:p>
        </w:tc>
      </w:tr>
      <w:tr w14:paraId="05A6D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2A4F32A5">
            <w:pPr>
              <w:snapToGrid w:val="0"/>
              <w:spacing w:beforeLines="50" w:after="50"/>
              <w:jc w:val="center"/>
              <w:rPr>
                <w:rFonts w:hint="eastAsia" w:ascii="仿宋" w:hAnsi="仿宋" w:eastAsia="仿宋" w:cs="仿宋"/>
                <w:color w:val="auto"/>
                <w:sz w:val="24"/>
                <w:highlight w:val="none"/>
              </w:rPr>
            </w:pPr>
          </w:p>
        </w:tc>
        <w:tc>
          <w:tcPr>
            <w:tcW w:w="1532" w:type="dxa"/>
            <w:vAlign w:val="center"/>
          </w:tcPr>
          <w:p w14:paraId="3376B64C">
            <w:pPr>
              <w:snapToGrid w:val="0"/>
              <w:spacing w:beforeLines="50" w:after="50"/>
              <w:jc w:val="center"/>
              <w:rPr>
                <w:rFonts w:hint="eastAsia" w:ascii="仿宋" w:hAnsi="仿宋" w:eastAsia="仿宋" w:cs="仿宋"/>
                <w:color w:val="auto"/>
                <w:sz w:val="24"/>
                <w:highlight w:val="none"/>
              </w:rPr>
            </w:pPr>
          </w:p>
        </w:tc>
        <w:tc>
          <w:tcPr>
            <w:tcW w:w="1161" w:type="dxa"/>
            <w:vAlign w:val="center"/>
          </w:tcPr>
          <w:p w14:paraId="3F41CE41">
            <w:pPr>
              <w:snapToGrid w:val="0"/>
              <w:spacing w:beforeLines="50" w:after="50"/>
              <w:jc w:val="center"/>
              <w:rPr>
                <w:rFonts w:hint="eastAsia" w:ascii="仿宋" w:hAnsi="仿宋" w:eastAsia="仿宋" w:cs="仿宋"/>
                <w:color w:val="auto"/>
                <w:sz w:val="24"/>
                <w:highlight w:val="none"/>
              </w:rPr>
            </w:pPr>
          </w:p>
        </w:tc>
        <w:tc>
          <w:tcPr>
            <w:tcW w:w="1418" w:type="dxa"/>
            <w:vAlign w:val="center"/>
          </w:tcPr>
          <w:p w14:paraId="423D3F5F">
            <w:pPr>
              <w:snapToGrid w:val="0"/>
              <w:spacing w:beforeLines="50" w:after="50"/>
              <w:jc w:val="center"/>
              <w:rPr>
                <w:rFonts w:hint="eastAsia" w:ascii="仿宋" w:hAnsi="仿宋" w:eastAsia="仿宋" w:cs="仿宋"/>
                <w:color w:val="auto"/>
                <w:sz w:val="24"/>
                <w:highlight w:val="none"/>
              </w:rPr>
            </w:pPr>
          </w:p>
        </w:tc>
        <w:tc>
          <w:tcPr>
            <w:tcW w:w="1159" w:type="dxa"/>
            <w:vAlign w:val="center"/>
          </w:tcPr>
          <w:p w14:paraId="456C9240">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5B080EC8">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23D7775F">
            <w:pPr>
              <w:snapToGrid w:val="0"/>
              <w:spacing w:beforeLines="50" w:after="50"/>
              <w:jc w:val="center"/>
              <w:rPr>
                <w:rFonts w:hint="eastAsia" w:ascii="仿宋" w:hAnsi="仿宋" w:eastAsia="仿宋" w:cs="仿宋"/>
                <w:color w:val="auto"/>
                <w:sz w:val="24"/>
                <w:highlight w:val="none"/>
              </w:rPr>
            </w:pPr>
          </w:p>
        </w:tc>
      </w:tr>
      <w:tr w14:paraId="16ADC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5D15E1E1">
            <w:pPr>
              <w:snapToGrid w:val="0"/>
              <w:spacing w:beforeLines="50" w:after="50"/>
              <w:jc w:val="center"/>
              <w:rPr>
                <w:rFonts w:hint="eastAsia" w:ascii="仿宋" w:hAnsi="仿宋" w:eastAsia="仿宋" w:cs="仿宋"/>
                <w:color w:val="auto"/>
                <w:sz w:val="24"/>
                <w:highlight w:val="none"/>
              </w:rPr>
            </w:pPr>
          </w:p>
        </w:tc>
        <w:tc>
          <w:tcPr>
            <w:tcW w:w="1532" w:type="dxa"/>
            <w:vAlign w:val="center"/>
          </w:tcPr>
          <w:p w14:paraId="63A1E952">
            <w:pPr>
              <w:snapToGrid w:val="0"/>
              <w:spacing w:beforeLines="50" w:after="50"/>
              <w:jc w:val="center"/>
              <w:rPr>
                <w:rFonts w:hint="eastAsia" w:ascii="仿宋" w:hAnsi="仿宋" w:eastAsia="仿宋" w:cs="仿宋"/>
                <w:color w:val="auto"/>
                <w:sz w:val="24"/>
                <w:highlight w:val="none"/>
              </w:rPr>
            </w:pPr>
          </w:p>
        </w:tc>
        <w:tc>
          <w:tcPr>
            <w:tcW w:w="1161" w:type="dxa"/>
            <w:vAlign w:val="center"/>
          </w:tcPr>
          <w:p w14:paraId="64AA55A0">
            <w:pPr>
              <w:snapToGrid w:val="0"/>
              <w:spacing w:beforeLines="50" w:after="50"/>
              <w:jc w:val="center"/>
              <w:rPr>
                <w:rFonts w:hint="eastAsia" w:ascii="仿宋" w:hAnsi="仿宋" w:eastAsia="仿宋" w:cs="仿宋"/>
                <w:color w:val="auto"/>
                <w:sz w:val="24"/>
                <w:highlight w:val="none"/>
              </w:rPr>
            </w:pPr>
          </w:p>
        </w:tc>
        <w:tc>
          <w:tcPr>
            <w:tcW w:w="1418" w:type="dxa"/>
            <w:vAlign w:val="center"/>
          </w:tcPr>
          <w:p w14:paraId="22EB29F5">
            <w:pPr>
              <w:snapToGrid w:val="0"/>
              <w:spacing w:beforeLines="50" w:after="50"/>
              <w:jc w:val="center"/>
              <w:rPr>
                <w:rFonts w:hint="eastAsia" w:ascii="仿宋" w:hAnsi="仿宋" w:eastAsia="仿宋" w:cs="仿宋"/>
                <w:color w:val="auto"/>
                <w:sz w:val="24"/>
                <w:highlight w:val="none"/>
              </w:rPr>
            </w:pPr>
          </w:p>
        </w:tc>
        <w:tc>
          <w:tcPr>
            <w:tcW w:w="1159" w:type="dxa"/>
            <w:vAlign w:val="center"/>
          </w:tcPr>
          <w:p w14:paraId="0BB457A8">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7A2BDDF8">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46ADFDCE">
            <w:pPr>
              <w:snapToGrid w:val="0"/>
              <w:spacing w:beforeLines="50" w:after="50"/>
              <w:jc w:val="center"/>
              <w:rPr>
                <w:rFonts w:hint="eastAsia" w:ascii="仿宋" w:hAnsi="仿宋" w:eastAsia="仿宋" w:cs="仿宋"/>
                <w:color w:val="auto"/>
                <w:sz w:val="24"/>
                <w:highlight w:val="none"/>
              </w:rPr>
            </w:pPr>
          </w:p>
        </w:tc>
      </w:tr>
      <w:tr w14:paraId="4F92E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18621C21">
            <w:pPr>
              <w:snapToGrid w:val="0"/>
              <w:spacing w:beforeLines="50" w:after="50"/>
              <w:jc w:val="center"/>
              <w:rPr>
                <w:rFonts w:hint="eastAsia" w:ascii="仿宋" w:hAnsi="仿宋" w:eastAsia="仿宋" w:cs="仿宋"/>
                <w:color w:val="auto"/>
                <w:sz w:val="24"/>
                <w:highlight w:val="none"/>
              </w:rPr>
            </w:pPr>
          </w:p>
        </w:tc>
        <w:tc>
          <w:tcPr>
            <w:tcW w:w="1532" w:type="dxa"/>
            <w:vAlign w:val="center"/>
          </w:tcPr>
          <w:p w14:paraId="3665CA00">
            <w:pPr>
              <w:snapToGrid w:val="0"/>
              <w:spacing w:beforeLines="50" w:after="50"/>
              <w:jc w:val="center"/>
              <w:rPr>
                <w:rFonts w:hint="eastAsia" w:ascii="仿宋" w:hAnsi="仿宋" w:eastAsia="仿宋" w:cs="仿宋"/>
                <w:color w:val="auto"/>
                <w:sz w:val="24"/>
                <w:highlight w:val="none"/>
              </w:rPr>
            </w:pPr>
          </w:p>
        </w:tc>
        <w:tc>
          <w:tcPr>
            <w:tcW w:w="1161" w:type="dxa"/>
            <w:vAlign w:val="center"/>
          </w:tcPr>
          <w:p w14:paraId="253E7147">
            <w:pPr>
              <w:snapToGrid w:val="0"/>
              <w:spacing w:beforeLines="50" w:after="50"/>
              <w:jc w:val="center"/>
              <w:rPr>
                <w:rFonts w:hint="eastAsia" w:ascii="仿宋" w:hAnsi="仿宋" w:eastAsia="仿宋" w:cs="仿宋"/>
                <w:color w:val="auto"/>
                <w:sz w:val="24"/>
                <w:highlight w:val="none"/>
              </w:rPr>
            </w:pPr>
          </w:p>
        </w:tc>
        <w:tc>
          <w:tcPr>
            <w:tcW w:w="1418" w:type="dxa"/>
            <w:vAlign w:val="center"/>
          </w:tcPr>
          <w:p w14:paraId="0D91BB70">
            <w:pPr>
              <w:snapToGrid w:val="0"/>
              <w:spacing w:beforeLines="50" w:after="50"/>
              <w:jc w:val="center"/>
              <w:rPr>
                <w:rFonts w:hint="eastAsia" w:ascii="仿宋" w:hAnsi="仿宋" w:eastAsia="仿宋" w:cs="仿宋"/>
                <w:color w:val="auto"/>
                <w:sz w:val="24"/>
                <w:highlight w:val="none"/>
              </w:rPr>
            </w:pPr>
          </w:p>
        </w:tc>
        <w:tc>
          <w:tcPr>
            <w:tcW w:w="1159" w:type="dxa"/>
            <w:vAlign w:val="center"/>
          </w:tcPr>
          <w:p w14:paraId="403266BA">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681035B6">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553A337E">
            <w:pPr>
              <w:snapToGrid w:val="0"/>
              <w:spacing w:beforeLines="50" w:after="50"/>
              <w:jc w:val="center"/>
              <w:rPr>
                <w:rFonts w:hint="eastAsia" w:ascii="仿宋" w:hAnsi="仿宋" w:eastAsia="仿宋" w:cs="仿宋"/>
                <w:color w:val="auto"/>
                <w:sz w:val="24"/>
                <w:highlight w:val="none"/>
              </w:rPr>
            </w:pPr>
          </w:p>
        </w:tc>
      </w:tr>
      <w:tr w14:paraId="2F585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33EF5933">
            <w:pPr>
              <w:snapToGrid w:val="0"/>
              <w:spacing w:beforeLines="50" w:after="50"/>
              <w:jc w:val="center"/>
              <w:rPr>
                <w:rFonts w:hint="eastAsia" w:ascii="仿宋" w:hAnsi="仿宋" w:eastAsia="仿宋" w:cs="仿宋"/>
                <w:color w:val="auto"/>
                <w:sz w:val="24"/>
                <w:highlight w:val="none"/>
              </w:rPr>
            </w:pPr>
          </w:p>
        </w:tc>
        <w:tc>
          <w:tcPr>
            <w:tcW w:w="1532" w:type="dxa"/>
            <w:vAlign w:val="center"/>
          </w:tcPr>
          <w:p w14:paraId="121C1FDA">
            <w:pPr>
              <w:snapToGrid w:val="0"/>
              <w:spacing w:beforeLines="50" w:after="50"/>
              <w:jc w:val="center"/>
              <w:rPr>
                <w:rFonts w:hint="eastAsia" w:ascii="仿宋" w:hAnsi="仿宋" w:eastAsia="仿宋" w:cs="仿宋"/>
                <w:color w:val="auto"/>
                <w:sz w:val="24"/>
                <w:highlight w:val="none"/>
              </w:rPr>
            </w:pPr>
          </w:p>
        </w:tc>
        <w:tc>
          <w:tcPr>
            <w:tcW w:w="1161" w:type="dxa"/>
            <w:vAlign w:val="center"/>
          </w:tcPr>
          <w:p w14:paraId="0F0DAACF">
            <w:pPr>
              <w:snapToGrid w:val="0"/>
              <w:spacing w:beforeLines="50" w:after="50"/>
              <w:jc w:val="center"/>
              <w:rPr>
                <w:rFonts w:hint="eastAsia" w:ascii="仿宋" w:hAnsi="仿宋" w:eastAsia="仿宋" w:cs="仿宋"/>
                <w:color w:val="auto"/>
                <w:sz w:val="24"/>
                <w:highlight w:val="none"/>
              </w:rPr>
            </w:pPr>
          </w:p>
        </w:tc>
        <w:tc>
          <w:tcPr>
            <w:tcW w:w="1418" w:type="dxa"/>
            <w:vAlign w:val="center"/>
          </w:tcPr>
          <w:p w14:paraId="677942D1">
            <w:pPr>
              <w:snapToGrid w:val="0"/>
              <w:spacing w:beforeLines="50" w:after="50"/>
              <w:jc w:val="center"/>
              <w:rPr>
                <w:rFonts w:hint="eastAsia" w:ascii="仿宋" w:hAnsi="仿宋" w:eastAsia="仿宋" w:cs="仿宋"/>
                <w:color w:val="auto"/>
                <w:sz w:val="24"/>
                <w:highlight w:val="none"/>
              </w:rPr>
            </w:pPr>
          </w:p>
        </w:tc>
        <w:tc>
          <w:tcPr>
            <w:tcW w:w="1159" w:type="dxa"/>
            <w:vAlign w:val="center"/>
          </w:tcPr>
          <w:p w14:paraId="232B20B4">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610C8599">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3BD84DAA">
            <w:pPr>
              <w:snapToGrid w:val="0"/>
              <w:spacing w:beforeLines="50" w:after="50"/>
              <w:jc w:val="center"/>
              <w:rPr>
                <w:rFonts w:hint="eastAsia" w:ascii="仿宋" w:hAnsi="仿宋" w:eastAsia="仿宋" w:cs="仿宋"/>
                <w:color w:val="auto"/>
                <w:sz w:val="24"/>
                <w:highlight w:val="none"/>
              </w:rPr>
            </w:pPr>
          </w:p>
        </w:tc>
      </w:tr>
      <w:tr w14:paraId="7F361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6FBF6DE9">
            <w:pPr>
              <w:snapToGrid w:val="0"/>
              <w:spacing w:beforeLines="50" w:after="50"/>
              <w:jc w:val="center"/>
              <w:rPr>
                <w:rFonts w:hint="eastAsia" w:ascii="仿宋" w:hAnsi="仿宋" w:eastAsia="仿宋" w:cs="仿宋"/>
                <w:color w:val="auto"/>
                <w:sz w:val="24"/>
                <w:highlight w:val="none"/>
              </w:rPr>
            </w:pPr>
          </w:p>
        </w:tc>
        <w:tc>
          <w:tcPr>
            <w:tcW w:w="1532" w:type="dxa"/>
            <w:vAlign w:val="center"/>
          </w:tcPr>
          <w:p w14:paraId="350F7DE7">
            <w:pPr>
              <w:snapToGrid w:val="0"/>
              <w:spacing w:beforeLines="50" w:after="50"/>
              <w:jc w:val="center"/>
              <w:rPr>
                <w:rFonts w:hint="eastAsia" w:ascii="仿宋" w:hAnsi="仿宋" w:eastAsia="仿宋" w:cs="仿宋"/>
                <w:color w:val="auto"/>
                <w:sz w:val="24"/>
                <w:highlight w:val="none"/>
              </w:rPr>
            </w:pPr>
          </w:p>
        </w:tc>
        <w:tc>
          <w:tcPr>
            <w:tcW w:w="1161" w:type="dxa"/>
            <w:vAlign w:val="center"/>
          </w:tcPr>
          <w:p w14:paraId="4C2B03D9">
            <w:pPr>
              <w:snapToGrid w:val="0"/>
              <w:spacing w:beforeLines="50" w:after="50"/>
              <w:jc w:val="center"/>
              <w:rPr>
                <w:rFonts w:hint="eastAsia" w:ascii="仿宋" w:hAnsi="仿宋" w:eastAsia="仿宋" w:cs="仿宋"/>
                <w:color w:val="auto"/>
                <w:sz w:val="24"/>
                <w:highlight w:val="none"/>
              </w:rPr>
            </w:pPr>
          </w:p>
        </w:tc>
        <w:tc>
          <w:tcPr>
            <w:tcW w:w="1418" w:type="dxa"/>
            <w:vAlign w:val="center"/>
          </w:tcPr>
          <w:p w14:paraId="28B06FD9">
            <w:pPr>
              <w:snapToGrid w:val="0"/>
              <w:spacing w:beforeLines="50" w:after="50"/>
              <w:jc w:val="center"/>
              <w:rPr>
                <w:rFonts w:hint="eastAsia" w:ascii="仿宋" w:hAnsi="仿宋" w:eastAsia="仿宋" w:cs="仿宋"/>
                <w:color w:val="auto"/>
                <w:sz w:val="24"/>
                <w:highlight w:val="none"/>
              </w:rPr>
            </w:pPr>
          </w:p>
        </w:tc>
        <w:tc>
          <w:tcPr>
            <w:tcW w:w="1159" w:type="dxa"/>
            <w:vAlign w:val="center"/>
          </w:tcPr>
          <w:p w14:paraId="466E5474">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5B7C48EA">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4CAA2B38">
            <w:pPr>
              <w:snapToGrid w:val="0"/>
              <w:spacing w:beforeLines="50" w:after="50"/>
              <w:jc w:val="center"/>
              <w:rPr>
                <w:rFonts w:hint="eastAsia" w:ascii="仿宋" w:hAnsi="仿宋" w:eastAsia="仿宋" w:cs="仿宋"/>
                <w:color w:val="auto"/>
                <w:sz w:val="24"/>
                <w:highlight w:val="none"/>
              </w:rPr>
            </w:pPr>
          </w:p>
        </w:tc>
      </w:tr>
      <w:tr w14:paraId="4AE41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62FB4518">
            <w:pPr>
              <w:snapToGrid w:val="0"/>
              <w:spacing w:beforeLines="50" w:after="50"/>
              <w:jc w:val="center"/>
              <w:rPr>
                <w:rFonts w:hint="eastAsia" w:ascii="仿宋" w:hAnsi="仿宋" w:eastAsia="仿宋" w:cs="仿宋"/>
                <w:color w:val="auto"/>
                <w:sz w:val="24"/>
                <w:highlight w:val="none"/>
              </w:rPr>
            </w:pPr>
          </w:p>
        </w:tc>
        <w:tc>
          <w:tcPr>
            <w:tcW w:w="1532" w:type="dxa"/>
            <w:vAlign w:val="center"/>
          </w:tcPr>
          <w:p w14:paraId="559DA1DB">
            <w:pPr>
              <w:snapToGrid w:val="0"/>
              <w:spacing w:beforeLines="50" w:after="50"/>
              <w:jc w:val="center"/>
              <w:rPr>
                <w:rFonts w:hint="eastAsia" w:ascii="仿宋" w:hAnsi="仿宋" w:eastAsia="仿宋" w:cs="仿宋"/>
                <w:color w:val="auto"/>
                <w:sz w:val="24"/>
                <w:highlight w:val="none"/>
              </w:rPr>
            </w:pPr>
          </w:p>
        </w:tc>
        <w:tc>
          <w:tcPr>
            <w:tcW w:w="1161" w:type="dxa"/>
            <w:vAlign w:val="center"/>
          </w:tcPr>
          <w:p w14:paraId="23222735">
            <w:pPr>
              <w:snapToGrid w:val="0"/>
              <w:spacing w:beforeLines="50" w:after="50"/>
              <w:jc w:val="center"/>
              <w:rPr>
                <w:rFonts w:hint="eastAsia" w:ascii="仿宋" w:hAnsi="仿宋" w:eastAsia="仿宋" w:cs="仿宋"/>
                <w:color w:val="auto"/>
                <w:sz w:val="24"/>
                <w:highlight w:val="none"/>
              </w:rPr>
            </w:pPr>
          </w:p>
        </w:tc>
        <w:tc>
          <w:tcPr>
            <w:tcW w:w="1418" w:type="dxa"/>
            <w:vAlign w:val="center"/>
          </w:tcPr>
          <w:p w14:paraId="4E083E9A">
            <w:pPr>
              <w:snapToGrid w:val="0"/>
              <w:spacing w:beforeLines="50" w:after="50"/>
              <w:jc w:val="center"/>
              <w:rPr>
                <w:rFonts w:hint="eastAsia" w:ascii="仿宋" w:hAnsi="仿宋" w:eastAsia="仿宋" w:cs="仿宋"/>
                <w:color w:val="auto"/>
                <w:sz w:val="24"/>
                <w:highlight w:val="none"/>
              </w:rPr>
            </w:pPr>
          </w:p>
        </w:tc>
        <w:tc>
          <w:tcPr>
            <w:tcW w:w="1159" w:type="dxa"/>
            <w:vAlign w:val="center"/>
          </w:tcPr>
          <w:p w14:paraId="55271619">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6E2ACB60">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64DE8729">
            <w:pPr>
              <w:snapToGrid w:val="0"/>
              <w:spacing w:beforeLines="50" w:after="50"/>
              <w:jc w:val="center"/>
              <w:rPr>
                <w:rFonts w:hint="eastAsia" w:ascii="仿宋" w:hAnsi="仿宋" w:eastAsia="仿宋" w:cs="仿宋"/>
                <w:color w:val="auto"/>
                <w:sz w:val="24"/>
                <w:highlight w:val="none"/>
              </w:rPr>
            </w:pPr>
          </w:p>
        </w:tc>
      </w:tr>
      <w:tr w14:paraId="18010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159EA5F3">
            <w:pPr>
              <w:snapToGrid w:val="0"/>
              <w:spacing w:beforeLines="50" w:after="50"/>
              <w:jc w:val="center"/>
              <w:rPr>
                <w:rFonts w:hint="eastAsia" w:ascii="仿宋" w:hAnsi="仿宋" w:eastAsia="仿宋" w:cs="仿宋"/>
                <w:color w:val="auto"/>
                <w:sz w:val="24"/>
                <w:highlight w:val="none"/>
              </w:rPr>
            </w:pPr>
          </w:p>
        </w:tc>
        <w:tc>
          <w:tcPr>
            <w:tcW w:w="1532" w:type="dxa"/>
            <w:vAlign w:val="center"/>
          </w:tcPr>
          <w:p w14:paraId="0A0545A8">
            <w:pPr>
              <w:snapToGrid w:val="0"/>
              <w:spacing w:beforeLines="50" w:after="50"/>
              <w:jc w:val="center"/>
              <w:rPr>
                <w:rFonts w:hint="eastAsia" w:ascii="仿宋" w:hAnsi="仿宋" w:eastAsia="仿宋" w:cs="仿宋"/>
                <w:color w:val="auto"/>
                <w:sz w:val="24"/>
                <w:highlight w:val="none"/>
              </w:rPr>
            </w:pPr>
          </w:p>
        </w:tc>
        <w:tc>
          <w:tcPr>
            <w:tcW w:w="1161" w:type="dxa"/>
            <w:vAlign w:val="center"/>
          </w:tcPr>
          <w:p w14:paraId="5B6C6504">
            <w:pPr>
              <w:snapToGrid w:val="0"/>
              <w:spacing w:beforeLines="50" w:after="50"/>
              <w:jc w:val="center"/>
              <w:rPr>
                <w:rFonts w:hint="eastAsia" w:ascii="仿宋" w:hAnsi="仿宋" w:eastAsia="仿宋" w:cs="仿宋"/>
                <w:color w:val="auto"/>
                <w:sz w:val="24"/>
                <w:highlight w:val="none"/>
              </w:rPr>
            </w:pPr>
          </w:p>
        </w:tc>
        <w:tc>
          <w:tcPr>
            <w:tcW w:w="1418" w:type="dxa"/>
            <w:vAlign w:val="center"/>
          </w:tcPr>
          <w:p w14:paraId="49435DC5">
            <w:pPr>
              <w:snapToGrid w:val="0"/>
              <w:spacing w:beforeLines="50" w:after="50"/>
              <w:jc w:val="center"/>
              <w:rPr>
                <w:rFonts w:hint="eastAsia" w:ascii="仿宋" w:hAnsi="仿宋" w:eastAsia="仿宋" w:cs="仿宋"/>
                <w:color w:val="auto"/>
                <w:sz w:val="24"/>
                <w:highlight w:val="none"/>
              </w:rPr>
            </w:pPr>
          </w:p>
        </w:tc>
        <w:tc>
          <w:tcPr>
            <w:tcW w:w="1159" w:type="dxa"/>
            <w:vAlign w:val="center"/>
          </w:tcPr>
          <w:p w14:paraId="494C29DC">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068820B2">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6BD32BBC">
            <w:pPr>
              <w:snapToGrid w:val="0"/>
              <w:spacing w:beforeLines="50" w:after="50"/>
              <w:jc w:val="center"/>
              <w:rPr>
                <w:rFonts w:hint="eastAsia" w:ascii="仿宋" w:hAnsi="仿宋" w:eastAsia="仿宋" w:cs="仿宋"/>
                <w:color w:val="auto"/>
                <w:sz w:val="24"/>
                <w:highlight w:val="none"/>
              </w:rPr>
            </w:pPr>
          </w:p>
        </w:tc>
      </w:tr>
      <w:tr w14:paraId="12652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79330E32">
            <w:pPr>
              <w:snapToGrid w:val="0"/>
              <w:spacing w:beforeLines="50" w:after="50"/>
              <w:jc w:val="center"/>
              <w:rPr>
                <w:rFonts w:hint="eastAsia" w:ascii="仿宋" w:hAnsi="仿宋" w:eastAsia="仿宋" w:cs="仿宋"/>
                <w:color w:val="auto"/>
                <w:sz w:val="24"/>
                <w:highlight w:val="none"/>
              </w:rPr>
            </w:pPr>
          </w:p>
        </w:tc>
        <w:tc>
          <w:tcPr>
            <w:tcW w:w="1532" w:type="dxa"/>
            <w:vAlign w:val="center"/>
          </w:tcPr>
          <w:p w14:paraId="76F77C3E">
            <w:pPr>
              <w:snapToGrid w:val="0"/>
              <w:spacing w:beforeLines="50" w:after="50"/>
              <w:jc w:val="center"/>
              <w:rPr>
                <w:rFonts w:hint="eastAsia" w:ascii="仿宋" w:hAnsi="仿宋" w:eastAsia="仿宋" w:cs="仿宋"/>
                <w:color w:val="auto"/>
                <w:sz w:val="24"/>
                <w:highlight w:val="none"/>
              </w:rPr>
            </w:pPr>
          </w:p>
        </w:tc>
        <w:tc>
          <w:tcPr>
            <w:tcW w:w="1161" w:type="dxa"/>
            <w:vAlign w:val="center"/>
          </w:tcPr>
          <w:p w14:paraId="49E3D396">
            <w:pPr>
              <w:snapToGrid w:val="0"/>
              <w:spacing w:beforeLines="50" w:after="50"/>
              <w:jc w:val="center"/>
              <w:rPr>
                <w:rFonts w:hint="eastAsia" w:ascii="仿宋" w:hAnsi="仿宋" w:eastAsia="仿宋" w:cs="仿宋"/>
                <w:color w:val="auto"/>
                <w:sz w:val="24"/>
                <w:highlight w:val="none"/>
              </w:rPr>
            </w:pPr>
          </w:p>
        </w:tc>
        <w:tc>
          <w:tcPr>
            <w:tcW w:w="1418" w:type="dxa"/>
            <w:vAlign w:val="center"/>
          </w:tcPr>
          <w:p w14:paraId="5113E99D">
            <w:pPr>
              <w:snapToGrid w:val="0"/>
              <w:spacing w:beforeLines="50" w:after="50"/>
              <w:jc w:val="center"/>
              <w:rPr>
                <w:rFonts w:hint="eastAsia" w:ascii="仿宋" w:hAnsi="仿宋" w:eastAsia="仿宋" w:cs="仿宋"/>
                <w:color w:val="auto"/>
                <w:sz w:val="24"/>
                <w:highlight w:val="none"/>
              </w:rPr>
            </w:pPr>
          </w:p>
        </w:tc>
        <w:tc>
          <w:tcPr>
            <w:tcW w:w="1159" w:type="dxa"/>
            <w:vAlign w:val="center"/>
          </w:tcPr>
          <w:p w14:paraId="0C6BB040">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0D06BAB3">
            <w:pPr>
              <w:snapToGrid w:val="0"/>
              <w:spacing w:beforeLines="50" w:after="50"/>
              <w:jc w:val="center"/>
              <w:rPr>
                <w:rFonts w:hint="eastAsia" w:ascii="仿宋" w:hAnsi="仿宋" w:eastAsia="仿宋" w:cs="仿宋"/>
                <w:color w:val="auto"/>
                <w:sz w:val="24"/>
                <w:highlight w:val="none"/>
              </w:rPr>
            </w:pPr>
          </w:p>
        </w:tc>
        <w:tc>
          <w:tcPr>
            <w:tcW w:w="1246" w:type="dxa"/>
            <w:vAlign w:val="center"/>
          </w:tcPr>
          <w:p w14:paraId="555914A8">
            <w:pPr>
              <w:snapToGrid w:val="0"/>
              <w:spacing w:beforeLines="50" w:after="50"/>
              <w:jc w:val="center"/>
              <w:rPr>
                <w:rFonts w:hint="eastAsia" w:ascii="仿宋" w:hAnsi="仿宋" w:eastAsia="仿宋" w:cs="仿宋"/>
                <w:color w:val="auto"/>
                <w:sz w:val="24"/>
                <w:highlight w:val="none"/>
              </w:rPr>
            </w:pPr>
          </w:p>
        </w:tc>
      </w:tr>
    </w:tbl>
    <w:p w14:paraId="5C524059">
      <w:pPr>
        <w:snapToGrid w:val="0"/>
        <w:spacing w:beforeLines="50" w:after="50"/>
        <w:jc w:val="left"/>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注：</w:t>
      </w:r>
      <w:r>
        <w:rPr>
          <w:rFonts w:hint="eastAsia" w:ascii="仿宋" w:hAnsi="仿宋" w:eastAsia="仿宋" w:cs="仿宋"/>
          <w:b/>
          <w:color w:val="auto"/>
          <w:sz w:val="24"/>
          <w:highlight w:val="none"/>
        </w:rPr>
        <w:t>此表仅提供了表格形式，投标人应根据需要准备足够数量的表格来填写</w:t>
      </w:r>
      <w:r>
        <w:rPr>
          <w:rFonts w:hint="eastAsia" w:ascii="仿宋" w:hAnsi="仿宋" w:eastAsia="仿宋" w:cs="仿宋"/>
          <w:b/>
          <w:color w:val="auto"/>
          <w:sz w:val="24"/>
          <w:highlight w:val="none"/>
          <w:lang w:eastAsia="zh-CN"/>
        </w:rPr>
        <w:t>。</w:t>
      </w:r>
    </w:p>
    <w:p w14:paraId="7578E5CA">
      <w:pPr>
        <w:snapToGrid w:val="0"/>
        <w:spacing w:beforeLines="50" w:after="50"/>
        <w:jc w:val="left"/>
        <w:rPr>
          <w:rFonts w:hint="eastAsia" w:ascii="仿宋" w:hAnsi="仿宋" w:eastAsia="仿宋" w:cs="仿宋"/>
          <w:b/>
          <w:color w:val="auto"/>
          <w:sz w:val="24"/>
          <w:highlight w:val="none"/>
        </w:rPr>
      </w:pPr>
    </w:p>
    <w:p w14:paraId="69EF5972">
      <w:pPr>
        <w:snapToGrid w:val="0"/>
        <w:spacing w:beforeLines="50" w:after="50"/>
        <w:jc w:val="left"/>
        <w:rPr>
          <w:rFonts w:hint="eastAsia" w:ascii="仿宋" w:hAnsi="仿宋" w:eastAsia="仿宋" w:cs="仿宋"/>
          <w:b/>
          <w:color w:val="auto"/>
          <w:sz w:val="24"/>
          <w:highlight w:val="none"/>
        </w:rPr>
      </w:pPr>
    </w:p>
    <w:p w14:paraId="08EE1E15">
      <w:pPr>
        <w:snapToGrid w:val="0"/>
        <w:spacing w:before="120" w:beforeLines="5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供应商名称（公章）：                             </w:t>
      </w:r>
    </w:p>
    <w:p w14:paraId="2FF4120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w:t>
      </w:r>
      <w:r>
        <w:rPr>
          <w:rFonts w:hint="eastAsia" w:ascii="仿宋" w:hAnsi="仿宋" w:eastAsia="仿宋" w:cs="仿宋"/>
          <w:color w:val="auto"/>
          <w:sz w:val="24"/>
          <w:highlight w:val="none"/>
          <w:lang w:eastAsia="zh-CN"/>
        </w:rPr>
        <w:t>字</w:t>
      </w:r>
      <w:r>
        <w:rPr>
          <w:rFonts w:hint="eastAsia" w:ascii="仿宋" w:hAnsi="仿宋" w:eastAsia="仿宋" w:cs="仿宋"/>
          <w:color w:val="auto"/>
          <w:sz w:val="24"/>
          <w:highlight w:val="none"/>
        </w:rPr>
        <w:t xml:space="preserve">或盖章：  </w:t>
      </w:r>
    </w:p>
    <w:p w14:paraId="60FAF3C7">
      <w:pPr>
        <w:snapToGrid w:val="0"/>
        <w:spacing w:before="120" w:beforeLines="50" w:line="360" w:lineRule="auto"/>
        <w:rPr>
          <w:rFonts w:hint="eastAsia" w:ascii="仿宋" w:hAnsi="仿宋" w:eastAsia="仿宋" w:cs="仿宋"/>
          <w:b/>
          <w:color w:val="auto"/>
          <w:sz w:val="24"/>
          <w:highlight w:val="none"/>
          <w:lang w:val="en-US" w:eastAsia="zh-CN"/>
        </w:rPr>
        <w:sectPr>
          <w:footerReference r:id="rId17" w:type="first"/>
          <w:footerReference r:id="rId16" w:type="default"/>
          <w:pgSz w:w="11906" w:h="16838"/>
          <w:pgMar w:top="1440" w:right="1622" w:bottom="1440" w:left="1287" w:header="851" w:footer="992" w:gutter="0"/>
          <w:pgNumType w:fmt="decimal"/>
          <w:cols w:space="720" w:num="1"/>
          <w:titlePg/>
          <w:docGrid w:linePitch="312" w:charSpace="0"/>
        </w:sectPr>
      </w:pPr>
      <w:r>
        <w:rPr>
          <w:rFonts w:hint="eastAsia" w:ascii="仿宋" w:hAnsi="仿宋" w:eastAsia="仿宋" w:cs="仿宋"/>
          <w:color w:val="auto"/>
          <w:sz w:val="24"/>
          <w:highlight w:val="none"/>
        </w:rPr>
        <w:t xml:space="preserve">日期：    年     月    </w:t>
      </w:r>
      <w:r>
        <w:rPr>
          <w:rFonts w:hint="eastAsia" w:ascii="仿宋" w:hAnsi="仿宋" w:eastAsia="仿宋" w:cs="仿宋"/>
          <w:color w:val="auto"/>
          <w:sz w:val="24"/>
          <w:highlight w:val="none"/>
          <w:lang w:val="en-US" w:eastAsia="zh-CN"/>
        </w:rPr>
        <w:t>日</w:t>
      </w:r>
    </w:p>
    <w:p w14:paraId="45E76D89">
      <w:pPr>
        <w:numPr>
          <w:ilvl w:val="0"/>
          <w:numId w:val="0"/>
        </w:numPr>
        <w:spacing w:line="600" w:lineRule="exact"/>
        <w:jc w:val="center"/>
        <w:outlineLvl w:val="1"/>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14.企业认证</w:t>
      </w:r>
    </w:p>
    <w:p w14:paraId="3E628E9F">
      <w:pPr>
        <w:spacing w:line="460" w:lineRule="exact"/>
        <w:jc w:val="left"/>
        <w:rPr>
          <w:rFonts w:hint="eastAsia"/>
          <w:color w:val="auto"/>
          <w:highlight w:val="none"/>
          <w:lang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val="en-US" w:eastAsia="zh-CN"/>
        </w:rPr>
        <w:t xml:space="preserve">                                                标项：</w:t>
      </w:r>
      <w:r>
        <w:rPr>
          <w:rFonts w:hint="eastAsia" w:ascii="仿宋" w:hAnsi="仿宋" w:eastAsia="仿宋" w:cs="仿宋"/>
          <w:color w:val="auto"/>
          <w:sz w:val="24"/>
          <w:highlight w:val="none"/>
          <w:u w:val="single"/>
          <w:lang w:val="en-US" w:eastAsia="zh-CN"/>
        </w:rPr>
        <w:t xml:space="preserve">    </w:t>
      </w:r>
    </w:p>
    <w:tbl>
      <w:tblPr>
        <w:tblStyle w:val="23"/>
        <w:tblW w:w="93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980"/>
        <w:gridCol w:w="1596"/>
        <w:gridCol w:w="1980"/>
        <w:gridCol w:w="2904"/>
      </w:tblGrid>
      <w:tr w14:paraId="55775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4436C261">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980" w:type="dxa"/>
            <w:noWrap/>
            <w:vAlign w:val="center"/>
          </w:tcPr>
          <w:p w14:paraId="03B42644">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证书名称</w:t>
            </w:r>
          </w:p>
        </w:tc>
        <w:tc>
          <w:tcPr>
            <w:tcW w:w="1596" w:type="dxa"/>
            <w:noWrap/>
            <w:vAlign w:val="center"/>
          </w:tcPr>
          <w:p w14:paraId="7E3799DD">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颁发机构</w:t>
            </w:r>
          </w:p>
        </w:tc>
        <w:tc>
          <w:tcPr>
            <w:tcW w:w="1980" w:type="dxa"/>
            <w:noWrap/>
            <w:vAlign w:val="center"/>
          </w:tcPr>
          <w:p w14:paraId="2A720F1A">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颁发时间</w:t>
            </w:r>
          </w:p>
        </w:tc>
        <w:tc>
          <w:tcPr>
            <w:tcW w:w="2904" w:type="dxa"/>
            <w:noWrap/>
            <w:vAlign w:val="center"/>
          </w:tcPr>
          <w:p w14:paraId="08C4B2E1">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16445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07E0EB86">
            <w:pPr>
              <w:spacing w:line="440" w:lineRule="exact"/>
              <w:jc w:val="center"/>
              <w:rPr>
                <w:rFonts w:hint="eastAsia" w:ascii="仿宋" w:hAnsi="仿宋" w:eastAsia="仿宋" w:cs="仿宋"/>
                <w:color w:val="auto"/>
                <w:sz w:val="24"/>
                <w:highlight w:val="none"/>
              </w:rPr>
            </w:pPr>
          </w:p>
        </w:tc>
        <w:tc>
          <w:tcPr>
            <w:tcW w:w="1980" w:type="dxa"/>
            <w:noWrap/>
            <w:vAlign w:val="center"/>
          </w:tcPr>
          <w:p w14:paraId="48F8D022">
            <w:pPr>
              <w:spacing w:line="440" w:lineRule="exact"/>
              <w:jc w:val="center"/>
              <w:rPr>
                <w:rFonts w:hint="eastAsia" w:ascii="仿宋" w:hAnsi="仿宋" w:eastAsia="仿宋" w:cs="仿宋"/>
                <w:color w:val="auto"/>
                <w:sz w:val="24"/>
                <w:highlight w:val="none"/>
              </w:rPr>
            </w:pPr>
          </w:p>
        </w:tc>
        <w:tc>
          <w:tcPr>
            <w:tcW w:w="1596" w:type="dxa"/>
            <w:noWrap/>
            <w:vAlign w:val="center"/>
          </w:tcPr>
          <w:p w14:paraId="61C80417">
            <w:pPr>
              <w:spacing w:line="440" w:lineRule="exact"/>
              <w:jc w:val="center"/>
              <w:rPr>
                <w:rFonts w:hint="eastAsia" w:ascii="仿宋" w:hAnsi="仿宋" w:eastAsia="仿宋" w:cs="仿宋"/>
                <w:color w:val="auto"/>
                <w:sz w:val="24"/>
                <w:highlight w:val="none"/>
              </w:rPr>
            </w:pPr>
          </w:p>
        </w:tc>
        <w:tc>
          <w:tcPr>
            <w:tcW w:w="1980" w:type="dxa"/>
            <w:noWrap/>
            <w:vAlign w:val="center"/>
          </w:tcPr>
          <w:p w14:paraId="0434AAA3">
            <w:pPr>
              <w:spacing w:line="440" w:lineRule="exact"/>
              <w:jc w:val="center"/>
              <w:rPr>
                <w:rFonts w:hint="eastAsia" w:ascii="仿宋" w:hAnsi="仿宋" w:eastAsia="仿宋" w:cs="仿宋"/>
                <w:color w:val="auto"/>
                <w:sz w:val="24"/>
                <w:highlight w:val="none"/>
              </w:rPr>
            </w:pPr>
          </w:p>
        </w:tc>
        <w:tc>
          <w:tcPr>
            <w:tcW w:w="2904" w:type="dxa"/>
            <w:noWrap/>
            <w:vAlign w:val="center"/>
          </w:tcPr>
          <w:p w14:paraId="588EC21B">
            <w:pPr>
              <w:spacing w:line="440" w:lineRule="exact"/>
              <w:jc w:val="center"/>
              <w:rPr>
                <w:rFonts w:hint="eastAsia" w:ascii="仿宋" w:hAnsi="仿宋" w:eastAsia="仿宋" w:cs="仿宋"/>
                <w:color w:val="auto"/>
                <w:sz w:val="24"/>
                <w:highlight w:val="none"/>
              </w:rPr>
            </w:pPr>
          </w:p>
        </w:tc>
      </w:tr>
      <w:tr w14:paraId="16D3B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5DD15759">
            <w:pPr>
              <w:spacing w:line="440" w:lineRule="exact"/>
              <w:jc w:val="center"/>
              <w:rPr>
                <w:rFonts w:hint="eastAsia" w:ascii="仿宋" w:hAnsi="仿宋" w:eastAsia="仿宋" w:cs="仿宋"/>
                <w:color w:val="auto"/>
                <w:sz w:val="24"/>
                <w:highlight w:val="none"/>
              </w:rPr>
            </w:pPr>
          </w:p>
        </w:tc>
        <w:tc>
          <w:tcPr>
            <w:tcW w:w="1980" w:type="dxa"/>
            <w:noWrap/>
            <w:vAlign w:val="center"/>
          </w:tcPr>
          <w:p w14:paraId="639642A1">
            <w:pPr>
              <w:spacing w:line="440" w:lineRule="exact"/>
              <w:jc w:val="center"/>
              <w:rPr>
                <w:rFonts w:hint="eastAsia" w:ascii="仿宋" w:hAnsi="仿宋" w:eastAsia="仿宋" w:cs="仿宋"/>
                <w:color w:val="auto"/>
                <w:sz w:val="24"/>
                <w:highlight w:val="none"/>
              </w:rPr>
            </w:pPr>
          </w:p>
        </w:tc>
        <w:tc>
          <w:tcPr>
            <w:tcW w:w="1596" w:type="dxa"/>
            <w:noWrap/>
            <w:vAlign w:val="center"/>
          </w:tcPr>
          <w:p w14:paraId="114E492D">
            <w:pPr>
              <w:spacing w:line="440" w:lineRule="exact"/>
              <w:jc w:val="center"/>
              <w:rPr>
                <w:rFonts w:hint="eastAsia" w:ascii="仿宋" w:hAnsi="仿宋" w:eastAsia="仿宋" w:cs="仿宋"/>
                <w:color w:val="auto"/>
                <w:sz w:val="24"/>
                <w:highlight w:val="none"/>
              </w:rPr>
            </w:pPr>
          </w:p>
        </w:tc>
        <w:tc>
          <w:tcPr>
            <w:tcW w:w="1980" w:type="dxa"/>
            <w:noWrap/>
            <w:vAlign w:val="center"/>
          </w:tcPr>
          <w:p w14:paraId="5D11EB20">
            <w:pPr>
              <w:spacing w:line="440" w:lineRule="exact"/>
              <w:jc w:val="center"/>
              <w:rPr>
                <w:rFonts w:hint="eastAsia" w:ascii="仿宋" w:hAnsi="仿宋" w:eastAsia="仿宋" w:cs="仿宋"/>
                <w:color w:val="auto"/>
                <w:sz w:val="24"/>
                <w:highlight w:val="none"/>
              </w:rPr>
            </w:pPr>
          </w:p>
        </w:tc>
        <w:tc>
          <w:tcPr>
            <w:tcW w:w="2904" w:type="dxa"/>
            <w:noWrap/>
            <w:vAlign w:val="center"/>
          </w:tcPr>
          <w:p w14:paraId="0D82D2B8">
            <w:pPr>
              <w:spacing w:line="440" w:lineRule="exact"/>
              <w:jc w:val="center"/>
              <w:rPr>
                <w:rFonts w:hint="eastAsia" w:ascii="仿宋" w:hAnsi="仿宋" w:eastAsia="仿宋" w:cs="仿宋"/>
                <w:color w:val="auto"/>
                <w:sz w:val="24"/>
                <w:highlight w:val="none"/>
              </w:rPr>
            </w:pPr>
          </w:p>
        </w:tc>
      </w:tr>
      <w:tr w14:paraId="7BFCB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69661498">
            <w:pPr>
              <w:spacing w:line="440" w:lineRule="exact"/>
              <w:jc w:val="center"/>
              <w:rPr>
                <w:rFonts w:hint="eastAsia" w:ascii="仿宋" w:hAnsi="仿宋" w:eastAsia="仿宋" w:cs="仿宋"/>
                <w:color w:val="auto"/>
                <w:sz w:val="24"/>
                <w:highlight w:val="none"/>
              </w:rPr>
            </w:pPr>
          </w:p>
        </w:tc>
        <w:tc>
          <w:tcPr>
            <w:tcW w:w="1980" w:type="dxa"/>
            <w:noWrap/>
            <w:vAlign w:val="center"/>
          </w:tcPr>
          <w:p w14:paraId="48DDBCC2">
            <w:pPr>
              <w:spacing w:line="440" w:lineRule="exact"/>
              <w:jc w:val="center"/>
              <w:rPr>
                <w:rFonts w:hint="eastAsia" w:ascii="仿宋" w:hAnsi="仿宋" w:eastAsia="仿宋" w:cs="仿宋"/>
                <w:color w:val="auto"/>
                <w:sz w:val="24"/>
                <w:highlight w:val="none"/>
              </w:rPr>
            </w:pPr>
          </w:p>
        </w:tc>
        <w:tc>
          <w:tcPr>
            <w:tcW w:w="1596" w:type="dxa"/>
            <w:noWrap/>
            <w:vAlign w:val="center"/>
          </w:tcPr>
          <w:p w14:paraId="1035DF51">
            <w:pPr>
              <w:spacing w:line="440" w:lineRule="exact"/>
              <w:jc w:val="center"/>
              <w:rPr>
                <w:rFonts w:hint="eastAsia" w:ascii="仿宋" w:hAnsi="仿宋" w:eastAsia="仿宋" w:cs="仿宋"/>
                <w:color w:val="auto"/>
                <w:sz w:val="24"/>
                <w:highlight w:val="none"/>
              </w:rPr>
            </w:pPr>
          </w:p>
        </w:tc>
        <w:tc>
          <w:tcPr>
            <w:tcW w:w="1980" w:type="dxa"/>
            <w:noWrap/>
            <w:vAlign w:val="center"/>
          </w:tcPr>
          <w:p w14:paraId="37CB4243">
            <w:pPr>
              <w:spacing w:line="440" w:lineRule="exact"/>
              <w:jc w:val="center"/>
              <w:rPr>
                <w:rFonts w:hint="eastAsia" w:ascii="仿宋" w:hAnsi="仿宋" w:eastAsia="仿宋" w:cs="仿宋"/>
                <w:color w:val="auto"/>
                <w:sz w:val="24"/>
                <w:highlight w:val="none"/>
              </w:rPr>
            </w:pPr>
          </w:p>
        </w:tc>
        <w:tc>
          <w:tcPr>
            <w:tcW w:w="2904" w:type="dxa"/>
            <w:noWrap/>
            <w:vAlign w:val="center"/>
          </w:tcPr>
          <w:p w14:paraId="0110B4A4">
            <w:pPr>
              <w:spacing w:line="440" w:lineRule="exact"/>
              <w:jc w:val="center"/>
              <w:rPr>
                <w:rFonts w:hint="eastAsia" w:ascii="仿宋" w:hAnsi="仿宋" w:eastAsia="仿宋" w:cs="仿宋"/>
                <w:color w:val="auto"/>
                <w:sz w:val="24"/>
                <w:highlight w:val="none"/>
              </w:rPr>
            </w:pPr>
          </w:p>
        </w:tc>
      </w:tr>
      <w:tr w14:paraId="52671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06F1708A">
            <w:pPr>
              <w:spacing w:line="440" w:lineRule="exact"/>
              <w:jc w:val="center"/>
              <w:rPr>
                <w:rFonts w:hint="eastAsia" w:ascii="仿宋" w:hAnsi="仿宋" w:eastAsia="仿宋" w:cs="仿宋"/>
                <w:color w:val="auto"/>
                <w:sz w:val="24"/>
                <w:highlight w:val="none"/>
              </w:rPr>
            </w:pPr>
          </w:p>
        </w:tc>
        <w:tc>
          <w:tcPr>
            <w:tcW w:w="1980" w:type="dxa"/>
            <w:noWrap/>
            <w:vAlign w:val="center"/>
          </w:tcPr>
          <w:p w14:paraId="49E0364D">
            <w:pPr>
              <w:spacing w:line="440" w:lineRule="exact"/>
              <w:jc w:val="center"/>
              <w:rPr>
                <w:rFonts w:hint="eastAsia" w:ascii="仿宋" w:hAnsi="仿宋" w:eastAsia="仿宋" w:cs="仿宋"/>
                <w:color w:val="auto"/>
                <w:sz w:val="24"/>
                <w:highlight w:val="none"/>
              </w:rPr>
            </w:pPr>
          </w:p>
        </w:tc>
        <w:tc>
          <w:tcPr>
            <w:tcW w:w="1596" w:type="dxa"/>
            <w:noWrap/>
            <w:vAlign w:val="center"/>
          </w:tcPr>
          <w:p w14:paraId="2BD20CFA">
            <w:pPr>
              <w:spacing w:line="440" w:lineRule="exact"/>
              <w:jc w:val="center"/>
              <w:rPr>
                <w:rFonts w:hint="eastAsia" w:ascii="仿宋" w:hAnsi="仿宋" w:eastAsia="仿宋" w:cs="仿宋"/>
                <w:color w:val="auto"/>
                <w:sz w:val="24"/>
                <w:highlight w:val="none"/>
              </w:rPr>
            </w:pPr>
          </w:p>
        </w:tc>
        <w:tc>
          <w:tcPr>
            <w:tcW w:w="1980" w:type="dxa"/>
            <w:noWrap/>
            <w:vAlign w:val="center"/>
          </w:tcPr>
          <w:p w14:paraId="145563B2">
            <w:pPr>
              <w:spacing w:line="440" w:lineRule="exact"/>
              <w:jc w:val="center"/>
              <w:rPr>
                <w:rFonts w:hint="eastAsia" w:ascii="仿宋" w:hAnsi="仿宋" w:eastAsia="仿宋" w:cs="仿宋"/>
                <w:color w:val="auto"/>
                <w:sz w:val="24"/>
                <w:highlight w:val="none"/>
              </w:rPr>
            </w:pPr>
          </w:p>
        </w:tc>
        <w:tc>
          <w:tcPr>
            <w:tcW w:w="2904" w:type="dxa"/>
            <w:noWrap/>
            <w:vAlign w:val="center"/>
          </w:tcPr>
          <w:p w14:paraId="52DE626F">
            <w:pPr>
              <w:spacing w:line="440" w:lineRule="exact"/>
              <w:jc w:val="center"/>
              <w:rPr>
                <w:rFonts w:hint="eastAsia" w:ascii="仿宋" w:hAnsi="仿宋" w:eastAsia="仿宋" w:cs="仿宋"/>
                <w:color w:val="auto"/>
                <w:sz w:val="24"/>
                <w:highlight w:val="none"/>
              </w:rPr>
            </w:pPr>
          </w:p>
        </w:tc>
      </w:tr>
      <w:tr w14:paraId="4C512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781C2192">
            <w:pPr>
              <w:spacing w:line="440" w:lineRule="exact"/>
              <w:jc w:val="center"/>
              <w:rPr>
                <w:rFonts w:hint="eastAsia" w:ascii="仿宋" w:hAnsi="仿宋" w:eastAsia="仿宋" w:cs="仿宋"/>
                <w:color w:val="auto"/>
                <w:sz w:val="24"/>
                <w:highlight w:val="none"/>
              </w:rPr>
            </w:pPr>
          </w:p>
        </w:tc>
        <w:tc>
          <w:tcPr>
            <w:tcW w:w="1980" w:type="dxa"/>
            <w:noWrap/>
            <w:vAlign w:val="center"/>
          </w:tcPr>
          <w:p w14:paraId="56079733">
            <w:pPr>
              <w:spacing w:line="440" w:lineRule="exact"/>
              <w:jc w:val="center"/>
              <w:rPr>
                <w:rFonts w:hint="eastAsia" w:ascii="仿宋" w:hAnsi="仿宋" w:eastAsia="仿宋" w:cs="仿宋"/>
                <w:color w:val="auto"/>
                <w:sz w:val="24"/>
                <w:highlight w:val="none"/>
              </w:rPr>
            </w:pPr>
          </w:p>
        </w:tc>
        <w:tc>
          <w:tcPr>
            <w:tcW w:w="1596" w:type="dxa"/>
            <w:noWrap/>
            <w:vAlign w:val="center"/>
          </w:tcPr>
          <w:p w14:paraId="67AA87E6">
            <w:pPr>
              <w:spacing w:line="440" w:lineRule="exact"/>
              <w:jc w:val="center"/>
              <w:rPr>
                <w:rFonts w:hint="eastAsia" w:ascii="仿宋" w:hAnsi="仿宋" w:eastAsia="仿宋" w:cs="仿宋"/>
                <w:color w:val="auto"/>
                <w:sz w:val="24"/>
                <w:highlight w:val="none"/>
              </w:rPr>
            </w:pPr>
          </w:p>
        </w:tc>
        <w:tc>
          <w:tcPr>
            <w:tcW w:w="1980" w:type="dxa"/>
            <w:noWrap/>
            <w:vAlign w:val="center"/>
          </w:tcPr>
          <w:p w14:paraId="119FA486">
            <w:pPr>
              <w:spacing w:line="440" w:lineRule="exact"/>
              <w:jc w:val="center"/>
              <w:rPr>
                <w:rFonts w:hint="eastAsia" w:ascii="仿宋" w:hAnsi="仿宋" w:eastAsia="仿宋" w:cs="仿宋"/>
                <w:color w:val="auto"/>
                <w:sz w:val="24"/>
                <w:highlight w:val="none"/>
              </w:rPr>
            </w:pPr>
          </w:p>
        </w:tc>
        <w:tc>
          <w:tcPr>
            <w:tcW w:w="2904" w:type="dxa"/>
            <w:noWrap/>
            <w:vAlign w:val="center"/>
          </w:tcPr>
          <w:p w14:paraId="6B78641F">
            <w:pPr>
              <w:spacing w:line="440" w:lineRule="exact"/>
              <w:jc w:val="center"/>
              <w:rPr>
                <w:rFonts w:hint="eastAsia" w:ascii="仿宋" w:hAnsi="仿宋" w:eastAsia="仿宋" w:cs="仿宋"/>
                <w:color w:val="auto"/>
                <w:sz w:val="24"/>
                <w:highlight w:val="none"/>
              </w:rPr>
            </w:pPr>
          </w:p>
        </w:tc>
      </w:tr>
      <w:tr w14:paraId="2D9D3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118ACC0B">
            <w:pPr>
              <w:spacing w:line="440" w:lineRule="exact"/>
              <w:jc w:val="center"/>
              <w:rPr>
                <w:rFonts w:hint="eastAsia" w:ascii="仿宋" w:hAnsi="仿宋" w:eastAsia="仿宋" w:cs="仿宋"/>
                <w:color w:val="auto"/>
                <w:sz w:val="24"/>
                <w:highlight w:val="none"/>
              </w:rPr>
            </w:pPr>
          </w:p>
        </w:tc>
        <w:tc>
          <w:tcPr>
            <w:tcW w:w="1980" w:type="dxa"/>
            <w:noWrap/>
            <w:vAlign w:val="center"/>
          </w:tcPr>
          <w:p w14:paraId="7B41345F">
            <w:pPr>
              <w:spacing w:line="440" w:lineRule="exact"/>
              <w:jc w:val="center"/>
              <w:rPr>
                <w:rFonts w:hint="eastAsia" w:ascii="仿宋" w:hAnsi="仿宋" w:eastAsia="仿宋" w:cs="仿宋"/>
                <w:color w:val="auto"/>
                <w:sz w:val="24"/>
                <w:highlight w:val="none"/>
              </w:rPr>
            </w:pPr>
          </w:p>
        </w:tc>
        <w:tc>
          <w:tcPr>
            <w:tcW w:w="1596" w:type="dxa"/>
            <w:noWrap/>
            <w:vAlign w:val="center"/>
          </w:tcPr>
          <w:p w14:paraId="63B4783F">
            <w:pPr>
              <w:spacing w:line="440" w:lineRule="exact"/>
              <w:jc w:val="center"/>
              <w:rPr>
                <w:rFonts w:hint="eastAsia" w:ascii="仿宋" w:hAnsi="仿宋" w:eastAsia="仿宋" w:cs="仿宋"/>
                <w:color w:val="auto"/>
                <w:sz w:val="24"/>
                <w:highlight w:val="none"/>
              </w:rPr>
            </w:pPr>
          </w:p>
        </w:tc>
        <w:tc>
          <w:tcPr>
            <w:tcW w:w="1980" w:type="dxa"/>
            <w:noWrap/>
            <w:vAlign w:val="center"/>
          </w:tcPr>
          <w:p w14:paraId="1E72CAD5">
            <w:pPr>
              <w:spacing w:line="440" w:lineRule="exact"/>
              <w:jc w:val="center"/>
              <w:rPr>
                <w:rFonts w:hint="eastAsia" w:ascii="仿宋" w:hAnsi="仿宋" w:eastAsia="仿宋" w:cs="仿宋"/>
                <w:color w:val="auto"/>
                <w:sz w:val="24"/>
                <w:highlight w:val="none"/>
              </w:rPr>
            </w:pPr>
          </w:p>
        </w:tc>
        <w:tc>
          <w:tcPr>
            <w:tcW w:w="2904" w:type="dxa"/>
            <w:noWrap/>
            <w:vAlign w:val="center"/>
          </w:tcPr>
          <w:p w14:paraId="0B505853">
            <w:pPr>
              <w:spacing w:line="440" w:lineRule="exact"/>
              <w:jc w:val="center"/>
              <w:rPr>
                <w:rFonts w:hint="eastAsia" w:ascii="仿宋" w:hAnsi="仿宋" w:eastAsia="仿宋" w:cs="仿宋"/>
                <w:color w:val="auto"/>
                <w:sz w:val="24"/>
                <w:highlight w:val="none"/>
              </w:rPr>
            </w:pPr>
          </w:p>
        </w:tc>
      </w:tr>
      <w:tr w14:paraId="461E0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0F2B97B5">
            <w:pPr>
              <w:spacing w:line="440" w:lineRule="exact"/>
              <w:jc w:val="center"/>
              <w:rPr>
                <w:rFonts w:hint="eastAsia" w:ascii="仿宋" w:hAnsi="仿宋" w:eastAsia="仿宋" w:cs="仿宋"/>
                <w:color w:val="auto"/>
                <w:sz w:val="24"/>
                <w:highlight w:val="none"/>
              </w:rPr>
            </w:pPr>
          </w:p>
        </w:tc>
        <w:tc>
          <w:tcPr>
            <w:tcW w:w="1980" w:type="dxa"/>
            <w:noWrap/>
            <w:vAlign w:val="center"/>
          </w:tcPr>
          <w:p w14:paraId="0BF6168D">
            <w:pPr>
              <w:spacing w:line="440" w:lineRule="exact"/>
              <w:jc w:val="center"/>
              <w:rPr>
                <w:rFonts w:hint="eastAsia" w:ascii="仿宋" w:hAnsi="仿宋" w:eastAsia="仿宋" w:cs="仿宋"/>
                <w:color w:val="auto"/>
                <w:sz w:val="24"/>
                <w:highlight w:val="none"/>
              </w:rPr>
            </w:pPr>
          </w:p>
        </w:tc>
        <w:tc>
          <w:tcPr>
            <w:tcW w:w="1596" w:type="dxa"/>
            <w:noWrap/>
            <w:vAlign w:val="center"/>
          </w:tcPr>
          <w:p w14:paraId="4CBD79EB">
            <w:pPr>
              <w:spacing w:line="440" w:lineRule="exact"/>
              <w:jc w:val="center"/>
              <w:rPr>
                <w:rFonts w:hint="eastAsia" w:ascii="仿宋" w:hAnsi="仿宋" w:eastAsia="仿宋" w:cs="仿宋"/>
                <w:color w:val="auto"/>
                <w:sz w:val="24"/>
                <w:highlight w:val="none"/>
              </w:rPr>
            </w:pPr>
          </w:p>
        </w:tc>
        <w:tc>
          <w:tcPr>
            <w:tcW w:w="1980" w:type="dxa"/>
            <w:noWrap/>
            <w:vAlign w:val="center"/>
          </w:tcPr>
          <w:p w14:paraId="05F2DD9F">
            <w:pPr>
              <w:spacing w:line="440" w:lineRule="exact"/>
              <w:jc w:val="center"/>
              <w:rPr>
                <w:rFonts w:hint="eastAsia" w:ascii="仿宋" w:hAnsi="仿宋" w:eastAsia="仿宋" w:cs="仿宋"/>
                <w:color w:val="auto"/>
                <w:sz w:val="24"/>
                <w:highlight w:val="none"/>
              </w:rPr>
            </w:pPr>
          </w:p>
        </w:tc>
        <w:tc>
          <w:tcPr>
            <w:tcW w:w="2904" w:type="dxa"/>
            <w:noWrap/>
            <w:vAlign w:val="center"/>
          </w:tcPr>
          <w:p w14:paraId="7AC67C5F">
            <w:pPr>
              <w:spacing w:line="440" w:lineRule="exact"/>
              <w:jc w:val="center"/>
              <w:rPr>
                <w:rFonts w:hint="eastAsia" w:ascii="仿宋" w:hAnsi="仿宋" w:eastAsia="仿宋" w:cs="仿宋"/>
                <w:color w:val="auto"/>
                <w:sz w:val="24"/>
                <w:highlight w:val="none"/>
              </w:rPr>
            </w:pPr>
          </w:p>
        </w:tc>
      </w:tr>
      <w:tr w14:paraId="4A1C5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4A23D6DF">
            <w:pPr>
              <w:spacing w:line="440" w:lineRule="exact"/>
              <w:jc w:val="center"/>
              <w:rPr>
                <w:rFonts w:hint="eastAsia" w:ascii="仿宋" w:hAnsi="仿宋" w:eastAsia="仿宋" w:cs="仿宋"/>
                <w:color w:val="auto"/>
                <w:sz w:val="24"/>
                <w:highlight w:val="none"/>
              </w:rPr>
            </w:pPr>
          </w:p>
        </w:tc>
        <w:tc>
          <w:tcPr>
            <w:tcW w:w="1980" w:type="dxa"/>
            <w:noWrap/>
            <w:vAlign w:val="center"/>
          </w:tcPr>
          <w:p w14:paraId="4B0F9E58">
            <w:pPr>
              <w:spacing w:line="440" w:lineRule="exact"/>
              <w:jc w:val="center"/>
              <w:rPr>
                <w:rFonts w:hint="eastAsia" w:ascii="仿宋" w:hAnsi="仿宋" w:eastAsia="仿宋" w:cs="仿宋"/>
                <w:color w:val="auto"/>
                <w:sz w:val="24"/>
                <w:highlight w:val="none"/>
              </w:rPr>
            </w:pPr>
          </w:p>
        </w:tc>
        <w:tc>
          <w:tcPr>
            <w:tcW w:w="1596" w:type="dxa"/>
            <w:noWrap/>
            <w:vAlign w:val="center"/>
          </w:tcPr>
          <w:p w14:paraId="4F2D9E46">
            <w:pPr>
              <w:spacing w:line="440" w:lineRule="exact"/>
              <w:jc w:val="center"/>
              <w:rPr>
                <w:rFonts w:hint="eastAsia" w:ascii="仿宋" w:hAnsi="仿宋" w:eastAsia="仿宋" w:cs="仿宋"/>
                <w:color w:val="auto"/>
                <w:sz w:val="24"/>
                <w:highlight w:val="none"/>
              </w:rPr>
            </w:pPr>
          </w:p>
        </w:tc>
        <w:tc>
          <w:tcPr>
            <w:tcW w:w="1980" w:type="dxa"/>
            <w:noWrap/>
            <w:vAlign w:val="center"/>
          </w:tcPr>
          <w:p w14:paraId="4C8AF874">
            <w:pPr>
              <w:spacing w:line="440" w:lineRule="exact"/>
              <w:jc w:val="center"/>
              <w:rPr>
                <w:rFonts w:hint="eastAsia" w:ascii="仿宋" w:hAnsi="仿宋" w:eastAsia="仿宋" w:cs="仿宋"/>
                <w:color w:val="auto"/>
                <w:sz w:val="24"/>
                <w:highlight w:val="none"/>
              </w:rPr>
            </w:pPr>
          </w:p>
        </w:tc>
        <w:tc>
          <w:tcPr>
            <w:tcW w:w="2904" w:type="dxa"/>
            <w:noWrap/>
            <w:vAlign w:val="center"/>
          </w:tcPr>
          <w:p w14:paraId="376F1E97">
            <w:pPr>
              <w:spacing w:line="440" w:lineRule="exact"/>
              <w:jc w:val="center"/>
              <w:rPr>
                <w:rFonts w:hint="eastAsia" w:ascii="仿宋" w:hAnsi="仿宋" w:eastAsia="仿宋" w:cs="仿宋"/>
                <w:color w:val="auto"/>
                <w:sz w:val="24"/>
                <w:highlight w:val="none"/>
              </w:rPr>
            </w:pPr>
          </w:p>
        </w:tc>
      </w:tr>
      <w:tr w14:paraId="4371F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0A652483">
            <w:pPr>
              <w:spacing w:line="440" w:lineRule="exact"/>
              <w:jc w:val="center"/>
              <w:rPr>
                <w:rFonts w:hint="eastAsia" w:ascii="仿宋" w:hAnsi="仿宋" w:eastAsia="仿宋" w:cs="仿宋"/>
                <w:color w:val="auto"/>
                <w:sz w:val="24"/>
                <w:highlight w:val="none"/>
              </w:rPr>
            </w:pPr>
          </w:p>
        </w:tc>
        <w:tc>
          <w:tcPr>
            <w:tcW w:w="1980" w:type="dxa"/>
            <w:noWrap/>
            <w:vAlign w:val="center"/>
          </w:tcPr>
          <w:p w14:paraId="2CB56DB4">
            <w:pPr>
              <w:spacing w:line="440" w:lineRule="exact"/>
              <w:jc w:val="center"/>
              <w:rPr>
                <w:rFonts w:hint="eastAsia" w:ascii="仿宋" w:hAnsi="仿宋" w:eastAsia="仿宋" w:cs="仿宋"/>
                <w:color w:val="auto"/>
                <w:sz w:val="24"/>
                <w:highlight w:val="none"/>
              </w:rPr>
            </w:pPr>
          </w:p>
        </w:tc>
        <w:tc>
          <w:tcPr>
            <w:tcW w:w="1596" w:type="dxa"/>
            <w:noWrap/>
            <w:vAlign w:val="center"/>
          </w:tcPr>
          <w:p w14:paraId="39E9C846">
            <w:pPr>
              <w:spacing w:line="440" w:lineRule="exact"/>
              <w:jc w:val="center"/>
              <w:rPr>
                <w:rFonts w:hint="eastAsia" w:ascii="仿宋" w:hAnsi="仿宋" w:eastAsia="仿宋" w:cs="仿宋"/>
                <w:color w:val="auto"/>
                <w:sz w:val="24"/>
                <w:highlight w:val="none"/>
              </w:rPr>
            </w:pPr>
          </w:p>
        </w:tc>
        <w:tc>
          <w:tcPr>
            <w:tcW w:w="1980" w:type="dxa"/>
            <w:noWrap/>
            <w:vAlign w:val="center"/>
          </w:tcPr>
          <w:p w14:paraId="224A2588">
            <w:pPr>
              <w:spacing w:line="440" w:lineRule="exact"/>
              <w:jc w:val="center"/>
              <w:rPr>
                <w:rFonts w:hint="eastAsia" w:ascii="仿宋" w:hAnsi="仿宋" w:eastAsia="仿宋" w:cs="仿宋"/>
                <w:color w:val="auto"/>
                <w:sz w:val="24"/>
                <w:highlight w:val="none"/>
              </w:rPr>
            </w:pPr>
          </w:p>
        </w:tc>
        <w:tc>
          <w:tcPr>
            <w:tcW w:w="2904" w:type="dxa"/>
            <w:noWrap/>
            <w:vAlign w:val="center"/>
          </w:tcPr>
          <w:p w14:paraId="60B3388E">
            <w:pPr>
              <w:spacing w:line="440" w:lineRule="exact"/>
              <w:jc w:val="center"/>
              <w:rPr>
                <w:rFonts w:hint="eastAsia" w:ascii="仿宋" w:hAnsi="仿宋" w:eastAsia="仿宋" w:cs="仿宋"/>
                <w:color w:val="auto"/>
                <w:sz w:val="24"/>
                <w:highlight w:val="none"/>
              </w:rPr>
            </w:pPr>
          </w:p>
        </w:tc>
      </w:tr>
      <w:tr w14:paraId="482E7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036EC411">
            <w:pPr>
              <w:spacing w:line="440" w:lineRule="exact"/>
              <w:jc w:val="center"/>
              <w:rPr>
                <w:rFonts w:hint="eastAsia" w:ascii="仿宋" w:hAnsi="仿宋" w:eastAsia="仿宋" w:cs="仿宋"/>
                <w:color w:val="auto"/>
                <w:sz w:val="24"/>
                <w:highlight w:val="none"/>
              </w:rPr>
            </w:pPr>
          </w:p>
        </w:tc>
        <w:tc>
          <w:tcPr>
            <w:tcW w:w="1980" w:type="dxa"/>
            <w:noWrap/>
            <w:vAlign w:val="center"/>
          </w:tcPr>
          <w:p w14:paraId="644D2689">
            <w:pPr>
              <w:spacing w:line="440" w:lineRule="exact"/>
              <w:jc w:val="center"/>
              <w:rPr>
                <w:rFonts w:hint="eastAsia" w:ascii="仿宋" w:hAnsi="仿宋" w:eastAsia="仿宋" w:cs="仿宋"/>
                <w:color w:val="auto"/>
                <w:sz w:val="24"/>
                <w:highlight w:val="none"/>
              </w:rPr>
            </w:pPr>
          </w:p>
        </w:tc>
        <w:tc>
          <w:tcPr>
            <w:tcW w:w="1596" w:type="dxa"/>
            <w:noWrap/>
            <w:vAlign w:val="center"/>
          </w:tcPr>
          <w:p w14:paraId="17339D64">
            <w:pPr>
              <w:spacing w:line="440" w:lineRule="exact"/>
              <w:jc w:val="center"/>
              <w:rPr>
                <w:rFonts w:hint="eastAsia" w:ascii="仿宋" w:hAnsi="仿宋" w:eastAsia="仿宋" w:cs="仿宋"/>
                <w:color w:val="auto"/>
                <w:sz w:val="24"/>
                <w:highlight w:val="none"/>
              </w:rPr>
            </w:pPr>
          </w:p>
        </w:tc>
        <w:tc>
          <w:tcPr>
            <w:tcW w:w="1980" w:type="dxa"/>
            <w:noWrap/>
            <w:vAlign w:val="center"/>
          </w:tcPr>
          <w:p w14:paraId="1FA73F92">
            <w:pPr>
              <w:spacing w:line="440" w:lineRule="exact"/>
              <w:jc w:val="center"/>
              <w:rPr>
                <w:rFonts w:hint="eastAsia" w:ascii="仿宋" w:hAnsi="仿宋" w:eastAsia="仿宋" w:cs="仿宋"/>
                <w:color w:val="auto"/>
                <w:sz w:val="24"/>
                <w:highlight w:val="none"/>
              </w:rPr>
            </w:pPr>
          </w:p>
        </w:tc>
        <w:tc>
          <w:tcPr>
            <w:tcW w:w="2904" w:type="dxa"/>
            <w:noWrap/>
            <w:vAlign w:val="center"/>
          </w:tcPr>
          <w:p w14:paraId="2A021C46">
            <w:pPr>
              <w:spacing w:line="440" w:lineRule="exact"/>
              <w:jc w:val="center"/>
              <w:rPr>
                <w:rFonts w:hint="eastAsia" w:ascii="仿宋" w:hAnsi="仿宋" w:eastAsia="仿宋" w:cs="仿宋"/>
                <w:color w:val="auto"/>
                <w:sz w:val="24"/>
                <w:highlight w:val="none"/>
              </w:rPr>
            </w:pPr>
          </w:p>
        </w:tc>
      </w:tr>
      <w:tr w14:paraId="5E1A1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84" w:type="dxa"/>
            <w:noWrap/>
            <w:vAlign w:val="center"/>
          </w:tcPr>
          <w:p w14:paraId="1180A31F">
            <w:pPr>
              <w:spacing w:line="440" w:lineRule="exact"/>
              <w:jc w:val="center"/>
              <w:rPr>
                <w:rFonts w:hint="eastAsia" w:ascii="仿宋" w:hAnsi="仿宋" w:eastAsia="仿宋" w:cs="仿宋"/>
                <w:color w:val="auto"/>
                <w:sz w:val="24"/>
                <w:highlight w:val="none"/>
              </w:rPr>
            </w:pPr>
          </w:p>
        </w:tc>
        <w:tc>
          <w:tcPr>
            <w:tcW w:w="1980" w:type="dxa"/>
            <w:noWrap/>
            <w:vAlign w:val="center"/>
          </w:tcPr>
          <w:p w14:paraId="50DD6C8F">
            <w:pPr>
              <w:spacing w:line="440" w:lineRule="exact"/>
              <w:jc w:val="center"/>
              <w:rPr>
                <w:rFonts w:hint="eastAsia" w:ascii="仿宋" w:hAnsi="仿宋" w:eastAsia="仿宋" w:cs="仿宋"/>
                <w:color w:val="auto"/>
                <w:sz w:val="24"/>
                <w:highlight w:val="none"/>
              </w:rPr>
            </w:pPr>
          </w:p>
        </w:tc>
        <w:tc>
          <w:tcPr>
            <w:tcW w:w="1596" w:type="dxa"/>
            <w:noWrap/>
            <w:vAlign w:val="center"/>
          </w:tcPr>
          <w:p w14:paraId="1A60B79B">
            <w:pPr>
              <w:spacing w:line="440" w:lineRule="exact"/>
              <w:jc w:val="center"/>
              <w:rPr>
                <w:rFonts w:hint="eastAsia" w:ascii="仿宋" w:hAnsi="仿宋" w:eastAsia="仿宋" w:cs="仿宋"/>
                <w:color w:val="auto"/>
                <w:sz w:val="24"/>
                <w:highlight w:val="none"/>
              </w:rPr>
            </w:pPr>
          </w:p>
        </w:tc>
        <w:tc>
          <w:tcPr>
            <w:tcW w:w="1980" w:type="dxa"/>
            <w:noWrap/>
            <w:vAlign w:val="center"/>
          </w:tcPr>
          <w:p w14:paraId="327B941A">
            <w:pPr>
              <w:spacing w:line="440" w:lineRule="exact"/>
              <w:jc w:val="center"/>
              <w:rPr>
                <w:rFonts w:hint="eastAsia" w:ascii="仿宋" w:hAnsi="仿宋" w:eastAsia="仿宋" w:cs="仿宋"/>
                <w:color w:val="auto"/>
                <w:sz w:val="24"/>
                <w:highlight w:val="none"/>
              </w:rPr>
            </w:pPr>
          </w:p>
        </w:tc>
        <w:tc>
          <w:tcPr>
            <w:tcW w:w="2904" w:type="dxa"/>
            <w:noWrap/>
            <w:vAlign w:val="center"/>
          </w:tcPr>
          <w:p w14:paraId="0875B38C">
            <w:pPr>
              <w:spacing w:line="440" w:lineRule="exact"/>
              <w:jc w:val="center"/>
              <w:rPr>
                <w:rFonts w:hint="eastAsia" w:ascii="仿宋" w:hAnsi="仿宋" w:eastAsia="仿宋" w:cs="仿宋"/>
                <w:color w:val="auto"/>
                <w:sz w:val="24"/>
                <w:highlight w:val="none"/>
              </w:rPr>
            </w:pPr>
          </w:p>
        </w:tc>
      </w:tr>
    </w:tbl>
    <w:p w14:paraId="00183D22">
      <w:pPr>
        <w:snapToGrid w:val="0"/>
        <w:spacing w:beforeLines="50" w:after="50"/>
        <w:jc w:val="left"/>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注：</w:t>
      </w:r>
      <w:r>
        <w:rPr>
          <w:rFonts w:hint="eastAsia" w:ascii="仿宋" w:hAnsi="仿宋" w:eastAsia="仿宋" w:cs="仿宋"/>
          <w:b/>
          <w:color w:val="auto"/>
          <w:sz w:val="24"/>
          <w:highlight w:val="none"/>
        </w:rPr>
        <w:t>此表仅提供了表格形式，投标人应根据需要准备足够数量的表格来填写</w:t>
      </w:r>
      <w:r>
        <w:rPr>
          <w:rFonts w:hint="eastAsia" w:ascii="仿宋" w:hAnsi="仿宋" w:eastAsia="仿宋" w:cs="仿宋"/>
          <w:b/>
          <w:color w:val="auto"/>
          <w:sz w:val="24"/>
          <w:highlight w:val="none"/>
          <w:lang w:eastAsia="zh-CN"/>
        </w:rPr>
        <w:t>。</w:t>
      </w:r>
    </w:p>
    <w:p w14:paraId="1BA5FA5B">
      <w:pPr>
        <w:spacing w:line="360" w:lineRule="auto"/>
        <w:rPr>
          <w:rFonts w:hint="eastAsia" w:ascii="仿宋" w:hAnsi="仿宋" w:eastAsia="仿宋" w:cs="仿宋"/>
          <w:color w:val="auto"/>
          <w:sz w:val="24"/>
          <w:highlight w:val="none"/>
        </w:rPr>
      </w:pPr>
    </w:p>
    <w:p w14:paraId="53970364">
      <w:pPr>
        <w:spacing w:line="360" w:lineRule="auto"/>
        <w:rPr>
          <w:rFonts w:hint="eastAsia" w:ascii="仿宋" w:hAnsi="仿宋" w:eastAsia="仿宋" w:cs="仿宋"/>
          <w:color w:val="auto"/>
          <w:sz w:val="24"/>
          <w:highlight w:val="none"/>
        </w:rPr>
      </w:pPr>
    </w:p>
    <w:p w14:paraId="68697A7F">
      <w:pPr>
        <w:snapToGrid w:val="0"/>
        <w:spacing w:before="120" w:beforeLines="5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供应商名称（公章）：                             </w:t>
      </w:r>
    </w:p>
    <w:p w14:paraId="3845B40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w:t>
      </w:r>
      <w:r>
        <w:rPr>
          <w:rFonts w:hint="eastAsia" w:ascii="仿宋" w:hAnsi="仿宋" w:eastAsia="仿宋" w:cs="仿宋"/>
          <w:color w:val="auto"/>
          <w:sz w:val="24"/>
          <w:highlight w:val="none"/>
          <w:lang w:eastAsia="zh-CN"/>
        </w:rPr>
        <w:t>字</w:t>
      </w:r>
      <w:r>
        <w:rPr>
          <w:rFonts w:hint="eastAsia" w:ascii="仿宋" w:hAnsi="仿宋" w:eastAsia="仿宋" w:cs="仿宋"/>
          <w:color w:val="auto"/>
          <w:sz w:val="24"/>
          <w:highlight w:val="none"/>
        </w:rPr>
        <w:t xml:space="preserve">或盖章：  </w:t>
      </w:r>
    </w:p>
    <w:p w14:paraId="109A358F">
      <w:pPr>
        <w:snapToGrid w:val="0"/>
        <w:spacing w:before="120" w:beforeLines="50" w:line="360" w:lineRule="auto"/>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 xml:space="preserve">日期：    年     月    </w:t>
      </w:r>
      <w:r>
        <w:rPr>
          <w:rFonts w:hint="eastAsia" w:ascii="仿宋" w:hAnsi="仿宋" w:eastAsia="仿宋" w:cs="仿宋"/>
          <w:color w:val="auto"/>
          <w:sz w:val="24"/>
          <w:highlight w:val="none"/>
          <w:lang w:val="en-US" w:eastAsia="zh-CN"/>
        </w:rPr>
        <w:t>日</w:t>
      </w:r>
    </w:p>
    <w:p w14:paraId="780D4D28">
      <w:pPr>
        <w:pStyle w:val="22"/>
        <w:rPr>
          <w:rFonts w:hint="eastAsia"/>
          <w:color w:val="auto"/>
          <w:highlight w:val="none"/>
        </w:rPr>
      </w:pPr>
    </w:p>
    <w:p w14:paraId="5A4DDF9C">
      <w:pPr>
        <w:rPr>
          <w:rFonts w:hint="eastAsia" w:ascii="仿宋" w:hAnsi="仿宋" w:eastAsia="仿宋" w:cs="宋体"/>
          <w:b/>
          <w:bCs/>
          <w:color w:val="auto"/>
          <w:sz w:val="32"/>
          <w:szCs w:val="32"/>
          <w:highlight w:val="none"/>
        </w:rPr>
      </w:pPr>
      <w:r>
        <w:rPr>
          <w:rFonts w:hint="eastAsia" w:ascii="仿宋" w:hAnsi="仿宋" w:eastAsia="仿宋" w:cs="宋体"/>
          <w:b/>
          <w:bCs/>
          <w:color w:val="auto"/>
          <w:sz w:val="32"/>
          <w:szCs w:val="32"/>
          <w:highlight w:val="none"/>
        </w:rPr>
        <w:br w:type="page"/>
      </w:r>
    </w:p>
    <w:p w14:paraId="76789F53">
      <w:pPr>
        <w:numPr>
          <w:ilvl w:val="0"/>
          <w:numId w:val="0"/>
        </w:numPr>
        <w:spacing w:line="600" w:lineRule="exact"/>
        <w:jc w:val="center"/>
        <w:outlineLvl w:val="1"/>
        <w:rPr>
          <w:rFonts w:hint="eastAsia" w:ascii="仿宋" w:hAnsi="仿宋" w:eastAsia="仿宋" w:cs="仿宋"/>
          <w:b/>
          <w:bCs/>
          <w:color w:val="auto"/>
          <w:spacing w:val="24"/>
          <w:sz w:val="28"/>
          <w:szCs w:val="28"/>
          <w:highlight w:val="none"/>
        </w:rPr>
      </w:pPr>
      <w:r>
        <w:rPr>
          <w:rFonts w:hint="eastAsia" w:ascii="仿宋" w:hAnsi="仿宋" w:eastAsia="仿宋" w:cs="仿宋"/>
          <w:b/>
          <w:bCs/>
          <w:color w:val="auto"/>
          <w:spacing w:val="24"/>
          <w:sz w:val="28"/>
          <w:szCs w:val="28"/>
          <w:highlight w:val="none"/>
          <w:lang w:val="en-US" w:eastAsia="zh-CN"/>
        </w:rPr>
        <w:t>15.</w:t>
      </w:r>
      <w:r>
        <w:rPr>
          <w:rFonts w:hint="eastAsia" w:ascii="仿宋" w:hAnsi="仿宋" w:eastAsia="仿宋" w:cs="仿宋"/>
          <w:b/>
          <w:bCs/>
          <w:color w:val="auto"/>
          <w:spacing w:val="24"/>
          <w:sz w:val="28"/>
          <w:szCs w:val="28"/>
          <w:highlight w:val="none"/>
        </w:rPr>
        <w:t>投标函</w:t>
      </w:r>
    </w:p>
    <w:p w14:paraId="70D7DBF8">
      <w:pPr>
        <w:pStyle w:val="33"/>
        <w:numPr>
          <w:ilvl w:val="0"/>
          <w:numId w:val="0"/>
        </w:numPr>
        <w:rPr>
          <w:rFonts w:hint="eastAsia"/>
          <w:color w:val="auto"/>
          <w:highlight w:val="none"/>
        </w:rPr>
      </w:pPr>
    </w:p>
    <w:p w14:paraId="3B239671">
      <w:pPr>
        <w:pStyle w:val="13"/>
        <w:keepNext w:val="0"/>
        <w:keepLines w:val="0"/>
        <w:pageBreakBefore w:val="0"/>
        <w:widowControl w:val="0"/>
        <w:shd w:val="clear" w:color="auto" w:fill="auto"/>
        <w:kinsoku/>
        <w:wordWrap/>
        <w:overflowPunct/>
        <w:topLinePunct w:val="0"/>
        <w:bidi w:val="0"/>
        <w:snapToGrid/>
        <w:spacing w:before="120" w:after="120" w:line="44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致：</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rPr>
        <w:t>（采购单位名称）：</w:t>
      </w:r>
    </w:p>
    <w:p w14:paraId="3653EC1A">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590" w:firstLineChars="245"/>
        <w:textAlignment w:val="auto"/>
        <w:rPr>
          <w:rFonts w:hint="eastAsia" w:ascii="仿宋" w:hAnsi="仿宋" w:eastAsia="仿宋" w:cs="仿宋"/>
          <w:color w:val="auto"/>
          <w:sz w:val="24"/>
          <w:szCs w:val="24"/>
          <w:highlight w:val="none"/>
          <w:lang w:val="zh-CN"/>
        </w:rPr>
      </w:pPr>
      <w:r>
        <w:rPr>
          <w:rFonts w:hint="eastAsia" w:ascii="仿宋" w:hAnsi="仿宋" w:eastAsia="仿宋" w:cs="仿宋"/>
          <w:b/>
          <w:color w:val="auto"/>
          <w:sz w:val="24"/>
          <w:szCs w:val="24"/>
          <w:highlight w:val="none"/>
          <w:u w:val="single"/>
          <w:lang w:val="zh-CN"/>
        </w:rPr>
        <w:t xml:space="preserve">           </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（供应商全称）授权</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 xml:space="preserve"> （授权代表名称）</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（职务、职称）为授权代表，参加贵方组织的</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（采购项目名称）</w:t>
      </w:r>
      <w:r>
        <w:rPr>
          <w:rFonts w:hint="eastAsia" w:ascii="仿宋" w:hAnsi="仿宋" w:eastAsia="仿宋" w:cs="仿宋"/>
          <w:color w:val="auto"/>
          <w:sz w:val="24"/>
          <w:szCs w:val="24"/>
          <w:highlight w:val="none"/>
          <w:lang w:val="en-US" w:eastAsia="zh-CN"/>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zh-CN"/>
        </w:rPr>
        <w:t>采购的有关活动，并对</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项目（采购项目名称）</w:t>
      </w:r>
      <w:r>
        <w:rPr>
          <w:rFonts w:hint="eastAsia" w:ascii="仿宋" w:hAnsi="仿宋" w:eastAsia="仿宋" w:cs="仿宋"/>
          <w:color w:val="auto"/>
          <w:sz w:val="24"/>
          <w:szCs w:val="24"/>
          <w:highlight w:val="none"/>
          <w:lang w:val="en-US" w:eastAsia="zh-CN"/>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zh-CN"/>
        </w:rPr>
        <w:t xml:space="preserve">进行投标。为此：   </w:t>
      </w:r>
    </w:p>
    <w:p w14:paraId="2A279B87">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1、供应商提供须知规定的全部投标文件（电子投标文件、数据电子备份投标文件（U盘）），包括《资格文件》、《技术、商务、资信及其他文件》、《报价文件》，其中数据电子备份投标文件（U盘）各</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份，应与电子投标文件内容、格式一致；电子投标文件确认已上传</w:t>
      </w:r>
      <w:r>
        <w:rPr>
          <w:rFonts w:hint="eastAsia" w:ascii="仿宋" w:hAnsi="仿宋" w:eastAsia="仿宋" w:cs="仿宋"/>
          <w:color w:val="auto"/>
          <w:sz w:val="24"/>
          <w:szCs w:val="24"/>
          <w:highlight w:val="none"/>
        </w:rPr>
        <w:t>。</w:t>
      </w:r>
    </w:p>
    <w:p w14:paraId="2B161530">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2、保证遵守招标文件中的有关规定和收费标准。</w:t>
      </w:r>
    </w:p>
    <w:p w14:paraId="51E06E72">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3、保证诚信地执行采购人、供应商双方所签的合同，并承担合同规定的责任义务。</w:t>
      </w:r>
    </w:p>
    <w:p w14:paraId="25A3FF78">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4、供应商已详细审查全部招标文件，包括招标文件补充文件（如果有的话）。我方完全理解并同意放弃对这方面有不明及误解的权力。如果招标文件有相互矛盾之处，我方同意按采购人的理解处理。</w:t>
      </w:r>
    </w:p>
    <w:p w14:paraId="2185959F">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5、利益冲突：近三年内直至目前，我公司与本项目的采购人、采购机构没有任何的隶属关系。</w:t>
      </w:r>
    </w:p>
    <w:p w14:paraId="039C4E20">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6、我公司没有被本项目所在地的政府采购管理部门限制参加报价。</w:t>
      </w:r>
    </w:p>
    <w:p w14:paraId="40D4232D">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7、愿意向贵方提供任何与该项报价有关的数据、情况和技术资料，完全理解贵方不一定接受最低价的报价或收到的任何报价。</w:t>
      </w:r>
    </w:p>
    <w:p w14:paraId="375257CE">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8、本报价文件自报价之日起</w:t>
      </w: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lang w:val="zh-CN"/>
        </w:rPr>
        <w:t>0天内有效。</w:t>
      </w:r>
    </w:p>
    <w:p w14:paraId="75F2717B">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9、兹证明上述声明是真实的、正确的，并提供了全部能提供的资料和数据，我们同意遵照贵方要求出示有关证明文件。</w:t>
      </w:r>
    </w:p>
    <w:p w14:paraId="72C2E015">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以上事项如有虚假或隐瞒，我方愿意承担一切后果，并不再寻求任何旨在减轻或免除法律责任的辩解。</w:t>
      </w:r>
    </w:p>
    <w:p w14:paraId="0CDA5BA1">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供应商全称（盖章）：</w:t>
      </w:r>
    </w:p>
    <w:p w14:paraId="1D121580">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法定代表人（签字或盖章）：         </w:t>
      </w:r>
    </w:p>
    <w:p w14:paraId="3A7DD90D">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82" w:firstLineChars="201"/>
        <w:textAlignment w:val="auto"/>
        <w:rPr>
          <w:rFonts w:hint="eastAsia"/>
          <w:color w:val="auto"/>
          <w:highlight w:val="none"/>
          <w:lang w:val="en-US" w:eastAsia="zh-CN"/>
        </w:rPr>
      </w:pPr>
      <w:r>
        <w:rPr>
          <w:rFonts w:hint="eastAsia" w:ascii="仿宋" w:hAnsi="仿宋" w:eastAsia="仿宋" w:cs="仿宋"/>
          <w:color w:val="auto"/>
          <w:sz w:val="24"/>
          <w:szCs w:val="24"/>
          <w:highlight w:val="none"/>
          <w:lang w:val="zh-CN"/>
        </w:rPr>
        <w:t>日   期：</w:t>
      </w:r>
    </w:p>
    <w:p w14:paraId="5AFCF2B9">
      <w:pPr>
        <w:snapToGrid w:val="0"/>
        <w:spacing w:before="50" w:after="50"/>
        <w:jc w:val="center"/>
        <w:outlineLvl w:val="9"/>
        <w:rPr>
          <w:rFonts w:hint="eastAsia" w:ascii="仿宋" w:hAnsi="仿宋" w:eastAsia="仿宋" w:cs="宋体"/>
          <w:b/>
          <w:bCs/>
          <w:color w:val="auto"/>
          <w:sz w:val="32"/>
          <w:szCs w:val="32"/>
          <w:highlight w:val="none"/>
          <w:lang w:val="en-US" w:eastAsia="zh-CN"/>
        </w:rPr>
      </w:pPr>
    </w:p>
    <w:p w14:paraId="08205A40">
      <w:pPr>
        <w:snapToGrid w:val="0"/>
        <w:spacing w:before="50" w:after="50"/>
        <w:jc w:val="center"/>
        <w:outlineLvl w:val="9"/>
        <w:rPr>
          <w:rFonts w:hint="eastAsia" w:ascii="仿宋" w:hAnsi="仿宋" w:eastAsia="仿宋" w:cs="宋体"/>
          <w:b/>
          <w:bCs/>
          <w:color w:val="auto"/>
          <w:sz w:val="32"/>
          <w:szCs w:val="32"/>
          <w:highlight w:val="none"/>
          <w:lang w:val="en-US" w:eastAsia="zh-CN"/>
        </w:rPr>
      </w:pPr>
    </w:p>
    <w:p w14:paraId="1493A8BD">
      <w:pPr>
        <w:snapToGrid w:val="0"/>
        <w:spacing w:before="50" w:after="50"/>
        <w:jc w:val="center"/>
        <w:outlineLvl w:val="1"/>
        <w:rPr>
          <w:rFonts w:hint="eastAsia" w:ascii="仿宋" w:hAnsi="仿宋" w:eastAsia="仿宋" w:cs="宋体"/>
          <w:b/>
          <w:bCs/>
          <w:color w:val="auto"/>
          <w:sz w:val="32"/>
          <w:szCs w:val="32"/>
          <w:highlight w:val="none"/>
          <w:lang w:eastAsia="zh-CN"/>
        </w:rPr>
      </w:pPr>
      <w:r>
        <w:rPr>
          <w:rFonts w:hint="eastAsia" w:ascii="仿宋" w:hAnsi="仿宋" w:eastAsia="仿宋" w:cs="宋体"/>
          <w:b/>
          <w:bCs/>
          <w:color w:val="auto"/>
          <w:sz w:val="32"/>
          <w:szCs w:val="32"/>
          <w:highlight w:val="none"/>
          <w:lang w:val="en-US" w:eastAsia="zh-CN"/>
        </w:rPr>
        <w:t>16.</w:t>
      </w:r>
      <w:r>
        <w:rPr>
          <w:rFonts w:hint="eastAsia" w:ascii="仿宋" w:hAnsi="仿宋" w:eastAsia="仿宋" w:cs="宋体"/>
          <w:b/>
          <w:bCs/>
          <w:color w:val="auto"/>
          <w:sz w:val="32"/>
          <w:szCs w:val="32"/>
          <w:highlight w:val="none"/>
        </w:rPr>
        <w:t>开标一览表</w:t>
      </w:r>
    </w:p>
    <w:p w14:paraId="457EEEF4">
      <w:pPr>
        <w:snapToGrid w:val="0"/>
        <w:spacing w:before="50" w:after="50" w:line="360" w:lineRule="auto"/>
        <w:jc w:val="left"/>
        <w:rPr>
          <w:rFonts w:ascii="仿宋" w:hAnsi="仿宋" w:eastAsia="仿宋" w:cs="宋体"/>
          <w:color w:val="auto"/>
          <w:sz w:val="24"/>
          <w:highlight w:val="none"/>
        </w:rPr>
      </w:pPr>
      <w:r>
        <w:rPr>
          <w:rFonts w:hint="eastAsia" w:ascii="仿宋" w:hAnsi="仿宋" w:eastAsia="仿宋" w:cs="宋体"/>
          <w:color w:val="auto"/>
          <w:sz w:val="24"/>
          <w:highlight w:val="none"/>
        </w:rPr>
        <w:t xml:space="preserve">                           </w:t>
      </w:r>
    </w:p>
    <w:tbl>
      <w:tblPr>
        <w:tblStyle w:val="23"/>
        <w:tblW w:w="8092"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6724"/>
      </w:tblGrid>
      <w:tr w14:paraId="7C4E6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368" w:type="dxa"/>
            <w:tcBorders>
              <w:top w:val="single" w:color="auto" w:sz="4" w:space="0"/>
            </w:tcBorders>
            <w:noWrap/>
            <w:vAlign w:val="center"/>
          </w:tcPr>
          <w:p w14:paraId="0709CB7B">
            <w:pPr>
              <w:keepNext w:val="0"/>
              <w:keepLines w:val="0"/>
              <w:suppressLineNumbers w:val="0"/>
              <w:spacing w:before="0" w:beforeAutospacing="0" w:after="0" w:afterAutospacing="0" w:line="540" w:lineRule="exact"/>
              <w:ind w:left="0" w:right="0"/>
              <w:jc w:val="center"/>
              <w:rPr>
                <w:rFonts w:hint="default"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6724" w:type="dxa"/>
            <w:tcBorders>
              <w:top w:val="single" w:color="auto" w:sz="4" w:space="0"/>
              <w:bottom w:val="single" w:color="auto" w:sz="4" w:space="0"/>
            </w:tcBorders>
            <w:noWrap/>
            <w:vAlign w:val="center"/>
          </w:tcPr>
          <w:p w14:paraId="53E266B5">
            <w:pPr>
              <w:keepNext w:val="0"/>
              <w:keepLines w:val="0"/>
              <w:suppressLineNumbers w:val="0"/>
              <w:spacing w:before="0" w:beforeAutospacing="0" w:after="0" w:afterAutospacing="0" w:line="540" w:lineRule="exact"/>
              <w:ind w:left="0" w:right="0"/>
              <w:jc w:val="center"/>
              <w:rPr>
                <w:rFonts w:hint="default" w:ascii="仿宋" w:hAnsi="仿宋" w:eastAsia="仿宋" w:cs="仿宋"/>
                <w:color w:val="auto"/>
                <w:sz w:val="24"/>
                <w:highlight w:val="none"/>
                <w:lang w:val="en-US" w:eastAsia="zh-CN"/>
              </w:rPr>
            </w:pPr>
            <w:r>
              <w:rPr>
                <w:rFonts w:hint="eastAsia" w:ascii="仿宋" w:hAnsi="仿宋" w:eastAsia="仿宋" w:cs="宋体"/>
                <w:bCs/>
                <w:color w:val="auto"/>
                <w:sz w:val="24"/>
                <w:highlight w:val="none"/>
                <w:lang w:eastAsia="zh-CN"/>
              </w:rPr>
              <w:t>湖州南太湖新区西区、104国道、杨家埠等区域环卫作业一体化服务项目（2025-202</w:t>
            </w:r>
            <w:r>
              <w:rPr>
                <w:rFonts w:hint="eastAsia" w:ascii="仿宋" w:hAnsi="仿宋" w:eastAsia="仿宋" w:cs="宋体"/>
                <w:bCs/>
                <w:color w:val="auto"/>
                <w:sz w:val="24"/>
                <w:highlight w:val="none"/>
                <w:lang w:val="en-US" w:eastAsia="zh-CN"/>
              </w:rPr>
              <w:t>7</w:t>
            </w:r>
            <w:r>
              <w:rPr>
                <w:rFonts w:hint="eastAsia" w:ascii="仿宋" w:hAnsi="仿宋" w:eastAsia="仿宋" w:cs="宋体"/>
                <w:bCs/>
                <w:color w:val="auto"/>
                <w:sz w:val="24"/>
                <w:highlight w:val="none"/>
                <w:lang w:eastAsia="zh-CN"/>
              </w:rPr>
              <w:t>年度）</w:t>
            </w:r>
          </w:p>
        </w:tc>
      </w:tr>
      <w:tr w14:paraId="609D5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1368" w:type="dxa"/>
            <w:tcBorders>
              <w:top w:val="single" w:color="auto" w:sz="4" w:space="0"/>
            </w:tcBorders>
            <w:noWrap/>
            <w:vAlign w:val="center"/>
          </w:tcPr>
          <w:p w14:paraId="64E1FE53">
            <w:pPr>
              <w:keepNext w:val="0"/>
              <w:keepLines w:val="0"/>
              <w:suppressLineNumbers w:val="0"/>
              <w:autoSpaceDE w:val="0"/>
              <w:autoSpaceDN w:val="0"/>
              <w:adjustRightInd w:val="0"/>
              <w:spacing w:before="0" w:beforeAutospacing="0" w:after="0" w:afterAutospacing="0" w:line="600" w:lineRule="exact"/>
              <w:ind w:left="0" w:right="0"/>
              <w:jc w:val="center"/>
              <w:rPr>
                <w:rFonts w:hint="default" w:ascii="仿宋" w:hAnsi="仿宋" w:eastAsia="仿宋" w:cs="仿宋"/>
                <w:color w:val="auto"/>
                <w:sz w:val="24"/>
                <w:highlight w:val="none"/>
              </w:rPr>
            </w:pPr>
            <w:r>
              <w:rPr>
                <w:rFonts w:hint="eastAsia" w:ascii="仿宋" w:hAnsi="仿宋" w:eastAsia="仿宋" w:cs="仿宋"/>
                <w:color w:val="auto"/>
                <w:sz w:val="24"/>
                <w:highlight w:val="none"/>
                <w:lang w:val="zh-CN"/>
              </w:rPr>
              <w:t>项目编号</w:t>
            </w:r>
          </w:p>
        </w:tc>
        <w:tc>
          <w:tcPr>
            <w:tcW w:w="6724" w:type="dxa"/>
            <w:tcBorders>
              <w:top w:val="single" w:color="auto" w:sz="4" w:space="0"/>
              <w:bottom w:val="single" w:color="auto" w:sz="4" w:space="0"/>
            </w:tcBorders>
            <w:noWrap/>
            <w:vAlign w:val="center"/>
          </w:tcPr>
          <w:p w14:paraId="702D49A2">
            <w:pPr>
              <w:keepNext w:val="0"/>
              <w:keepLines w:val="0"/>
              <w:suppressLineNumbers w:val="0"/>
              <w:spacing w:before="0" w:beforeAutospacing="0" w:after="0" w:afterAutospacing="0" w:line="540" w:lineRule="exact"/>
              <w:ind w:left="0" w:right="0"/>
              <w:jc w:val="center"/>
              <w:rPr>
                <w:rFonts w:hint="default" w:ascii="仿宋" w:hAnsi="仿宋" w:eastAsia="仿宋" w:cs="仿宋"/>
                <w:color w:val="auto"/>
                <w:sz w:val="24"/>
                <w:highlight w:val="none"/>
                <w:lang w:val="en-US" w:eastAsia="zh-CN"/>
              </w:rPr>
            </w:pPr>
          </w:p>
        </w:tc>
      </w:tr>
      <w:tr w14:paraId="30856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1368" w:type="dxa"/>
            <w:tcBorders>
              <w:top w:val="single" w:color="auto" w:sz="4" w:space="0"/>
            </w:tcBorders>
            <w:noWrap/>
            <w:vAlign w:val="center"/>
          </w:tcPr>
          <w:p w14:paraId="2F99613F">
            <w:pPr>
              <w:keepNext w:val="0"/>
              <w:keepLines w:val="0"/>
              <w:suppressLineNumbers w:val="0"/>
              <w:autoSpaceDE w:val="0"/>
              <w:autoSpaceDN w:val="0"/>
              <w:adjustRightInd w:val="0"/>
              <w:spacing w:before="0" w:beforeAutospacing="0" w:after="0" w:afterAutospacing="0" w:line="600" w:lineRule="exact"/>
              <w:ind w:left="0" w:right="0"/>
              <w:jc w:val="center"/>
              <w:rPr>
                <w:rFonts w:hint="eastAsia" w:ascii="仿宋" w:hAnsi="仿宋" w:eastAsia="仿宋" w:cs="仿宋"/>
                <w:color w:val="auto"/>
                <w:sz w:val="24"/>
                <w:highlight w:val="none"/>
                <w:lang w:val="zh-CN"/>
              </w:rPr>
            </w:pPr>
            <w:r>
              <w:rPr>
                <w:rFonts w:hint="eastAsia" w:ascii="仿宋" w:hAnsi="仿宋" w:eastAsia="仿宋" w:cs="宋体"/>
                <w:color w:val="auto"/>
                <w:sz w:val="24"/>
                <w:highlight w:val="none"/>
                <w:lang w:val="en-US" w:eastAsia="zh-CN"/>
              </w:rPr>
              <w:t>标   项</w:t>
            </w:r>
          </w:p>
        </w:tc>
        <w:tc>
          <w:tcPr>
            <w:tcW w:w="6724" w:type="dxa"/>
            <w:tcBorders>
              <w:top w:val="single" w:color="auto" w:sz="4" w:space="0"/>
              <w:bottom w:val="single" w:color="auto" w:sz="4" w:space="0"/>
            </w:tcBorders>
            <w:noWrap/>
            <w:vAlign w:val="center"/>
          </w:tcPr>
          <w:p w14:paraId="25FA0A06">
            <w:pPr>
              <w:keepNext w:val="0"/>
              <w:keepLines w:val="0"/>
              <w:suppressLineNumbers w:val="0"/>
              <w:spacing w:before="0" w:beforeAutospacing="0" w:after="0" w:afterAutospacing="0" w:line="540" w:lineRule="exact"/>
              <w:ind w:left="0" w:right="0"/>
              <w:jc w:val="center"/>
              <w:rPr>
                <w:rFonts w:hint="default" w:ascii="仿宋" w:hAnsi="仿宋" w:eastAsia="仿宋" w:cs="仿宋"/>
                <w:color w:val="auto"/>
                <w:sz w:val="24"/>
                <w:highlight w:val="none"/>
                <w:lang w:val="en-US" w:eastAsia="zh-CN"/>
              </w:rPr>
            </w:pPr>
          </w:p>
        </w:tc>
      </w:tr>
      <w:tr w14:paraId="4B142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8" w:hRule="atLeast"/>
        </w:trPr>
        <w:tc>
          <w:tcPr>
            <w:tcW w:w="1368" w:type="dxa"/>
            <w:noWrap/>
            <w:vAlign w:val="center"/>
          </w:tcPr>
          <w:p w14:paraId="1A1AA746">
            <w:pPr>
              <w:keepNext w:val="0"/>
              <w:keepLines w:val="0"/>
              <w:suppressLineNumbers w:val="0"/>
              <w:spacing w:before="0" w:beforeAutospacing="0" w:after="0" w:afterAutospacing="0" w:line="540" w:lineRule="exact"/>
              <w:ind w:left="0" w:right="0"/>
              <w:jc w:val="center"/>
              <w:rPr>
                <w:rFonts w:hint="default" w:ascii="仿宋" w:hAnsi="仿宋" w:eastAsia="仿宋" w:cs="仿宋"/>
                <w:color w:val="auto"/>
                <w:sz w:val="24"/>
                <w:highlight w:val="none"/>
              </w:rPr>
            </w:pPr>
            <w:r>
              <w:rPr>
                <w:rFonts w:hint="eastAsia" w:ascii="仿宋" w:hAnsi="仿宋" w:eastAsia="仿宋" w:cs="仿宋"/>
                <w:color w:val="auto"/>
                <w:sz w:val="24"/>
                <w:highlight w:val="none"/>
                <w:lang w:val="en-US" w:eastAsia="zh-CN"/>
              </w:rPr>
              <w:t>投标总</w:t>
            </w:r>
            <w:r>
              <w:rPr>
                <w:rFonts w:hint="eastAsia" w:ascii="仿宋" w:hAnsi="仿宋" w:eastAsia="仿宋" w:cs="仿宋"/>
                <w:color w:val="auto"/>
                <w:sz w:val="24"/>
                <w:highlight w:val="none"/>
              </w:rPr>
              <w:t>价</w:t>
            </w:r>
            <w:r>
              <w:rPr>
                <w:rFonts w:hint="eastAsia" w:ascii="仿宋" w:hAnsi="仿宋" w:eastAsia="仿宋" w:cs="仿宋"/>
                <w:color w:val="auto"/>
                <w:sz w:val="24"/>
                <w:highlight w:val="none"/>
                <w:lang w:val="en-US" w:eastAsia="zh-CN"/>
              </w:rPr>
              <w:t>（元）</w:t>
            </w:r>
          </w:p>
        </w:tc>
        <w:tc>
          <w:tcPr>
            <w:tcW w:w="6724" w:type="dxa"/>
            <w:tcBorders>
              <w:top w:val="single" w:color="auto" w:sz="4" w:space="0"/>
              <w:bottom w:val="single" w:color="auto" w:sz="4" w:space="0"/>
            </w:tcBorders>
            <w:noWrap/>
            <w:vAlign w:val="center"/>
          </w:tcPr>
          <w:p w14:paraId="577A7680">
            <w:pPr>
              <w:keepNext w:val="0"/>
              <w:keepLines w:val="0"/>
              <w:suppressLineNumbers w:val="0"/>
              <w:spacing w:before="0" w:beforeAutospacing="0" w:after="0" w:afterAutospacing="0" w:line="540" w:lineRule="exact"/>
              <w:ind w:left="0" w:right="0"/>
              <w:jc w:val="left"/>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小写：</w:t>
            </w:r>
            <w:r>
              <w:rPr>
                <w:rFonts w:hint="eastAsia" w:ascii="仿宋" w:hAnsi="仿宋" w:eastAsia="仿宋" w:cs="仿宋"/>
                <w:color w:val="auto"/>
                <w:sz w:val="24"/>
                <w:highlight w:val="none"/>
                <w:u w:val="single"/>
                <w:lang w:val="en-US" w:eastAsia="zh-CN"/>
              </w:rPr>
              <w:t xml:space="preserve">                </w:t>
            </w:r>
          </w:p>
          <w:p w14:paraId="19318ACD">
            <w:pPr>
              <w:keepNext w:val="0"/>
              <w:keepLines w:val="0"/>
              <w:suppressLineNumbers w:val="0"/>
              <w:spacing w:before="0" w:beforeAutospacing="0" w:after="0" w:afterAutospacing="0" w:line="540" w:lineRule="exact"/>
              <w:ind w:left="0" w:right="0"/>
              <w:jc w:val="left"/>
              <w:rPr>
                <w:rFonts w:hint="default" w:ascii="仿宋" w:hAnsi="仿宋" w:eastAsia="仿宋" w:cs="仿宋"/>
                <w:bCs/>
                <w:color w:val="auto"/>
                <w:kern w:val="0"/>
                <w:sz w:val="24"/>
                <w:highlight w:val="none"/>
                <w:u w:val="single"/>
                <w:lang w:val="en-US" w:eastAsia="zh-CN"/>
              </w:rPr>
            </w:pPr>
            <w:r>
              <w:rPr>
                <w:rFonts w:hint="eastAsia" w:ascii="仿宋" w:hAnsi="仿宋" w:eastAsia="仿宋" w:cs="仿宋"/>
                <w:color w:val="auto"/>
                <w:sz w:val="24"/>
                <w:highlight w:val="none"/>
              </w:rPr>
              <w:t>大写：</w:t>
            </w:r>
            <w:r>
              <w:rPr>
                <w:rFonts w:hint="eastAsia" w:ascii="仿宋" w:hAnsi="仿宋" w:eastAsia="仿宋" w:cs="仿宋"/>
                <w:color w:val="auto"/>
                <w:sz w:val="24"/>
                <w:highlight w:val="none"/>
                <w:u w:val="single"/>
                <w:lang w:val="en-US" w:eastAsia="zh-CN"/>
              </w:rPr>
              <w:t xml:space="preserve">                </w:t>
            </w:r>
          </w:p>
        </w:tc>
      </w:tr>
      <w:tr w14:paraId="1EECD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8" w:hRule="atLeast"/>
        </w:trPr>
        <w:tc>
          <w:tcPr>
            <w:tcW w:w="1368" w:type="dxa"/>
            <w:noWrap/>
            <w:vAlign w:val="center"/>
          </w:tcPr>
          <w:p w14:paraId="1F1058E6">
            <w:pPr>
              <w:keepNext w:val="0"/>
              <w:keepLines w:val="0"/>
              <w:suppressLineNumbers w:val="0"/>
              <w:spacing w:before="0" w:beforeAutospacing="0" w:after="0" w:afterAutospacing="0" w:line="540" w:lineRule="exact"/>
              <w:ind w:left="0" w:right="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投标单价</w:t>
            </w:r>
          </w:p>
        </w:tc>
        <w:tc>
          <w:tcPr>
            <w:tcW w:w="6724" w:type="dxa"/>
            <w:tcBorders>
              <w:top w:val="single" w:color="auto" w:sz="4" w:space="0"/>
              <w:bottom w:val="single" w:color="auto" w:sz="4" w:space="0"/>
            </w:tcBorders>
            <w:noWrap/>
            <w:vAlign w:val="center"/>
          </w:tcPr>
          <w:p w14:paraId="6B13C6B3">
            <w:pPr>
              <w:keepNext w:val="0"/>
              <w:keepLines w:val="0"/>
              <w:suppressLineNumbers w:val="0"/>
              <w:spacing w:before="0" w:beforeAutospacing="0" w:after="0" w:afterAutospacing="0" w:line="540" w:lineRule="exact"/>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lang w:val="en-US" w:eastAsia="zh-CN"/>
              </w:rPr>
              <w:t>万/年</w:t>
            </w:r>
          </w:p>
        </w:tc>
      </w:tr>
    </w:tbl>
    <w:p w14:paraId="2D4FA3BD">
      <w:pPr>
        <w:pStyle w:val="1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b w:val="0"/>
          <w:bCs/>
          <w:color w:val="auto"/>
          <w:highlight w:val="none"/>
        </w:rPr>
      </w:pPr>
      <w:r>
        <w:rPr>
          <w:rFonts w:hint="eastAsia" w:ascii="仿宋" w:hAnsi="仿宋" w:eastAsia="仿宋" w:cs="仿宋"/>
          <w:b w:val="0"/>
          <w:bCs/>
          <w:color w:val="auto"/>
          <w:highlight w:val="none"/>
        </w:rPr>
        <w:t>注:  1、投标</w:t>
      </w:r>
      <w:r>
        <w:rPr>
          <w:rFonts w:hint="eastAsia" w:ascii="仿宋" w:hAnsi="仿宋" w:eastAsia="仿宋" w:cs="仿宋"/>
          <w:b w:val="0"/>
          <w:bCs/>
          <w:color w:val="auto"/>
          <w:highlight w:val="none"/>
          <w:lang w:val="en-US" w:eastAsia="zh-CN"/>
        </w:rPr>
        <w:t>总价</w:t>
      </w:r>
      <w:r>
        <w:rPr>
          <w:rFonts w:hint="eastAsia" w:ascii="仿宋" w:hAnsi="仿宋" w:eastAsia="仿宋" w:cs="仿宋"/>
          <w:b w:val="0"/>
          <w:bCs/>
          <w:color w:val="auto"/>
          <w:highlight w:val="none"/>
        </w:rPr>
        <w:t>超最高</w:t>
      </w:r>
      <w:r>
        <w:rPr>
          <w:rFonts w:hint="eastAsia" w:ascii="仿宋" w:hAnsi="仿宋" w:eastAsia="仿宋" w:cs="仿宋"/>
          <w:b w:val="0"/>
          <w:bCs/>
          <w:color w:val="auto"/>
          <w:highlight w:val="none"/>
          <w:lang w:val="en-US" w:eastAsia="zh-CN"/>
        </w:rPr>
        <w:t>总价</w:t>
      </w:r>
      <w:r>
        <w:rPr>
          <w:rFonts w:hint="eastAsia" w:ascii="仿宋" w:hAnsi="仿宋" w:eastAsia="仿宋" w:cs="仿宋"/>
          <w:b w:val="0"/>
          <w:bCs/>
          <w:color w:val="auto"/>
          <w:highlight w:val="none"/>
        </w:rPr>
        <w:t>限价</w:t>
      </w:r>
      <w:r>
        <w:rPr>
          <w:rFonts w:hint="eastAsia" w:ascii="仿宋" w:hAnsi="仿宋" w:eastAsia="仿宋" w:cs="仿宋"/>
          <w:b w:val="0"/>
          <w:bCs/>
          <w:color w:val="auto"/>
          <w:highlight w:val="none"/>
          <w:lang w:val="en-US" w:eastAsia="zh-CN"/>
        </w:rPr>
        <w:t>或投标单价超最高单价限价</w:t>
      </w:r>
      <w:r>
        <w:rPr>
          <w:rFonts w:hint="eastAsia" w:ascii="仿宋" w:hAnsi="仿宋" w:eastAsia="仿宋" w:cs="仿宋"/>
          <w:b w:val="0"/>
          <w:bCs/>
          <w:color w:val="auto"/>
          <w:highlight w:val="none"/>
        </w:rPr>
        <w:t>均为无效。</w:t>
      </w:r>
    </w:p>
    <w:p w14:paraId="6A97CD61">
      <w:pPr>
        <w:pStyle w:val="1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b w:val="0"/>
          <w:bCs/>
          <w:color w:val="auto"/>
          <w:highlight w:val="none"/>
        </w:rPr>
      </w:pPr>
      <w:r>
        <w:rPr>
          <w:rFonts w:hint="eastAsia" w:ascii="仿宋" w:hAnsi="仿宋" w:eastAsia="仿宋" w:cs="仿宋"/>
          <w:b w:val="0"/>
          <w:bCs/>
          <w:color w:val="auto"/>
          <w:highlight w:val="none"/>
        </w:rPr>
        <w:t>2、报价一经涂改，应在涂改处加盖单位公章或者由法定代表人或授权委托人签字或盖章，否则其投标作无效标处理。</w:t>
      </w:r>
    </w:p>
    <w:p w14:paraId="66432E79">
      <w:pPr>
        <w:pStyle w:val="13"/>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b w:val="0"/>
          <w:bCs/>
          <w:color w:val="auto"/>
          <w:highlight w:val="none"/>
        </w:rPr>
      </w:pPr>
      <w:r>
        <w:rPr>
          <w:rFonts w:hint="eastAsia" w:ascii="仿宋" w:hAnsi="仿宋" w:eastAsia="仿宋" w:cs="仿宋"/>
          <w:b w:val="0"/>
          <w:bCs/>
          <w:color w:val="auto"/>
          <w:highlight w:val="none"/>
        </w:rPr>
        <w:t>3、投标报价是指完成全部承包区域内的保洁服务工作，承包总价必须包括在承包指定区域内提供清扫保洁服务所需的人工费及车辆、机械等全部费用、水电费、工具材料费、垃圾清运费、安全文明生产装备费、项目管理费、企业应缴税金和应得利润、物价因素、招标代理服务费等完成合同所需的一切本身和不可或缺的所有工作开支、政策性文件规定及合同包含的所有风险、责任等各项全部费用并承担一切风险责任。</w:t>
      </w:r>
    </w:p>
    <w:p w14:paraId="3BCF8837">
      <w:pPr>
        <w:pStyle w:val="13"/>
        <w:keepNext w:val="0"/>
        <w:keepLines w:val="0"/>
        <w:pageBreakBefore w:val="0"/>
        <w:widowControl w:val="0"/>
        <w:kinsoku/>
        <w:wordWrap/>
        <w:overflowPunct/>
        <w:topLinePunct w:val="0"/>
        <w:autoSpaceDE/>
        <w:autoSpaceDN/>
        <w:bidi w:val="0"/>
        <w:adjustRightInd/>
        <w:snapToGrid/>
        <w:spacing w:line="480" w:lineRule="exact"/>
        <w:textAlignment w:val="auto"/>
        <w:rPr>
          <w:rFonts w:ascii="仿宋" w:hAnsi="仿宋" w:eastAsia="仿宋" w:cs="宋体"/>
          <w:color w:val="auto"/>
          <w:sz w:val="24"/>
          <w:highlight w:val="none"/>
        </w:rPr>
      </w:pPr>
      <w:r>
        <w:rPr>
          <w:rFonts w:hint="eastAsia" w:ascii="仿宋" w:hAnsi="仿宋" w:eastAsia="仿宋" w:cs="仿宋"/>
          <w:b w:val="0"/>
          <w:bCs/>
          <w:color w:val="auto"/>
          <w:highlight w:val="none"/>
        </w:rPr>
        <w:t>4、以上投标总价应与“投标报价明细表”中的“投标总价”相一致</w:t>
      </w:r>
      <w:r>
        <w:rPr>
          <w:rFonts w:hint="eastAsia" w:ascii="仿宋" w:hAnsi="仿宋" w:eastAsia="仿宋" w:cs="宋体"/>
          <w:color w:val="auto"/>
          <w:sz w:val="24"/>
          <w:highlight w:val="none"/>
        </w:rPr>
        <w:t>。</w:t>
      </w:r>
    </w:p>
    <w:p w14:paraId="1421071E">
      <w:pPr>
        <w:pStyle w:val="11"/>
        <w:rPr>
          <w:rFonts w:ascii="仿宋" w:hAnsi="仿宋" w:eastAsia="仿宋" w:cs="宋体"/>
          <w:color w:val="auto"/>
          <w:sz w:val="24"/>
          <w:highlight w:val="none"/>
        </w:rPr>
      </w:pPr>
    </w:p>
    <w:p w14:paraId="0768BBCA">
      <w:pPr>
        <w:pStyle w:val="11"/>
        <w:rPr>
          <w:rFonts w:ascii="仿宋" w:hAnsi="仿宋" w:eastAsia="仿宋" w:cs="宋体"/>
          <w:color w:val="auto"/>
          <w:sz w:val="24"/>
          <w:highlight w:val="none"/>
        </w:rPr>
      </w:pPr>
    </w:p>
    <w:p w14:paraId="1F2D1865">
      <w:pPr>
        <w:snapToGrid w:val="0"/>
        <w:spacing w:before="120" w:beforeLines="5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供应商名称（公章）：                             </w:t>
      </w:r>
    </w:p>
    <w:p w14:paraId="6817C5B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w:t>
      </w:r>
      <w:r>
        <w:rPr>
          <w:rFonts w:hint="eastAsia" w:ascii="仿宋" w:hAnsi="仿宋" w:eastAsia="仿宋" w:cs="仿宋"/>
          <w:color w:val="auto"/>
          <w:sz w:val="24"/>
          <w:highlight w:val="none"/>
          <w:lang w:eastAsia="zh-CN"/>
        </w:rPr>
        <w:t>字</w:t>
      </w:r>
      <w:r>
        <w:rPr>
          <w:rFonts w:hint="eastAsia" w:ascii="仿宋" w:hAnsi="仿宋" w:eastAsia="仿宋" w:cs="仿宋"/>
          <w:color w:val="auto"/>
          <w:sz w:val="24"/>
          <w:highlight w:val="none"/>
        </w:rPr>
        <w:t xml:space="preserve">或盖章：  </w:t>
      </w:r>
    </w:p>
    <w:p w14:paraId="733998DD">
      <w:pPr>
        <w:snapToGrid w:val="0"/>
        <w:spacing w:before="120" w:beforeLines="50" w:line="360" w:lineRule="auto"/>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 xml:space="preserve">日期：    年     月    </w:t>
      </w:r>
      <w:r>
        <w:rPr>
          <w:rFonts w:hint="eastAsia" w:ascii="仿宋" w:hAnsi="仿宋" w:eastAsia="仿宋" w:cs="仿宋"/>
          <w:color w:val="auto"/>
          <w:sz w:val="24"/>
          <w:highlight w:val="none"/>
          <w:lang w:val="en-US" w:eastAsia="zh-CN"/>
        </w:rPr>
        <w:t>日</w:t>
      </w:r>
    </w:p>
    <w:p w14:paraId="1DD01F72">
      <w:pPr>
        <w:spacing w:line="360" w:lineRule="auto"/>
        <w:jc w:val="center"/>
        <w:outlineLvl w:val="9"/>
        <w:rPr>
          <w:rFonts w:hint="eastAsia" w:ascii="仿宋" w:hAnsi="仿宋" w:eastAsia="仿宋" w:cs="仿宋"/>
          <w:b/>
          <w:bCs/>
          <w:color w:val="auto"/>
          <w:sz w:val="28"/>
          <w:szCs w:val="28"/>
          <w:highlight w:val="none"/>
          <w:lang w:val="en-US" w:eastAsia="zh-CN"/>
        </w:rPr>
      </w:pPr>
    </w:p>
    <w:p w14:paraId="1496B6E3">
      <w:pPr>
        <w:pStyle w:val="2"/>
        <w:rPr>
          <w:rFonts w:hint="eastAsia"/>
          <w:color w:val="auto"/>
          <w:highlight w:val="none"/>
          <w:lang w:val="en-US" w:eastAsia="zh-CN"/>
        </w:rPr>
      </w:pPr>
    </w:p>
    <w:p w14:paraId="130E0981">
      <w:pPr>
        <w:spacing w:line="360" w:lineRule="auto"/>
        <w:jc w:val="both"/>
        <w:outlineLvl w:val="9"/>
        <w:rPr>
          <w:rFonts w:hint="eastAsia" w:ascii="仿宋" w:hAnsi="仿宋" w:eastAsia="仿宋" w:cs="仿宋"/>
          <w:b/>
          <w:bCs/>
          <w:color w:val="auto"/>
          <w:sz w:val="28"/>
          <w:szCs w:val="28"/>
          <w:highlight w:val="none"/>
          <w:lang w:val="en-US" w:eastAsia="zh-CN"/>
        </w:rPr>
      </w:pPr>
    </w:p>
    <w:p w14:paraId="68DE1D4D">
      <w:pPr>
        <w:snapToGrid w:val="0"/>
        <w:spacing w:before="50" w:after="50"/>
        <w:jc w:val="center"/>
        <w:outlineLvl w:val="9"/>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 xml:space="preserve">17、投标报价明细表 </w:t>
      </w:r>
    </w:p>
    <w:p w14:paraId="7EA61124">
      <w:pPr>
        <w:spacing w:line="460" w:lineRule="exact"/>
        <w:jc w:val="left"/>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val="en-US" w:eastAsia="zh-CN"/>
        </w:rPr>
        <w:t xml:space="preserve">                                                标项：</w:t>
      </w:r>
      <w:r>
        <w:rPr>
          <w:rFonts w:hint="eastAsia" w:ascii="仿宋" w:hAnsi="仿宋" w:eastAsia="仿宋" w:cs="仿宋"/>
          <w:color w:val="auto"/>
          <w:sz w:val="24"/>
          <w:highlight w:val="none"/>
          <w:u w:val="single"/>
          <w:lang w:val="en-US" w:eastAsia="zh-CN"/>
        </w:rPr>
        <w:t xml:space="preserve">    </w:t>
      </w:r>
    </w:p>
    <w:tbl>
      <w:tblPr>
        <w:tblStyle w:val="23"/>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2090"/>
        <w:gridCol w:w="2849"/>
        <w:gridCol w:w="924"/>
        <w:gridCol w:w="785"/>
        <w:gridCol w:w="793"/>
        <w:gridCol w:w="1140"/>
      </w:tblGrid>
      <w:tr w14:paraId="0D86D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vAlign w:val="center"/>
          </w:tcPr>
          <w:p w14:paraId="2AA34147">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2090" w:type="dxa"/>
            <w:vAlign w:val="center"/>
          </w:tcPr>
          <w:p w14:paraId="734FF6D7">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p>
        </w:tc>
        <w:tc>
          <w:tcPr>
            <w:tcW w:w="2849" w:type="dxa"/>
            <w:vAlign w:val="center"/>
          </w:tcPr>
          <w:p w14:paraId="7FDC7BA8">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主要内容</w:t>
            </w:r>
          </w:p>
        </w:tc>
        <w:tc>
          <w:tcPr>
            <w:tcW w:w="924" w:type="dxa"/>
            <w:vAlign w:val="center"/>
          </w:tcPr>
          <w:p w14:paraId="770E42FB">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785" w:type="dxa"/>
            <w:vAlign w:val="center"/>
          </w:tcPr>
          <w:p w14:paraId="30F930A9">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单位</w:t>
            </w:r>
          </w:p>
        </w:tc>
        <w:tc>
          <w:tcPr>
            <w:tcW w:w="793" w:type="dxa"/>
            <w:vAlign w:val="center"/>
          </w:tcPr>
          <w:p w14:paraId="62534139">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单价</w:t>
            </w:r>
          </w:p>
        </w:tc>
        <w:tc>
          <w:tcPr>
            <w:tcW w:w="1140" w:type="dxa"/>
            <w:vAlign w:val="center"/>
          </w:tcPr>
          <w:p w14:paraId="4C8E9577">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合计</w:t>
            </w:r>
          </w:p>
        </w:tc>
      </w:tr>
      <w:tr w14:paraId="20C1E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00808356">
            <w:pPr>
              <w:spacing w:line="440" w:lineRule="exact"/>
              <w:jc w:val="center"/>
              <w:rPr>
                <w:rFonts w:hint="eastAsia" w:ascii="仿宋" w:hAnsi="仿宋" w:eastAsia="仿宋" w:cs="仿宋"/>
                <w:color w:val="auto"/>
                <w:sz w:val="24"/>
                <w:highlight w:val="none"/>
              </w:rPr>
            </w:pPr>
          </w:p>
        </w:tc>
        <w:tc>
          <w:tcPr>
            <w:tcW w:w="2090" w:type="dxa"/>
          </w:tcPr>
          <w:p w14:paraId="58CFC3F3">
            <w:pPr>
              <w:spacing w:line="440" w:lineRule="exact"/>
              <w:jc w:val="center"/>
              <w:rPr>
                <w:rFonts w:hint="eastAsia" w:ascii="仿宋" w:hAnsi="仿宋" w:eastAsia="仿宋" w:cs="仿宋"/>
                <w:color w:val="auto"/>
                <w:highlight w:val="none"/>
              </w:rPr>
            </w:pPr>
          </w:p>
        </w:tc>
        <w:tc>
          <w:tcPr>
            <w:tcW w:w="2849" w:type="dxa"/>
          </w:tcPr>
          <w:p w14:paraId="604D06EC">
            <w:pPr>
              <w:spacing w:line="440" w:lineRule="exact"/>
              <w:jc w:val="center"/>
              <w:rPr>
                <w:rFonts w:hint="eastAsia" w:ascii="仿宋" w:hAnsi="仿宋" w:eastAsia="仿宋" w:cs="仿宋"/>
                <w:color w:val="auto"/>
                <w:sz w:val="24"/>
                <w:highlight w:val="none"/>
              </w:rPr>
            </w:pPr>
          </w:p>
        </w:tc>
        <w:tc>
          <w:tcPr>
            <w:tcW w:w="924" w:type="dxa"/>
          </w:tcPr>
          <w:p w14:paraId="7719CF39">
            <w:pPr>
              <w:spacing w:line="440" w:lineRule="exact"/>
              <w:jc w:val="center"/>
              <w:rPr>
                <w:rFonts w:hint="eastAsia" w:ascii="仿宋" w:hAnsi="仿宋" w:eastAsia="仿宋" w:cs="仿宋"/>
                <w:color w:val="auto"/>
                <w:sz w:val="24"/>
                <w:highlight w:val="none"/>
              </w:rPr>
            </w:pPr>
          </w:p>
        </w:tc>
        <w:tc>
          <w:tcPr>
            <w:tcW w:w="785" w:type="dxa"/>
          </w:tcPr>
          <w:p w14:paraId="414018C0">
            <w:pPr>
              <w:spacing w:line="440" w:lineRule="exact"/>
              <w:jc w:val="center"/>
              <w:rPr>
                <w:rFonts w:hint="eastAsia" w:ascii="仿宋" w:hAnsi="仿宋" w:eastAsia="仿宋" w:cs="仿宋"/>
                <w:color w:val="auto"/>
                <w:sz w:val="24"/>
                <w:highlight w:val="none"/>
              </w:rPr>
            </w:pPr>
          </w:p>
        </w:tc>
        <w:tc>
          <w:tcPr>
            <w:tcW w:w="793" w:type="dxa"/>
          </w:tcPr>
          <w:p w14:paraId="1239C632">
            <w:pPr>
              <w:spacing w:line="440" w:lineRule="exact"/>
              <w:jc w:val="center"/>
              <w:rPr>
                <w:rFonts w:hint="eastAsia" w:ascii="仿宋" w:hAnsi="仿宋" w:eastAsia="仿宋" w:cs="仿宋"/>
                <w:color w:val="auto"/>
                <w:sz w:val="24"/>
                <w:highlight w:val="none"/>
              </w:rPr>
            </w:pPr>
          </w:p>
        </w:tc>
        <w:tc>
          <w:tcPr>
            <w:tcW w:w="1140" w:type="dxa"/>
          </w:tcPr>
          <w:p w14:paraId="1F5D1669">
            <w:pPr>
              <w:spacing w:line="440" w:lineRule="exact"/>
              <w:jc w:val="center"/>
              <w:rPr>
                <w:rFonts w:hint="eastAsia" w:ascii="仿宋" w:hAnsi="仿宋" w:eastAsia="仿宋" w:cs="仿宋"/>
                <w:color w:val="auto"/>
                <w:sz w:val="24"/>
                <w:highlight w:val="none"/>
              </w:rPr>
            </w:pPr>
          </w:p>
        </w:tc>
      </w:tr>
      <w:tr w14:paraId="2D4DE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5BAD3A27">
            <w:pPr>
              <w:spacing w:line="440" w:lineRule="exact"/>
              <w:jc w:val="center"/>
              <w:rPr>
                <w:rFonts w:hint="eastAsia" w:ascii="仿宋" w:hAnsi="仿宋" w:eastAsia="仿宋" w:cs="仿宋"/>
                <w:color w:val="auto"/>
                <w:sz w:val="24"/>
                <w:highlight w:val="none"/>
              </w:rPr>
            </w:pPr>
          </w:p>
        </w:tc>
        <w:tc>
          <w:tcPr>
            <w:tcW w:w="2090" w:type="dxa"/>
          </w:tcPr>
          <w:p w14:paraId="3F30BD64">
            <w:pPr>
              <w:spacing w:line="440" w:lineRule="exact"/>
              <w:jc w:val="center"/>
              <w:rPr>
                <w:rFonts w:hint="eastAsia" w:ascii="仿宋" w:hAnsi="仿宋" w:eastAsia="仿宋" w:cs="仿宋"/>
                <w:color w:val="auto"/>
                <w:highlight w:val="none"/>
              </w:rPr>
            </w:pPr>
          </w:p>
        </w:tc>
        <w:tc>
          <w:tcPr>
            <w:tcW w:w="2849" w:type="dxa"/>
          </w:tcPr>
          <w:p w14:paraId="09F935E7">
            <w:pPr>
              <w:spacing w:line="440" w:lineRule="exact"/>
              <w:jc w:val="center"/>
              <w:rPr>
                <w:rFonts w:hint="eastAsia" w:ascii="仿宋" w:hAnsi="仿宋" w:eastAsia="仿宋" w:cs="仿宋"/>
                <w:color w:val="auto"/>
                <w:sz w:val="24"/>
                <w:highlight w:val="none"/>
              </w:rPr>
            </w:pPr>
          </w:p>
        </w:tc>
        <w:tc>
          <w:tcPr>
            <w:tcW w:w="924" w:type="dxa"/>
          </w:tcPr>
          <w:p w14:paraId="1237F292">
            <w:pPr>
              <w:spacing w:line="440" w:lineRule="exact"/>
              <w:jc w:val="center"/>
              <w:rPr>
                <w:rFonts w:hint="eastAsia" w:ascii="仿宋" w:hAnsi="仿宋" w:eastAsia="仿宋" w:cs="仿宋"/>
                <w:color w:val="auto"/>
                <w:sz w:val="24"/>
                <w:highlight w:val="none"/>
              </w:rPr>
            </w:pPr>
          </w:p>
        </w:tc>
        <w:tc>
          <w:tcPr>
            <w:tcW w:w="785" w:type="dxa"/>
          </w:tcPr>
          <w:p w14:paraId="54415AAD">
            <w:pPr>
              <w:spacing w:line="440" w:lineRule="exact"/>
              <w:jc w:val="center"/>
              <w:rPr>
                <w:rFonts w:hint="eastAsia" w:ascii="仿宋" w:hAnsi="仿宋" w:eastAsia="仿宋" w:cs="仿宋"/>
                <w:color w:val="auto"/>
                <w:sz w:val="24"/>
                <w:highlight w:val="none"/>
              </w:rPr>
            </w:pPr>
          </w:p>
        </w:tc>
        <w:tc>
          <w:tcPr>
            <w:tcW w:w="793" w:type="dxa"/>
          </w:tcPr>
          <w:p w14:paraId="39EA936F">
            <w:pPr>
              <w:spacing w:line="440" w:lineRule="exact"/>
              <w:jc w:val="center"/>
              <w:rPr>
                <w:rFonts w:hint="eastAsia" w:ascii="仿宋" w:hAnsi="仿宋" w:eastAsia="仿宋" w:cs="仿宋"/>
                <w:color w:val="auto"/>
                <w:sz w:val="24"/>
                <w:highlight w:val="none"/>
              </w:rPr>
            </w:pPr>
          </w:p>
        </w:tc>
        <w:tc>
          <w:tcPr>
            <w:tcW w:w="1140" w:type="dxa"/>
          </w:tcPr>
          <w:p w14:paraId="02B68930">
            <w:pPr>
              <w:spacing w:line="440" w:lineRule="exact"/>
              <w:jc w:val="center"/>
              <w:rPr>
                <w:rFonts w:hint="eastAsia" w:ascii="仿宋" w:hAnsi="仿宋" w:eastAsia="仿宋" w:cs="仿宋"/>
                <w:color w:val="auto"/>
                <w:sz w:val="24"/>
                <w:highlight w:val="none"/>
              </w:rPr>
            </w:pPr>
          </w:p>
        </w:tc>
      </w:tr>
      <w:tr w14:paraId="4A0CD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23349897">
            <w:pPr>
              <w:spacing w:line="440" w:lineRule="exact"/>
              <w:jc w:val="center"/>
              <w:rPr>
                <w:rFonts w:hint="eastAsia" w:ascii="仿宋" w:hAnsi="仿宋" w:eastAsia="仿宋" w:cs="仿宋"/>
                <w:color w:val="auto"/>
                <w:sz w:val="24"/>
                <w:highlight w:val="none"/>
              </w:rPr>
            </w:pPr>
          </w:p>
        </w:tc>
        <w:tc>
          <w:tcPr>
            <w:tcW w:w="2090" w:type="dxa"/>
          </w:tcPr>
          <w:p w14:paraId="42D03320">
            <w:pPr>
              <w:spacing w:line="440" w:lineRule="exact"/>
              <w:jc w:val="center"/>
              <w:rPr>
                <w:rFonts w:hint="eastAsia" w:ascii="仿宋" w:hAnsi="仿宋" w:eastAsia="仿宋" w:cs="仿宋"/>
                <w:color w:val="auto"/>
                <w:highlight w:val="none"/>
              </w:rPr>
            </w:pPr>
          </w:p>
        </w:tc>
        <w:tc>
          <w:tcPr>
            <w:tcW w:w="2849" w:type="dxa"/>
          </w:tcPr>
          <w:p w14:paraId="347EF80C">
            <w:pPr>
              <w:spacing w:line="440" w:lineRule="exact"/>
              <w:jc w:val="center"/>
              <w:rPr>
                <w:rFonts w:hint="eastAsia" w:ascii="仿宋" w:hAnsi="仿宋" w:eastAsia="仿宋" w:cs="仿宋"/>
                <w:color w:val="auto"/>
                <w:sz w:val="24"/>
                <w:highlight w:val="none"/>
              </w:rPr>
            </w:pPr>
          </w:p>
        </w:tc>
        <w:tc>
          <w:tcPr>
            <w:tcW w:w="924" w:type="dxa"/>
          </w:tcPr>
          <w:p w14:paraId="38E04EB2">
            <w:pPr>
              <w:spacing w:line="440" w:lineRule="exact"/>
              <w:jc w:val="center"/>
              <w:rPr>
                <w:rFonts w:hint="eastAsia" w:ascii="仿宋" w:hAnsi="仿宋" w:eastAsia="仿宋" w:cs="仿宋"/>
                <w:color w:val="auto"/>
                <w:sz w:val="24"/>
                <w:highlight w:val="none"/>
              </w:rPr>
            </w:pPr>
          </w:p>
        </w:tc>
        <w:tc>
          <w:tcPr>
            <w:tcW w:w="785" w:type="dxa"/>
          </w:tcPr>
          <w:p w14:paraId="628D4033">
            <w:pPr>
              <w:spacing w:line="440" w:lineRule="exact"/>
              <w:jc w:val="center"/>
              <w:rPr>
                <w:rFonts w:hint="eastAsia" w:ascii="仿宋" w:hAnsi="仿宋" w:eastAsia="仿宋" w:cs="仿宋"/>
                <w:color w:val="auto"/>
                <w:sz w:val="24"/>
                <w:highlight w:val="none"/>
              </w:rPr>
            </w:pPr>
          </w:p>
        </w:tc>
        <w:tc>
          <w:tcPr>
            <w:tcW w:w="793" w:type="dxa"/>
          </w:tcPr>
          <w:p w14:paraId="50ED976B">
            <w:pPr>
              <w:spacing w:line="440" w:lineRule="exact"/>
              <w:jc w:val="center"/>
              <w:rPr>
                <w:rFonts w:hint="eastAsia" w:ascii="仿宋" w:hAnsi="仿宋" w:eastAsia="仿宋" w:cs="仿宋"/>
                <w:color w:val="auto"/>
                <w:sz w:val="24"/>
                <w:highlight w:val="none"/>
              </w:rPr>
            </w:pPr>
          </w:p>
        </w:tc>
        <w:tc>
          <w:tcPr>
            <w:tcW w:w="1140" w:type="dxa"/>
          </w:tcPr>
          <w:p w14:paraId="0A8EF447">
            <w:pPr>
              <w:spacing w:line="440" w:lineRule="exact"/>
              <w:jc w:val="center"/>
              <w:rPr>
                <w:rFonts w:hint="eastAsia" w:ascii="仿宋" w:hAnsi="仿宋" w:eastAsia="仿宋" w:cs="仿宋"/>
                <w:color w:val="auto"/>
                <w:sz w:val="24"/>
                <w:highlight w:val="none"/>
              </w:rPr>
            </w:pPr>
          </w:p>
        </w:tc>
      </w:tr>
      <w:tr w14:paraId="5A6BC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11755D1D">
            <w:pPr>
              <w:spacing w:line="440" w:lineRule="exact"/>
              <w:jc w:val="center"/>
              <w:rPr>
                <w:rFonts w:hint="eastAsia" w:ascii="仿宋" w:hAnsi="仿宋" w:eastAsia="仿宋" w:cs="仿宋"/>
                <w:color w:val="auto"/>
                <w:sz w:val="24"/>
                <w:highlight w:val="none"/>
              </w:rPr>
            </w:pPr>
          </w:p>
        </w:tc>
        <w:tc>
          <w:tcPr>
            <w:tcW w:w="2090" w:type="dxa"/>
          </w:tcPr>
          <w:p w14:paraId="7465C4B2">
            <w:pPr>
              <w:spacing w:line="440" w:lineRule="exact"/>
              <w:jc w:val="center"/>
              <w:rPr>
                <w:rFonts w:hint="eastAsia" w:ascii="仿宋" w:hAnsi="仿宋" w:eastAsia="仿宋" w:cs="仿宋"/>
                <w:color w:val="auto"/>
                <w:highlight w:val="none"/>
              </w:rPr>
            </w:pPr>
          </w:p>
        </w:tc>
        <w:tc>
          <w:tcPr>
            <w:tcW w:w="2849" w:type="dxa"/>
          </w:tcPr>
          <w:p w14:paraId="5CCC5485">
            <w:pPr>
              <w:spacing w:line="440" w:lineRule="exact"/>
              <w:jc w:val="center"/>
              <w:rPr>
                <w:rFonts w:hint="eastAsia" w:ascii="仿宋" w:hAnsi="仿宋" w:eastAsia="仿宋" w:cs="仿宋"/>
                <w:color w:val="auto"/>
                <w:sz w:val="24"/>
                <w:highlight w:val="none"/>
              </w:rPr>
            </w:pPr>
          </w:p>
        </w:tc>
        <w:tc>
          <w:tcPr>
            <w:tcW w:w="924" w:type="dxa"/>
          </w:tcPr>
          <w:p w14:paraId="6C157FFE">
            <w:pPr>
              <w:spacing w:line="440" w:lineRule="exact"/>
              <w:jc w:val="center"/>
              <w:rPr>
                <w:rFonts w:hint="eastAsia" w:ascii="仿宋" w:hAnsi="仿宋" w:eastAsia="仿宋" w:cs="仿宋"/>
                <w:color w:val="auto"/>
                <w:sz w:val="24"/>
                <w:highlight w:val="none"/>
              </w:rPr>
            </w:pPr>
          </w:p>
        </w:tc>
        <w:tc>
          <w:tcPr>
            <w:tcW w:w="785" w:type="dxa"/>
          </w:tcPr>
          <w:p w14:paraId="071D6B50">
            <w:pPr>
              <w:spacing w:line="440" w:lineRule="exact"/>
              <w:jc w:val="center"/>
              <w:rPr>
                <w:rFonts w:hint="eastAsia" w:ascii="仿宋" w:hAnsi="仿宋" w:eastAsia="仿宋" w:cs="仿宋"/>
                <w:color w:val="auto"/>
                <w:sz w:val="24"/>
                <w:highlight w:val="none"/>
              </w:rPr>
            </w:pPr>
          </w:p>
        </w:tc>
        <w:tc>
          <w:tcPr>
            <w:tcW w:w="793" w:type="dxa"/>
          </w:tcPr>
          <w:p w14:paraId="281A93E8">
            <w:pPr>
              <w:spacing w:line="440" w:lineRule="exact"/>
              <w:jc w:val="center"/>
              <w:rPr>
                <w:rFonts w:hint="eastAsia" w:ascii="仿宋" w:hAnsi="仿宋" w:eastAsia="仿宋" w:cs="仿宋"/>
                <w:color w:val="auto"/>
                <w:sz w:val="24"/>
                <w:highlight w:val="none"/>
              </w:rPr>
            </w:pPr>
          </w:p>
        </w:tc>
        <w:tc>
          <w:tcPr>
            <w:tcW w:w="1140" w:type="dxa"/>
          </w:tcPr>
          <w:p w14:paraId="150B59AA">
            <w:pPr>
              <w:spacing w:line="440" w:lineRule="exact"/>
              <w:jc w:val="center"/>
              <w:rPr>
                <w:rFonts w:hint="eastAsia" w:ascii="仿宋" w:hAnsi="仿宋" w:eastAsia="仿宋" w:cs="仿宋"/>
                <w:color w:val="auto"/>
                <w:sz w:val="24"/>
                <w:highlight w:val="none"/>
              </w:rPr>
            </w:pPr>
          </w:p>
        </w:tc>
      </w:tr>
      <w:tr w14:paraId="567B3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41F0278A">
            <w:pPr>
              <w:spacing w:line="440" w:lineRule="exact"/>
              <w:jc w:val="center"/>
              <w:rPr>
                <w:rFonts w:hint="eastAsia" w:ascii="仿宋" w:hAnsi="仿宋" w:eastAsia="仿宋" w:cs="仿宋"/>
                <w:color w:val="auto"/>
                <w:sz w:val="24"/>
                <w:highlight w:val="none"/>
              </w:rPr>
            </w:pPr>
          </w:p>
        </w:tc>
        <w:tc>
          <w:tcPr>
            <w:tcW w:w="2090" w:type="dxa"/>
          </w:tcPr>
          <w:p w14:paraId="6100CE47">
            <w:pPr>
              <w:spacing w:line="440" w:lineRule="exact"/>
              <w:jc w:val="center"/>
              <w:rPr>
                <w:rFonts w:hint="eastAsia" w:ascii="仿宋" w:hAnsi="仿宋" w:eastAsia="仿宋" w:cs="仿宋"/>
                <w:color w:val="auto"/>
                <w:highlight w:val="none"/>
              </w:rPr>
            </w:pPr>
          </w:p>
        </w:tc>
        <w:tc>
          <w:tcPr>
            <w:tcW w:w="2849" w:type="dxa"/>
          </w:tcPr>
          <w:p w14:paraId="2C05C8BA">
            <w:pPr>
              <w:spacing w:line="440" w:lineRule="exact"/>
              <w:jc w:val="center"/>
              <w:rPr>
                <w:rFonts w:hint="eastAsia" w:ascii="仿宋" w:hAnsi="仿宋" w:eastAsia="仿宋" w:cs="仿宋"/>
                <w:color w:val="auto"/>
                <w:sz w:val="24"/>
                <w:highlight w:val="none"/>
              </w:rPr>
            </w:pPr>
          </w:p>
        </w:tc>
        <w:tc>
          <w:tcPr>
            <w:tcW w:w="924" w:type="dxa"/>
          </w:tcPr>
          <w:p w14:paraId="59F4D1D3">
            <w:pPr>
              <w:spacing w:line="440" w:lineRule="exact"/>
              <w:jc w:val="center"/>
              <w:rPr>
                <w:rFonts w:hint="eastAsia" w:ascii="仿宋" w:hAnsi="仿宋" w:eastAsia="仿宋" w:cs="仿宋"/>
                <w:color w:val="auto"/>
                <w:sz w:val="24"/>
                <w:highlight w:val="none"/>
              </w:rPr>
            </w:pPr>
          </w:p>
        </w:tc>
        <w:tc>
          <w:tcPr>
            <w:tcW w:w="785" w:type="dxa"/>
          </w:tcPr>
          <w:p w14:paraId="5FD883A9">
            <w:pPr>
              <w:spacing w:line="440" w:lineRule="exact"/>
              <w:jc w:val="center"/>
              <w:rPr>
                <w:rFonts w:hint="eastAsia" w:ascii="仿宋" w:hAnsi="仿宋" w:eastAsia="仿宋" w:cs="仿宋"/>
                <w:color w:val="auto"/>
                <w:sz w:val="24"/>
                <w:highlight w:val="none"/>
              </w:rPr>
            </w:pPr>
          </w:p>
        </w:tc>
        <w:tc>
          <w:tcPr>
            <w:tcW w:w="793" w:type="dxa"/>
          </w:tcPr>
          <w:p w14:paraId="25660D55">
            <w:pPr>
              <w:spacing w:line="440" w:lineRule="exact"/>
              <w:jc w:val="center"/>
              <w:rPr>
                <w:rFonts w:hint="eastAsia" w:ascii="仿宋" w:hAnsi="仿宋" w:eastAsia="仿宋" w:cs="仿宋"/>
                <w:color w:val="auto"/>
                <w:sz w:val="24"/>
                <w:highlight w:val="none"/>
              </w:rPr>
            </w:pPr>
          </w:p>
        </w:tc>
        <w:tc>
          <w:tcPr>
            <w:tcW w:w="1140" w:type="dxa"/>
          </w:tcPr>
          <w:p w14:paraId="733B3C76">
            <w:pPr>
              <w:spacing w:line="440" w:lineRule="exact"/>
              <w:jc w:val="center"/>
              <w:rPr>
                <w:rFonts w:hint="eastAsia" w:ascii="仿宋" w:hAnsi="仿宋" w:eastAsia="仿宋" w:cs="仿宋"/>
                <w:color w:val="auto"/>
                <w:sz w:val="24"/>
                <w:highlight w:val="none"/>
              </w:rPr>
            </w:pPr>
          </w:p>
        </w:tc>
      </w:tr>
      <w:tr w14:paraId="5E6BD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495531F1">
            <w:pPr>
              <w:spacing w:line="440" w:lineRule="exact"/>
              <w:jc w:val="center"/>
              <w:rPr>
                <w:rFonts w:hint="eastAsia" w:ascii="仿宋" w:hAnsi="仿宋" w:eastAsia="仿宋" w:cs="仿宋"/>
                <w:color w:val="auto"/>
                <w:sz w:val="24"/>
                <w:highlight w:val="none"/>
              </w:rPr>
            </w:pPr>
          </w:p>
        </w:tc>
        <w:tc>
          <w:tcPr>
            <w:tcW w:w="2090" w:type="dxa"/>
          </w:tcPr>
          <w:p w14:paraId="041647E1">
            <w:pPr>
              <w:spacing w:line="440" w:lineRule="exact"/>
              <w:jc w:val="center"/>
              <w:rPr>
                <w:rFonts w:hint="eastAsia" w:ascii="仿宋" w:hAnsi="仿宋" w:eastAsia="仿宋" w:cs="仿宋"/>
                <w:color w:val="auto"/>
                <w:highlight w:val="none"/>
              </w:rPr>
            </w:pPr>
          </w:p>
        </w:tc>
        <w:tc>
          <w:tcPr>
            <w:tcW w:w="2849" w:type="dxa"/>
          </w:tcPr>
          <w:p w14:paraId="7AA16A93">
            <w:pPr>
              <w:spacing w:line="440" w:lineRule="exact"/>
              <w:jc w:val="center"/>
              <w:rPr>
                <w:rFonts w:hint="eastAsia" w:ascii="仿宋" w:hAnsi="仿宋" w:eastAsia="仿宋" w:cs="仿宋"/>
                <w:color w:val="auto"/>
                <w:sz w:val="24"/>
                <w:highlight w:val="none"/>
              </w:rPr>
            </w:pPr>
          </w:p>
        </w:tc>
        <w:tc>
          <w:tcPr>
            <w:tcW w:w="924" w:type="dxa"/>
          </w:tcPr>
          <w:p w14:paraId="30110310">
            <w:pPr>
              <w:spacing w:line="440" w:lineRule="exact"/>
              <w:jc w:val="center"/>
              <w:rPr>
                <w:rFonts w:hint="eastAsia" w:ascii="仿宋" w:hAnsi="仿宋" w:eastAsia="仿宋" w:cs="仿宋"/>
                <w:color w:val="auto"/>
                <w:sz w:val="24"/>
                <w:highlight w:val="none"/>
              </w:rPr>
            </w:pPr>
          </w:p>
        </w:tc>
        <w:tc>
          <w:tcPr>
            <w:tcW w:w="785" w:type="dxa"/>
          </w:tcPr>
          <w:p w14:paraId="06FC60AF">
            <w:pPr>
              <w:spacing w:line="440" w:lineRule="exact"/>
              <w:jc w:val="center"/>
              <w:rPr>
                <w:rFonts w:hint="eastAsia" w:ascii="仿宋" w:hAnsi="仿宋" w:eastAsia="仿宋" w:cs="仿宋"/>
                <w:color w:val="auto"/>
                <w:sz w:val="24"/>
                <w:highlight w:val="none"/>
              </w:rPr>
            </w:pPr>
          </w:p>
        </w:tc>
        <w:tc>
          <w:tcPr>
            <w:tcW w:w="793" w:type="dxa"/>
          </w:tcPr>
          <w:p w14:paraId="7DE876E7">
            <w:pPr>
              <w:spacing w:line="440" w:lineRule="exact"/>
              <w:jc w:val="center"/>
              <w:rPr>
                <w:rFonts w:hint="eastAsia" w:ascii="仿宋" w:hAnsi="仿宋" w:eastAsia="仿宋" w:cs="仿宋"/>
                <w:color w:val="auto"/>
                <w:sz w:val="24"/>
                <w:highlight w:val="none"/>
              </w:rPr>
            </w:pPr>
          </w:p>
        </w:tc>
        <w:tc>
          <w:tcPr>
            <w:tcW w:w="1140" w:type="dxa"/>
          </w:tcPr>
          <w:p w14:paraId="1B64B8B0">
            <w:pPr>
              <w:spacing w:line="440" w:lineRule="exact"/>
              <w:jc w:val="center"/>
              <w:rPr>
                <w:rFonts w:hint="eastAsia" w:ascii="仿宋" w:hAnsi="仿宋" w:eastAsia="仿宋" w:cs="仿宋"/>
                <w:color w:val="auto"/>
                <w:sz w:val="24"/>
                <w:highlight w:val="none"/>
              </w:rPr>
            </w:pPr>
          </w:p>
        </w:tc>
      </w:tr>
      <w:tr w14:paraId="6AC68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43240B11">
            <w:pPr>
              <w:spacing w:line="440" w:lineRule="exact"/>
              <w:jc w:val="center"/>
              <w:rPr>
                <w:rFonts w:hint="eastAsia" w:ascii="仿宋" w:hAnsi="仿宋" w:eastAsia="仿宋" w:cs="仿宋"/>
                <w:color w:val="auto"/>
                <w:sz w:val="24"/>
                <w:highlight w:val="none"/>
              </w:rPr>
            </w:pPr>
          </w:p>
        </w:tc>
        <w:tc>
          <w:tcPr>
            <w:tcW w:w="2090" w:type="dxa"/>
          </w:tcPr>
          <w:p w14:paraId="4EE95342">
            <w:pPr>
              <w:spacing w:line="440" w:lineRule="exact"/>
              <w:jc w:val="center"/>
              <w:rPr>
                <w:rFonts w:hint="eastAsia" w:ascii="仿宋" w:hAnsi="仿宋" w:eastAsia="仿宋" w:cs="仿宋"/>
                <w:color w:val="auto"/>
                <w:highlight w:val="none"/>
              </w:rPr>
            </w:pPr>
          </w:p>
        </w:tc>
        <w:tc>
          <w:tcPr>
            <w:tcW w:w="2849" w:type="dxa"/>
          </w:tcPr>
          <w:p w14:paraId="6253206A">
            <w:pPr>
              <w:spacing w:line="440" w:lineRule="exact"/>
              <w:jc w:val="center"/>
              <w:rPr>
                <w:rFonts w:hint="eastAsia" w:ascii="仿宋" w:hAnsi="仿宋" w:eastAsia="仿宋" w:cs="仿宋"/>
                <w:color w:val="auto"/>
                <w:sz w:val="24"/>
                <w:highlight w:val="none"/>
              </w:rPr>
            </w:pPr>
          </w:p>
        </w:tc>
        <w:tc>
          <w:tcPr>
            <w:tcW w:w="924" w:type="dxa"/>
          </w:tcPr>
          <w:p w14:paraId="7273F152">
            <w:pPr>
              <w:spacing w:line="440" w:lineRule="exact"/>
              <w:jc w:val="center"/>
              <w:rPr>
                <w:rFonts w:hint="eastAsia" w:ascii="仿宋" w:hAnsi="仿宋" w:eastAsia="仿宋" w:cs="仿宋"/>
                <w:color w:val="auto"/>
                <w:sz w:val="24"/>
                <w:highlight w:val="none"/>
              </w:rPr>
            </w:pPr>
          </w:p>
        </w:tc>
        <w:tc>
          <w:tcPr>
            <w:tcW w:w="785" w:type="dxa"/>
          </w:tcPr>
          <w:p w14:paraId="74F454E3">
            <w:pPr>
              <w:spacing w:line="440" w:lineRule="exact"/>
              <w:jc w:val="center"/>
              <w:rPr>
                <w:rFonts w:hint="eastAsia" w:ascii="仿宋" w:hAnsi="仿宋" w:eastAsia="仿宋" w:cs="仿宋"/>
                <w:color w:val="auto"/>
                <w:sz w:val="24"/>
                <w:highlight w:val="none"/>
              </w:rPr>
            </w:pPr>
          </w:p>
        </w:tc>
        <w:tc>
          <w:tcPr>
            <w:tcW w:w="793" w:type="dxa"/>
          </w:tcPr>
          <w:p w14:paraId="4BC0403D">
            <w:pPr>
              <w:spacing w:line="440" w:lineRule="exact"/>
              <w:jc w:val="center"/>
              <w:rPr>
                <w:rFonts w:hint="eastAsia" w:ascii="仿宋" w:hAnsi="仿宋" w:eastAsia="仿宋" w:cs="仿宋"/>
                <w:color w:val="auto"/>
                <w:sz w:val="24"/>
                <w:highlight w:val="none"/>
              </w:rPr>
            </w:pPr>
          </w:p>
        </w:tc>
        <w:tc>
          <w:tcPr>
            <w:tcW w:w="1140" w:type="dxa"/>
          </w:tcPr>
          <w:p w14:paraId="16DC67C1">
            <w:pPr>
              <w:spacing w:line="440" w:lineRule="exact"/>
              <w:jc w:val="center"/>
              <w:rPr>
                <w:rFonts w:hint="eastAsia" w:ascii="仿宋" w:hAnsi="仿宋" w:eastAsia="仿宋" w:cs="仿宋"/>
                <w:color w:val="auto"/>
                <w:sz w:val="24"/>
                <w:highlight w:val="none"/>
              </w:rPr>
            </w:pPr>
          </w:p>
        </w:tc>
      </w:tr>
      <w:tr w14:paraId="2A8AD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5F6F3F9F">
            <w:pPr>
              <w:spacing w:line="440" w:lineRule="exact"/>
              <w:jc w:val="center"/>
              <w:rPr>
                <w:rFonts w:hint="eastAsia" w:ascii="仿宋" w:hAnsi="仿宋" w:eastAsia="仿宋" w:cs="仿宋"/>
                <w:color w:val="auto"/>
                <w:sz w:val="24"/>
                <w:highlight w:val="none"/>
              </w:rPr>
            </w:pPr>
          </w:p>
        </w:tc>
        <w:tc>
          <w:tcPr>
            <w:tcW w:w="2090" w:type="dxa"/>
          </w:tcPr>
          <w:p w14:paraId="51713621">
            <w:pPr>
              <w:spacing w:line="440" w:lineRule="exact"/>
              <w:jc w:val="center"/>
              <w:rPr>
                <w:rFonts w:hint="eastAsia" w:ascii="仿宋" w:hAnsi="仿宋" w:eastAsia="仿宋" w:cs="仿宋"/>
                <w:color w:val="auto"/>
                <w:highlight w:val="none"/>
              </w:rPr>
            </w:pPr>
          </w:p>
        </w:tc>
        <w:tc>
          <w:tcPr>
            <w:tcW w:w="2849" w:type="dxa"/>
          </w:tcPr>
          <w:p w14:paraId="266A1A50">
            <w:pPr>
              <w:spacing w:line="440" w:lineRule="exact"/>
              <w:jc w:val="center"/>
              <w:rPr>
                <w:rFonts w:hint="eastAsia" w:ascii="仿宋" w:hAnsi="仿宋" w:eastAsia="仿宋" w:cs="仿宋"/>
                <w:color w:val="auto"/>
                <w:sz w:val="24"/>
                <w:highlight w:val="none"/>
              </w:rPr>
            </w:pPr>
          </w:p>
        </w:tc>
        <w:tc>
          <w:tcPr>
            <w:tcW w:w="924" w:type="dxa"/>
          </w:tcPr>
          <w:p w14:paraId="7345FB06">
            <w:pPr>
              <w:spacing w:line="440" w:lineRule="exact"/>
              <w:jc w:val="center"/>
              <w:rPr>
                <w:rFonts w:hint="eastAsia" w:ascii="仿宋" w:hAnsi="仿宋" w:eastAsia="仿宋" w:cs="仿宋"/>
                <w:color w:val="auto"/>
                <w:sz w:val="24"/>
                <w:highlight w:val="none"/>
              </w:rPr>
            </w:pPr>
          </w:p>
        </w:tc>
        <w:tc>
          <w:tcPr>
            <w:tcW w:w="785" w:type="dxa"/>
          </w:tcPr>
          <w:p w14:paraId="256A58F0">
            <w:pPr>
              <w:spacing w:line="440" w:lineRule="exact"/>
              <w:jc w:val="center"/>
              <w:rPr>
                <w:rFonts w:hint="eastAsia" w:ascii="仿宋" w:hAnsi="仿宋" w:eastAsia="仿宋" w:cs="仿宋"/>
                <w:color w:val="auto"/>
                <w:sz w:val="24"/>
                <w:highlight w:val="none"/>
              </w:rPr>
            </w:pPr>
          </w:p>
        </w:tc>
        <w:tc>
          <w:tcPr>
            <w:tcW w:w="793" w:type="dxa"/>
          </w:tcPr>
          <w:p w14:paraId="34B71DEE">
            <w:pPr>
              <w:spacing w:line="440" w:lineRule="exact"/>
              <w:jc w:val="center"/>
              <w:rPr>
                <w:rFonts w:hint="eastAsia" w:ascii="仿宋" w:hAnsi="仿宋" w:eastAsia="仿宋" w:cs="仿宋"/>
                <w:color w:val="auto"/>
                <w:sz w:val="24"/>
                <w:highlight w:val="none"/>
              </w:rPr>
            </w:pPr>
          </w:p>
        </w:tc>
        <w:tc>
          <w:tcPr>
            <w:tcW w:w="1140" w:type="dxa"/>
          </w:tcPr>
          <w:p w14:paraId="5D248696">
            <w:pPr>
              <w:spacing w:line="440" w:lineRule="exact"/>
              <w:jc w:val="center"/>
              <w:rPr>
                <w:rFonts w:hint="eastAsia" w:ascii="仿宋" w:hAnsi="仿宋" w:eastAsia="仿宋" w:cs="仿宋"/>
                <w:color w:val="auto"/>
                <w:sz w:val="24"/>
                <w:highlight w:val="none"/>
              </w:rPr>
            </w:pPr>
          </w:p>
        </w:tc>
      </w:tr>
      <w:tr w14:paraId="67AB0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3663B4D9">
            <w:pPr>
              <w:spacing w:line="440" w:lineRule="exact"/>
              <w:jc w:val="center"/>
              <w:rPr>
                <w:rFonts w:hint="eastAsia" w:ascii="仿宋" w:hAnsi="仿宋" w:eastAsia="仿宋" w:cs="仿宋"/>
                <w:color w:val="auto"/>
                <w:sz w:val="24"/>
                <w:highlight w:val="none"/>
              </w:rPr>
            </w:pPr>
          </w:p>
        </w:tc>
        <w:tc>
          <w:tcPr>
            <w:tcW w:w="2090" w:type="dxa"/>
          </w:tcPr>
          <w:p w14:paraId="56662E17">
            <w:pPr>
              <w:spacing w:line="440" w:lineRule="exact"/>
              <w:jc w:val="center"/>
              <w:rPr>
                <w:rFonts w:hint="eastAsia" w:ascii="仿宋" w:hAnsi="仿宋" w:eastAsia="仿宋" w:cs="仿宋"/>
                <w:color w:val="auto"/>
                <w:sz w:val="24"/>
                <w:highlight w:val="none"/>
              </w:rPr>
            </w:pPr>
          </w:p>
        </w:tc>
        <w:tc>
          <w:tcPr>
            <w:tcW w:w="2849" w:type="dxa"/>
          </w:tcPr>
          <w:p w14:paraId="55DA64D4">
            <w:pPr>
              <w:spacing w:line="440" w:lineRule="exact"/>
              <w:jc w:val="center"/>
              <w:rPr>
                <w:rFonts w:hint="eastAsia" w:ascii="仿宋" w:hAnsi="仿宋" w:eastAsia="仿宋" w:cs="仿宋"/>
                <w:color w:val="auto"/>
                <w:sz w:val="24"/>
                <w:highlight w:val="none"/>
              </w:rPr>
            </w:pPr>
          </w:p>
        </w:tc>
        <w:tc>
          <w:tcPr>
            <w:tcW w:w="924" w:type="dxa"/>
          </w:tcPr>
          <w:p w14:paraId="6A4AD1B0">
            <w:pPr>
              <w:spacing w:line="440" w:lineRule="exact"/>
              <w:jc w:val="center"/>
              <w:rPr>
                <w:rFonts w:hint="eastAsia" w:ascii="仿宋" w:hAnsi="仿宋" w:eastAsia="仿宋" w:cs="仿宋"/>
                <w:color w:val="auto"/>
                <w:sz w:val="24"/>
                <w:highlight w:val="none"/>
              </w:rPr>
            </w:pPr>
          </w:p>
        </w:tc>
        <w:tc>
          <w:tcPr>
            <w:tcW w:w="785" w:type="dxa"/>
          </w:tcPr>
          <w:p w14:paraId="1C7611D5">
            <w:pPr>
              <w:spacing w:line="440" w:lineRule="exact"/>
              <w:jc w:val="center"/>
              <w:rPr>
                <w:rFonts w:hint="eastAsia" w:ascii="仿宋" w:hAnsi="仿宋" w:eastAsia="仿宋" w:cs="仿宋"/>
                <w:color w:val="auto"/>
                <w:sz w:val="24"/>
                <w:highlight w:val="none"/>
              </w:rPr>
            </w:pPr>
          </w:p>
        </w:tc>
        <w:tc>
          <w:tcPr>
            <w:tcW w:w="793" w:type="dxa"/>
          </w:tcPr>
          <w:p w14:paraId="190B41F6">
            <w:pPr>
              <w:spacing w:line="440" w:lineRule="exact"/>
              <w:jc w:val="center"/>
              <w:rPr>
                <w:rFonts w:hint="eastAsia" w:ascii="仿宋" w:hAnsi="仿宋" w:eastAsia="仿宋" w:cs="仿宋"/>
                <w:color w:val="auto"/>
                <w:sz w:val="24"/>
                <w:highlight w:val="none"/>
              </w:rPr>
            </w:pPr>
          </w:p>
        </w:tc>
        <w:tc>
          <w:tcPr>
            <w:tcW w:w="1140" w:type="dxa"/>
          </w:tcPr>
          <w:p w14:paraId="30F6DFE5">
            <w:pPr>
              <w:spacing w:line="440" w:lineRule="exact"/>
              <w:jc w:val="center"/>
              <w:rPr>
                <w:rFonts w:hint="eastAsia" w:ascii="仿宋" w:hAnsi="仿宋" w:eastAsia="仿宋" w:cs="仿宋"/>
                <w:color w:val="auto"/>
                <w:sz w:val="24"/>
                <w:highlight w:val="none"/>
              </w:rPr>
            </w:pPr>
          </w:p>
        </w:tc>
      </w:tr>
      <w:tr w14:paraId="760F9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0208F5A6">
            <w:pPr>
              <w:spacing w:line="440" w:lineRule="exact"/>
              <w:jc w:val="center"/>
              <w:rPr>
                <w:rFonts w:hint="eastAsia" w:ascii="仿宋" w:hAnsi="仿宋" w:eastAsia="仿宋" w:cs="仿宋"/>
                <w:color w:val="auto"/>
                <w:sz w:val="24"/>
                <w:highlight w:val="none"/>
              </w:rPr>
            </w:pPr>
          </w:p>
        </w:tc>
        <w:tc>
          <w:tcPr>
            <w:tcW w:w="2090" w:type="dxa"/>
          </w:tcPr>
          <w:p w14:paraId="0489A4E1">
            <w:pPr>
              <w:spacing w:line="440" w:lineRule="exact"/>
              <w:jc w:val="center"/>
              <w:rPr>
                <w:rFonts w:hint="eastAsia" w:ascii="仿宋" w:hAnsi="仿宋" w:eastAsia="仿宋" w:cs="仿宋"/>
                <w:color w:val="auto"/>
                <w:sz w:val="24"/>
                <w:highlight w:val="none"/>
              </w:rPr>
            </w:pPr>
          </w:p>
        </w:tc>
        <w:tc>
          <w:tcPr>
            <w:tcW w:w="2849" w:type="dxa"/>
          </w:tcPr>
          <w:p w14:paraId="568C6F02">
            <w:pPr>
              <w:spacing w:line="440" w:lineRule="exact"/>
              <w:jc w:val="center"/>
              <w:rPr>
                <w:rFonts w:hint="eastAsia" w:ascii="仿宋" w:hAnsi="仿宋" w:eastAsia="仿宋" w:cs="仿宋"/>
                <w:color w:val="auto"/>
                <w:sz w:val="24"/>
                <w:highlight w:val="none"/>
              </w:rPr>
            </w:pPr>
          </w:p>
        </w:tc>
        <w:tc>
          <w:tcPr>
            <w:tcW w:w="924" w:type="dxa"/>
          </w:tcPr>
          <w:p w14:paraId="30873D8F">
            <w:pPr>
              <w:spacing w:line="440" w:lineRule="exact"/>
              <w:jc w:val="center"/>
              <w:rPr>
                <w:rFonts w:hint="eastAsia" w:ascii="仿宋" w:hAnsi="仿宋" w:eastAsia="仿宋" w:cs="仿宋"/>
                <w:color w:val="auto"/>
                <w:sz w:val="24"/>
                <w:highlight w:val="none"/>
              </w:rPr>
            </w:pPr>
          </w:p>
        </w:tc>
        <w:tc>
          <w:tcPr>
            <w:tcW w:w="785" w:type="dxa"/>
          </w:tcPr>
          <w:p w14:paraId="437C0832">
            <w:pPr>
              <w:spacing w:line="440" w:lineRule="exact"/>
              <w:jc w:val="center"/>
              <w:rPr>
                <w:rFonts w:hint="eastAsia" w:ascii="仿宋" w:hAnsi="仿宋" w:eastAsia="仿宋" w:cs="仿宋"/>
                <w:color w:val="auto"/>
                <w:sz w:val="24"/>
                <w:highlight w:val="none"/>
              </w:rPr>
            </w:pPr>
          </w:p>
        </w:tc>
        <w:tc>
          <w:tcPr>
            <w:tcW w:w="793" w:type="dxa"/>
          </w:tcPr>
          <w:p w14:paraId="75C809FC">
            <w:pPr>
              <w:spacing w:line="440" w:lineRule="exact"/>
              <w:jc w:val="center"/>
              <w:rPr>
                <w:rFonts w:hint="eastAsia" w:ascii="仿宋" w:hAnsi="仿宋" w:eastAsia="仿宋" w:cs="仿宋"/>
                <w:color w:val="auto"/>
                <w:sz w:val="24"/>
                <w:highlight w:val="none"/>
              </w:rPr>
            </w:pPr>
          </w:p>
        </w:tc>
        <w:tc>
          <w:tcPr>
            <w:tcW w:w="1140" w:type="dxa"/>
          </w:tcPr>
          <w:p w14:paraId="7C9993C9">
            <w:pPr>
              <w:spacing w:line="440" w:lineRule="exact"/>
              <w:jc w:val="center"/>
              <w:rPr>
                <w:rFonts w:hint="eastAsia" w:ascii="仿宋" w:hAnsi="仿宋" w:eastAsia="仿宋" w:cs="仿宋"/>
                <w:color w:val="auto"/>
                <w:sz w:val="24"/>
                <w:highlight w:val="none"/>
              </w:rPr>
            </w:pPr>
          </w:p>
        </w:tc>
      </w:tr>
      <w:tr w14:paraId="6CEBE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2F39C628">
            <w:pPr>
              <w:spacing w:line="440" w:lineRule="exact"/>
              <w:jc w:val="center"/>
              <w:rPr>
                <w:rFonts w:hint="eastAsia" w:ascii="仿宋" w:hAnsi="仿宋" w:eastAsia="仿宋" w:cs="仿宋"/>
                <w:color w:val="auto"/>
                <w:sz w:val="24"/>
                <w:highlight w:val="none"/>
              </w:rPr>
            </w:pPr>
          </w:p>
        </w:tc>
        <w:tc>
          <w:tcPr>
            <w:tcW w:w="2090" w:type="dxa"/>
          </w:tcPr>
          <w:p w14:paraId="4A37F953">
            <w:pPr>
              <w:spacing w:line="440" w:lineRule="exact"/>
              <w:jc w:val="center"/>
              <w:rPr>
                <w:rFonts w:hint="eastAsia" w:ascii="仿宋" w:hAnsi="仿宋" w:eastAsia="仿宋" w:cs="仿宋"/>
                <w:color w:val="auto"/>
                <w:sz w:val="24"/>
                <w:highlight w:val="none"/>
              </w:rPr>
            </w:pPr>
          </w:p>
        </w:tc>
        <w:tc>
          <w:tcPr>
            <w:tcW w:w="2849" w:type="dxa"/>
          </w:tcPr>
          <w:p w14:paraId="41971325">
            <w:pPr>
              <w:spacing w:line="440" w:lineRule="exact"/>
              <w:jc w:val="center"/>
              <w:rPr>
                <w:rFonts w:hint="eastAsia" w:ascii="仿宋" w:hAnsi="仿宋" w:eastAsia="仿宋" w:cs="仿宋"/>
                <w:color w:val="auto"/>
                <w:sz w:val="24"/>
                <w:highlight w:val="none"/>
              </w:rPr>
            </w:pPr>
          </w:p>
        </w:tc>
        <w:tc>
          <w:tcPr>
            <w:tcW w:w="924" w:type="dxa"/>
          </w:tcPr>
          <w:p w14:paraId="7CFD6C6D">
            <w:pPr>
              <w:spacing w:line="440" w:lineRule="exact"/>
              <w:jc w:val="center"/>
              <w:rPr>
                <w:rFonts w:hint="eastAsia" w:ascii="仿宋" w:hAnsi="仿宋" w:eastAsia="仿宋" w:cs="仿宋"/>
                <w:color w:val="auto"/>
                <w:sz w:val="24"/>
                <w:highlight w:val="none"/>
              </w:rPr>
            </w:pPr>
          </w:p>
        </w:tc>
        <w:tc>
          <w:tcPr>
            <w:tcW w:w="785" w:type="dxa"/>
          </w:tcPr>
          <w:p w14:paraId="62E8F3B1">
            <w:pPr>
              <w:spacing w:line="440" w:lineRule="exact"/>
              <w:jc w:val="center"/>
              <w:rPr>
                <w:rFonts w:hint="eastAsia" w:ascii="仿宋" w:hAnsi="仿宋" w:eastAsia="仿宋" w:cs="仿宋"/>
                <w:color w:val="auto"/>
                <w:sz w:val="24"/>
                <w:highlight w:val="none"/>
              </w:rPr>
            </w:pPr>
          </w:p>
        </w:tc>
        <w:tc>
          <w:tcPr>
            <w:tcW w:w="793" w:type="dxa"/>
          </w:tcPr>
          <w:p w14:paraId="33807476">
            <w:pPr>
              <w:spacing w:line="440" w:lineRule="exact"/>
              <w:jc w:val="center"/>
              <w:rPr>
                <w:rFonts w:hint="eastAsia" w:ascii="仿宋" w:hAnsi="仿宋" w:eastAsia="仿宋" w:cs="仿宋"/>
                <w:color w:val="auto"/>
                <w:sz w:val="24"/>
                <w:highlight w:val="none"/>
              </w:rPr>
            </w:pPr>
          </w:p>
        </w:tc>
        <w:tc>
          <w:tcPr>
            <w:tcW w:w="1140" w:type="dxa"/>
          </w:tcPr>
          <w:p w14:paraId="533D9C3E">
            <w:pPr>
              <w:spacing w:line="440" w:lineRule="exact"/>
              <w:jc w:val="center"/>
              <w:rPr>
                <w:rFonts w:hint="eastAsia" w:ascii="仿宋" w:hAnsi="仿宋" w:eastAsia="仿宋" w:cs="仿宋"/>
                <w:color w:val="auto"/>
                <w:sz w:val="24"/>
                <w:highlight w:val="none"/>
              </w:rPr>
            </w:pPr>
          </w:p>
        </w:tc>
      </w:tr>
      <w:tr w14:paraId="2E2DD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4C368DDA">
            <w:pPr>
              <w:spacing w:line="440" w:lineRule="exact"/>
              <w:jc w:val="center"/>
              <w:rPr>
                <w:rFonts w:hint="eastAsia" w:ascii="仿宋" w:hAnsi="仿宋" w:eastAsia="仿宋" w:cs="仿宋"/>
                <w:color w:val="auto"/>
                <w:sz w:val="24"/>
                <w:highlight w:val="none"/>
              </w:rPr>
            </w:pPr>
          </w:p>
        </w:tc>
        <w:tc>
          <w:tcPr>
            <w:tcW w:w="2090" w:type="dxa"/>
          </w:tcPr>
          <w:p w14:paraId="469B17E4">
            <w:pPr>
              <w:spacing w:line="440" w:lineRule="exact"/>
              <w:jc w:val="center"/>
              <w:rPr>
                <w:rFonts w:hint="eastAsia" w:ascii="仿宋" w:hAnsi="仿宋" w:eastAsia="仿宋" w:cs="仿宋"/>
                <w:color w:val="auto"/>
                <w:sz w:val="24"/>
                <w:highlight w:val="none"/>
              </w:rPr>
            </w:pPr>
          </w:p>
        </w:tc>
        <w:tc>
          <w:tcPr>
            <w:tcW w:w="2849" w:type="dxa"/>
          </w:tcPr>
          <w:p w14:paraId="043D166B">
            <w:pPr>
              <w:spacing w:line="440" w:lineRule="exact"/>
              <w:jc w:val="center"/>
              <w:rPr>
                <w:rFonts w:hint="eastAsia" w:ascii="仿宋" w:hAnsi="仿宋" w:eastAsia="仿宋" w:cs="仿宋"/>
                <w:color w:val="auto"/>
                <w:sz w:val="24"/>
                <w:highlight w:val="none"/>
              </w:rPr>
            </w:pPr>
          </w:p>
        </w:tc>
        <w:tc>
          <w:tcPr>
            <w:tcW w:w="924" w:type="dxa"/>
          </w:tcPr>
          <w:p w14:paraId="51C853DD">
            <w:pPr>
              <w:spacing w:line="440" w:lineRule="exact"/>
              <w:jc w:val="center"/>
              <w:rPr>
                <w:rFonts w:hint="eastAsia" w:ascii="仿宋" w:hAnsi="仿宋" w:eastAsia="仿宋" w:cs="仿宋"/>
                <w:color w:val="auto"/>
                <w:sz w:val="24"/>
                <w:highlight w:val="none"/>
              </w:rPr>
            </w:pPr>
          </w:p>
        </w:tc>
        <w:tc>
          <w:tcPr>
            <w:tcW w:w="785" w:type="dxa"/>
          </w:tcPr>
          <w:p w14:paraId="2165352A">
            <w:pPr>
              <w:spacing w:line="440" w:lineRule="exact"/>
              <w:jc w:val="center"/>
              <w:rPr>
                <w:rFonts w:hint="eastAsia" w:ascii="仿宋" w:hAnsi="仿宋" w:eastAsia="仿宋" w:cs="仿宋"/>
                <w:color w:val="auto"/>
                <w:sz w:val="24"/>
                <w:highlight w:val="none"/>
              </w:rPr>
            </w:pPr>
          </w:p>
        </w:tc>
        <w:tc>
          <w:tcPr>
            <w:tcW w:w="793" w:type="dxa"/>
          </w:tcPr>
          <w:p w14:paraId="60DD0396">
            <w:pPr>
              <w:spacing w:line="440" w:lineRule="exact"/>
              <w:jc w:val="center"/>
              <w:rPr>
                <w:rFonts w:hint="eastAsia" w:ascii="仿宋" w:hAnsi="仿宋" w:eastAsia="仿宋" w:cs="仿宋"/>
                <w:color w:val="auto"/>
                <w:sz w:val="24"/>
                <w:highlight w:val="none"/>
              </w:rPr>
            </w:pPr>
          </w:p>
        </w:tc>
        <w:tc>
          <w:tcPr>
            <w:tcW w:w="1140" w:type="dxa"/>
          </w:tcPr>
          <w:p w14:paraId="1A79AF3A">
            <w:pPr>
              <w:spacing w:line="440" w:lineRule="exact"/>
              <w:jc w:val="center"/>
              <w:rPr>
                <w:rFonts w:hint="eastAsia" w:ascii="仿宋" w:hAnsi="仿宋" w:eastAsia="仿宋" w:cs="仿宋"/>
                <w:color w:val="auto"/>
                <w:sz w:val="24"/>
                <w:highlight w:val="none"/>
              </w:rPr>
            </w:pPr>
          </w:p>
        </w:tc>
      </w:tr>
      <w:tr w14:paraId="506CF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6CD2A28A">
            <w:pPr>
              <w:spacing w:line="440" w:lineRule="exact"/>
              <w:jc w:val="center"/>
              <w:rPr>
                <w:rFonts w:hint="eastAsia" w:ascii="仿宋" w:hAnsi="仿宋" w:eastAsia="仿宋" w:cs="仿宋"/>
                <w:color w:val="auto"/>
                <w:sz w:val="24"/>
                <w:highlight w:val="none"/>
              </w:rPr>
            </w:pPr>
          </w:p>
        </w:tc>
        <w:tc>
          <w:tcPr>
            <w:tcW w:w="2090" w:type="dxa"/>
          </w:tcPr>
          <w:p w14:paraId="575CE238">
            <w:pPr>
              <w:spacing w:line="440" w:lineRule="exact"/>
              <w:jc w:val="center"/>
              <w:rPr>
                <w:rFonts w:hint="eastAsia" w:ascii="仿宋" w:hAnsi="仿宋" w:eastAsia="仿宋" w:cs="仿宋"/>
                <w:color w:val="auto"/>
                <w:sz w:val="24"/>
                <w:highlight w:val="none"/>
              </w:rPr>
            </w:pPr>
          </w:p>
        </w:tc>
        <w:tc>
          <w:tcPr>
            <w:tcW w:w="2849" w:type="dxa"/>
          </w:tcPr>
          <w:p w14:paraId="63639697">
            <w:pPr>
              <w:spacing w:line="440" w:lineRule="exact"/>
              <w:jc w:val="center"/>
              <w:rPr>
                <w:rFonts w:hint="eastAsia" w:ascii="仿宋" w:hAnsi="仿宋" w:eastAsia="仿宋" w:cs="仿宋"/>
                <w:color w:val="auto"/>
                <w:sz w:val="24"/>
                <w:highlight w:val="none"/>
              </w:rPr>
            </w:pPr>
          </w:p>
        </w:tc>
        <w:tc>
          <w:tcPr>
            <w:tcW w:w="924" w:type="dxa"/>
          </w:tcPr>
          <w:p w14:paraId="6937F895">
            <w:pPr>
              <w:spacing w:line="440" w:lineRule="exact"/>
              <w:jc w:val="center"/>
              <w:rPr>
                <w:rFonts w:hint="eastAsia" w:ascii="仿宋" w:hAnsi="仿宋" w:eastAsia="仿宋" w:cs="仿宋"/>
                <w:color w:val="auto"/>
                <w:sz w:val="24"/>
                <w:highlight w:val="none"/>
              </w:rPr>
            </w:pPr>
          </w:p>
        </w:tc>
        <w:tc>
          <w:tcPr>
            <w:tcW w:w="785" w:type="dxa"/>
          </w:tcPr>
          <w:p w14:paraId="62B03371">
            <w:pPr>
              <w:spacing w:line="440" w:lineRule="exact"/>
              <w:jc w:val="center"/>
              <w:rPr>
                <w:rFonts w:hint="eastAsia" w:ascii="仿宋" w:hAnsi="仿宋" w:eastAsia="仿宋" w:cs="仿宋"/>
                <w:color w:val="auto"/>
                <w:sz w:val="24"/>
                <w:highlight w:val="none"/>
              </w:rPr>
            </w:pPr>
          </w:p>
        </w:tc>
        <w:tc>
          <w:tcPr>
            <w:tcW w:w="793" w:type="dxa"/>
          </w:tcPr>
          <w:p w14:paraId="57F76F2F">
            <w:pPr>
              <w:spacing w:line="440" w:lineRule="exact"/>
              <w:jc w:val="center"/>
              <w:rPr>
                <w:rFonts w:hint="eastAsia" w:ascii="仿宋" w:hAnsi="仿宋" w:eastAsia="仿宋" w:cs="仿宋"/>
                <w:color w:val="auto"/>
                <w:sz w:val="24"/>
                <w:highlight w:val="none"/>
              </w:rPr>
            </w:pPr>
          </w:p>
        </w:tc>
        <w:tc>
          <w:tcPr>
            <w:tcW w:w="1140" w:type="dxa"/>
          </w:tcPr>
          <w:p w14:paraId="143B76B0">
            <w:pPr>
              <w:spacing w:line="440" w:lineRule="exact"/>
              <w:jc w:val="center"/>
              <w:rPr>
                <w:rFonts w:hint="eastAsia" w:ascii="仿宋" w:hAnsi="仿宋" w:eastAsia="仿宋" w:cs="仿宋"/>
                <w:color w:val="auto"/>
                <w:sz w:val="24"/>
                <w:highlight w:val="none"/>
              </w:rPr>
            </w:pPr>
          </w:p>
        </w:tc>
      </w:tr>
      <w:tr w14:paraId="34383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59" w:type="dxa"/>
          </w:tcPr>
          <w:p w14:paraId="0944A09E">
            <w:pPr>
              <w:spacing w:line="440" w:lineRule="exact"/>
              <w:jc w:val="center"/>
              <w:rPr>
                <w:rFonts w:hint="eastAsia" w:ascii="仿宋" w:hAnsi="仿宋" w:eastAsia="仿宋" w:cs="仿宋"/>
                <w:color w:val="auto"/>
                <w:sz w:val="24"/>
                <w:highlight w:val="none"/>
              </w:rPr>
            </w:pPr>
          </w:p>
        </w:tc>
        <w:tc>
          <w:tcPr>
            <w:tcW w:w="2090" w:type="dxa"/>
          </w:tcPr>
          <w:p w14:paraId="23DE4A49">
            <w:pPr>
              <w:spacing w:line="440" w:lineRule="exact"/>
              <w:jc w:val="center"/>
              <w:rPr>
                <w:rFonts w:hint="eastAsia" w:ascii="仿宋" w:hAnsi="仿宋" w:eastAsia="仿宋" w:cs="仿宋"/>
                <w:color w:val="auto"/>
                <w:highlight w:val="none"/>
              </w:rPr>
            </w:pPr>
          </w:p>
        </w:tc>
        <w:tc>
          <w:tcPr>
            <w:tcW w:w="2849" w:type="dxa"/>
          </w:tcPr>
          <w:p w14:paraId="01F739DF">
            <w:pPr>
              <w:spacing w:line="440" w:lineRule="exact"/>
              <w:jc w:val="center"/>
              <w:rPr>
                <w:rFonts w:hint="eastAsia" w:ascii="仿宋" w:hAnsi="仿宋" w:eastAsia="仿宋" w:cs="仿宋"/>
                <w:color w:val="auto"/>
                <w:sz w:val="24"/>
                <w:highlight w:val="none"/>
              </w:rPr>
            </w:pPr>
          </w:p>
        </w:tc>
        <w:tc>
          <w:tcPr>
            <w:tcW w:w="924" w:type="dxa"/>
          </w:tcPr>
          <w:p w14:paraId="045EBC4D">
            <w:pPr>
              <w:spacing w:line="440" w:lineRule="exact"/>
              <w:jc w:val="center"/>
              <w:rPr>
                <w:rFonts w:hint="eastAsia" w:ascii="仿宋" w:hAnsi="仿宋" w:eastAsia="仿宋" w:cs="仿宋"/>
                <w:color w:val="auto"/>
                <w:sz w:val="24"/>
                <w:highlight w:val="none"/>
              </w:rPr>
            </w:pPr>
          </w:p>
        </w:tc>
        <w:tc>
          <w:tcPr>
            <w:tcW w:w="785" w:type="dxa"/>
          </w:tcPr>
          <w:p w14:paraId="76E35601">
            <w:pPr>
              <w:spacing w:line="440" w:lineRule="exact"/>
              <w:jc w:val="center"/>
              <w:rPr>
                <w:rFonts w:hint="eastAsia" w:ascii="仿宋" w:hAnsi="仿宋" w:eastAsia="仿宋" w:cs="仿宋"/>
                <w:color w:val="auto"/>
                <w:sz w:val="24"/>
                <w:highlight w:val="none"/>
              </w:rPr>
            </w:pPr>
          </w:p>
        </w:tc>
        <w:tc>
          <w:tcPr>
            <w:tcW w:w="793" w:type="dxa"/>
          </w:tcPr>
          <w:p w14:paraId="1E47A3DD">
            <w:pPr>
              <w:spacing w:line="440" w:lineRule="exact"/>
              <w:jc w:val="center"/>
              <w:rPr>
                <w:rFonts w:hint="eastAsia" w:ascii="仿宋" w:hAnsi="仿宋" w:eastAsia="仿宋" w:cs="仿宋"/>
                <w:color w:val="auto"/>
                <w:sz w:val="24"/>
                <w:highlight w:val="none"/>
              </w:rPr>
            </w:pPr>
          </w:p>
        </w:tc>
        <w:tc>
          <w:tcPr>
            <w:tcW w:w="1140" w:type="dxa"/>
          </w:tcPr>
          <w:p w14:paraId="69A15F95">
            <w:pPr>
              <w:spacing w:line="440" w:lineRule="exact"/>
              <w:jc w:val="center"/>
              <w:rPr>
                <w:rFonts w:hint="eastAsia" w:ascii="仿宋" w:hAnsi="仿宋" w:eastAsia="仿宋" w:cs="仿宋"/>
                <w:color w:val="auto"/>
                <w:sz w:val="24"/>
                <w:highlight w:val="none"/>
              </w:rPr>
            </w:pPr>
          </w:p>
        </w:tc>
      </w:tr>
      <w:tr w14:paraId="096E6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2849" w:type="dxa"/>
            <w:gridSpan w:val="2"/>
          </w:tcPr>
          <w:p w14:paraId="77BACF45">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投标总价</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元</w:t>
            </w:r>
            <w:r>
              <w:rPr>
                <w:rFonts w:hint="eastAsia" w:ascii="仿宋" w:hAnsi="仿宋" w:eastAsia="仿宋" w:cs="仿宋"/>
                <w:color w:val="auto"/>
                <w:sz w:val="24"/>
                <w:highlight w:val="none"/>
              </w:rPr>
              <w:t>）</w:t>
            </w:r>
          </w:p>
        </w:tc>
        <w:tc>
          <w:tcPr>
            <w:tcW w:w="2849" w:type="dxa"/>
          </w:tcPr>
          <w:p w14:paraId="32660E54">
            <w:pPr>
              <w:spacing w:line="440" w:lineRule="exact"/>
              <w:jc w:val="center"/>
              <w:rPr>
                <w:rFonts w:hint="eastAsia" w:ascii="仿宋" w:hAnsi="仿宋" w:eastAsia="仿宋" w:cs="仿宋"/>
                <w:color w:val="auto"/>
                <w:sz w:val="24"/>
                <w:highlight w:val="none"/>
              </w:rPr>
            </w:pPr>
          </w:p>
        </w:tc>
        <w:tc>
          <w:tcPr>
            <w:tcW w:w="3642" w:type="dxa"/>
            <w:gridSpan w:val="4"/>
          </w:tcPr>
          <w:p w14:paraId="1F54EBB0">
            <w:pPr>
              <w:spacing w:line="440" w:lineRule="exact"/>
              <w:jc w:val="center"/>
              <w:rPr>
                <w:rFonts w:hint="eastAsia" w:ascii="仿宋" w:hAnsi="仿宋" w:eastAsia="仿宋" w:cs="仿宋"/>
                <w:color w:val="auto"/>
                <w:sz w:val="24"/>
                <w:highlight w:val="none"/>
              </w:rPr>
            </w:pPr>
          </w:p>
        </w:tc>
      </w:tr>
    </w:tbl>
    <w:p w14:paraId="12142C57">
      <w:pPr>
        <w:snapToGrid w:val="0"/>
        <w:spacing w:before="120" w:beforeLines="50" w:line="360" w:lineRule="auto"/>
        <w:rPr>
          <w:rFonts w:hint="eastAsia" w:ascii="仿宋" w:hAnsi="仿宋" w:eastAsia="仿宋" w:cs="仿宋"/>
          <w:color w:val="auto"/>
          <w:sz w:val="24"/>
          <w:highlight w:val="none"/>
        </w:rPr>
      </w:pPr>
    </w:p>
    <w:p w14:paraId="6117AE2E">
      <w:pPr>
        <w:snapToGrid w:val="0"/>
        <w:spacing w:before="120" w:beforeLines="5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供应商名称（公章）：                             </w:t>
      </w:r>
    </w:p>
    <w:p w14:paraId="45967C0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w:t>
      </w:r>
      <w:r>
        <w:rPr>
          <w:rFonts w:hint="eastAsia" w:ascii="仿宋" w:hAnsi="仿宋" w:eastAsia="仿宋" w:cs="仿宋"/>
          <w:color w:val="auto"/>
          <w:sz w:val="24"/>
          <w:highlight w:val="none"/>
          <w:lang w:eastAsia="zh-CN"/>
        </w:rPr>
        <w:t>字</w:t>
      </w:r>
      <w:r>
        <w:rPr>
          <w:rFonts w:hint="eastAsia" w:ascii="仿宋" w:hAnsi="仿宋" w:eastAsia="仿宋" w:cs="仿宋"/>
          <w:color w:val="auto"/>
          <w:sz w:val="24"/>
          <w:highlight w:val="none"/>
        </w:rPr>
        <w:t xml:space="preserve">或盖章：  </w:t>
      </w:r>
    </w:p>
    <w:p w14:paraId="25334195">
      <w:pPr>
        <w:snapToGrid w:val="0"/>
        <w:spacing w:before="120" w:beforeLines="50" w:line="360" w:lineRule="auto"/>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 xml:space="preserve">日期：    年     月    </w:t>
      </w:r>
      <w:r>
        <w:rPr>
          <w:rFonts w:hint="eastAsia" w:ascii="仿宋" w:hAnsi="仿宋" w:eastAsia="仿宋" w:cs="仿宋"/>
          <w:color w:val="auto"/>
          <w:sz w:val="24"/>
          <w:highlight w:val="none"/>
          <w:lang w:val="en-US" w:eastAsia="zh-CN"/>
        </w:rPr>
        <w:t>日</w:t>
      </w:r>
    </w:p>
    <w:p w14:paraId="37007AC2">
      <w:pPr>
        <w:spacing w:line="440" w:lineRule="exact"/>
        <w:rPr>
          <w:rFonts w:hint="eastAsia" w:ascii="仿宋" w:hAnsi="仿宋" w:eastAsia="仿宋" w:cs="仿宋"/>
          <w:color w:val="auto"/>
          <w:sz w:val="24"/>
          <w:highlight w:val="none"/>
        </w:rPr>
      </w:pPr>
    </w:p>
    <w:p w14:paraId="6A0A068E">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注：1、本表所列项目应根据实际情况填写，并计入投标总价；</w:t>
      </w:r>
    </w:p>
    <w:p w14:paraId="0AAF3FD8">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2、此表仅提供了表格形式，投标供应商应根据需要准备足够数量的表格来填写；</w:t>
      </w:r>
    </w:p>
    <w:p w14:paraId="64443065">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3、报价明细表</w:t>
      </w:r>
      <w:r>
        <w:rPr>
          <w:rFonts w:hint="eastAsia" w:ascii="仿宋" w:hAnsi="仿宋" w:eastAsia="仿宋" w:cs="仿宋"/>
          <w:color w:val="auto"/>
          <w:sz w:val="24"/>
          <w:highlight w:val="none"/>
          <w:lang w:val="en-US" w:eastAsia="zh-CN"/>
        </w:rPr>
        <w:t>投标总价</w:t>
      </w:r>
      <w:r>
        <w:rPr>
          <w:rFonts w:hint="eastAsia" w:ascii="仿宋" w:hAnsi="仿宋" w:eastAsia="仿宋" w:cs="仿宋"/>
          <w:color w:val="auto"/>
          <w:sz w:val="24"/>
          <w:highlight w:val="none"/>
        </w:rPr>
        <w:t>应与</w:t>
      </w:r>
      <w:r>
        <w:rPr>
          <w:rFonts w:hint="eastAsia" w:ascii="仿宋" w:hAnsi="仿宋" w:eastAsia="仿宋" w:cs="仿宋"/>
          <w:b/>
          <w:bCs/>
          <w:color w:val="auto"/>
          <w:sz w:val="24"/>
          <w:highlight w:val="none"/>
        </w:rPr>
        <w:t>开标一览表中</w:t>
      </w:r>
      <w:r>
        <w:rPr>
          <w:rFonts w:hint="eastAsia" w:ascii="仿宋" w:hAnsi="仿宋" w:eastAsia="仿宋" w:cs="仿宋"/>
          <w:b/>
          <w:bCs/>
          <w:color w:val="auto"/>
          <w:sz w:val="24"/>
          <w:highlight w:val="none"/>
          <w:lang w:val="en-US" w:eastAsia="zh-CN"/>
        </w:rPr>
        <w:t>投标总价</w:t>
      </w:r>
      <w:r>
        <w:rPr>
          <w:rFonts w:hint="eastAsia" w:ascii="仿宋" w:hAnsi="仿宋" w:eastAsia="仿宋" w:cs="仿宋"/>
          <w:color w:val="auto"/>
          <w:sz w:val="24"/>
          <w:highlight w:val="none"/>
        </w:rPr>
        <w:t>一致。</w:t>
      </w:r>
    </w:p>
    <w:p w14:paraId="626EA512">
      <w:pPr>
        <w:spacing w:line="440" w:lineRule="exact"/>
        <w:rPr>
          <w:rFonts w:ascii="微软雅黑" w:hAnsi="微软雅黑" w:eastAsia="微软雅黑" w:cs="微软雅黑"/>
          <w:b/>
          <w:bCs/>
          <w:color w:val="auto"/>
          <w:sz w:val="32"/>
          <w:szCs w:val="32"/>
          <w:highlight w:val="none"/>
        </w:rPr>
      </w:pPr>
    </w:p>
    <w:p w14:paraId="4D35E898">
      <w:pPr>
        <w:spacing w:line="440" w:lineRule="exact"/>
        <w:rPr>
          <w:rFonts w:ascii="微软雅黑" w:hAnsi="微软雅黑" w:eastAsia="微软雅黑" w:cs="微软雅黑"/>
          <w:b/>
          <w:bCs/>
          <w:color w:val="auto"/>
          <w:sz w:val="32"/>
          <w:szCs w:val="32"/>
          <w:highlight w:val="none"/>
        </w:rPr>
      </w:pPr>
    </w:p>
    <w:p w14:paraId="28E632E5">
      <w:pPr>
        <w:spacing w:line="360" w:lineRule="auto"/>
        <w:jc w:val="both"/>
        <w:rPr>
          <w:rFonts w:hint="eastAsia" w:ascii="仿宋" w:hAnsi="仿宋" w:eastAsia="仿宋" w:cs="仿宋"/>
          <w:b/>
          <w:bCs/>
          <w:color w:val="auto"/>
          <w:sz w:val="28"/>
          <w:szCs w:val="28"/>
          <w:highlight w:val="none"/>
        </w:rPr>
      </w:pPr>
    </w:p>
    <w:p w14:paraId="6470EDA3">
      <w:pPr>
        <w:spacing w:line="360" w:lineRule="auto"/>
        <w:jc w:val="center"/>
        <w:rPr>
          <w:rFonts w:hint="eastAsia" w:ascii="仿宋" w:hAnsi="仿宋" w:eastAsia="仿宋" w:cs="仿宋"/>
          <w:b/>
          <w:bCs/>
          <w:color w:val="auto"/>
          <w:sz w:val="28"/>
          <w:szCs w:val="28"/>
          <w:highlight w:val="none"/>
        </w:rPr>
      </w:pPr>
    </w:p>
    <w:p w14:paraId="2E1D181A">
      <w:pPr>
        <w:snapToGrid w:val="0"/>
        <w:spacing w:before="50" w:after="50"/>
        <w:jc w:val="center"/>
        <w:outlineLvl w:val="1"/>
        <w:rPr>
          <w:rFonts w:hint="eastAsia" w:ascii="仿宋" w:hAnsi="仿宋" w:eastAsia="仿宋" w:cs="宋体"/>
          <w:b/>
          <w:bCs/>
          <w:color w:val="auto"/>
          <w:sz w:val="32"/>
          <w:szCs w:val="32"/>
          <w:highlight w:val="none"/>
          <w:lang w:val="en-US" w:eastAsia="zh-CN"/>
        </w:rPr>
      </w:pPr>
      <w:r>
        <w:rPr>
          <w:rFonts w:hint="eastAsia" w:ascii="仿宋" w:hAnsi="仿宋" w:eastAsia="仿宋" w:cs="宋体"/>
          <w:b/>
          <w:bCs/>
          <w:color w:val="auto"/>
          <w:sz w:val="32"/>
          <w:szCs w:val="32"/>
          <w:highlight w:val="none"/>
          <w:lang w:val="en-US" w:eastAsia="zh-CN"/>
        </w:rPr>
        <w:t>18.招标代理服务费承诺函</w:t>
      </w:r>
    </w:p>
    <w:p w14:paraId="34F725FA">
      <w:pPr>
        <w:pStyle w:val="8"/>
        <w:spacing w:line="500" w:lineRule="exact"/>
        <w:jc w:val="center"/>
        <w:rPr>
          <w:rFonts w:hint="eastAsia" w:ascii="仿宋" w:hAnsi="仿宋" w:eastAsia="仿宋" w:cs="仿宋"/>
          <w:b/>
          <w:color w:val="auto"/>
          <w:sz w:val="28"/>
          <w:szCs w:val="28"/>
          <w:highlight w:val="none"/>
        </w:rPr>
      </w:pPr>
    </w:p>
    <w:p w14:paraId="14034B31">
      <w:pPr>
        <w:pStyle w:val="8"/>
        <w:spacing w:line="720" w:lineRule="exact"/>
        <w:ind w:firstLine="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浙江新诚信工程咨询有限公司</w:t>
      </w:r>
      <w:r>
        <w:rPr>
          <w:rFonts w:hint="eastAsia" w:ascii="仿宋" w:hAnsi="仿宋" w:eastAsia="仿宋" w:cs="仿宋"/>
          <w:color w:val="auto"/>
          <w:sz w:val="24"/>
          <w:highlight w:val="none"/>
        </w:rPr>
        <w:t>：</w:t>
      </w:r>
    </w:p>
    <w:p w14:paraId="163E4DB0">
      <w:pPr>
        <w:pStyle w:val="8"/>
        <w:spacing w:line="72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根据</w:t>
      </w:r>
      <w:r>
        <w:rPr>
          <w:rFonts w:hint="eastAsia" w:ascii="仿宋" w:hAnsi="仿宋" w:eastAsia="仿宋" w:cs="仿宋"/>
          <w:color w:val="auto"/>
          <w:sz w:val="24"/>
          <w:highlight w:val="none"/>
          <w:lang w:eastAsia="zh-CN"/>
        </w:rPr>
        <w:t>招标</w:t>
      </w:r>
      <w:r>
        <w:rPr>
          <w:rFonts w:hint="eastAsia" w:ascii="仿宋" w:hAnsi="仿宋" w:eastAsia="仿宋" w:cs="仿宋"/>
          <w:color w:val="auto"/>
          <w:sz w:val="24"/>
          <w:highlight w:val="none"/>
        </w:rPr>
        <w:t>文件的规定，一旦我公司</w:t>
      </w:r>
      <w:r>
        <w:rPr>
          <w:rFonts w:hint="eastAsia" w:ascii="仿宋" w:hAnsi="仿宋" w:eastAsia="仿宋" w:cs="仿宋"/>
          <w:color w:val="auto"/>
          <w:sz w:val="24"/>
          <w:highlight w:val="none"/>
          <w:lang w:eastAsia="zh-CN"/>
        </w:rPr>
        <w:t>中标</w:t>
      </w:r>
      <w:r>
        <w:rPr>
          <w:rFonts w:hint="eastAsia" w:ascii="仿宋" w:hAnsi="仿宋" w:eastAsia="仿宋" w:cs="仿宋"/>
          <w:color w:val="auto"/>
          <w:sz w:val="24"/>
          <w:highlight w:val="none"/>
        </w:rPr>
        <w:t>，我公司同意按</w:t>
      </w:r>
      <w:r>
        <w:rPr>
          <w:rFonts w:hint="eastAsia" w:ascii="仿宋" w:hAnsi="仿宋" w:eastAsia="仿宋" w:cs="仿宋"/>
          <w:color w:val="auto"/>
          <w:sz w:val="24"/>
          <w:highlight w:val="none"/>
          <w:lang w:eastAsia="zh-CN"/>
        </w:rPr>
        <w:t>招标</w:t>
      </w:r>
      <w:r>
        <w:rPr>
          <w:rFonts w:hint="eastAsia" w:ascii="仿宋" w:hAnsi="仿宋" w:eastAsia="仿宋" w:cs="仿宋"/>
          <w:color w:val="auto"/>
          <w:sz w:val="24"/>
          <w:highlight w:val="none"/>
        </w:rPr>
        <w:t>文件要求向贵公司交纳成交项目的</w:t>
      </w:r>
      <w:r>
        <w:rPr>
          <w:rFonts w:hint="eastAsia" w:ascii="仿宋" w:hAnsi="仿宋" w:eastAsia="仿宋" w:cs="仿宋"/>
          <w:color w:val="auto"/>
          <w:sz w:val="24"/>
          <w:highlight w:val="none"/>
          <w:lang w:eastAsia="zh-CN"/>
        </w:rPr>
        <w:t>招标</w:t>
      </w:r>
      <w:r>
        <w:rPr>
          <w:rFonts w:hint="eastAsia" w:ascii="仿宋" w:hAnsi="仿宋" w:eastAsia="仿宋" w:cs="仿宋"/>
          <w:color w:val="auto"/>
          <w:sz w:val="24"/>
          <w:highlight w:val="none"/>
        </w:rPr>
        <w:t>代理服务费，在收到</w:t>
      </w:r>
      <w:r>
        <w:rPr>
          <w:rFonts w:hint="eastAsia" w:ascii="仿宋" w:hAnsi="仿宋" w:eastAsia="仿宋" w:cs="仿宋"/>
          <w:color w:val="auto"/>
          <w:sz w:val="24"/>
          <w:highlight w:val="none"/>
          <w:lang w:eastAsia="zh-CN"/>
        </w:rPr>
        <w:t>中标</w:t>
      </w:r>
      <w:r>
        <w:rPr>
          <w:rFonts w:hint="eastAsia" w:ascii="仿宋" w:hAnsi="仿宋" w:eastAsia="仿宋" w:cs="仿宋"/>
          <w:color w:val="auto"/>
          <w:sz w:val="24"/>
          <w:highlight w:val="none"/>
        </w:rPr>
        <w:t>通知书后的当天一次性结清。</w:t>
      </w:r>
    </w:p>
    <w:p w14:paraId="5D8A2B72">
      <w:pPr>
        <w:pStyle w:val="8"/>
        <w:spacing w:line="72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本承诺函自开标之日起至本次采购期满有效。</w:t>
      </w:r>
    </w:p>
    <w:p w14:paraId="3ED62035">
      <w:pPr>
        <w:pStyle w:val="8"/>
        <w:spacing w:line="720" w:lineRule="exact"/>
        <w:jc w:val="left"/>
        <w:rPr>
          <w:rFonts w:hint="eastAsia" w:ascii="仿宋" w:hAnsi="仿宋" w:eastAsia="仿宋" w:cs="仿宋"/>
          <w:color w:val="auto"/>
          <w:sz w:val="24"/>
          <w:highlight w:val="none"/>
        </w:rPr>
      </w:pPr>
    </w:p>
    <w:p w14:paraId="3909EFB8">
      <w:pPr>
        <w:pStyle w:val="8"/>
        <w:spacing w:line="720" w:lineRule="exact"/>
        <w:jc w:val="left"/>
        <w:rPr>
          <w:rFonts w:hint="eastAsia" w:ascii="仿宋" w:hAnsi="仿宋" w:eastAsia="仿宋" w:cs="仿宋"/>
          <w:color w:val="auto"/>
          <w:sz w:val="24"/>
          <w:highlight w:val="none"/>
        </w:rPr>
      </w:pPr>
    </w:p>
    <w:p w14:paraId="188E8524">
      <w:pPr>
        <w:pStyle w:val="8"/>
        <w:spacing w:line="720" w:lineRule="exact"/>
        <w:ind w:firstLine="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w:t>
      </w:r>
      <w:r>
        <w:rPr>
          <w:rFonts w:hint="eastAsia" w:ascii="仿宋" w:hAnsi="仿宋" w:eastAsia="仿宋" w:cs="仿宋"/>
          <w:color w:val="auto"/>
          <w:sz w:val="24"/>
          <w:highlight w:val="none"/>
          <w:lang w:eastAsia="zh-CN"/>
        </w:rPr>
        <w:t>授权代理人</w:t>
      </w:r>
      <w:r>
        <w:rPr>
          <w:rFonts w:hint="eastAsia" w:ascii="仿宋" w:hAnsi="仿宋" w:eastAsia="仿宋" w:cs="仿宋"/>
          <w:color w:val="auto"/>
          <w:sz w:val="24"/>
          <w:highlight w:val="none"/>
        </w:rPr>
        <w:t>签字：</w:t>
      </w:r>
    </w:p>
    <w:p w14:paraId="1F80D4FE">
      <w:pPr>
        <w:pStyle w:val="8"/>
        <w:spacing w:line="720" w:lineRule="exact"/>
        <w:ind w:firstLine="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供应商公章：</w:t>
      </w:r>
    </w:p>
    <w:p w14:paraId="6324B8C2">
      <w:pPr>
        <w:pStyle w:val="8"/>
        <w:spacing w:line="720" w:lineRule="exact"/>
        <w:ind w:firstLine="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  月  日</w:t>
      </w:r>
    </w:p>
    <w:p w14:paraId="7B3D75B5">
      <w:pPr>
        <w:pBdr>
          <w:bottom w:val="single" w:color="auto" w:sz="6" w:space="1"/>
        </w:pBdr>
        <w:spacing w:line="540" w:lineRule="exact"/>
        <w:rPr>
          <w:rFonts w:hint="eastAsia" w:ascii="仿宋" w:hAnsi="仿宋" w:eastAsia="仿宋" w:cs="仿宋"/>
          <w:color w:val="auto"/>
          <w:sz w:val="24"/>
          <w:highlight w:val="none"/>
        </w:rPr>
      </w:pPr>
    </w:p>
    <w:p w14:paraId="5794484B">
      <w:pPr>
        <w:spacing w:line="540" w:lineRule="exact"/>
        <w:rPr>
          <w:rFonts w:hint="eastAsia" w:ascii="仿宋" w:hAnsi="仿宋" w:eastAsia="仿宋" w:cs="仿宋"/>
          <w:color w:val="auto"/>
          <w:sz w:val="24"/>
          <w:highlight w:val="none"/>
        </w:rPr>
      </w:pPr>
    </w:p>
    <w:p w14:paraId="5D0C72A4">
      <w:pPr>
        <w:autoSpaceDE w:val="0"/>
        <w:autoSpaceDN w:val="0"/>
        <w:adjustRightInd w:val="0"/>
        <w:spacing w:line="460" w:lineRule="atLeast"/>
        <w:ind w:firstLine="360"/>
        <w:jc w:val="left"/>
        <w:rPr>
          <w:rFonts w:hint="eastAsia"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u w:val="single"/>
          <w:lang w:val="zh-CN"/>
        </w:rPr>
        <w:t>代理费汇款账号：</w:t>
      </w:r>
    </w:p>
    <w:p w14:paraId="4D410ADE">
      <w:pPr>
        <w:autoSpaceDE w:val="0"/>
        <w:autoSpaceDN w:val="0"/>
        <w:adjustRightInd w:val="0"/>
        <w:spacing w:line="460" w:lineRule="atLeast"/>
        <w:ind w:firstLine="360"/>
        <w:jc w:val="left"/>
        <w:rPr>
          <w:rFonts w:hint="eastAsia" w:ascii="仿宋" w:hAnsi="仿宋" w:eastAsia="仿宋" w:cs="仿宋"/>
          <w:b/>
          <w:bCs/>
          <w:color w:val="auto"/>
          <w:kern w:val="0"/>
          <w:sz w:val="24"/>
          <w:highlight w:val="none"/>
          <w:u w:val="single"/>
        </w:rPr>
      </w:pPr>
    </w:p>
    <w:p w14:paraId="6F2B7A78">
      <w:pPr>
        <w:keepNext w:val="0"/>
        <w:keepLines w:val="0"/>
        <w:pageBreakBefore w:val="0"/>
        <w:widowControl/>
        <w:kinsoku/>
        <w:wordWrap/>
        <w:overflowPunct/>
        <w:topLinePunct w:val="0"/>
        <w:autoSpaceDE/>
        <w:autoSpaceDN/>
        <w:bidi w:val="0"/>
        <w:adjustRightInd/>
        <w:spacing w:line="360" w:lineRule="auto"/>
        <w:ind w:left="750" w:leftChars="300" w:hanging="120" w:hangingChars="50"/>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账户名称：浙江新诚信工程咨询有限公司湖州分公司</w:t>
      </w:r>
    </w:p>
    <w:p w14:paraId="1ADADE4D">
      <w:pPr>
        <w:keepNext w:val="0"/>
        <w:keepLines w:val="0"/>
        <w:pageBreakBefore w:val="0"/>
        <w:widowControl/>
        <w:kinsoku/>
        <w:wordWrap/>
        <w:overflowPunct/>
        <w:topLinePunct w:val="0"/>
        <w:autoSpaceDE/>
        <w:autoSpaceDN/>
        <w:bidi w:val="0"/>
        <w:adjustRightInd/>
        <w:spacing w:line="360" w:lineRule="auto"/>
        <w:ind w:left="750" w:leftChars="300" w:hanging="120" w:hangingChars="50"/>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开户银行：湖州银行股份有限公司南园支行           </w:t>
      </w:r>
    </w:p>
    <w:p w14:paraId="4D49BE13">
      <w:pPr>
        <w:keepNext w:val="0"/>
        <w:keepLines w:val="0"/>
        <w:pageBreakBefore w:val="0"/>
        <w:widowControl/>
        <w:kinsoku/>
        <w:wordWrap/>
        <w:overflowPunct/>
        <w:topLinePunct w:val="0"/>
        <w:autoSpaceDE/>
        <w:autoSpaceDN/>
        <w:bidi w:val="0"/>
        <w:adjustRightInd/>
        <w:spacing w:line="360" w:lineRule="auto"/>
        <w:ind w:left="750" w:leftChars="300" w:hanging="120" w:hangingChars="50"/>
        <w:textAlignment w:val="auto"/>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银行账号：800028090000155</w:t>
      </w:r>
    </w:p>
    <w:p w14:paraId="7094ABA3">
      <w:pPr>
        <w:numPr>
          <w:ilvl w:val="0"/>
          <w:numId w:val="0"/>
        </w:numPr>
        <w:spacing w:line="56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kern w:val="2"/>
          <w:sz w:val="24"/>
          <w:szCs w:val="20"/>
          <w:highlight w:val="none"/>
          <w:lang w:val="en-US" w:eastAsia="zh-CN" w:bidi="ar-SA"/>
        </w:rPr>
        <w:t>“用途”一栏注明项目编号</w:t>
      </w:r>
      <w:r>
        <w:rPr>
          <w:rFonts w:hint="default" w:ascii="仿宋" w:hAnsi="仿宋" w:eastAsia="仿宋" w:cs="仿宋"/>
          <w:color w:val="auto"/>
          <w:sz w:val="24"/>
          <w:highlight w:val="none"/>
          <w:lang w:val="en-US" w:eastAsia="zh-CN"/>
        </w:rPr>
        <w:t>XCXHZ-2025-0</w:t>
      </w:r>
      <w:r>
        <w:rPr>
          <w:rFonts w:hint="eastAsia" w:ascii="仿宋" w:hAnsi="仿宋" w:eastAsia="仿宋" w:cs="仿宋"/>
          <w:color w:val="auto"/>
          <w:sz w:val="24"/>
          <w:highlight w:val="none"/>
          <w:lang w:val="en-US" w:eastAsia="zh-CN"/>
        </w:rPr>
        <w:t>15</w:t>
      </w:r>
      <w:r>
        <w:rPr>
          <w:rFonts w:hint="default" w:ascii="仿宋" w:hAnsi="仿宋" w:eastAsia="仿宋" w:cs="仿宋"/>
          <w:color w:val="auto"/>
          <w:sz w:val="24"/>
          <w:highlight w:val="none"/>
          <w:lang w:val="en-US" w:eastAsia="zh-CN"/>
        </w:rPr>
        <w:t>（CG）</w:t>
      </w:r>
    </w:p>
    <w:p w14:paraId="419120AC">
      <w:pPr>
        <w:keepNext w:val="0"/>
        <w:keepLines w:val="0"/>
        <w:pageBreakBefore w:val="0"/>
        <w:widowControl/>
        <w:kinsoku/>
        <w:wordWrap/>
        <w:overflowPunct/>
        <w:topLinePunct w:val="0"/>
        <w:autoSpaceDE/>
        <w:autoSpaceDN/>
        <w:bidi w:val="0"/>
        <w:adjustRightInd/>
        <w:spacing w:line="360" w:lineRule="auto"/>
        <w:ind w:left="750" w:leftChars="300" w:hanging="120" w:hangingChars="50"/>
        <w:textAlignment w:val="auto"/>
        <w:rPr>
          <w:rFonts w:hint="default" w:ascii="仿宋" w:hAnsi="仿宋" w:eastAsia="仿宋" w:cs="仿宋"/>
          <w:color w:val="auto"/>
          <w:kern w:val="2"/>
          <w:sz w:val="24"/>
          <w:szCs w:val="20"/>
          <w:highlight w:val="none"/>
          <w:lang w:val="en-US" w:eastAsia="zh-CN" w:bidi="ar-SA"/>
        </w:rPr>
      </w:pPr>
    </w:p>
    <w:p w14:paraId="0CCBCEA9">
      <w:pPr>
        <w:pStyle w:val="22"/>
        <w:rPr>
          <w:rFonts w:hint="eastAsia"/>
          <w:color w:val="auto"/>
          <w:highlight w:val="none"/>
        </w:rPr>
      </w:pPr>
    </w:p>
    <w:p w14:paraId="74C96950">
      <w:pPr>
        <w:rPr>
          <w:color w:val="auto"/>
          <w:highlight w:val="none"/>
        </w:rPr>
      </w:pPr>
    </w:p>
    <w:bookmarkEnd w:id="7"/>
    <w:sectPr>
      <w:headerReference r:id="rId18" w:type="default"/>
      <w:footerReference r:id="rId19" w:type="default"/>
      <w:pgSz w:w="11907" w:h="16840"/>
      <w:pgMar w:top="1418" w:right="1701" w:bottom="1134" w:left="1701" w:header="851" w:footer="618"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Helvetica">
    <w:altName w:val="Arial"/>
    <w:panose1 w:val="00000000000000000000"/>
    <w:charset w:val="00"/>
    <w:family w:val="auto"/>
    <w:pitch w:val="default"/>
    <w:sig w:usb0="00000000" w:usb1="00000000" w:usb2="00000000" w:usb3="00000000" w:csb0="2000019F" w:csb1="4F01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华文仿宋">
    <w:altName w:val="仿宋"/>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3D5E39">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CFBF9">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D4AE8">
    <w:pPr>
      <w:pStyle w:val="15"/>
      <w:jc w:val="center"/>
      <w:rPr>
        <w:rFonts w:asciiTheme="minorEastAsia" w:hAnsiTheme="minorEastAsia" w:eastAsiaTheme="minorEastAsi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291CA2">
                          <w:pPr>
                            <w:pStyle w:val="15"/>
                          </w:pPr>
                          <w:r>
                            <w:fldChar w:fldCharType="begin"/>
                          </w:r>
                          <w:r>
                            <w:instrText xml:space="preserve"> PAGE  \* MERGEFORMAT </w:instrText>
                          </w:r>
                          <w:r>
                            <w:fldChar w:fldCharType="separate"/>
                          </w:r>
                          <w:r>
                            <w:t>- 3 -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E291CA2">
                    <w:pPr>
                      <w:pStyle w:val="15"/>
                    </w:pPr>
                    <w:r>
                      <w:fldChar w:fldCharType="begin"/>
                    </w:r>
                    <w:r>
                      <w:instrText xml:space="preserve"> PAGE  \* MERGEFORMAT </w:instrText>
                    </w:r>
                    <w:r>
                      <w:fldChar w:fldCharType="separate"/>
                    </w:r>
                    <w:r>
                      <w:t>- 3 -</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left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EC5B242">
                          <w:pPr>
                            <w:pStyle w:val="15"/>
                            <w:jc w:val="cente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4EC5B242">
                    <w:pPr>
                      <w:pStyle w:val="15"/>
                      <w:jc w:val="center"/>
                    </w:pPr>
                  </w:p>
                </w:txbxContent>
              </v:textbox>
            </v:shape>
          </w:pict>
        </mc:Fallback>
      </mc:AlternateContent>
    </w:r>
  </w:p>
  <w:p w14:paraId="1C764791">
    <w:pPr>
      <w:pStyle w:val="1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E9D7C">
    <w:pPr>
      <w:widowControl w:val="0"/>
      <w:snapToGrid w:val="0"/>
      <w:jc w:val="center"/>
      <w:rPr>
        <w:rFonts w:ascii="宋体" w:hAnsi="宋体" w:eastAsia="宋体" w:cs="Times New Roman"/>
        <w:kern w:val="2"/>
        <w:sz w:val="24"/>
        <w:szCs w:val="24"/>
        <w:lang w:val="en-US" w:eastAsia="zh-CN" w:bidi="ar-SA"/>
      </w:rPr>
    </w:pPr>
    <w:r>
      <w:rPr>
        <w:sz w:val="24"/>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1D65D8">
                          <w:pPr>
                            <w:pStyle w:val="15"/>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0B1D65D8">
                    <w:pPr>
                      <w:pStyle w:val="15"/>
                    </w:pPr>
                    <w:r>
                      <w:fldChar w:fldCharType="begin"/>
                    </w:r>
                    <w:r>
                      <w:instrText xml:space="preserve"> PAGE  \* MERGEFORMAT </w:instrText>
                    </w:r>
                    <w:r>
                      <w:fldChar w:fldCharType="separate"/>
                    </w:r>
                    <w:r>
                      <w:t>- 2 -</w:t>
                    </w:r>
                    <w:r>
                      <w:fldChar w:fldCharType="end"/>
                    </w:r>
                  </w:p>
                </w:txbxContent>
              </v:textbox>
            </v:shape>
          </w:pict>
        </mc:Fallback>
      </mc:AlternateContent>
    </w:r>
    <w:r>
      <w:rPr>
        <w:rFonts w:ascii="Times New Roman" w:hAnsi="Times New Roman" w:eastAsia="宋体" w:cs="Times New Roman"/>
        <w:kern w:val="2"/>
        <w:sz w:val="24"/>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788C192">
                          <w:pPr>
                            <w:widowControl w:val="0"/>
                            <w:snapToGrid w:val="0"/>
                            <w:jc w:val="left"/>
                            <w:rPr>
                              <w:rFonts w:ascii="Times New Roman" w:hAnsi="Times New Roman" w:eastAsia="宋体" w:cs="Times New Roman"/>
                              <w:kern w:val="2"/>
                              <w:sz w:val="18"/>
                              <w:szCs w:val="18"/>
                              <w:lang w:val="en-US" w:eastAsia="zh-CN" w:bidi="ar-S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nmGe8g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k4d8ctTvz84/v55+/zr28E&#10;fShQH6DGvMeAmWm48QMmz35AZ+Y9qGjzFxkRjKO8p4u8ckhE5Eer5WpVYUhgbL4gPnt6HiKkO+kt&#10;yUZDI86vyMqP95DG1DklV3P+VhtTZmjcXw7EzB6Wex97zFYadsNEaOfbE/LpcfQNdbjplJiPDpXN&#10;WzIbcTZ2s3EIUe+7ska5HoQPh4RNlN5yhRF2KowzK+ym/cpL8fxesp7+qc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p5hnvIAQAAmwMAAA4AAAAAAAAAAQAgAAAAHgEAAGRycy9lMm9Eb2Mu&#10;eG1sUEsFBgAAAAAGAAYAWQEAAFgFAAAAAA==&#10;">
              <v:fill on="f" focussize="0,0"/>
              <v:stroke on="f"/>
              <v:imagedata o:title=""/>
              <o:lock v:ext="edit" aspectratio="f"/>
              <v:textbox inset="0mm,0mm,0mm,0mm" style="mso-fit-shape-to-text:t;">
                <w:txbxContent>
                  <w:p w14:paraId="1788C192">
                    <w:pPr>
                      <w:widowControl w:val="0"/>
                      <w:snapToGrid w:val="0"/>
                      <w:jc w:val="left"/>
                      <w:rPr>
                        <w:rFonts w:ascii="Times New Roman" w:hAnsi="Times New Roman" w:eastAsia="宋体" w:cs="Times New Roman"/>
                        <w:kern w:val="2"/>
                        <w:sz w:val="18"/>
                        <w:szCs w:val="18"/>
                        <w:lang w:val="en-US" w:eastAsia="zh-CN" w:bidi="ar-SA"/>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D3181">
    <w:pPr>
      <w:widowControl w:val="0"/>
      <w:snapToGrid w:val="0"/>
      <w:jc w:val="left"/>
      <w:rPr>
        <w:rFonts w:ascii="Times New Roman" w:hAnsi="Times New Roman" w:eastAsia="宋体" w:cs="Times New Roman"/>
        <w:kern w:val="2"/>
        <w:sz w:val="18"/>
        <w:szCs w:val="18"/>
        <w:lang w:val="en-US" w:eastAsia="zh-CN" w:bidi="ar-S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6A0DA6">
                          <w:pPr>
                            <w:pStyle w:val="15"/>
                          </w:pPr>
                          <w:r>
                            <w:fldChar w:fldCharType="begin"/>
                          </w:r>
                          <w:r>
                            <w:instrText xml:space="preserve"> PAGE  \* MERGEFORMAT </w:instrText>
                          </w:r>
                          <w:r>
                            <w:fldChar w:fldCharType="separate"/>
                          </w:r>
                          <w:r>
                            <w:t>- 27 -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2D6A0DA6">
                    <w:pPr>
                      <w:pStyle w:val="15"/>
                    </w:pPr>
                    <w:r>
                      <w:fldChar w:fldCharType="begin"/>
                    </w:r>
                    <w:r>
                      <w:instrText xml:space="preserve"> PAGE  \* MERGEFORMAT </w:instrText>
                    </w:r>
                    <w:r>
                      <w:fldChar w:fldCharType="separate"/>
                    </w:r>
                    <w:r>
                      <w:t>- 27 -</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F4900">
    <w:pPr>
      <w:widowControl w:val="0"/>
      <w:snapToGrid w:val="0"/>
      <w:jc w:val="center"/>
      <w:rPr>
        <w:rFonts w:ascii="宋体" w:hAnsi="宋体" w:eastAsia="宋体" w:cs="Times New Roman"/>
        <w:kern w:val="2"/>
        <w:sz w:val="24"/>
        <w:szCs w:val="24"/>
        <w:lang w:val="en-US" w:eastAsia="zh-CN" w:bidi="ar-SA"/>
      </w:rPr>
    </w:pPr>
    <w:r>
      <w:rPr>
        <w:sz w:val="24"/>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456831">
                          <w:pPr>
                            <w:pStyle w:val="15"/>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4456831">
                    <w:pPr>
                      <w:pStyle w:val="15"/>
                    </w:pPr>
                    <w:r>
                      <w:fldChar w:fldCharType="begin"/>
                    </w:r>
                    <w:r>
                      <w:instrText xml:space="preserve"> PAGE  \* MERGEFORMAT </w:instrText>
                    </w:r>
                    <w:r>
                      <w:fldChar w:fldCharType="separate"/>
                    </w:r>
                    <w:r>
                      <w:t>- 2 -</w:t>
                    </w:r>
                    <w:r>
                      <w:fldChar w:fldCharType="end"/>
                    </w:r>
                  </w:p>
                </w:txbxContent>
              </v:textbox>
            </v:shape>
          </w:pict>
        </mc:Fallback>
      </mc:AlternateContent>
    </w:r>
    <w:r>
      <w:rPr>
        <w:rFonts w:ascii="Times New Roman" w:hAnsi="Times New Roman" w:eastAsia="宋体" w:cs="Times New Roman"/>
        <w:kern w:val="2"/>
        <w:sz w:val="24"/>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5C62EB2">
                          <w:pPr>
                            <w:widowControl w:val="0"/>
                            <w:snapToGrid w:val="0"/>
                            <w:jc w:val="left"/>
                            <w:rPr>
                              <w:rFonts w:ascii="Times New Roman" w:hAnsi="Times New Roman" w:eastAsia="宋体" w:cs="Times New Roman"/>
                              <w:kern w:val="2"/>
                              <w:sz w:val="18"/>
                              <w:szCs w:val="18"/>
                              <w:lang w:val="en-US" w:eastAsia="zh-CN" w:bidi="ar-S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PRNfsgBAACZ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T0TX7IAQAAmQMAAA4AAAAAAAAAAQAgAAAAHgEAAGRycy9lMm9Eb2Mu&#10;eG1sUEsFBgAAAAAGAAYAWQEAAFgFAAAAAA==&#10;">
              <v:fill on="f" focussize="0,0"/>
              <v:stroke on="f"/>
              <v:imagedata o:title=""/>
              <o:lock v:ext="edit" aspectratio="f"/>
              <v:textbox inset="0mm,0mm,0mm,0mm" style="mso-fit-shape-to-text:t;">
                <w:txbxContent>
                  <w:p w14:paraId="65C62EB2">
                    <w:pPr>
                      <w:widowControl w:val="0"/>
                      <w:snapToGrid w:val="0"/>
                      <w:jc w:val="left"/>
                      <w:rPr>
                        <w:rFonts w:ascii="Times New Roman" w:hAnsi="Times New Roman" w:eastAsia="宋体" w:cs="Times New Roman"/>
                        <w:kern w:val="2"/>
                        <w:sz w:val="18"/>
                        <w:szCs w:val="18"/>
                        <w:lang w:val="en-US" w:eastAsia="zh-CN" w:bidi="ar-SA"/>
                      </w:rPr>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6A3A2">
    <w:pPr>
      <w:widowControl w:val="0"/>
      <w:snapToGrid w:val="0"/>
      <w:jc w:val="left"/>
      <w:rPr>
        <w:rFonts w:ascii="Times New Roman" w:hAnsi="Times New Roman" w:eastAsia="宋体" w:cs="Times New Roman"/>
        <w:kern w:val="2"/>
        <w:sz w:val="18"/>
        <w:szCs w:val="18"/>
        <w:lang w:val="en-US" w:eastAsia="zh-CN" w:bidi="ar-S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215418">
                          <w:pPr>
                            <w:pStyle w:val="15"/>
                          </w:pPr>
                          <w:r>
                            <w:fldChar w:fldCharType="begin"/>
                          </w:r>
                          <w:r>
                            <w:instrText xml:space="preserve"> PAGE  \* MERGEFORMAT </w:instrText>
                          </w:r>
                          <w:r>
                            <w:fldChar w:fldCharType="separate"/>
                          </w:r>
                          <w:r>
                            <w:t>- 27 -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8215418">
                    <w:pPr>
                      <w:pStyle w:val="15"/>
                    </w:pPr>
                    <w:r>
                      <w:fldChar w:fldCharType="begin"/>
                    </w:r>
                    <w:r>
                      <w:instrText xml:space="preserve"> PAGE  \* MERGEFORMAT </w:instrText>
                    </w:r>
                    <w:r>
                      <w:fldChar w:fldCharType="separate"/>
                    </w:r>
                    <w:r>
                      <w:t>- 27 -</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7AB3A">
    <w:pPr>
      <w:widowControl w:val="0"/>
      <w:snapToGrid w:val="0"/>
      <w:jc w:val="center"/>
      <w:rPr>
        <w:rFonts w:ascii="宋体" w:hAnsi="宋体" w:eastAsia="宋体" w:cs="Times New Roman"/>
        <w:kern w:val="2"/>
        <w:sz w:val="24"/>
        <w:szCs w:val="24"/>
        <w:lang w:val="en-US" w:eastAsia="zh-CN" w:bidi="ar-SA"/>
      </w:rPr>
    </w:pPr>
    <w:r>
      <w:rPr>
        <w:sz w:val="24"/>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3C9BE2">
                          <w:pPr>
                            <w:pStyle w:val="15"/>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43C9BE2">
                    <w:pPr>
                      <w:pStyle w:val="15"/>
                    </w:pPr>
                    <w:r>
                      <w:fldChar w:fldCharType="begin"/>
                    </w:r>
                    <w:r>
                      <w:instrText xml:space="preserve"> PAGE  \* MERGEFORMAT </w:instrText>
                    </w:r>
                    <w:r>
                      <w:fldChar w:fldCharType="separate"/>
                    </w:r>
                    <w:r>
                      <w:t>- 1 -</w:t>
                    </w:r>
                    <w:r>
                      <w:fldChar w:fldCharType="end"/>
                    </w:r>
                  </w:p>
                </w:txbxContent>
              </v:textbox>
            </v:shape>
          </w:pict>
        </mc:Fallback>
      </mc:AlternateContent>
    </w:r>
    <w:r>
      <w:rPr>
        <w:rFonts w:ascii="Times New Roman" w:hAnsi="Times New Roman" w:eastAsia="宋体" w:cs="Times New Roman"/>
        <w:kern w:val="2"/>
        <w:sz w:val="24"/>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23150A2">
                          <w:pPr>
                            <w:widowControl w:val="0"/>
                            <w:snapToGrid w:val="0"/>
                            <w:jc w:val="left"/>
                            <w:rPr>
                              <w:rFonts w:ascii="Times New Roman" w:hAnsi="Times New Roman" w:eastAsia="宋体" w:cs="Times New Roman"/>
                              <w:kern w:val="2"/>
                              <w:sz w:val="18"/>
                              <w:szCs w:val="18"/>
                              <w:lang w:val="en-US" w:eastAsia="zh-CN" w:bidi="ar-S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123150A2">
                    <w:pPr>
                      <w:widowControl w:val="0"/>
                      <w:snapToGrid w:val="0"/>
                      <w:jc w:val="left"/>
                      <w:rPr>
                        <w:rFonts w:ascii="Times New Roman" w:hAnsi="Times New Roman" w:eastAsia="宋体" w:cs="Times New Roman"/>
                        <w:kern w:val="2"/>
                        <w:sz w:val="18"/>
                        <w:szCs w:val="18"/>
                        <w:lang w:val="en-US" w:eastAsia="zh-CN" w:bidi="ar-SA"/>
                      </w:rPr>
                    </w:pP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1091BB">
    <w:pPr>
      <w:widowControl w:val="0"/>
      <w:snapToGrid w:val="0"/>
      <w:jc w:val="left"/>
      <w:rPr>
        <w:rFonts w:ascii="Times New Roman" w:hAnsi="Times New Roman" w:eastAsia="宋体" w:cs="Times New Roman"/>
        <w:kern w:val="2"/>
        <w:sz w:val="18"/>
        <w:szCs w:val="18"/>
        <w:lang w:val="en-US" w:eastAsia="zh-CN" w:bidi="ar-SA"/>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9125A2">
                          <w:pPr>
                            <w:pStyle w:val="15"/>
                          </w:pPr>
                          <w:r>
                            <w:fldChar w:fldCharType="begin"/>
                          </w:r>
                          <w:r>
                            <w:instrText xml:space="preserve"> PAGE  \* MERGEFORMAT </w:instrText>
                          </w:r>
                          <w:r>
                            <w:fldChar w:fldCharType="separate"/>
                          </w:r>
                          <w:r>
                            <w:t>- 67 -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89125A2">
                    <w:pPr>
                      <w:pStyle w:val="15"/>
                    </w:pPr>
                    <w:r>
                      <w:fldChar w:fldCharType="begin"/>
                    </w:r>
                    <w:r>
                      <w:instrText xml:space="preserve"> PAGE  \* MERGEFORMAT </w:instrText>
                    </w:r>
                    <w:r>
                      <w:fldChar w:fldCharType="separate"/>
                    </w:r>
                    <w:r>
                      <w:t>- 67 -</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47EBE">
    <w:pPr>
      <w:widowControl w:val="0"/>
      <w:snapToGrid w:val="0"/>
      <w:jc w:val="center"/>
      <w:rPr>
        <w:rFonts w:ascii="宋体" w:hAnsi="宋体" w:eastAsia="宋体" w:cs="Times New Roman"/>
        <w:kern w:val="2"/>
        <w:sz w:val="24"/>
        <w:szCs w:val="24"/>
        <w:lang w:val="en-US" w:eastAsia="zh-CN" w:bidi="ar-SA"/>
      </w:rPr>
    </w:pPr>
    <w:r>
      <w:rPr>
        <w:sz w:val="24"/>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2BEF04">
                          <w:pPr>
                            <w:pStyle w:val="15"/>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02BEF04">
                    <w:pPr>
                      <w:pStyle w:val="15"/>
                    </w:pPr>
                    <w:r>
                      <w:fldChar w:fldCharType="begin"/>
                    </w:r>
                    <w:r>
                      <w:instrText xml:space="preserve"> PAGE  \* MERGEFORMAT </w:instrText>
                    </w:r>
                    <w:r>
                      <w:fldChar w:fldCharType="separate"/>
                    </w:r>
                    <w:r>
                      <w:t>- 1 -</w:t>
                    </w:r>
                    <w:r>
                      <w:fldChar w:fldCharType="end"/>
                    </w:r>
                  </w:p>
                </w:txbxContent>
              </v:textbox>
            </v:shape>
          </w:pict>
        </mc:Fallback>
      </mc:AlternateContent>
    </w:r>
    <w:r>
      <w:rPr>
        <w:rFonts w:ascii="Times New Roman" w:hAnsi="Times New Roman" w:eastAsia="宋体" w:cs="Times New Roman"/>
        <w:kern w:val="2"/>
        <w:sz w:val="24"/>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AF14175">
                          <w:pPr>
                            <w:widowControl w:val="0"/>
                            <w:snapToGrid w:val="0"/>
                            <w:jc w:val="left"/>
                            <w:rPr>
                              <w:rFonts w:ascii="Times New Roman" w:hAnsi="Times New Roman" w:eastAsia="宋体" w:cs="Times New Roman"/>
                              <w:kern w:val="2"/>
                              <w:sz w:val="18"/>
                              <w:szCs w:val="18"/>
                              <w:lang w:val="en-US" w:eastAsia="zh-CN" w:bidi="ar-S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14:paraId="1AF14175">
                    <w:pPr>
                      <w:widowControl w:val="0"/>
                      <w:snapToGrid w:val="0"/>
                      <w:jc w:val="left"/>
                      <w:rPr>
                        <w:rFonts w:ascii="Times New Roman" w:hAnsi="Times New Roman" w:eastAsia="宋体" w:cs="Times New Roman"/>
                        <w:kern w:val="2"/>
                        <w:sz w:val="18"/>
                        <w:szCs w:val="18"/>
                        <w:lang w:val="en-US" w:eastAsia="zh-CN" w:bidi="ar-SA"/>
                      </w:rPr>
                    </w:pP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1463B">
    <w:pPr>
      <w:widowControl w:val="0"/>
      <w:snapToGrid w:val="0"/>
      <w:jc w:val="left"/>
      <w:rPr>
        <w:rFonts w:ascii="Times New Roman" w:hAnsi="Times New Roman" w:eastAsia="宋体" w:cs="Times New Roman"/>
        <w:kern w:val="2"/>
        <w:sz w:val="18"/>
        <w:szCs w:val="18"/>
        <w:lang w:val="en-US" w:eastAsia="zh-CN" w:bidi="ar-SA"/>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44314A">
                          <w:pPr>
                            <w:pStyle w:val="15"/>
                          </w:pPr>
                          <w:r>
                            <w:fldChar w:fldCharType="begin"/>
                          </w:r>
                          <w:r>
                            <w:instrText xml:space="preserve"> PAGE  \* MERGEFORMAT </w:instrText>
                          </w:r>
                          <w:r>
                            <w:fldChar w:fldCharType="separate"/>
                          </w:r>
                          <w:r>
                            <w:t>- 68 -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544314A">
                    <w:pPr>
                      <w:pStyle w:val="15"/>
                    </w:pPr>
                    <w:r>
                      <w:fldChar w:fldCharType="begin"/>
                    </w:r>
                    <w:r>
                      <w:instrText xml:space="preserve"> PAGE  \* MERGEFORMAT </w:instrText>
                    </w:r>
                    <w:r>
                      <w:fldChar w:fldCharType="separate"/>
                    </w:r>
                    <w:r>
                      <w:t>- 68 -</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53DCC">
    <w:pPr>
      <w:widowControl w:val="0"/>
      <w:snapToGrid w:val="0"/>
      <w:jc w:val="center"/>
      <w:rPr>
        <w:rFonts w:ascii="宋体" w:hAnsi="宋体" w:eastAsia="宋体" w:cs="Times New Roman"/>
        <w:kern w:val="2"/>
        <w:sz w:val="24"/>
        <w:szCs w:val="24"/>
        <w:lang w:val="en-US" w:eastAsia="zh-CN" w:bidi="ar-SA"/>
      </w:rPr>
    </w:pPr>
    <w:r>
      <w:rPr>
        <w:sz w:val="24"/>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3D1445">
                          <w:pPr>
                            <w:pStyle w:val="15"/>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F3D1445">
                    <w:pPr>
                      <w:pStyle w:val="15"/>
                    </w:pPr>
                    <w:r>
                      <w:fldChar w:fldCharType="begin"/>
                    </w:r>
                    <w:r>
                      <w:instrText xml:space="preserve"> PAGE  \* MERGEFORMAT </w:instrText>
                    </w:r>
                    <w:r>
                      <w:fldChar w:fldCharType="separate"/>
                    </w:r>
                    <w:r>
                      <w:t>- 1 -</w:t>
                    </w:r>
                    <w:r>
                      <w:fldChar w:fldCharType="end"/>
                    </w:r>
                  </w:p>
                </w:txbxContent>
              </v:textbox>
            </v:shape>
          </w:pict>
        </mc:Fallback>
      </mc:AlternateContent>
    </w:r>
    <w:r>
      <w:rPr>
        <w:rFonts w:ascii="Times New Roman" w:hAnsi="Times New Roman" w:eastAsia="宋体" w:cs="Times New Roman"/>
        <w:kern w:val="2"/>
        <w:sz w:val="24"/>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73B394C">
                          <w:pPr>
                            <w:widowControl w:val="0"/>
                            <w:snapToGrid w:val="0"/>
                            <w:jc w:val="left"/>
                            <w:rPr>
                              <w:rFonts w:ascii="Times New Roman" w:hAnsi="Times New Roman" w:eastAsia="宋体" w:cs="Times New Roman"/>
                              <w:kern w:val="2"/>
                              <w:sz w:val="18"/>
                              <w:szCs w:val="18"/>
                              <w:lang w:val="en-US" w:eastAsia="zh-CN" w:bidi="ar-S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xjdksgBAACb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VhS4rjFiV9+/rj8+nP5/Z2g&#10;DwXqA9SYdx8wMw3v/IDJsx/QmXkPKtr8RUYE4yjv+SqvHBIR+dF6tV5XGBIYmy+Izx6ehwjpvfSW&#10;ZKOhEedXZOWnj5DG1DklV3P+ThtTZmjcPw7EzB6Wex97zFYa9sNEaO/bM/LpcfQNdbjplJgPDpXN&#10;WzIbcTb2s3EMUR+6ska5HoTbY8ImSm+5wgg7FcaZFXbTfuWleHwvWQ//1PY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cY3ZLIAQAAmwMAAA4AAAAAAAAAAQAgAAAAHgEAAGRycy9lMm9Eb2Mu&#10;eG1sUEsFBgAAAAAGAAYAWQEAAFgFAAAAAA==&#10;">
              <v:fill on="f" focussize="0,0"/>
              <v:stroke on="f"/>
              <v:imagedata o:title=""/>
              <o:lock v:ext="edit" aspectratio="f"/>
              <v:textbox inset="0mm,0mm,0mm,0mm" style="mso-fit-shape-to-text:t;">
                <w:txbxContent>
                  <w:p w14:paraId="573B394C">
                    <w:pPr>
                      <w:widowControl w:val="0"/>
                      <w:snapToGrid w:val="0"/>
                      <w:jc w:val="left"/>
                      <w:rPr>
                        <w:rFonts w:ascii="Times New Roman" w:hAnsi="Times New Roman" w:eastAsia="宋体" w:cs="Times New Roman"/>
                        <w:kern w:val="2"/>
                        <w:sz w:val="18"/>
                        <w:szCs w:val="18"/>
                        <w:lang w:val="en-US" w:eastAsia="zh-CN" w:bidi="ar-SA"/>
                      </w:rPr>
                    </w:pP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65C0C">
    <w:pPr>
      <w:widowControl w:val="0"/>
      <w:snapToGrid w:val="0"/>
      <w:jc w:val="left"/>
      <w:rPr>
        <w:rFonts w:ascii="Times New Roman" w:hAnsi="Times New Roman" w:eastAsia="宋体" w:cs="Times New Roman"/>
        <w:kern w:val="2"/>
        <w:sz w:val="18"/>
        <w:szCs w:val="18"/>
        <w:lang w:val="en-US" w:eastAsia="zh-CN" w:bidi="ar-SA"/>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957D96">
                          <w:pPr>
                            <w:pStyle w:val="15"/>
                          </w:pPr>
                          <w:r>
                            <w:fldChar w:fldCharType="begin"/>
                          </w:r>
                          <w:r>
                            <w:instrText xml:space="preserve"> PAGE  \* MERGEFORMAT </w:instrText>
                          </w:r>
                          <w:r>
                            <w:fldChar w:fldCharType="separate"/>
                          </w:r>
                          <w:r>
                            <w:t>- 69 -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1A957D96">
                    <w:pPr>
                      <w:pStyle w:val="15"/>
                    </w:pPr>
                    <w:r>
                      <w:fldChar w:fldCharType="begin"/>
                    </w:r>
                    <w:r>
                      <w:instrText xml:space="preserve"> PAGE  \* MERGEFORMAT </w:instrText>
                    </w:r>
                    <w:r>
                      <w:fldChar w:fldCharType="separate"/>
                    </w:r>
                    <w:r>
                      <w:t>- 69 -</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2E802">
    <w:pPr>
      <w:pStyle w:val="15"/>
      <w:rPr>
        <w:rStyle w:val="26"/>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F3F676">
                          <w:pPr>
                            <w:pStyle w:val="15"/>
                          </w:pPr>
                          <w:r>
                            <w:fldChar w:fldCharType="begin"/>
                          </w:r>
                          <w:r>
                            <w:instrText xml:space="preserve"> PAGE  \* MERGEFORMAT </w:instrText>
                          </w:r>
                          <w:r>
                            <w:fldChar w:fldCharType="separate"/>
                          </w:r>
                          <w:r>
                            <w:t>- 70 -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CF3F676">
                    <w:pPr>
                      <w:pStyle w:val="15"/>
                    </w:pPr>
                    <w:r>
                      <w:fldChar w:fldCharType="begin"/>
                    </w:r>
                    <w:r>
                      <w:instrText xml:space="preserve"> PAGE  \* MERGEFORMAT </w:instrText>
                    </w:r>
                    <w:r>
                      <w:fldChar w:fldCharType="separate"/>
                    </w:r>
                    <w:r>
                      <w:t>- 70 -</w:t>
                    </w:r>
                    <w:r>
                      <w:fldChar w:fldCharType="end"/>
                    </w:r>
                  </w:p>
                </w:txbxContent>
              </v:textbox>
            </v:shape>
          </w:pict>
        </mc:Fallback>
      </mc:AlternateContent>
    </w:r>
  </w:p>
  <w:p w14:paraId="6A4EFA53">
    <w:pPr>
      <w:pStyle w:val="15"/>
      <w:ind w:right="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81606B">
    <w:pPr>
      <w:pStyle w:val="16"/>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260F3">
    <w:pPr>
      <w:pStyle w:val="16"/>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DA4FEA">
    <w:pPr>
      <w:pStyle w:val="16"/>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69BE89"/>
    <w:multiLevelType w:val="singleLevel"/>
    <w:tmpl w:val="B269BE89"/>
    <w:lvl w:ilvl="0" w:tentative="0">
      <w:start w:val="1"/>
      <w:numFmt w:val="decimal"/>
      <w:suff w:val="nothing"/>
      <w:lvlText w:val="（%1）"/>
      <w:lvlJc w:val="left"/>
    </w:lvl>
  </w:abstractNum>
  <w:abstractNum w:abstractNumId="1">
    <w:nsid w:val="0000000D"/>
    <w:multiLevelType w:val="multilevel"/>
    <w:tmpl w:val="0000000D"/>
    <w:lvl w:ilvl="0" w:tentative="0">
      <w:start w:val="1"/>
      <w:numFmt w:val="japaneseCounting"/>
      <w:lvlText w:val="第%1条"/>
      <w:lvlJc w:val="left"/>
      <w:pPr>
        <w:tabs>
          <w:tab w:val="left" w:pos="1395"/>
        </w:tabs>
        <w:ind w:left="1395" w:hanging="855"/>
      </w:pPr>
      <w:rPr>
        <w:rFonts w:hint="eastAsia"/>
      </w:rPr>
    </w:lvl>
    <w:lvl w:ilvl="1" w:tentative="0">
      <w:start w:val="1"/>
      <w:numFmt w:val="japaneseCounting"/>
      <w:lvlText w:val="（%2）"/>
      <w:lvlJc w:val="left"/>
      <w:pPr>
        <w:tabs>
          <w:tab w:val="left" w:pos="1680"/>
        </w:tabs>
        <w:ind w:left="1680" w:hanging="720"/>
      </w:pPr>
      <w:rPr>
        <w:rFonts w:hint="eastAsia"/>
      </w:rPr>
    </w:lvl>
    <w:lvl w:ilvl="2" w:tentative="0">
      <w:start w:val="1"/>
      <w:numFmt w:val="lowerRoman"/>
      <w:lvlText w:val="%3."/>
      <w:lvlJc w:val="right"/>
      <w:pPr>
        <w:tabs>
          <w:tab w:val="left" w:pos="1800"/>
        </w:tabs>
        <w:ind w:left="1800" w:hanging="420"/>
      </w:pPr>
    </w:lvl>
    <w:lvl w:ilvl="3" w:tentative="0">
      <w:start w:val="1"/>
      <w:numFmt w:val="decimal"/>
      <w:lvlText w:val="%4."/>
      <w:lvlJc w:val="left"/>
      <w:pPr>
        <w:tabs>
          <w:tab w:val="left" w:pos="2220"/>
        </w:tabs>
        <w:ind w:left="2220" w:hanging="420"/>
      </w:pPr>
    </w:lvl>
    <w:lvl w:ilvl="4" w:tentative="0">
      <w:start w:val="1"/>
      <w:numFmt w:val="lowerLetter"/>
      <w:lvlText w:val="%5)"/>
      <w:lvlJc w:val="left"/>
      <w:pPr>
        <w:tabs>
          <w:tab w:val="left" w:pos="2640"/>
        </w:tabs>
        <w:ind w:left="2640" w:hanging="420"/>
      </w:pPr>
    </w:lvl>
    <w:lvl w:ilvl="5" w:tentative="0">
      <w:start w:val="1"/>
      <w:numFmt w:val="lowerRoman"/>
      <w:lvlText w:val="%6."/>
      <w:lvlJc w:val="right"/>
      <w:pPr>
        <w:tabs>
          <w:tab w:val="left" w:pos="3060"/>
        </w:tabs>
        <w:ind w:left="3060" w:hanging="420"/>
      </w:pPr>
    </w:lvl>
    <w:lvl w:ilvl="6" w:tentative="0">
      <w:start w:val="1"/>
      <w:numFmt w:val="decimal"/>
      <w:lvlText w:val="%7."/>
      <w:lvlJc w:val="left"/>
      <w:pPr>
        <w:tabs>
          <w:tab w:val="left" w:pos="3480"/>
        </w:tabs>
        <w:ind w:left="3480" w:hanging="420"/>
      </w:pPr>
    </w:lvl>
    <w:lvl w:ilvl="7" w:tentative="0">
      <w:start w:val="1"/>
      <w:numFmt w:val="lowerLetter"/>
      <w:lvlText w:val="%8)"/>
      <w:lvlJc w:val="left"/>
      <w:pPr>
        <w:tabs>
          <w:tab w:val="left" w:pos="3900"/>
        </w:tabs>
        <w:ind w:left="3900" w:hanging="420"/>
      </w:pPr>
    </w:lvl>
    <w:lvl w:ilvl="8" w:tentative="0">
      <w:start w:val="1"/>
      <w:numFmt w:val="lowerRoman"/>
      <w:lvlText w:val="%9."/>
      <w:lvlJc w:val="right"/>
      <w:pPr>
        <w:tabs>
          <w:tab w:val="left" w:pos="4320"/>
        </w:tabs>
        <w:ind w:left="4320" w:hanging="420"/>
      </w:pPr>
    </w:lvl>
  </w:abstractNum>
  <w:abstractNum w:abstractNumId="2">
    <w:nsid w:val="0000001A"/>
    <w:multiLevelType w:val="multilevel"/>
    <w:tmpl w:val="0000001A"/>
    <w:lvl w:ilvl="0" w:tentative="0">
      <w:start w:val="1"/>
      <w:numFmt w:val="decimal"/>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pStyle w:val="38"/>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3">
    <w:nsid w:val="0432147A"/>
    <w:multiLevelType w:val="singleLevel"/>
    <w:tmpl w:val="0432147A"/>
    <w:lvl w:ilvl="0" w:tentative="0">
      <w:start w:val="1"/>
      <w:numFmt w:val="decimal"/>
      <w:lvlText w:val="%1."/>
      <w:lvlJc w:val="left"/>
      <w:pPr>
        <w:tabs>
          <w:tab w:val="left" w:pos="312"/>
        </w:tabs>
        <w:ind w:left="-482"/>
      </w:pPr>
    </w:lvl>
  </w:abstractNum>
  <w:abstractNum w:abstractNumId="4">
    <w:nsid w:val="2FB431DB"/>
    <w:multiLevelType w:val="singleLevel"/>
    <w:tmpl w:val="2FB431DB"/>
    <w:lvl w:ilvl="0" w:tentative="0">
      <w:start w:val="5"/>
      <w:numFmt w:val="chineseCounting"/>
      <w:suff w:val="space"/>
      <w:lvlText w:val="第%1章"/>
      <w:lvlJc w:val="left"/>
      <w:rPr>
        <w:rFonts w:hint="eastAsia"/>
      </w:rPr>
    </w:lvl>
  </w:abstractNum>
  <w:abstractNum w:abstractNumId="5">
    <w:nsid w:val="4CA46F2E"/>
    <w:multiLevelType w:val="multilevel"/>
    <w:tmpl w:val="4CA46F2E"/>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pStyle w:val="7"/>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6">
    <w:nsid w:val="5677FF43"/>
    <w:multiLevelType w:val="singleLevel"/>
    <w:tmpl w:val="5677FF43"/>
    <w:lvl w:ilvl="0" w:tentative="0">
      <w:start w:val="1"/>
      <w:numFmt w:val="chineseCounting"/>
      <w:suff w:val="nothing"/>
      <w:lvlText w:val="（%1）"/>
      <w:lvlJc w:val="left"/>
      <w:pPr>
        <w:ind w:left="0" w:firstLine="420"/>
      </w:pPr>
      <w:rPr>
        <w:rFonts w:hint="eastAsia"/>
      </w:rPr>
    </w:lvl>
  </w:abstractNum>
  <w:abstractNum w:abstractNumId="7">
    <w:nsid w:val="5C66DF77"/>
    <w:multiLevelType w:val="singleLevel"/>
    <w:tmpl w:val="5C66DF77"/>
    <w:lvl w:ilvl="0" w:tentative="0">
      <w:start w:val="1"/>
      <w:numFmt w:val="decimal"/>
      <w:suff w:val="nothing"/>
      <w:lvlText w:val="%1、"/>
      <w:lvlJc w:val="left"/>
    </w:lvl>
  </w:abstractNum>
  <w:abstractNum w:abstractNumId="8">
    <w:nsid w:val="5D3C7342"/>
    <w:multiLevelType w:val="singleLevel"/>
    <w:tmpl w:val="5D3C7342"/>
    <w:lvl w:ilvl="0" w:tentative="0">
      <w:start w:val="1"/>
      <w:numFmt w:val="chineseCounting"/>
      <w:suff w:val="nothing"/>
      <w:lvlText w:val="%1、"/>
      <w:lvlJc w:val="left"/>
      <w:rPr>
        <w:rFonts w:hint="eastAsia"/>
      </w:rPr>
    </w:lvl>
  </w:abstractNum>
  <w:abstractNum w:abstractNumId="9">
    <w:nsid w:val="6D0043AC"/>
    <w:multiLevelType w:val="multilevel"/>
    <w:tmpl w:val="6D0043AC"/>
    <w:lvl w:ilvl="0" w:tentative="0">
      <w:start w:val="1"/>
      <w:numFmt w:val="chineseCounting"/>
      <w:suff w:val="nothing"/>
      <w:lvlText w:val="（%1）"/>
      <w:lvlJc w:val="left"/>
      <w:pPr>
        <w:ind w:left="-120" w:firstLine="400"/>
      </w:pPr>
      <w:rPr>
        <w:rFonts w:hint="eastAsia"/>
      </w:rPr>
    </w:lvl>
    <w:lvl w:ilvl="1" w:tentative="0">
      <w:start w:val="1"/>
      <w:numFmt w:val="decimal"/>
      <w:suff w:val="nothing"/>
      <w:lvlText w:val="%2．"/>
      <w:lvlJc w:val="left"/>
      <w:pPr>
        <w:ind w:left="-120" w:firstLine="400"/>
      </w:pPr>
      <w:rPr>
        <w:rFonts w:hint="eastAsia"/>
      </w:rPr>
    </w:lvl>
    <w:lvl w:ilvl="2" w:tentative="0">
      <w:start w:val="1"/>
      <w:numFmt w:val="decimal"/>
      <w:suff w:val="nothing"/>
      <w:lvlText w:val="（%3）"/>
      <w:lvlJc w:val="left"/>
      <w:pPr>
        <w:ind w:left="-120" w:firstLine="402"/>
      </w:pPr>
      <w:rPr>
        <w:rFonts w:hint="eastAsia"/>
      </w:rPr>
    </w:lvl>
    <w:lvl w:ilvl="3" w:tentative="0">
      <w:start w:val="1"/>
      <w:numFmt w:val="decimalEnclosedCircleChinese"/>
      <w:suff w:val="nothing"/>
      <w:lvlText w:val="%4 "/>
      <w:lvlJc w:val="left"/>
      <w:pPr>
        <w:ind w:left="-120" w:firstLine="402"/>
      </w:pPr>
      <w:rPr>
        <w:rFonts w:hint="eastAsia"/>
      </w:rPr>
    </w:lvl>
    <w:lvl w:ilvl="4" w:tentative="0">
      <w:start w:val="1"/>
      <w:numFmt w:val="decimal"/>
      <w:suff w:val="nothing"/>
      <w:lvlText w:val="%5）"/>
      <w:lvlJc w:val="left"/>
      <w:pPr>
        <w:ind w:left="-120" w:firstLine="402"/>
      </w:pPr>
      <w:rPr>
        <w:rFonts w:hint="eastAsia"/>
      </w:rPr>
    </w:lvl>
    <w:lvl w:ilvl="5" w:tentative="0">
      <w:start w:val="1"/>
      <w:numFmt w:val="upperLetter"/>
      <w:suff w:val="nothing"/>
      <w:lvlText w:val="%6．"/>
      <w:lvlJc w:val="left"/>
      <w:pPr>
        <w:ind w:left="-120" w:firstLine="402"/>
      </w:pPr>
      <w:rPr>
        <w:rFonts w:hint="eastAsia"/>
      </w:rPr>
    </w:lvl>
    <w:lvl w:ilvl="6" w:tentative="0">
      <w:start w:val="1"/>
      <w:numFmt w:val="lowerLetter"/>
      <w:suff w:val="nothing"/>
      <w:lvlText w:val="%7．"/>
      <w:lvlJc w:val="left"/>
      <w:pPr>
        <w:ind w:left="-120" w:firstLine="402"/>
      </w:pPr>
      <w:rPr>
        <w:rFonts w:hint="eastAsia"/>
      </w:rPr>
    </w:lvl>
    <w:lvl w:ilvl="7" w:tentative="0">
      <w:start w:val="1"/>
      <w:numFmt w:val="lowerLetter"/>
      <w:suff w:val="nothing"/>
      <w:lvlText w:val="%8）"/>
      <w:lvlJc w:val="left"/>
      <w:pPr>
        <w:ind w:left="-120" w:firstLine="402"/>
      </w:pPr>
      <w:rPr>
        <w:rFonts w:hint="eastAsia"/>
      </w:rPr>
    </w:lvl>
    <w:lvl w:ilvl="8" w:tentative="0">
      <w:start w:val="1"/>
      <w:numFmt w:val="lowerRoman"/>
      <w:suff w:val="nothing"/>
      <w:lvlText w:val="%9．"/>
      <w:lvlJc w:val="left"/>
      <w:pPr>
        <w:ind w:left="-120" w:firstLine="402"/>
      </w:pPr>
      <w:rPr>
        <w:rFonts w:hint="eastAsia"/>
      </w:rPr>
    </w:lvl>
  </w:abstractNum>
  <w:num w:numId="1">
    <w:abstractNumId w:val="5"/>
  </w:num>
  <w:num w:numId="2">
    <w:abstractNumId w:val="2"/>
  </w:num>
  <w:num w:numId="3">
    <w:abstractNumId w:val="8"/>
  </w:num>
  <w:num w:numId="4">
    <w:abstractNumId w:val="9"/>
  </w:num>
  <w:num w:numId="5">
    <w:abstractNumId w:val="7"/>
  </w:num>
  <w:num w:numId="6">
    <w:abstractNumId w:val="3"/>
  </w:num>
  <w:num w:numId="7">
    <w:abstractNumId w:val="0"/>
  </w:num>
  <w:num w:numId="8">
    <w:abstractNumId w:val="4"/>
  </w:num>
  <w:num w:numId="9">
    <w:abstractNumId w:val="1"/>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wMzdlMDU1MTc1YzQ3NzExMmIxNTAyNDE2NzA4MjgifQ=="/>
  </w:docVars>
  <w:rsids>
    <w:rsidRoot w:val="00172A27"/>
    <w:rsid w:val="00583020"/>
    <w:rsid w:val="010D7238"/>
    <w:rsid w:val="012B77EA"/>
    <w:rsid w:val="015F13C1"/>
    <w:rsid w:val="0177710C"/>
    <w:rsid w:val="02436EBD"/>
    <w:rsid w:val="024A0BB7"/>
    <w:rsid w:val="02763BF2"/>
    <w:rsid w:val="02D21482"/>
    <w:rsid w:val="02E6783D"/>
    <w:rsid w:val="03AC7D7B"/>
    <w:rsid w:val="04331220"/>
    <w:rsid w:val="051A3BCD"/>
    <w:rsid w:val="05C05CF6"/>
    <w:rsid w:val="06377F63"/>
    <w:rsid w:val="06A502D4"/>
    <w:rsid w:val="07A45B5F"/>
    <w:rsid w:val="081C745E"/>
    <w:rsid w:val="085D569E"/>
    <w:rsid w:val="08EB2EA8"/>
    <w:rsid w:val="0A526475"/>
    <w:rsid w:val="0AB209BB"/>
    <w:rsid w:val="0B0F02DA"/>
    <w:rsid w:val="0BCB7F89"/>
    <w:rsid w:val="0C2165E3"/>
    <w:rsid w:val="0C8502EF"/>
    <w:rsid w:val="0C88117F"/>
    <w:rsid w:val="0C93193C"/>
    <w:rsid w:val="0CE53CF6"/>
    <w:rsid w:val="0D1224ED"/>
    <w:rsid w:val="0D223199"/>
    <w:rsid w:val="0DAD308A"/>
    <w:rsid w:val="0E1862E9"/>
    <w:rsid w:val="0EC20314"/>
    <w:rsid w:val="1056383C"/>
    <w:rsid w:val="10EC436F"/>
    <w:rsid w:val="11353257"/>
    <w:rsid w:val="12455008"/>
    <w:rsid w:val="135A334F"/>
    <w:rsid w:val="136971BE"/>
    <w:rsid w:val="13C80904"/>
    <w:rsid w:val="13F504B8"/>
    <w:rsid w:val="13FE3F32"/>
    <w:rsid w:val="15197EAA"/>
    <w:rsid w:val="15823A5C"/>
    <w:rsid w:val="15EF7F09"/>
    <w:rsid w:val="15F84F9C"/>
    <w:rsid w:val="166A51D2"/>
    <w:rsid w:val="170067F1"/>
    <w:rsid w:val="17116093"/>
    <w:rsid w:val="17D4149E"/>
    <w:rsid w:val="181233DC"/>
    <w:rsid w:val="183047A4"/>
    <w:rsid w:val="187D188E"/>
    <w:rsid w:val="18E65BAD"/>
    <w:rsid w:val="18ED3174"/>
    <w:rsid w:val="190C09AE"/>
    <w:rsid w:val="192F32C4"/>
    <w:rsid w:val="19337554"/>
    <w:rsid w:val="19E03E83"/>
    <w:rsid w:val="1A11228E"/>
    <w:rsid w:val="1ABE6C88"/>
    <w:rsid w:val="1B606B59"/>
    <w:rsid w:val="1B7045B6"/>
    <w:rsid w:val="1C694603"/>
    <w:rsid w:val="1CE93CFC"/>
    <w:rsid w:val="1D807E78"/>
    <w:rsid w:val="1EEE2B9E"/>
    <w:rsid w:val="1F1C491F"/>
    <w:rsid w:val="1F1D4D1C"/>
    <w:rsid w:val="1F881CBA"/>
    <w:rsid w:val="1F933745"/>
    <w:rsid w:val="2010511B"/>
    <w:rsid w:val="203B62B7"/>
    <w:rsid w:val="206A2A53"/>
    <w:rsid w:val="20722BFF"/>
    <w:rsid w:val="21DE620F"/>
    <w:rsid w:val="21E34037"/>
    <w:rsid w:val="21F00A22"/>
    <w:rsid w:val="224F429B"/>
    <w:rsid w:val="227B6E3E"/>
    <w:rsid w:val="22A918EC"/>
    <w:rsid w:val="240B1533"/>
    <w:rsid w:val="24B73DC5"/>
    <w:rsid w:val="256B319A"/>
    <w:rsid w:val="25E8525A"/>
    <w:rsid w:val="26D529D9"/>
    <w:rsid w:val="27113936"/>
    <w:rsid w:val="27474405"/>
    <w:rsid w:val="274C4E3B"/>
    <w:rsid w:val="27B638A0"/>
    <w:rsid w:val="27C546B8"/>
    <w:rsid w:val="29127DD1"/>
    <w:rsid w:val="292F0982"/>
    <w:rsid w:val="294C22C4"/>
    <w:rsid w:val="29A847B2"/>
    <w:rsid w:val="29EB0C54"/>
    <w:rsid w:val="29F403B2"/>
    <w:rsid w:val="2ABF5AFC"/>
    <w:rsid w:val="2AC034E2"/>
    <w:rsid w:val="2B182578"/>
    <w:rsid w:val="2BE24B7B"/>
    <w:rsid w:val="2CC17FD7"/>
    <w:rsid w:val="2CC33475"/>
    <w:rsid w:val="2E8B5A20"/>
    <w:rsid w:val="2EBE635C"/>
    <w:rsid w:val="2F3B396E"/>
    <w:rsid w:val="2F8628AA"/>
    <w:rsid w:val="2FF715AD"/>
    <w:rsid w:val="3018325F"/>
    <w:rsid w:val="312A3418"/>
    <w:rsid w:val="31597BEF"/>
    <w:rsid w:val="3254500F"/>
    <w:rsid w:val="32814191"/>
    <w:rsid w:val="32B325CC"/>
    <w:rsid w:val="33633282"/>
    <w:rsid w:val="338D4C23"/>
    <w:rsid w:val="33A5364E"/>
    <w:rsid w:val="33E54F7B"/>
    <w:rsid w:val="342C1FEC"/>
    <w:rsid w:val="34496E1F"/>
    <w:rsid w:val="34667C9A"/>
    <w:rsid w:val="35ED7262"/>
    <w:rsid w:val="365B0C19"/>
    <w:rsid w:val="36CD0C57"/>
    <w:rsid w:val="36F81E5E"/>
    <w:rsid w:val="37550D16"/>
    <w:rsid w:val="37941807"/>
    <w:rsid w:val="37A44758"/>
    <w:rsid w:val="37AF373B"/>
    <w:rsid w:val="38406154"/>
    <w:rsid w:val="39B01A12"/>
    <w:rsid w:val="3A974381"/>
    <w:rsid w:val="3AA840F1"/>
    <w:rsid w:val="3C383E08"/>
    <w:rsid w:val="3D1E2EE0"/>
    <w:rsid w:val="3EBD1FCD"/>
    <w:rsid w:val="3EDF285C"/>
    <w:rsid w:val="408C2FC1"/>
    <w:rsid w:val="413B6E60"/>
    <w:rsid w:val="41A1116B"/>
    <w:rsid w:val="41E339B1"/>
    <w:rsid w:val="42C62BE3"/>
    <w:rsid w:val="42D124ED"/>
    <w:rsid w:val="42E06BC9"/>
    <w:rsid w:val="42E44134"/>
    <w:rsid w:val="4332537D"/>
    <w:rsid w:val="43AF64F0"/>
    <w:rsid w:val="43B84453"/>
    <w:rsid w:val="44021F12"/>
    <w:rsid w:val="4416656F"/>
    <w:rsid w:val="44A973E3"/>
    <w:rsid w:val="45414ABB"/>
    <w:rsid w:val="45E138F4"/>
    <w:rsid w:val="45F839FF"/>
    <w:rsid w:val="464D63DF"/>
    <w:rsid w:val="467D4765"/>
    <w:rsid w:val="46B2474E"/>
    <w:rsid w:val="47417453"/>
    <w:rsid w:val="47AA14A8"/>
    <w:rsid w:val="49105D6E"/>
    <w:rsid w:val="496F7460"/>
    <w:rsid w:val="49B26BEE"/>
    <w:rsid w:val="4AB4084F"/>
    <w:rsid w:val="4AD02541"/>
    <w:rsid w:val="4AD848CB"/>
    <w:rsid w:val="4BAC11EB"/>
    <w:rsid w:val="4C7038B3"/>
    <w:rsid w:val="4D16313C"/>
    <w:rsid w:val="4D682655"/>
    <w:rsid w:val="50755012"/>
    <w:rsid w:val="50F814D6"/>
    <w:rsid w:val="53C53B50"/>
    <w:rsid w:val="54135BB0"/>
    <w:rsid w:val="54A66655"/>
    <w:rsid w:val="56807A85"/>
    <w:rsid w:val="57A6190D"/>
    <w:rsid w:val="57BF3573"/>
    <w:rsid w:val="57EA148D"/>
    <w:rsid w:val="582E3169"/>
    <w:rsid w:val="58942407"/>
    <w:rsid w:val="58A04249"/>
    <w:rsid w:val="58BD4DB3"/>
    <w:rsid w:val="58FA6008"/>
    <w:rsid w:val="595A4FF4"/>
    <w:rsid w:val="597E6E9B"/>
    <w:rsid w:val="59F9006D"/>
    <w:rsid w:val="5A87261F"/>
    <w:rsid w:val="5A881453"/>
    <w:rsid w:val="5B8411B1"/>
    <w:rsid w:val="5BC83646"/>
    <w:rsid w:val="5C052CF9"/>
    <w:rsid w:val="5C70509F"/>
    <w:rsid w:val="5F2A7448"/>
    <w:rsid w:val="5F931CE8"/>
    <w:rsid w:val="5FA64ABC"/>
    <w:rsid w:val="5FB6590E"/>
    <w:rsid w:val="5FC83CC4"/>
    <w:rsid w:val="610504CE"/>
    <w:rsid w:val="61314591"/>
    <w:rsid w:val="61440E84"/>
    <w:rsid w:val="61702784"/>
    <w:rsid w:val="61935EEC"/>
    <w:rsid w:val="623001BD"/>
    <w:rsid w:val="624A1522"/>
    <w:rsid w:val="626B153D"/>
    <w:rsid w:val="626E5A20"/>
    <w:rsid w:val="62A712A4"/>
    <w:rsid w:val="63B91493"/>
    <w:rsid w:val="63CB6DD7"/>
    <w:rsid w:val="63ED479F"/>
    <w:rsid w:val="64054FC2"/>
    <w:rsid w:val="64167D58"/>
    <w:rsid w:val="64CD1F2E"/>
    <w:rsid w:val="65000502"/>
    <w:rsid w:val="651959C6"/>
    <w:rsid w:val="6548526C"/>
    <w:rsid w:val="6554435A"/>
    <w:rsid w:val="665E1155"/>
    <w:rsid w:val="66D032CA"/>
    <w:rsid w:val="670D6F06"/>
    <w:rsid w:val="673B631A"/>
    <w:rsid w:val="678B4153"/>
    <w:rsid w:val="67CA1197"/>
    <w:rsid w:val="685C7E37"/>
    <w:rsid w:val="68BF1511"/>
    <w:rsid w:val="69037E08"/>
    <w:rsid w:val="69D53E8F"/>
    <w:rsid w:val="6A36609C"/>
    <w:rsid w:val="6BD232A0"/>
    <w:rsid w:val="6C3E49D2"/>
    <w:rsid w:val="6CA94EA8"/>
    <w:rsid w:val="6D4D51EA"/>
    <w:rsid w:val="6D9E0C69"/>
    <w:rsid w:val="6DAA71A8"/>
    <w:rsid w:val="6DD860C8"/>
    <w:rsid w:val="6E2E4E0D"/>
    <w:rsid w:val="6E8B0207"/>
    <w:rsid w:val="6F644F7E"/>
    <w:rsid w:val="6F86081D"/>
    <w:rsid w:val="6F95109A"/>
    <w:rsid w:val="703603A6"/>
    <w:rsid w:val="703A6198"/>
    <w:rsid w:val="706A28AB"/>
    <w:rsid w:val="71AD2323"/>
    <w:rsid w:val="72E91436"/>
    <w:rsid w:val="7443040B"/>
    <w:rsid w:val="74B7294F"/>
    <w:rsid w:val="74C21443"/>
    <w:rsid w:val="752411C2"/>
    <w:rsid w:val="75736ACE"/>
    <w:rsid w:val="75F406CA"/>
    <w:rsid w:val="76BB4F70"/>
    <w:rsid w:val="771220D8"/>
    <w:rsid w:val="77777A8E"/>
    <w:rsid w:val="788C68B6"/>
    <w:rsid w:val="789B61E6"/>
    <w:rsid w:val="78DA18D4"/>
    <w:rsid w:val="78FB6C3F"/>
    <w:rsid w:val="7AAC6879"/>
    <w:rsid w:val="7B5C3B71"/>
    <w:rsid w:val="7B8C7B5C"/>
    <w:rsid w:val="7C113B85"/>
    <w:rsid w:val="7C1E4EF2"/>
    <w:rsid w:val="7C816A99"/>
    <w:rsid w:val="7CDD27D9"/>
    <w:rsid w:val="7CF67CAA"/>
    <w:rsid w:val="7D284642"/>
    <w:rsid w:val="7E4338C6"/>
    <w:rsid w:val="7E4E2CD6"/>
    <w:rsid w:val="7F3519FF"/>
    <w:rsid w:val="7F742D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99"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autoRedefine/>
    <w:qFormat/>
    <w:uiPriority w:val="0"/>
    <w:pPr>
      <w:keepNext/>
      <w:spacing w:line="216" w:lineRule="auto"/>
      <w:jc w:val="center"/>
      <w:outlineLvl w:val="0"/>
    </w:pPr>
    <w:rPr>
      <w:rFonts w:ascii="宋体" w:hAnsi="宋体"/>
      <w:b/>
      <w:sz w:val="30"/>
      <w:szCs w:val="20"/>
    </w:rPr>
  </w:style>
  <w:style w:type="paragraph" w:styleId="5">
    <w:name w:val="heading 2"/>
    <w:basedOn w:val="1"/>
    <w:next w:val="1"/>
    <w:autoRedefine/>
    <w:qFormat/>
    <w:uiPriority w:val="0"/>
    <w:pPr>
      <w:keepNext/>
      <w:keepLines/>
      <w:spacing w:before="260" w:beforeLines="0" w:after="260" w:afterLines="0" w:line="413" w:lineRule="auto"/>
      <w:outlineLvl w:val="1"/>
    </w:pPr>
    <w:rPr>
      <w:rFonts w:ascii="Arial" w:hAnsi="Arial" w:eastAsia="黑体"/>
      <w:b/>
      <w:bCs/>
      <w:sz w:val="32"/>
      <w:szCs w:val="32"/>
    </w:rPr>
  </w:style>
  <w:style w:type="paragraph" w:styleId="6">
    <w:name w:val="heading 3"/>
    <w:basedOn w:val="1"/>
    <w:next w:val="1"/>
    <w:autoRedefine/>
    <w:qFormat/>
    <w:uiPriority w:val="0"/>
    <w:pPr>
      <w:keepNext/>
      <w:keepLines/>
      <w:widowControl/>
      <w:tabs>
        <w:tab w:val="left" w:pos="720"/>
      </w:tabs>
      <w:spacing w:before="120" w:after="120" w:line="360" w:lineRule="auto"/>
      <w:ind w:left="720" w:hanging="720"/>
      <w:jc w:val="center"/>
      <w:outlineLvl w:val="2"/>
    </w:pPr>
    <w:rPr>
      <w:b/>
      <w:kern w:val="0"/>
      <w:sz w:val="32"/>
      <w:szCs w:val="20"/>
    </w:rPr>
  </w:style>
  <w:style w:type="paragraph" w:styleId="7">
    <w:name w:val="heading 4"/>
    <w:basedOn w:val="1"/>
    <w:next w:val="1"/>
    <w:autoRedefine/>
    <w:qFormat/>
    <w:uiPriority w:val="9"/>
    <w:pPr>
      <w:keepNext/>
      <w:keepLines/>
      <w:numPr>
        <w:ilvl w:val="3"/>
        <w:numId w:val="1"/>
      </w:numPr>
      <w:outlineLvl w:val="3"/>
    </w:pPr>
    <w:rPr>
      <w:rFonts w:ascii="仿宋" w:hAnsi="仿宋"/>
      <w:sz w:val="28"/>
      <w:szCs w:val="28"/>
    </w:rPr>
  </w:style>
  <w:style w:type="character" w:default="1" w:styleId="25">
    <w:name w:val="Default Paragraph Font"/>
    <w:autoRedefine/>
    <w:semiHidden/>
    <w:qFormat/>
    <w:uiPriority w:val="0"/>
  </w:style>
  <w:style w:type="table" w:default="1" w:styleId="23">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qFormat/>
    <w:uiPriority w:val="0"/>
    <w:rPr>
      <w:rFonts w:ascii="宋体" w:hAnsi="宋体"/>
      <w:sz w:val="28"/>
    </w:rPr>
  </w:style>
  <w:style w:type="paragraph" w:styleId="3">
    <w:name w:val="Body Text First Indent"/>
    <w:basedOn w:val="2"/>
    <w:next w:val="1"/>
    <w:autoRedefine/>
    <w:qFormat/>
    <w:uiPriority w:val="0"/>
    <w:pPr>
      <w:spacing w:line="312" w:lineRule="auto"/>
      <w:ind w:firstLine="420"/>
    </w:pPr>
  </w:style>
  <w:style w:type="paragraph" w:styleId="8">
    <w:name w:val="Normal Indent"/>
    <w:basedOn w:val="1"/>
    <w:autoRedefine/>
    <w:qFormat/>
    <w:uiPriority w:val="0"/>
    <w:pPr>
      <w:ind w:firstLine="420"/>
    </w:pPr>
    <w:rPr>
      <w:szCs w:val="20"/>
    </w:rPr>
  </w:style>
  <w:style w:type="paragraph" w:styleId="9">
    <w:name w:val="toa heading"/>
    <w:basedOn w:val="1"/>
    <w:next w:val="1"/>
    <w:autoRedefine/>
    <w:qFormat/>
    <w:uiPriority w:val="0"/>
    <w:pPr>
      <w:spacing w:before="120"/>
    </w:pPr>
    <w:rPr>
      <w:rFonts w:ascii="Arial" w:hAnsi="Arial"/>
      <w:sz w:val="24"/>
    </w:rPr>
  </w:style>
  <w:style w:type="paragraph" w:styleId="10">
    <w:name w:val="annotation text"/>
    <w:basedOn w:val="1"/>
    <w:autoRedefine/>
    <w:qFormat/>
    <w:uiPriority w:val="0"/>
    <w:pPr>
      <w:jc w:val="left"/>
    </w:pPr>
  </w:style>
  <w:style w:type="paragraph" w:styleId="11">
    <w:name w:val="Body Text Indent"/>
    <w:basedOn w:val="1"/>
    <w:autoRedefine/>
    <w:qFormat/>
    <w:uiPriority w:val="0"/>
    <w:pPr>
      <w:spacing w:line="360" w:lineRule="auto"/>
      <w:ind w:firstLine="600" w:firstLineChars="200"/>
    </w:pPr>
    <w:rPr>
      <w:rFonts w:ascii="仿宋_GB2312" w:hAnsi="宋体" w:eastAsia="仿宋_GB2312"/>
      <w:sz w:val="30"/>
    </w:rPr>
  </w:style>
  <w:style w:type="paragraph" w:styleId="12">
    <w:name w:val="Block Text"/>
    <w:basedOn w:val="1"/>
    <w:autoRedefine/>
    <w:qFormat/>
    <w:uiPriority w:val="0"/>
    <w:pPr>
      <w:spacing w:line="390" w:lineRule="exact"/>
      <w:ind w:left="735" w:right="-296" w:rightChars="-141"/>
    </w:pPr>
    <w:rPr>
      <w:rFonts w:ascii="宋体"/>
    </w:rPr>
  </w:style>
  <w:style w:type="paragraph" w:styleId="13">
    <w:name w:val="Plain Text"/>
    <w:basedOn w:val="1"/>
    <w:autoRedefine/>
    <w:qFormat/>
    <w:uiPriority w:val="0"/>
    <w:rPr>
      <w:rFonts w:ascii="宋体" w:hAnsi="Courier New" w:cs="Courier New"/>
      <w:szCs w:val="21"/>
    </w:rPr>
  </w:style>
  <w:style w:type="paragraph" w:styleId="14">
    <w:name w:val="Date"/>
    <w:basedOn w:val="1"/>
    <w:next w:val="1"/>
    <w:autoRedefine/>
    <w:qFormat/>
    <w:uiPriority w:val="0"/>
    <w:pPr>
      <w:ind w:leftChars="2500"/>
    </w:pPr>
    <w:rPr>
      <w:rFonts w:ascii="Tahoma" w:hAnsi="Tahoma" w:eastAsia="楷体_GB2312"/>
      <w:sz w:val="32"/>
      <w:szCs w:val="20"/>
    </w:rPr>
  </w:style>
  <w:style w:type="paragraph" w:styleId="15">
    <w:name w:val="footer"/>
    <w:basedOn w:val="1"/>
    <w:autoRedefine/>
    <w:qFormat/>
    <w:uiPriority w:val="0"/>
    <w:pPr>
      <w:tabs>
        <w:tab w:val="center" w:pos="4153"/>
        <w:tab w:val="right" w:pos="8306"/>
      </w:tabs>
      <w:snapToGrid w:val="0"/>
      <w:jc w:val="left"/>
    </w:pPr>
    <w:rPr>
      <w:sz w:val="18"/>
      <w:szCs w:val="18"/>
    </w:rPr>
  </w:style>
  <w:style w:type="paragraph" w:styleId="16">
    <w:name w:val="header"/>
    <w:basedOn w:val="1"/>
    <w:autoRedefine/>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kern w:val="0"/>
      <w:sz w:val="18"/>
      <w:szCs w:val="20"/>
    </w:rPr>
  </w:style>
  <w:style w:type="paragraph" w:styleId="17">
    <w:name w:val="Subtitle"/>
    <w:basedOn w:val="1"/>
    <w:next w:val="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18">
    <w:name w:val="toc 6"/>
    <w:basedOn w:val="1"/>
    <w:next w:val="1"/>
    <w:autoRedefine/>
    <w:qFormat/>
    <w:uiPriority w:val="99"/>
    <w:pPr>
      <w:ind w:left="2100" w:leftChars="1000"/>
    </w:pPr>
    <w:rPr>
      <w:rFonts w:ascii="Calibri" w:hAnsi="Calibri"/>
      <w:szCs w:val="22"/>
    </w:rPr>
  </w:style>
  <w:style w:type="paragraph" w:styleId="19">
    <w:name w:val="Body Text Indent 3"/>
    <w:basedOn w:val="1"/>
    <w:autoRedefine/>
    <w:qFormat/>
    <w:uiPriority w:val="99"/>
    <w:pPr>
      <w:spacing w:after="120"/>
      <w:ind w:left="420" w:leftChars="200"/>
    </w:pPr>
    <w:rPr>
      <w:sz w:val="16"/>
      <w:szCs w:val="16"/>
    </w:rPr>
  </w:style>
  <w:style w:type="paragraph" w:styleId="20">
    <w:name w:val="Normal (Web)"/>
    <w:basedOn w:val="1"/>
    <w:autoRedefine/>
    <w:qFormat/>
    <w:uiPriority w:val="0"/>
    <w:pPr>
      <w:spacing w:beforeAutospacing="1" w:afterAutospacing="1"/>
      <w:jc w:val="left"/>
    </w:pPr>
    <w:rPr>
      <w:rFonts w:asciiTheme="minorHAnsi" w:hAnsiTheme="minorHAnsi" w:eastAsiaTheme="minorEastAsia"/>
      <w:kern w:val="0"/>
      <w:sz w:val="24"/>
    </w:rPr>
  </w:style>
  <w:style w:type="paragraph" w:styleId="21">
    <w:name w:val="Title"/>
    <w:basedOn w:val="1"/>
    <w:next w:val="1"/>
    <w:qFormat/>
    <w:uiPriority w:val="99"/>
    <w:pPr>
      <w:keepNext w:val="0"/>
      <w:keepLines w:val="0"/>
      <w:widowControl w:val="0"/>
      <w:suppressLineNumbers w:val="0"/>
      <w:autoSpaceDE w:val="0"/>
      <w:autoSpaceDN w:val="0"/>
      <w:adjustRightInd w:val="0"/>
      <w:spacing w:before="240" w:beforeAutospacing="0" w:after="60" w:afterAutospacing="0"/>
      <w:ind w:left="0" w:right="0"/>
      <w:jc w:val="center"/>
      <w:outlineLvl w:val="0"/>
    </w:pPr>
    <w:rPr>
      <w:rFonts w:ascii="Cambria" w:hAnsi="Cambria"/>
      <w:b/>
      <w:color w:val="000000"/>
      <w:kern w:val="0"/>
      <w:sz w:val="32"/>
      <w:szCs w:val="32"/>
    </w:rPr>
  </w:style>
  <w:style w:type="paragraph" w:styleId="22">
    <w:name w:val="Body Text First Indent 2"/>
    <w:basedOn w:val="11"/>
    <w:autoRedefine/>
    <w:qFormat/>
    <w:uiPriority w:val="0"/>
    <w:pPr>
      <w:spacing w:after="120" w:line="240" w:lineRule="auto"/>
      <w:ind w:left="420" w:leftChars="200" w:firstLine="420"/>
    </w:pPr>
    <w:rPr>
      <w:rFonts w:ascii="Times New Roman" w:hAnsi="Times New Roman" w:eastAsia="楷体_GB2312"/>
      <w:sz w:val="21"/>
    </w:rPr>
  </w:style>
  <w:style w:type="table" w:styleId="24">
    <w:name w:val="Table Grid"/>
    <w:basedOn w:val="2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page number"/>
    <w:basedOn w:val="25"/>
    <w:autoRedefine/>
    <w:qFormat/>
    <w:uiPriority w:val="0"/>
  </w:style>
  <w:style w:type="character" w:styleId="27">
    <w:name w:val="FollowedHyperlink"/>
    <w:basedOn w:val="25"/>
    <w:qFormat/>
    <w:uiPriority w:val="0"/>
    <w:rPr>
      <w:color w:val="771CAA"/>
      <w:u w:val="none"/>
    </w:rPr>
  </w:style>
  <w:style w:type="character" w:styleId="28">
    <w:name w:val="Emphasis"/>
    <w:basedOn w:val="25"/>
    <w:qFormat/>
    <w:uiPriority w:val="0"/>
    <w:rPr>
      <w:color w:val="F73131"/>
    </w:rPr>
  </w:style>
  <w:style w:type="character" w:styleId="29">
    <w:name w:val="Hyperlink"/>
    <w:basedOn w:val="25"/>
    <w:qFormat/>
    <w:uiPriority w:val="0"/>
    <w:rPr>
      <w:color w:val="2440B3"/>
      <w:u w:val="none"/>
    </w:rPr>
  </w:style>
  <w:style w:type="character" w:styleId="30">
    <w:name w:val="HTML Cite"/>
    <w:basedOn w:val="25"/>
    <w:qFormat/>
    <w:uiPriority w:val="0"/>
    <w:rPr>
      <w:color w:val="008000"/>
    </w:rPr>
  </w:style>
  <w:style w:type="paragraph" w:customStyle="1" w:styleId="31">
    <w:name w:val="Default"/>
    <w:next w:val="1"/>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2">
    <w:name w:val="密级编号"/>
    <w:basedOn w:val="1"/>
    <w:next w:val="8"/>
    <w:autoRedefine/>
    <w:qFormat/>
    <w:uiPriority w:val="0"/>
    <w:pPr>
      <w:widowControl w:val="0"/>
      <w:autoSpaceDE/>
      <w:autoSpaceDN/>
      <w:spacing w:before="0" w:after="0" w:line="240" w:lineRule="auto"/>
      <w:ind w:left="0" w:firstLine="0"/>
      <w:jc w:val="center"/>
    </w:pPr>
    <w:rPr>
      <w:rFonts w:ascii="仿宋_GB2312" w:eastAsia="仿宋_GB2312"/>
      <w:sz w:val="24"/>
    </w:rPr>
  </w:style>
  <w:style w:type="paragraph" w:customStyle="1" w:styleId="33">
    <w:name w:val="_Style 1"/>
    <w:autoRedefine/>
    <w:qFormat/>
    <w:uiPriority w:val="99"/>
    <w:rPr>
      <w:rFonts w:ascii="Calibri" w:hAnsi="Calibri" w:eastAsia="宋体" w:cs="Times New Roman"/>
      <w:kern w:val="2"/>
      <w:sz w:val="28"/>
      <w:szCs w:val="22"/>
      <w:lang w:val="en-US" w:eastAsia="zh-CN" w:bidi="ar-SA"/>
    </w:rPr>
  </w:style>
  <w:style w:type="paragraph" w:customStyle="1" w:styleId="34">
    <w:name w:val="Char"/>
    <w:basedOn w:val="1"/>
    <w:autoRedefine/>
    <w:qFormat/>
    <w:uiPriority w:val="0"/>
    <w:pPr>
      <w:spacing w:line="460" w:lineRule="exact"/>
      <w:ind w:firstLine="538" w:firstLineChars="224"/>
    </w:pPr>
    <w:rPr>
      <w:rFonts w:ascii="宋体" w:hAnsi="宋体" w:cs="宋体"/>
      <w:color w:val="000000"/>
      <w:sz w:val="24"/>
    </w:rPr>
  </w:style>
  <w:style w:type="paragraph" w:customStyle="1" w:styleId="35">
    <w:name w:val="IBM 正文"/>
    <w:basedOn w:val="1"/>
    <w:autoRedefine/>
    <w:qFormat/>
    <w:uiPriority w:val="0"/>
    <w:pPr>
      <w:spacing w:line="360" w:lineRule="atLeast"/>
    </w:pPr>
    <w:rPr>
      <w:sz w:val="24"/>
      <w:szCs w:val="20"/>
    </w:rPr>
  </w:style>
  <w:style w:type="paragraph" w:customStyle="1" w:styleId="36">
    <w:name w:val="正文1"/>
    <w:autoRedefine/>
    <w:qFormat/>
    <w:uiPriority w:val="0"/>
    <w:pPr>
      <w:widowControl w:val="0"/>
      <w:adjustRightInd w:val="0"/>
      <w:spacing w:line="312" w:lineRule="atLeast"/>
      <w:jc w:val="both"/>
      <w:textAlignment w:val="baseline"/>
    </w:pPr>
    <w:rPr>
      <w:rFonts w:ascii="宋体" w:hAnsi="宋体" w:eastAsia="宋体" w:cs="Times New Roman"/>
      <w:sz w:val="24"/>
      <w:lang w:val="en-US" w:eastAsia="zh-CN" w:bidi="ar-SA"/>
    </w:rPr>
  </w:style>
  <w:style w:type="paragraph" w:styleId="37">
    <w:name w:val="List Paragraph"/>
    <w:basedOn w:val="1"/>
    <w:autoRedefine/>
    <w:qFormat/>
    <w:uiPriority w:val="34"/>
    <w:pPr>
      <w:widowControl/>
      <w:spacing w:before="100" w:beforeAutospacing="1" w:after="100" w:afterAutospacing="1"/>
      <w:jc w:val="left"/>
    </w:pPr>
    <w:rPr>
      <w:rFonts w:ascii="黑体" w:hAnsi="黑体" w:eastAsia="黑体" w:cs="宋体"/>
      <w:color w:val="000000"/>
      <w:kern w:val="0"/>
      <w:sz w:val="24"/>
      <w:szCs w:val="24"/>
    </w:rPr>
  </w:style>
  <w:style w:type="paragraph" w:customStyle="1" w:styleId="38">
    <w:name w:val="首行缩进"/>
    <w:basedOn w:val="1"/>
    <w:autoRedefine/>
    <w:qFormat/>
    <w:uiPriority w:val="0"/>
    <w:pPr>
      <w:widowControl/>
      <w:numPr>
        <w:ilvl w:val="6"/>
        <w:numId w:val="2"/>
      </w:numPr>
      <w:tabs>
        <w:tab w:val="left" w:pos="822"/>
        <w:tab w:val="clear" w:pos="3120"/>
      </w:tabs>
      <w:snapToGrid w:val="0"/>
      <w:spacing w:before="40" w:after="40" w:line="300" w:lineRule="atLeast"/>
    </w:pPr>
    <w:rPr>
      <w:rFonts w:ascii="Arial" w:hAnsi="Arial"/>
      <w:kern w:val="0"/>
      <w:szCs w:val="20"/>
    </w:rPr>
  </w:style>
  <w:style w:type="paragraph" w:customStyle="1" w:styleId="39">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40">
    <w:name w:val="BodyText1I"/>
    <w:basedOn w:val="41"/>
    <w:autoRedefine/>
    <w:qFormat/>
    <w:uiPriority w:val="0"/>
    <w:pPr>
      <w:tabs>
        <w:tab w:val="left" w:pos="3380"/>
      </w:tabs>
      <w:ind w:firstLine="420" w:firstLineChars="100"/>
    </w:pPr>
    <w:rPr>
      <w:rFonts w:ascii="宋体" w:hAnsi="宋体"/>
      <w:sz w:val="28"/>
      <w:szCs w:val="28"/>
    </w:rPr>
  </w:style>
  <w:style w:type="paragraph" w:customStyle="1" w:styleId="41">
    <w:name w:val="BodyText"/>
    <w:basedOn w:val="1"/>
    <w:autoRedefine/>
    <w:qFormat/>
    <w:uiPriority w:val="0"/>
    <w:pPr>
      <w:tabs>
        <w:tab w:val="left" w:pos="3380"/>
      </w:tabs>
      <w:jc w:val="center"/>
      <w:textAlignment w:val="baseline"/>
    </w:pPr>
    <w:rPr>
      <w:rFonts w:ascii="Times New Roman"/>
      <w:b/>
      <w:bCs/>
      <w:spacing w:val="-20"/>
      <w:kern w:val="0"/>
      <w:sz w:val="36"/>
    </w:rPr>
  </w:style>
  <w:style w:type="paragraph" w:customStyle="1" w:styleId="42">
    <w:name w:val="Table Paragraph"/>
    <w:basedOn w:val="1"/>
    <w:autoRedefine/>
    <w:qFormat/>
    <w:uiPriority w:val="1"/>
    <w:rPr>
      <w:rFonts w:ascii="宋体" w:hAnsi="宋体" w:eastAsia="宋体" w:cs="宋体"/>
      <w:lang w:val="zh-CN" w:eastAsia="zh-CN" w:bidi="zh-CN"/>
    </w:rPr>
  </w:style>
  <w:style w:type="paragraph" w:customStyle="1" w:styleId="43">
    <w:name w:val="表格文字"/>
    <w:basedOn w:val="1"/>
    <w:next w:val="2"/>
    <w:autoRedefine/>
    <w:qFormat/>
    <w:uiPriority w:val="0"/>
    <w:pPr>
      <w:adjustRightInd w:val="0"/>
      <w:spacing w:line="420" w:lineRule="atLeast"/>
      <w:jc w:val="left"/>
      <w:textAlignment w:val="baseline"/>
    </w:pPr>
    <w:rPr>
      <w:kern w:val="0"/>
    </w:rPr>
  </w:style>
  <w:style w:type="paragraph" w:customStyle="1" w:styleId="44">
    <w:name w:val="Blockquote"/>
    <w:basedOn w:val="1"/>
    <w:autoRedefine/>
    <w:qFormat/>
    <w:uiPriority w:val="0"/>
    <w:pPr>
      <w:widowControl/>
      <w:spacing w:before="100" w:afterLines="50"/>
      <w:ind w:left="360" w:right="360"/>
      <w:jc w:val="left"/>
    </w:pPr>
    <w:rPr>
      <w:rFonts w:ascii="宋体"/>
      <w:snapToGrid w:val="0"/>
      <w:kern w:val="0"/>
      <w:sz w:val="24"/>
      <w:szCs w:val="20"/>
      <w:lang w:val="en-CA"/>
    </w:rPr>
  </w:style>
  <w:style w:type="character" w:customStyle="1" w:styleId="45">
    <w:name w:val="hover25"/>
    <w:basedOn w:val="25"/>
    <w:qFormat/>
    <w:uiPriority w:val="0"/>
  </w:style>
  <w:style w:type="character" w:customStyle="1" w:styleId="46">
    <w:name w:val="hover26"/>
    <w:basedOn w:val="25"/>
    <w:qFormat/>
    <w:uiPriority w:val="0"/>
    <w:rPr>
      <w:color w:val="315EFB"/>
    </w:rPr>
  </w:style>
  <w:style w:type="character" w:customStyle="1" w:styleId="47">
    <w:name w:val="hover27"/>
    <w:basedOn w:val="25"/>
    <w:qFormat/>
    <w:uiPriority w:val="0"/>
    <w:rPr>
      <w:color w:val="315EFB"/>
    </w:rPr>
  </w:style>
  <w:style w:type="character" w:customStyle="1" w:styleId="48">
    <w:name w:val="c-icon"/>
    <w:basedOn w:val="25"/>
    <w:qFormat/>
    <w:uiPriority w:val="0"/>
  </w:style>
  <w:style w:type="character" w:customStyle="1" w:styleId="49">
    <w:name w:val="content-right_2s-h41"/>
    <w:basedOn w:val="25"/>
    <w:qFormat/>
    <w:uiPriority w:val="0"/>
  </w:style>
  <w:style w:type="table" w:customStyle="1" w:styleId="50">
    <w:name w:val="Table Normal"/>
    <w:semiHidden/>
    <w:unhideWhenUsed/>
    <w:qFormat/>
    <w:uiPriority w:val="0"/>
    <w:tblPr>
      <w:tblCellMar>
        <w:top w:w="0" w:type="dxa"/>
        <w:left w:w="0" w:type="dxa"/>
        <w:bottom w:w="0" w:type="dxa"/>
        <w:right w:w="0" w:type="dxa"/>
      </w:tblCellMar>
    </w:tblPr>
  </w:style>
  <w:style w:type="paragraph" w:customStyle="1" w:styleId="51">
    <w:name w:val="Table Text"/>
    <w:basedOn w:val="1"/>
    <w:semiHidden/>
    <w:qFormat/>
    <w:uiPriority w:val="0"/>
    <w:rPr>
      <w:rFonts w:ascii="楷体" w:hAnsi="楷体" w:eastAsia="楷体" w:cs="楷体"/>
      <w:sz w:val="24"/>
      <w:szCs w:val="24"/>
      <w:lang w:val="en-US" w:eastAsia="en-US" w:bidi="ar-SA"/>
    </w:rPr>
  </w:style>
  <w:style w:type="paragraph" w:customStyle="1" w:styleId="52">
    <w:name w:val="章正文"/>
    <w:basedOn w:val="1"/>
    <w:qFormat/>
    <w:uiPriority w:val="0"/>
    <w:pPr>
      <w:spacing w:before="156" w:beforeLines="50" w:after="120" w:afterLines="0" w:line="300" w:lineRule="auto"/>
      <w:ind w:firstLine="480"/>
    </w:pPr>
    <w:rPr>
      <w:rFonts w:ascii="Helvetica" w:hAnsi="Helvetica"/>
      <w:kern w:val="0"/>
      <w:sz w:val="24"/>
    </w:rPr>
  </w:style>
  <w:style w:type="paragraph" w:customStyle="1" w:styleId="53">
    <w:name w:val="Other|1"/>
    <w:basedOn w:val="1"/>
    <w:qFormat/>
    <w:uiPriority w:val="0"/>
    <w:pPr>
      <w:spacing w:line="345" w:lineRule="exact"/>
      <w:jc w:val="left"/>
    </w:pPr>
    <w:rPr>
      <w:rFonts w:ascii="MingLiU" w:hAnsi="MingLiU" w:eastAsia="MingLiU" w:cs="MingLiU"/>
      <w:kern w:val="0"/>
      <w:sz w:val="20"/>
      <w:szCs w:val="20"/>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header" Target="header3.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76</Pages>
  <Words>5562</Words>
  <Characters>6199</Characters>
  <Lines>0</Lines>
  <Paragraphs>0</Paragraphs>
  <TotalTime>7</TotalTime>
  <ScaleCrop>false</ScaleCrop>
  <LinksUpToDate>false</LinksUpToDate>
  <CharactersWithSpaces>6416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2023-11-01T02:57:00Z</dcterms:created>
  <dc:creator>Administrator</dc:creator>
  <cp:lastModifiedBy>Administrator</cp:lastModifiedBy>
  <cp:lastPrinted>2024-07-08T01:05:00Z</cp:lastPrinted>
  <dcterms:modified xsi:type="dcterms:W3CDTF">2025-04-23T08:49:09Z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73538E8006D147E2A6865E63FF428536_13</vt:lpwstr>
  </property>
  <property fmtid="{D5CDD505-2E9C-101B-9397-08002B2CF9AE}" pid="4" name="KSOTemplateDocerSaveRecord">
    <vt:lpwstr>eyJoZGlkIjoiNGYwMzdlMDU1MTc1YzQ3NzExMmIxNTAyNDE2NzA4MjgiLCJ1c2VySWQiOiI1MDAxMDEzNjUifQ==</vt:lpwstr>
  </property>
</Properties>
</file>